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A57C1F"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665624" w:rsidP="00A91406">
            <w:pPr>
              <w:pStyle w:val="DHHSmainheading"/>
            </w:pPr>
            <w:r>
              <w:lastRenderedPageBreak/>
              <w:t>Approval in Principle</w:t>
            </w:r>
            <w:r w:rsidR="0034618C">
              <w:t xml:space="preserve"> (AIP)</w:t>
            </w:r>
          </w:p>
        </w:tc>
      </w:tr>
      <w:tr w:rsidR="00AD784C" w:rsidTr="00357B4E">
        <w:trPr>
          <w:trHeight w:hRule="exact" w:val="1162"/>
        </w:trPr>
        <w:tc>
          <w:tcPr>
            <w:tcW w:w="8046" w:type="dxa"/>
            <w:shd w:val="clear" w:color="auto" w:fill="auto"/>
            <w:tcMar>
              <w:top w:w="170" w:type="dxa"/>
              <w:bottom w:w="510" w:type="dxa"/>
            </w:tcMar>
          </w:tcPr>
          <w:p w:rsidR="00357B4E" w:rsidRPr="00AD784C" w:rsidRDefault="006345A2" w:rsidP="00DF44AA">
            <w:pPr>
              <w:pStyle w:val="DHHSmainsubheading"/>
              <w:rPr>
                <w:szCs w:val="28"/>
              </w:rPr>
            </w:pPr>
            <w:r>
              <w:rPr>
                <w:noProof/>
                <w:lang w:eastAsia="en-AU"/>
              </w:rPr>
              <mc:AlternateContent>
                <mc:Choice Requires="wps">
                  <w:drawing>
                    <wp:anchor distT="0" distB="0" distL="114300" distR="114300" simplePos="0" relativeHeight="251677184" behindDoc="0" locked="0" layoutInCell="1" allowOverlap="1" wp14:anchorId="0D1429FD" wp14:editId="599B7772">
                      <wp:simplePos x="0" y="0"/>
                      <wp:positionH relativeFrom="column">
                        <wp:posOffset>6089699</wp:posOffset>
                      </wp:positionH>
                      <wp:positionV relativeFrom="paragraph">
                        <wp:posOffset>463550</wp:posOffset>
                      </wp:positionV>
                      <wp:extent cx="906780" cy="1403985"/>
                      <wp:effectExtent l="0" t="0" r="2667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403985"/>
                              </a:xfrm>
                              <a:prstGeom prst="rect">
                                <a:avLst/>
                              </a:prstGeom>
                              <a:noFill/>
                              <a:ln w="9525">
                                <a:solidFill>
                                  <a:srgbClr val="000000"/>
                                </a:solidFill>
                                <a:miter lim="800000"/>
                                <a:headEnd/>
                                <a:tailEnd/>
                              </a:ln>
                            </wps:spPr>
                            <wps:txbx>
                              <w:txbxContent>
                                <w:p w:rsidR="006345A2" w:rsidRPr="006345A2" w:rsidRDefault="006345A2">
                                  <w:pPr>
                                    <w:rPr>
                                      <w:color w:val="FFFFFF" w:themeColor="background1"/>
                                    </w:rPr>
                                  </w:pPr>
                                  <w:r w:rsidRPr="006345A2">
                                    <w:rPr>
                                      <w:color w:val="FFFFFF" w:themeColor="background1"/>
                                    </w:rPr>
                                    <w:t>April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9.5pt;margin-top:36.5pt;width:71.4pt;height:110.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" filled="f">
                      <v:textbox style="mso-fit-shape-to-text:t">
                        <w:txbxContent>
                          <w:p w:rsidR="006345A2" w:rsidRPr="006345A2" w:rsidRDefault="006345A2">
                            <w:pPr>
                              <w:rPr>
                                <w:color w:val="FFFFFF" w:themeColor="background1"/>
                              </w:rPr>
                            </w:pPr>
                            <w:r w:rsidRPr="006345A2">
                              <w:rPr>
                                <w:color w:val="FFFFFF" w:themeColor="background1"/>
                              </w:rPr>
                              <w:t>April 2016</w:t>
                            </w:r>
                          </w:p>
                        </w:txbxContent>
                      </v:textbox>
                    </v:shape>
                  </w:pict>
                </mc:Fallback>
              </mc:AlternateContent>
            </w:r>
            <w:r w:rsidR="00A90D86">
              <w:rPr>
                <w:szCs w:val="28"/>
              </w:rPr>
              <w:t xml:space="preserve">Guide to application for transfer or variation of AIP of a </w:t>
            </w:r>
            <w:r w:rsidR="00DF44AA">
              <w:rPr>
                <w:szCs w:val="28"/>
              </w:rPr>
              <w:t>Non-Emergency Patient Transport</w:t>
            </w:r>
            <w:r w:rsidR="00A90D86">
              <w:rPr>
                <w:szCs w:val="28"/>
              </w:rPr>
              <w:t xml:space="preserve"> service</w:t>
            </w:r>
          </w:p>
        </w:tc>
      </w:tr>
    </w:tbl>
    <w:p w:rsidR="00893AF6" w:rsidRPr="00B57329" w:rsidRDefault="0054028F" w:rsidP="00FB4769">
      <w:pPr>
        <w:pStyle w:val="Heading1"/>
        <w:spacing w:before="0"/>
      </w:pPr>
      <w:r w:rsidRPr="0054028F">
        <w:t xml:space="preserve">Guide to application for </w:t>
      </w:r>
      <w:r w:rsidR="0034618C">
        <w:t xml:space="preserve">transfer or variation of Approval in Principle of a </w:t>
      </w:r>
      <w:r w:rsidR="00DF44AA">
        <w:t>N</w:t>
      </w:r>
      <w:r w:rsidR="0034618C">
        <w:t>on-</w:t>
      </w:r>
      <w:r w:rsidR="00DF44AA">
        <w:t>E</w:t>
      </w:r>
      <w:r w:rsidR="0034618C">
        <w:t xml:space="preserve">mergency </w:t>
      </w:r>
      <w:r w:rsidR="00DF44AA">
        <w:t>P</w:t>
      </w:r>
      <w:r w:rsidR="0034618C">
        <w:t xml:space="preserve">atient </w:t>
      </w:r>
      <w:r w:rsidR="00DF44AA">
        <w:t>T</w:t>
      </w:r>
      <w:r w:rsidR="0034618C">
        <w:t>ransport</w:t>
      </w:r>
      <w:r w:rsidR="00DF44AA">
        <w:t xml:space="preserve"> (NEPT)</w:t>
      </w:r>
      <w:r w:rsidR="0034618C">
        <w:t xml:space="preserve"> service</w:t>
      </w:r>
    </w:p>
    <w:p w:rsidR="000978C6" w:rsidRDefault="000978C6" w:rsidP="00FA3525">
      <w:pPr>
        <w:pStyle w:val="DHHSbody"/>
      </w:pPr>
      <w:bookmarkStart w:id="0" w:name="_Toc440566509"/>
    </w:p>
    <w:bookmarkEnd w:id="0"/>
    <w:p w:rsidR="0034618C" w:rsidRDefault="0034618C" w:rsidP="0034618C">
      <w:pPr>
        <w:pStyle w:val="DHHSbody"/>
      </w:pPr>
      <w:r>
        <w:t xml:space="preserve">The holder of the certificate of Approval in Principle (AIP) for a Non-Emergency Patient Transport (NEPT) service may apply to </w:t>
      </w:r>
    </w:p>
    <w:p w:rsidR="0034618C" w:rsidRDefault="0034618C" w:rsidP="0034618C">
      <w:pPr>
        <w:pStyle w:val="DHHSbullet1"/>
      </w:pPr>
      <w:r>
        <w:t>vary the certificate of AIP any conditions listed on the AIP;</w:t>
      </w:r>
    </w:p>
    <w:p w:rsidR="0034618C" w:rsidRDefault="0034618C" w:rsidP="0034618C">
      <w:pPr>
        <w:pStyle w:val="DHHSbullet1lastline"/>
      </w:pPr>
      <w:r>
        <w:t>transfer the certificate of AIP to another person or entity.</w:t>
      </w:r>
    </w:p>
    <w:p w:rsidR="000978C6" w:rsidRDefault="000978C6" w:rsidP="005653C0">
      <w:pPr>
        <w:pStyle w:val="Heading2"/>
      </w:pPr>
      <w:r>
        <w:t>How is the application assessed?</w:t>
      </w:r>
    </w:p>
    <w:p w:rsidR="0034618C" w:rsidRDefault="0034618C" w:rsidP="0034618C">
      <w:pPr>
        <w:pStyle w:val="DHHSbody"/>
      </w:pPr>
      <w:r w:rsidRPr="00644623">
        <w:t>The Department asse</w:t>
      </w:r>
      <w:r>
        <w:t>sses an application for a variation or transfer of an AIP NEPT licence</w:t>
      </w:r>
      <w:r w:rsidRPr="00644623">
        <w:t xml:space="preserve"> in accordance with </w:t>
      </w:r>
      <w:r>
        <w:t xml:space="preserve">section 12 of </w:t>
      </w:r>
      <w:r w:rsidRPr="00644623">
        <w:t xml:space="preserve">the </w:t>
      </w:r>
      <w:r w:rsidRPr="00995A12">
        <w:rPr>
          <w:i/>
        </w:rPr>
        <w:t>Non-Emergency Patient Transport Act 2003</w:t>
      </w:r>
      <w:r>
        <w:t xml:space="preserve"> (NEPT Act).  The criteria include:</w:t>
      </w:r>
    </w:p>
    <w:p w:rsidR="0034618C" w:rsidRDefault="0034618C" w:rsidP="0034618C">
      <w:pPr>
        <w:pStyle w:val="DHHSbullet1"/>
      </w:pPr>
      <w:r>
        <w:t>Whether the</w:t>
      </w:r>
      <w:r w:rsidRPr="00644623">
        <w:t xml:space="preserve"> applicant is a fit and proper person</w:t>
      </w:r>
      <w:r>
        <w:t xml:space="preserve"> to operate a NEPT service; and </w:t>
      </w:r>
    </w:p>
    <w:p w:rsidR="0034618C" w:rsidRDefault="0034618C" w:rsidP="0034618C">
      <w:pPr>
        <w:pStyle w:val="DHHSbullet1lastline"/>
      </w:pPr>
      <w:r>
        <w:t>The s</w:t>
      </w:r>
      <w:r w:rsidRPr="00644623">
        <w:t xml:space="preserve">uitability of the equipment and vehicles </w:t>
      </w:r>
      <w:r>
        <w:t>that are proposed</w:t>
      </w:r>
      <w:r w:rsidRPr="00644623">
        <w:t xml:space="preserve"> be used</w:t>
      </w:r>
      <w:r>
        <w:t xml:space="preserve"> in the NEPT service having regard to the safety, health and well being of the patients who are likely to be transported in the vehicles and the requirements of the NEPT Regulations.</w:t>
      </w:r>
    </w:p>
    <w:p w:rsidR="000978C6" w:rsidRDefault="000978C6" w:rsidP="00F65E93">
      <w:pPr>
        <w:pStyle w:val="Heading2"/>
      </w:pPr>
      <w:r>
        <w:t>How to complete an application for</w:t>
      </w:r>
      <w:r w:rsidR="0034618C">
        <w:t xml:space="preserve"> a variation or transfer of</w:t>
      </w:r>
      <w:r>
        <w:t xml:space="preserve"> AIP</w:t>
      </w:r>
    </w:p>
    <w:p w:rsidR="000978C6" w:rsidRDefault="007707F4" w:rsidP="0034618C">
      <w:pPr>
        <w:pStyle w:val="DHHSbody"/>
        <w:tabs>
          <w:tab w:val="left" w:pos="851"/>
        </w:tabs>
        <w:spacing w:before="120"/>
      </w:pPr>
      <w:r>
        <w:rPr>
          <w:noProof/>
          <w:lang w:eastAsia="en-AU"/>
        </w:rPr>
        <w:drawing>
          <wp:anchor distT="0" distB="0" distL="114300" distR="114300" simplePos="0" relativeHeight="251658752" behindDoc="0" locked="0" layoutInCell="1" allowOverlap="1">
            <wp:simplePos x="0" y="0"/>
            <wp:positionH relativeFrom="column">
              <wp:posOffset>0</wp:posOffset>
            </wp:positionH>
            <wp:positionV relativeFrom="paragraph">
              <wp:posOffset>34827</wp:posOffset>
            </wp:positionV>
            <wp:extent cx="442595" cy="18351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0978C6">
        <w:t xml:space="preserve">The </w:t>
      </w:r>
      <w:r>
        <w:t xml:space="preserve">paperclip </w:t>
      </w:r>
      <w:r w:rsidR="000978C6">
        <w:t>symbol</w:t>
      </w:r>
      <w:r w:rsidR="000978C6" w:rsidRPr="004C2FA5">
        <w:t xml:space="preserve"> indicates that a document is required to be attached to the</w:t>
      </w:r>
      <w:r w:rsidR="000978C6">
        <w:t xml:space="preserve"> application.</w:t>
      </w:r>
      <w:r w:rsidR="000978C6">
        <w:br/>
      </w:r>
    </w:p>
    <w:p w:rsidR="000978C6" w:rsidRPr="00F65E93" w:rsidRDefault="00F65E93" w:rsidP="0082353E">
      <w:pPr>
        <w:pStyle w:val="Heading3"/>
        <w:tabs>
          <w:tab w:val="left" w:pos="851"/>
        </w:tabs>
      </w:pPr>
      <w:r>
        <w:t>1.</w:t>
      </w:r>
      <w:r>
        <w:tab/>
      </w:r>
      <w:r w:rsidR="000978C6" w:rsidRPr="00F65E93">
        <w:t xml:space="preserve">Schedule </w:t>
      </w:r>
      <w:r w:rsidR="0034618C">
        <w:t>2</w:t>
      </w:r>
      <w:r w:rsidR="000978C6" w:rsidRPr="00F65E93">
        <w:t xml:space="preserve"> form and prescribed fee</w:t>
      </w:r>
    </w:p>
    <w:p w:rsidR="000978C6" w:rsidRPr="0065649F" w:rsidRDefault="000978C6" w:rsidP="00743290">
      <w:pPr>
        <w:jc w:val="both"/>
        <w:rPr>
          <w:rFonts w:ascii="Arial" w:hAnsi="Arial" w:cs="Arial"/>
          <w:b/>
        </w:rPr>
      </w:pPr>
    </w:p>
    <w:p w:rsidR="007707F4" w:rsidRPr="0065649F" w:rsidRDefault="0082353E" w:rsidP="0082353E">
      <w:pPr>
        <w:pStyle w:val="DHHSbody"/>
        <w:tabs>
          <w:tab w:val="left" w:pos="851"/>
        </w:tabs>
        <w:ind w:left="851" w:hanging="851"/>
      </w:pPr>
      <w:r>
        <w:rPr>
          <w:noProof/>
          <w:lang w:eastAsia="en-AU"/>
        </w:rPr>
        <w:drawing>
          <wp:anchor distT="0" distB="0" distL="114300" distR="114300" simplePos="0" relativeHeight="251660800" behindDoc="0" locked="0" layoutInCell="1" allowOverlap="1" wp14:anchorId="115E43FA" wp14:editId="686280FF">
            <wp:simplePos x="0" y="0"/>
            <wp:positionH relativeFrom="column">
              <wp:posOffset>0</wp:posOffset>
            </wp:positionH>
            <wp:positionV relativeFrom="paragraph">
              <wp:posOffset>61546</wp:posOffset>
            </wp:positionV>
            <wp:extent cx="442595" cy="1835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7707F4" w:rsidRPr="0065649F">
        <w:t>Applicants are</w:t>
      </w:r>
      <w:r w:rsidR="007707F4">
        <w:t xml:space="preserve"> required to complete Schedule </w:t>
      </w:r>
      <w:r w:rsidR="0034618C">
        <w:t>2</w:t>
      </w:r>
      <w:r w:rsidR="007707F4" w:rsidRPr="0065649F">
        <w:t xml:space="preserve"> - Application for </w:t>
      </w:r>
      <w:r w:rsidR="0034618C">
        <w:t>variation or transfer of certificate of approval in principle to operate a non-emergency</w:t>
      </w:r>
      <w:r w:rsidR="007707F4">
        <w:t xml:space="preserve"> patient transport service</w:t>
      </w:r>
      <w:r w:rsidR="007707F4" w:rsidRPr="0065649F">
        <w:t xml:space="preserve"> (see attached form) and include all the information outlined below. </w:t>
      </w:r>
    </w:p>
    <w:p w:rsidR="007707F4" w:rsidRDefault="007707F4" w:rsidP="0082353E">
      <w:pPr>
        <w:pStyle w:val="DHHSbody"/>
        <w:ind w:left="851"/>
        <w:rPr>
          <w:b/>
        </w:rPr>
      </w:pPr>
      <w:r w:rsidRPr="0065649F">
        <w:rPr>
          <w:b/>
        </w:rPr>
        <w:t>The application must include the prescribed fee</w:t>
      </w:r>
      <w:bookmarkStart w:id="1" w:name="_GoBack"/>
      <w:bookmarkEnd w:id="1"/>
      <w:r>
        <w:rPr>
          <w:b/>
        </w:rPr>
        <w:t xml:space="preserve">. </w:t>
      </w:r>
      <w:r>
        <w:t xml:space="preserve">The fee is indexed annually Click </w:t>
      </w:r>
      <w:hyperlink r:id="rId12" w:history="1">
        <w:r w:rsidRPr="00F631FD">
          <w:rPr>
            <w:rStyle w:val="Hyperlink"/>
          </w:rPr>
          <w:t>here</w:t>
        </w:r>
      </w:hyperlink>
      <w:r>
        <w:t xml:space="preserve"> to access the current fees.</w:t>
      </w:r>
      <w:r w:rsidRPr="0065649F">
        <w:rPr>
          <w:b/>
        </w:rPr>
        <w:t xml:space="preserve"> </w:t>
      </w:r>
    </w:p>
    <w:p w:rsidR="000978C6" w:rsidRPr="0065649F" w:rsidRDefault="007707F4" w:rsidP="0082353E">
      <w:pPr>
        <w:pStyle w:val="DHHSbody"/>
        <w:ind w:left="851"/>
        <w:rPr>
          <w:rFonts w:cs="Arial"/>
          <w:b/>
          <w:bCs/>
        </w:rPr>
      </w:pPr>
      <w:r w:rsidRPr="0065649F">
        <w:rPr>
          <w:b/>
        </w:rPr>
        <w:t>Cheques or money orders should be made payable to “Department of Health”.</w:t>
      </w:r>
      <w:r>
        <w:t xml:space="preserve">  Payment by EFT is also available.  The Department can provide an invoice to assist you with making payment.</w:t>
      </w:r>
    </w:p>
    <w:p w:rsidR="00A349BC" w:rsidRDefault="00A349BC" w:rsidP="0082353E">
      <w:pPr>
        <w:pStyle w:val="DHHSbody"/>
      </w:pPr>
    </w:p>
    <w:p w:rsidR="000978C6" w:rsidRDefault="000978C6" w:rsidP="0082353E">
      <w:pPr>
        <w:pStyle w:val="DHHSbody"/>
      </w:pPr>
      <w:r>
        <w:t>The Department requests the following information to assist</w:t>
      </w:r>
      <w:r w:rsidRPr="0065649F">
        <w:t xml:space="preserve"> the Secretary </w:t>
      </w:r>
      <w:r>
        <w:t xml:space="preserve">(or Delegate) </w:t>
      </w:r>
      <w:r w:rsidRPr="0065649F">
        <w:t xml:space="preserve">in considering the above criteria </w:t>
      </w:r>
      <w:r>
        <w:t>and</w:t>
      </w:r>
      <w:r w:rsidRPr="0065649F">
        <w:t xml:space="preserve"> deciding </w:t>
      </w:r>
      <w:r>
        <w:t xml:space="preserve">whether </w:t>
      </w:r>
      <w:r w:rsidRPr="0065649F">
        <w:t xml:space="preserve">to </w:t>
      </w:r>
      <w:r>
        <w:t>grant a NEPT licence</w:t>
      </w:r>
      <w:r w:rsidRPr="0065649F">
        <w:t>.  If additional information is required, the applicant will be notified.</w:t>
      </w:r>
    </w:p>
    <w:p w:rsidR="00A349BC" w:rsidRDefault="00A349BC" w:rsidP="00A349BC">
      <w:pPr>
        <w:pStyle w:val="DHbody"/>
        <w:rPr>
          <w:b/>
        </w:rPr>
      </w:pPr>
      <w:r>
        <w:rPr>
          <w:b/>
        </w:rPr>
        <w:t>Please note that the types of information required will depend on the nature of the application. Please contact the Department if you require further guidance on the documents that need to be submitted.</w:t>
      </w:r>
    </w:p>
    <w:p w:rsidR="00A349BC" w:rsidRPr="0065649F" w:rsidRDefault="00A349BC" w:rsidP="0082353E">
      <w:pPr>
        <w:pStyle w:val="DHHSbody"/>
      </w:pPr>
    </w:p>
    <w:p w:rsidR="00A349BC" w:rsidRDefault="00A349BC" w:rsidP="00A349BC">
      <w:pPr>
        <w:pStyle w:val="Heading2"/>
      </w:pPr>
      <w:r>
        <w:lastRenderedPageBreak/>
        <w:t xml:space="preserve">Applications for </w:t>
      </w:r>
      <w:r w:rsidRPr="00C95BB3">
        <w:rPr>
          <w:i/>
        </w:rPr>
        <w:t>variation</w:t>
      </w:r>
      <w:r>
        <w:t xml:space="preserve"> of AIP</w:t>
      </w:r>
    </w:p>
    <w:p w:rsidR="00A349BC" w:rsidRDefault="00A349BC" w:rsidP="00A349BC">
      <w:pPr>
        <w:pStyle w:val="Heading3"/>
        <w:tabs>
          <w:tab w:val="left" w:pos="851"/>
        </w:tabs>
      </w:pPr>
      <w:r>
        <w:t>2.</w:t>
      </w:r>
      <w:r>
        <w:tab/>
        <w:t>Details of variation</w:t>
      </w:r>
    </w:p>
    <w:p w:rsidR="00A349BC" w:rsidRDefault="00A349BC" w:rsidP="00A349BC">
      <w:pPr>
        <w:pStyle w:val="DHHSbody"/>
        <w:tabs>
          <w:tab w:val="left" w:pos="851"/>
        </w:tabs>
        <w:ind w:left="851" w:hanging="851"/>
        <w:rPr>
          <w:rFonts w:cs="Arial"/>
          <w:b/>
          <w:bCs/>
        </w:rPr>
      </w:pPr>
      <w:r>
        <w:rPr>
          <w:noProof/>
          <w:lang w:eastAsia="en-AU"/>
        </w:rPr>
        <w:drawing>
          <wp:anchor distT="0" distB="0" distL="114300" distR="114300" simplePos="0" relativeHeight="251679232" behindDoc="0" locked="0" layoutInCell="1" allowOverlap="1" wp14:anchorId="700A9103" wp14:editId="606A1E7E">
            <wp:simplePos x="0" y="0"/>
            <wp:positionH relativeFrom="column">
              <wp:posOffset>0</wp:posOffset>
            </wp:positionH>
            <wp:positionV relativeFrom="paragraph">
              <wp:posOffset>61546</wp:posOffset>
            </wp:positionV>
            <wp:extent cx="442595" cy="183515"/>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406C86">
        <w:t xml:space="preserve">The application should be accompanied with a written description of the changes </w:t>
      </w:r>
      <w:r>
        <w:t xml:space="preserve">you seek for the certificate of AIP. If you are seeking a change to a condition of AIP, please outline the reasons why you are seeking the change and attach relevant supporting documentation. </w:t>
      </w:r>
    </w:p>
    <w:p w:rsidR="0082353E" w:rsidRDefault="0082353E" w:rsidP="00743290">
      <w:pPr>
        <w:pStyle w:val="DHbody"/>
        <w:jc w:val="both"/>
      </w:pPr>
    </w:p>
    <w:p w:rsidR="000978C6" w:rsidRDefault="00C95BB3" w:rsidP="00BC46FB">
      <w:pPr>
        <w:pStyle w:val="Heading3"/>
        <w:tabs>
          <w:tab w:val="left" w:pos="851"/>
        </w:tabs>
      </w:pPr>
      <w:r>
        <w:t>3</w:t>
      </w:r>
      <w:r w:rsidR="00BC46FB">
        <w:t>.</w:t>
      </w:r>
      <w:r w:rsidR="00BC46FB">
        <w:tab/>
      </w:r>
      <w:r w:rsidR="000978C6">
        <w:t>Vehicles</w:t>
      </w:r>
    </w:p>
    <w:p w:rsidR="000978C6" w:rsidRDefault="000978C6" w:rsidP="00743290">
      <w:pPr>
        <w:pStyle w:val="DHbody"/>
      </w:pPr>
      <w:r>
        <w:t xml:space="preserve">The NEPT Regulations contain </w:t>
      </w:r>
      <w:r w:rsidR="00C95BB3">
        <w:t xml:space="preserve">a number of </w:t>
      </w:r>
      <w:r>
        <w:t>requirements for</w:t>
      </w:r>
      <w:r w:rsidR="00BC46FB">
        <w:t xml:space="preserve"> vehicles (including aircraft).</w:t>
      </w:r>
    </w:p>
    <w:p w:rsidR="00BC46FB" w:rsidRDefault="00BC46FB" w:rsidP="00BC46FB">
      <w:pPr>
        <w:pStyle w:val="DHHSbody"/>
        <w:tabs>
          <w:tab w:val="left" w:pos="851"/>
        </w:tabs>
        <w:ind w:left="851" w:hanging="851"/>
        <w:rPr>
          <w:rFonts w:cs="Arial"/>
          <w:b/>
          <w:bCs/>
        </w:rPr>
      </w:pPr>
      <w:r>
        <w:rPr>
          <w:noProof/>
          <w:lang w:eastAsia="en-AU"/>
        </w:rPr>
        <w:drawing>
          <wp:anchor distT="0" distB="0" distL="114300" distR="114300" simplePos="0" relativeHeight="251668992" behindDoc="0" locked="0" layoutInCell="1" allowOverlap="1" wp14:anchorId="7E0AA92F" wp14:editId="7A0970B9">
            <wp:simplePos x="0" y="0"/>
            <wp:positionH relativeFrom="column">
              <wp:posOffset>0</wp:posOffset>
            </wp:positionH>
            <wp:positionV relativeFrom="paragraph">
              <wp:posOffset>61546</wp:posOffset>
            </wp:positionV>
            <wp:extent cx="442595" cy="1835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t xml:space="preserve">Please review the requirements of the NEPT Regulations for the particular type of service you are applying </w:t>
      </w:r>
      <w:r w:rsidR="00C95BB3">
        <w:t>to add to the AIP</w:t>
      </w:r>
      <w:r>
        <w:t xml:space="preserve"> and provide details about the </w:t>
      </w:r>
      <w:r w:rsidR="00C95BB3">
        <w:t xml:space="preserve">type and number of </w:t>
      </w:r>
      <w:r>
        <w:t>vehicles that are proposed to be used for the NEPT service.</w:t>
      </w:r>
    </w:p>
    <w:p w:rsidR="00BC46FB" w:rsidRPr="00F33AE2" w:rsidRDefault="00BC46FB" w:rsidP="00743290">
      <w:pPr>
        <w:pStyle w:val="DHbody"/>
      </w:pPr>
    </w:p>
    <w:p w:rsidR="000978C6" w:rsidRPr="00731314" w:rsidRDefault="00C45BC1" w:rsidP="00BC46FB">
      <w:pPr>
        <w:pStyle w:val="Heading3"/>
        <w:tabs>
          <w:tab w:val="left" w:pos="851"/>
        </w:tabs>
      </w:pPr>
      <w:r>
        <w:t>4</w:t>
      </w:r>
      <w:r w:rsidR="00BC46FB">
        <w:t>.</w:t>
      </w:r>
      <w:r w:rsidR="00BC46FB">
        <w:tab/>
      </w:r>
      <w:r w:rsidR="000978C6" w:rsidRPr="00731314">
        <w:t>Management and staffing</w:t>
      </w:r>
    </w:p>
    <w:p w:rsidR="000978C6" w:rsidRDefault="000978C6" w:rsidP="00743290">
      <w:pPr>
        <w:pStyle w:val="DHbody"/>
      </w:pPr>
      <w:r>
        <w:t xml:space="preserve">The </w:t>
      </w:r>
      <w:r w:rsidRPr="00387FC0">
        <w:rPr>
          <w:i/>
        </w:rPr>
        <w:t>Non-Emergency Patient Transport Regulations 20</w:t>
      </w:r>
      <w:r>
        <w:rPr>
          <w:i/>
        </w:rPr>
        <w:t>16</w:t>
      </w:r>
      <w:r>
        <w:t xml:space="preserve"> (NEPT Regulations)</w:t>
      </w:r>
      <w:r w:rsidR="00BC46FB">
        <w:t xml:space="preserve"> </w:t>
      </w:r>
      <w:r>
        <w:t>contain a number of requirements for:</w:t>
      </w:r>
    </w:p>
    <w:p w:rsidR="000978C6" w:rsidRPr="002C3E2D" w:rsidRDefault="000978C6" w:rsidP="002C3E2D">
      <w:pPr>
        <w:pStyle w:val="DHHSbullet1"/>
      </w:pPr>
      <w:r w:rsidRPr="002C3E2D">
        <w:t>Staffing of vehicles according to the acuity of patients</w:t>
      </w:r>
    </w:p>
    <w:p w:rsidR="000978C6" w:rsidRPr="002C3E2D" w:rsidRDefault="000978C6" w:rsidP="002C3E2D">
      <w:pPr>
        <w:pStyle w:val="DHHSbullet1"/>
      </w:pPr>
      <w:r w:rsidRPr="002C3E2D">
        <w:t>Competenc</w:t>
      </w:r>
      <w:r w:rsidR="00C45BC1">
        <w:t>y</w:t>
      </w:r>
      <w:r w:rsidRPr="002C3E2D">
        <w:t>, skills and experience of staff</w:t>
      </w:r>
    </w:p>
    <w:p w:rsidR="000978C6" w:rsidRDefault="000978C6" w:rsidP="002C3E2D">
      <w:pPr>
        <w:pStyle w:val="DHHSbullet1lastline"/>
        <w:spacing w:after="240"/>
        <w:rPr>
          <w:lang w:val="en-US"/>
        </w:rPr>
      </w:pPr>
      <w:r w:rsidRPr="00BC46FB">
        <w:rPr>
          <w:lang w:val="en-US"/>
        </w:rPr>
        <w:t>Annual mandatory training</w:t>
      </w:r>
    </w:p>
    <w:p w:rsidR="002C3E2D" w:rsidRDefault="002C3E2D" w:rsidP="002C3E2D">
      <w:pPr>
        <w:pStyle w:val="DHHSbody"/>
        <w:tabs>
          <w:tab w:val="left" w:pos="851"/>
        </w:tabs>
        <w:ind w:left="851" w:hanging="851"/>
      </w:pPr>
      <w:r>
        <w:rPr>
          <w:noProof/>
          <w:lang w:eastAsia="en-AU"/>
        </w:rPr>
        <w:drawing>
          <wp:anchor distT="0" distB="0" distL="114300" distR="114300" simplePos="0" relativeHeight="251671040" behindDoc="0" locked="0" layoutInCell="1" allowOverlap="1" wp14:anchorId="3E0BA477" wp14:editId="5FB14CE2">
            <wp:simplePos x="0" y="0"/>
            <wp:positionH relativeFrom="column">
              <wp:posOffset>0</wp:posOffset>
            </wp:positionH>
            <wp:positionV relativeFrom="paragraph">
              <wp:posOffset>61546</wp:posOffset>
            </wp:positionV>
            <wp:extent cx="442595" cy="1835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t>Please provide copies</w:t>
      </w:r>
      <w:r w:rsidRPr="0065649F">
        <w:t xml:space="preserve"> </w:t>
      </w:r>
      <w:r>
        <w:t>of the following documents</w:t>
      </w:r>
      <w:r w:rsidR="00C45BC1">
        <w:t xml:space="preserve"> in relation to the services you are proposing to add to the AIP</w:t>
      </w:r>
      <w:r>
        <w:t xml:space="preserve">: </w:t>
      </w:r>
    </w:p>
    <w:p w:rsidR="002C3E2D" w:rsidRPr="00BC46FB" w:rsidRDefault="002C3E2D" w:rsidP="002C3E2D">
      <w:pPr>
        <w:pStyle w:val="DHbullet"/>
        <w:numPr>
          <w:ilvl w:val="0"/>
          <w:numId w:val="9"/>
        </w:numPr>
        <w:tabs>
          <w:tab w:val="clear" w:pos="720"/>
          <w:tab w:val="num" w:pos="1276"/>
        </w:tabs>
        <w:ind w:left="1276" w:hanging="425"/>
        <w:rPr>
          <w:lang w:val="en-US"/>
        </w:rPr>
      </w:pPr>
      <w:r w:rsidRPr="00BC46FB">
        <w:rPr>
          <w:lang w:val="en-US"/>
        </w:rPr>
        <w:t>Staff policies relating to clinical requirements, credentialing, orientation and training; and</w:t>
      </w:r>
    </w:p>
    <w:p w:rsidR="002C3E2D" w:rsidRPr="002C3E2D" w:rsidRDefault="002C3E2D" w:rsidP="002C3E2D">
      <w:pPr>
        <w:pStyle w:val="DHbullet"/>
        <w:numPr>
          <w:ilvl w:val="0"/>
          <w:numId w:val="9"/>
        </w:numPr>
        <w:tabs>
          <w:tab w:val="clear" w:pos="720"/>
          <w:tab w:val="num" w:pos="1276"/>
        </w:tabs>
        <w:ind w:left="1276" w:hanging="425"/>
        <w:rPr>
          <w:lang w:val="en-US"/>
        </w:rPr>
      </w:pPr>
      <w:r w:rsidRPr="00BC46FB">
        <w:rPr>
          <w:lang w:val="en-US"/>
        </w:rPr>
        <w:t>Details of the staff profile for each of the types of services (low, medium or high acuity) that you propose to provide.</w:t>
      </w:r>
    </w:p>
    <w:p w:rsidR="002C3E2D" w:rsidRDefault="002C3E2D" w:rsidP="002C3E2D">
      <w:pPr>
        <w:pStyle w:val="DHbody"/>
      </w:pPr>
    </w:p>
    <w:p w:rsidR="00C45BC1" w:rsidRDefault="00C45BC1" w:rsidP="00C45BC1">
      <w:pPr>
        <w:pStyle w:val="Heading3"/>
        <w:tabs>
          <w:tab w:val="left" w:pos="851"/>
        </w:tabs>
      </w:pPr>
      <w:r>
        <w:t>5.</w:t>
      </w:r>
      <w:r>
        <w:tab/>
        <w:t>Change of Name</w:t>
      </w:r>
    </w:p>
    <w:p w:rsidR="00C45BC1" w:rsidRDefault="00C45BC1" w:rsidP="00C45BC1">
      <w:pPr>
        <w:pStyle w:val="DHHSbody"/>
        <w:tabs>
          <w:tab w:val="left" w:pos="851"/>
        </w:tabs>
        <w:ind w:left="851" w:hanging="851"/>
        <w:rPr>
          <w:rFonts w:cs="Arial"/>
          <w:b/>
          <w:bCs/>
        </w:rPr>
      </w:pPr>
      <w:r>
        <w:rPr>
          <w:noProof/>
          <w:lang w:eastAsia="en-AU"/>
        </w:rPr>
        <w:drawing>
          <wp:anchor distT="0" distB="0" distL="114300" distR="114300" simplePos="0" relativeHeight="251681280" behindDoc="0" locked="0" layoutInCell="1" allowOverlap="1" wp14:anchorId="44C8012F" wp14:editId="47E238EC">
            <wp:simplePos x="0" y="0"/>
            <wp:positionH relativeFrom="column">
              <wp:posOffset>0</wp:posOffset>
            </wp:positionH>
            <wp:positionV relativeFrom="paragraph">
              <wp:posOffset>61546</wp:posOffset>
            </wp:positionV>
            <wp:extent cx="442595" cy="18351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65649F">
        <w:t>Provide a copy of the Certificate of Registration of Business Name which can be obtained from Consumer Affairs Victo</w:t>
      </w:r>
      <w:r>
        <w:t>ria for the new name of the NEPT Service.</w:t>
      </w:r>
    </w:p>
    <w:p w:rsidR="00C45BC1" w:rsidRDefault="00C45BC1" w:rsidP="002C3E2D">
      <w:pPr>
        <w:pStyle w:val="DHbody"/>
      </w:pPr>
    </w:p>
    <w:p w:rsidR="000978C6" w:rsidRPr="001B029B" w:rsidRDefault="000978C6" w:rsidP="00C47AC1">
      <w:pPr>
        <w:pStyle w:val="Heading3"/>
        <w:tabs>
          <w:tab w:val="left" w:pos="851"/>
        </w:tabs>
      </w:pPr>
      <w:r>
        <w:t>Accuracy of information</w:t>
      </w:r>
    </w:p>
    <w:p w:rsidR="000978C6" w:rsidRDefault="00C47AC1" w:rsidP="00C47AC1">
      <w:pPr>
        <w:pStyle w:val="DHbody"/>
      </w:pPr>
      <w:r>
        <w:t xml:space="preserve">It is an offence under section 50(b) of the </w:t>
      </w:r>
      <w:r>
        <w:rPr>
          <w:i/>
        </w:rPr>
        <w:t xml:space="preserve">Non-Emergency Patient Transport Act 2003 </w:t>
      </w:r>
      <w:r>
        <w:t>to knowingly make any false or misleading statements in any application to the Secretary made under this Act.</w:t>
      </w:r>
    </w:p>
    <w:p w:rsidR="00C47AC1" w:rsidRDefault="00C47AC1" w:rsidP="00C47AC1">
      <w:pPr>
        <w:pStyle w:val="DHbody"/>
      </w:pPr>
    </w:p>
    <w:p w:rsidR="00004110" w:rsidRDefault="00004110" w:rsidP="00C47AC1">
      <w:pPr>
        <w:pStyle w:val="DHbody"/>
      </w:pPr>
    </w:p>
    <w:p w:rsidR="00004110" w:rsidRDefault="00004110" w:rsidP="00C47AC1">
      <w:pPr>
        <w:pStyle w:val="DHbody"/>
      </w:pPr>
    </w:p>
    <w:p w:rsidR="00DB6B01" w:rsidRDefault="00DB6B01" w:rsidP="00C47AC1">
      <w:pPr>
        <w:pStyle w:val="DHbody"/>
      </w:pPr>
    </w:p>
    <w:p w:rsidR="00DB6B01" w:rsidRDefault="00DB6B01" w:rsidP="00C47AC1">
      <w:pPr>
        <w:pStyle w:val="DHbody"/>
      </w:pPr>
    </w:p>
    <w:p w:rsidR="00DB6B01" w:rsidRDefault="00DB6B01" w:rsidP="00C47AC1">
      <w:pPr>
        <w:pStyle w:val="DHbody"/>
      </w:pPr>
    </w:p>
    <w:p w:rsidR="00DB6B01" w:rsidRDefault="00DB6B01" w:rsidP="00DB6B01">
      <w:pPr>
        <w:pStyle w:val="Heading2"/>
      </w:pPr>
      <w:r>
        <w:lastRenderedPageBreak/>
        <w:t xml:space="preserve">Applications for </w:t>
      </w:r>
      <w:r>
        <w:rPr>
          <w:i/>
        </w:rPr>
        <w:t>transfer</w:t>
      </w:r>
      <w:r>
        <w:t xml:space="preserve"> of AIP</w:t>
      </w:r>
    </w:p>
    <w:p w:rsidR="00B03AEF" w:rsidRPr="00B03AEF" w:rsidRDefault="00B03AEF" w:rsidP="00B03AEF">
      <w:pPr>
        <w:pStyle w:val="DHHSbody"/>
      </w:pPr>
      <w:r>
        <w:t>The following documents must be provided by the person you are proposing to transfer the Certificate of AIP to (that is, the incoming Certificate holder).</w:t>
      </w:r>
    </w:p>
    <w:p w:rsidR="00190872" w:rsidRPr="00D848A5" w:rsidRDefault="00B03AEF" w:rsidP="00190872">
      <w:pPr>
        <w:pStyle w:val="Heading3"/>
        <w:tabs>
          <w:tab w:val="left" w:pos="851"/>
        </w:tabs>
      </w:pPr>
      <w:r>
        <w:t>6</w:t>
      </w:r>
      <w:r w:rsidR="00190872">
        <w:t>.</w:t>
      </w:r>
      <w:r w:rsidR="00190872">
        <w:tab/>
        <w:t>Fitness and propriety</w:t>
      </w:r>
    </w:p>
    <w:p w:rsidR="00190872" w:rsidRDefault="00190872" w:rsidP="00190872">
      <w:pPr>
        <w:pStyle w:val="DHHSbody"/>
      </w:pPr>
      <w:r w:rsidRPr="0065649F">
        <w:t xml:space="preserve">The </w:t>
      </w:r>
      <w:r>
        <w:t xml:space="preserve">NEPT </w:t>
      </w:r>
      <w:r w:rsidRPr="0065649F">
        <w:rPr>
          <w:iCs/>
        </w:rPr>
        <w:t>Act</w:t>
      </w:r>
      <w:r w:rsidRPr="0065649F">
        <w:rPr>
          <w:i/>
        </w:rPr>
        <w:t xml:space="preserve"> </w:t>
      </w:r>
      <w:r w:rsidRPr="0065649F">
        <w:t xml:space="preserve">requires </w:t>
      </w:r>
      <w:r>
        <w:t xml:space="preserve">that </w:t>
      </w:r>
      <w:r w:rsidRPr="0065649F">
        <w:t>the Department ensure</w:t>
      </w:r>
      <w:r>
        <w:t>s</w:t>
      </w:r>
      <w:r w:rsidRPr="0065649F">
        <w:t xml:space="preserve"> </w:t>
      </w:r>
      <w:r>
        <w:t>that the proposed licence holder</w:t>
      </w:r>
      <w:r w:rsidRPr="0065649F">
        <w:t xml:space="preserve"> </w:t>
      </w:r>
      <w:r>
        <w:t>is</w:t>
      </w:r>
      <w:r w:rsidRPr="0065649F">
        <w:t xml:space="preserve"> </w:t>
      </w:r>
      <w:r>
        <w:t xml:space="preserve">a </w:t>
      </w:r>
      <w:r w:rsidRPr="0065649F">
        <w:t xml:space="preserve">fit and proper </w:t>
      </w:r>
      <w:r>
        <w:t xml:space="preserve">person </w:t>
      </w:r>
      <w:r w:rsidRPr="0065649F">
        <w:t xml:space="preserve">to operate </w:t>
      </w:r>
      <w:r>
        <w:t>a</w:t>
      </w:r>
      <w:r w:rsidRPr="0065649F">
        <w:t xml:space="preserve"> </w:t>
      </w:r>
      <w:r>
        <w:t>NEPT service</w:t>
      </w:r>
      <w:r w:rsidRPr="0065649F">
        <w:t xml:space="preserve">. The following documents must be </w:t>
      </w:r>
      <w:r>
        <w:t>provided</w:t>
      </w:r>
      <w:r w:rsidRPr="0065649F">
        <w:t xml:space="preserve"> for the person or entity who is proposed to be the </w:t>
      </w:r>
      <w:r>
        <w:t>licence holder.</w:t>
      </w:r>
    </w:p>
    <w:p w:rsidR="00190872" w:rsidRDefault="00190872" w:rsidP="00190872">
      <w:pPr>
        <w:pStyle w:val="DHbody"/>
        <w:tabs>
          <w:tab w:val="left" w:pos="851"/>
        </w:tabs>
        <w:jc w:val="both"/>
      </w:pPr>
      <w:r>
        <w:rPr>
          <w:noProof/>
          <w:lang w:eastAsia="en-AU"/>
        </w:rPr>
        <w:drawing>
          <wp:anchor distT="0" distB="0" distL="114300" distR="114300" simplePos="0" relativeHeight="251683328" behindDoc="0" locked="0" layoutInCell="1" allowOverlap="1" wp14:anchorId="587050D2" wp14:editId="67D962BA">
            <wp:simplePos x="0" y="0"/>
            <wp:positionH relativeFrom="margin">
              <wp:align>left</wp:align>
            </wp:positionH>
            <wp:positionV relativeFrom="paragraph">
              <wp:posOffset>17975</wp:posOffset>
            </wp:positionV>
            <wp:extent cx="442595" cy="18351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65649F">
        <w:t>The following table sets out the documents to be included:</w:t>
      </w:r>
    </w:p>
    <w:p w:rsidR="00190872" w:rsidRPr="0065649F" w:rsidRDefault="00190872" w:rsidP="00190872">
      <w:pPr>
        <w:pStyle w:val="DHbody"/>
        <w:jc w:val="both"/>
      </w:pPr>
    </w:p>
    <w:tbl>
      <w:tblPr>
        <w:tblW w:w="977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81"/>
        <w:gridCol w:w="3406"/>
        <w:gridCol w:w="3587"/>
      </w:tblGrid>
      <w:tr w:rsidR="00190872" w:rsidRPr="0065649F" w:rsidTr="006A481B">
        <w:tc>
          <w:tcPr>
            <w:tcW w:w="2781" w:type="dxa"/>
            <w:shd w:val="pct12" w:color="auto" w:fill="auto"/>
          </w:tcPr>
          <w:p w:rsidR="00190872" w:rsidRPr="0065649F" w:rsidRDefault="00190872" w:rsidP="006A481B">
            <w:pPr>
              <w:pStyle w:val="DHHStablecolhead"/>
            </w:pPr>
            <w:r w:rsidRPr="0065649F">
              <w:t>A. Natural Person (including Partnership)</w:t>
            </w:r>
          </w:p>
        </w:tc>
        <w:tc>
          <w:tcPr>
            <w:tcW w:w="3406" w:type="dxa"/>
            <w:shd w:val="pct12" w:color="auto" w:fill="auto"/>
          </w:tcPr>
          <w:p w:rsidR="00190872" w:rsidRPr="0065649F" w:rsidRDefault="00190872" w:rsidP="006A481B">
            <w:pPr>
              <w:pStyle w:val="DHHStablecolhead"/>
            </w:pPr>
            <w:r w:rsidRPr="0065649F">
              <w:t>B. Company</w:t>
            </w:r>
          </w:p>
        </w:tc>
        <w:tc>
          <w:tcPr>
            <w:tcW w:w="3587" w:type="dxa"/>
            <w:shd w:val="pct12" w:color="auto" w:fill="auto"/>
          </w:tcPr>
          <w:p w:rsidR="00190872" w:rsidRPr="0065649F" w:rsidRDefault="00190872" w:rsidP="006A481B">
            <w:pPr>
              <w:pStyle w:val="DHHStablecolhead"/>
            </w:pPr>
            <w:r w:rsidRPr="0065649F">
              <w:t>C. Incorporated Association  or Other Body Corporate</w:t>
            </w:r>
          </w:p>
        </w:tc>
      </w:tr>
      <w:tr w:rsidR="00190872" w:rsidRPr="0065649F" w:rsidTr="006A481B">
        <w:tc>
          <w:tcPr>
            <w:tcW w:w="2781" w:type="dxa"/>
            <w:vMerge w:val="restart"/>
          </w:tcPr>
          <w:p w:rsidR="00190872" w:rsidRPr="0065649F" w:rsidRDefault="00190872" w:rsidP="006A481B">
            <w:pPr>
              <w:pStyle w:val="DHbody"/>
            </w:pPr>
            <w:r w:rsidRPr="0065649F">
              <w:t>Name of each person, residential address and contact telephone number(s) during business hours.</w:t>
            </w:r>
          </w:p>
        </w:tc>
        <w:tc>
          <w:tcPr>
            <w:tcW w:w="3406" w:type="dxa"/>
          </w:tcPr>
          <w:p w:rsidR="00190872" w:rsidRPr="0065649F" w:rsidRDefault="00190872" w:rsidP="006A481B">
            <w:pPr>
              <w:pStyle w:val="DHbody"/>
            </w:pPr>
            <w:r w:rsidRPr="0065649F">
              <w:t>Name, address and telephone number of the registered company office.</w:t>
            </w:r>
          </w:p>
        </w:tc>
        <w:tc>
          <w:tcPr>
            <w:tcW w:w="3587" w:type="dxa"/>
          </w:tcPr>
          <w:p w:rsidR="00190872" w:rsidRPr="0065649F" w:rsidRDefault="00190872" w:rsidP="006A481B">
            <w:pPr>
              <w:pStyle w:val="DHbody"/>
            </w:pPr>
            <w:r w:rsidRPr="0065649F">
              <w:t>Name, address and telephone number of the registered office of the incorporated association or body corporate.</w:t>
            </w:r>
          </w:p>
        </w:tc>
      </w:tr>
      <w:tr w:rsidR="00190872" w:rsidRPr="0065649F" w:rsidTr="006A481B">
        <w:tc>
          <w:tcPr>
            <w:tcW w:w="2781" w:type="dxa"/>
            <w:vMerge/>
          </w:tcPr>
          <w:p w:rsidR="00190872" w:rsidRPr="0065649F" w:rsidRDefault="00190872" w:rsidP="006A481B">
            <w:pPr>
              <w:pStyle w:val="DHbody"/>
            </w:pPr>
          </w:p>
        </w:tc>
        <w:tc>
          <w:tcPr>
            <w:tcW w:w="3406" w:type="dxa"/>
          </w:tcPr>
          <w:p w:rsidR="00190872" w:rsidRPr="0065649F" w:rsidRDefault="00190872" w:rsidP="006A481B">
            <w:pPr>
              <w:pStyle w:val="DHbody"/>
            </w:pPr>
            <w:r w:rsidRPr="0065649F">
              <w:t>An Australian Securities and Investments Commission (ASIC) company extract searc</w:t>
            </w:r>
            <w:r>
              <w:t>h obtained with the previous one</w:t>
            </w:r>
            <w:r w:rsidRPr="0065649F">
              <w:t xml:space="preserve"> month </w:t>
            </w:r>
            <w:r>
              <w:t xml:space="preserve">of making an application, </w:t>
            </w:r>
            <w:r w:rsidRPr="0065649F">
              <w:t>as evidence of the status of the company.</w:t>
            </w:r>
          </w:p>
        </w:tc>
        <w:tc>
          <w:tcPr>
            <w:tcW w:w="3587" w:type="dxa"/>
          </w:tcPr>
          <w:p w:rsidR="00190872" w:rsidRPr="0065649F" w:rsidRDefault="00190872" w:rsidP="006A481B">
            <w:pPr>
              <w:pStyle w:val="DHbody"/>
            </w:pPr>
            <w:r w:rsidRPr="0065649F">
              <w:t xml:space="preserve">Certificate of Incorporation or other document as evidence of the status of the incorporated association or body corporate. </w:t>
            </w:r>
          </w:p>
        </w:tc>
      </w:tr>
      <w:tr w:rsidR="00190872" w:rsidRPr="0065649F" w:rsidTr="006A481B">
        <w:tc>
          <w:tcPr>
            <w:tcW w:w="2781" w:type="dxa"/>
            <w:vMerge/>
          </w:tcPr>
          <w:p w:rsidR="00190872" w:rsidRPr="0065649F" w:rsidRDefault="00190872" w:rsidP="006A481B">
            <w:pPr>
              <w:pStyle w:val="DHbody"/>
            </w:pPr>
          </w:p>
        </w:tc>
        <w:tc>
          <w:tcPr>
            <w:tcW w:w="3406" w:type="dxa"/>
          </w:tcPr>
          <w:p w:rsidR="00190872" w:rsidRPr="0065649F" w:rsidRDefault="00190872" w:rsidP="006A481B">
            <w:pPr>
              <w:pStyle w:val="DHbody"/>
            </w:pPr>
            <w:r w:rsidRPr="0065649F">
              <w:t>The names of each of the directors (see attached form).</w:t>
            </w:r>
          </w:p>
        </w:tc>
        <w:tc>
          <w:tcPr>
            <w:tcW w:w="3587" w:type="dxa"/>
          </w:tcPr>
          <w:p w:rsidR="00190872" w:rsidRPr="0065649F" w:rsidRDefault="00190872" w:rsidP="006A481B">
            <w:pPr>
              <w:pStyle w:val="DHbody"/>
            </w:pPr>
            <w:r w:rsidRPr="0065649F">
              <w:t>The most recent Annual Report or Annual Return.</w:t>
            </w:r>
          </w:p>
        </w:tc>
      </w:tr>
      <w:tr w:rsidR="00190872" w:rsidRPr="0065649F" w:rsidTr="006A481B">
        <w:tc>
          <w:tcPr>
            <w:tcW w:w="2781" w:type="dxa"/>
            <w:vMerge/>
          </w:tcPr>
          <w:p w:rsidR="00190872" w:rsidRPr="0065649F" w:rsidRDefault="00190872" w:rsidP="006A481B">
            <w:pPr>
              <w:pStyle w:val="DHbody"/>
            </w:pPr>
          </w:p>
        </w:tc>
        <w:tc>
          <w:tcPr>
            <w:tcW w:w="3406" w:type="dxa"/>
          </w:tcPr>
          <w:p w:rsidR="00190872" w:rsidRPr="0065649F" w:rsidRDefault="00190872" w:rsidP="006A481B">
            <w:pPr>
              <w:pStyle w:val="DHbody"/>
            </w:pPr>
            <w:r w:rsidRPr="0065649F">
              <w:t>Where the company is a subsidiary, provide a complete company structure chart.</w:t>
            </w:r>
          </w:p>
        </w:tc>
        <w:tc>
          <w:tcPr>
            <w:tcW w:w="3587" w:type="dxa"/>
          </w:tcPr>
          <w:p w:rsidR="00190872" w:rsidRPr="0065649F" w:rsidRDefault="00190872" w:rsidP="006A481B">
            <w:pPr>
              <w:pStyle w:val="DHbody"/>
            </w:pPr>
            <w:r w:rsidRPr="0065649F">
              <w:t>The names of each of the board/committee members or controlling office bearers and the offices held by each of these persons (see attached form).</w:t>
            </w:r>
          </w:p>
        </w:tc>
      </w:tr>
    </w:tbl>
    <w:p w:rsidR="00190872" w:rsidRDefault="00190872" w:rsidP="00190872">
      <w:pPr>
        <w:pStyle w:val="DHHSbody"/>
      </w:pPr>
    </w:p>
    <w:p w:rsidR="00190872" w:rsidRPr="0065649F" w:rsidRDefault="00190872" w:rsidP="00190872">
      <w:pPr>
        <w:pStyle w:val="DHbody"/>
        <w:tabs>
          <w:tab w:val="left" w:pos="851"/>
        </w:tabs>
        <w:ind w:left="851" w:hanging="851"/>
        <w:rPr>
          <w:color w:val="000000"/>
          <w:highlight w:val="yellow"/>
          <w:lang w:val="en-US"/>
        </w:rPr>
      </w:pPr>
      <w:r>
        <w:rPr>
          <w:noProof/>
          <w:lang w:eastAsia="en-AU"/>
        </w:rPr>
        <w:drawing>
          <wp:anchor distT="0" distB="0" distL="114300" distR="114300" simplePos="0" relativeHeight="251684352" behindDoc="0" locked="0" layoutInCell="1" allowOverlap="1" wp14:anchorId="166FE1B0" wp14:editId="5D31D309">
            <wp:simplePos x="0" y="0"/>
            <wp:positionH relativeFrom="margin">
              <wp:align>left</wp:align>
            </wp:positionH>
            <wp:positionV relativeFrom="paragraph">
              <wp:posOffset>10795</wp:posOffset>
            </wp:positionV>
            <wp:extent cx="442595" cy="1835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65649F">
        <w:t>For each natural person or for each director</w:t>
      </w:r>
      <w:r>
        <w:t xml:space="preserve"> and officer of the body corporate who does or who may exercise control over the NEPT service </w:t>
      </w:r>
      <w:r w:rsidRPr="0065649F">
        <w:t>provide:</w:t>
      </w:r>
    </w:p>
    <w:p w:rsidR="00190872" w:rsidRPr="0065649F" w:rsidRDefault="00190872" w:rsidP="00190872">
      <w:pPr>
        <w:pStyle w:val="DHbullet"/>
        <w:numPr>
          <w:ilvl w:val="0"/>
          <w:numId w:val="9"/>
        </w:numPr>
        <w:tabs>
          <w:tab w:val="clear" w:pos="720"/>
          <w:tab w:val="num" w:pos="1276"/>
        </w:tabs>
        <w:ind w:left="1276" w:hanging="425"/>
        <w:rPr>
          <w:lang w:val="en-US"/>
        </w:rPr>
      </w:pPr>
      <w:r w:rsidRPr="0065649F">
        <w:rPr>
          <w:lang w:val="en-US"/>
        </w:rPr>
        <w:t xml:space="preserve">a completed Statutory Declaration – Fitness and Propriety (see attached form); </w:t>
      </w:r>
    </w:p>
    <w:p w:rsidR="00190872" w:rsidRPr="001A6801" w:rsidRDefault="00190872" w:rsidP="00190872">
      <w:pPr>
        <w:pStyle w:val="DHbullet"/>
        <w:numPr>
          <w:ilvl w:val="0"/>
          <w:numId w:val="9"/>
        </w:numPr>
        <w:tabs>
          <w:tab w:val="clear" w:pos="720"/>
          <w:tab w:val="num" w:pos="1276"/>
        </w:tabs>
        <w:ind w:left="1276" w:hanging="425"/>
        <w:rPr>
          <w:rFonts w:cs="Arial"/>
        </w:rPr>
      </w:pPr>
      <w:r>
        <w:rPr>
          <w:rFonts w:cs="Arial"/>
        </w:rPr>
        <w:t>A N</w:t>
      </w:r>
      <w:r w:rsidRPr="004C2FA5">
        <w:rPr>
          <w:rFonts w:cs="Arial"/>
        </w:rPr>
        <w:t xml:space="preserve">ational </w:t>
      </w:r>
      <w:r w:rsidRPr="004C2FA5">
        <w:rPr>
          <w:rFonts w:cs="Arial"/>
          <w:lang w:val="en-US"/>
        </w:rPr>
        <w:t>Police</w:t>
      </w:r>
      <w:r w:rsidRPr="004C2FA5">
        <w:rPr>
          <w:rFonts w:cs="Arial"/>
        </w:rPr>
        <w:t xml:space="preserve"> </w:t>
      </w:r>
      <w:r>
        <w:rPr>
          <w:rFonts w:cs="Arial"/>
        </w:rPr>
        <w:t>C</w:t>
      </w:r>
      <w:r w:rsidRPr="004C2FA5">
        <w:rPr>
          <w:rFonts w:cs="Arial"/>
        </w:rPr>
        <w:t>ertificate</w:t>
      </w:r>
      <w:r>
        <w:rPr>
          <w:rFonts w:cs="Arial"/>
        </w:rPr>
        <w:t xml:space="preserve"> (either an original or a certified copy)</w:t>
      </w:r>
      <w:r w:rsidRPr="004C2FA5">
        <w:rPr>
          <w:rFonts w:cs="Arial"/>
        </w:rPr>
        <w:t xml:space="preserve"> issued within the past 6 months.</w:t>
      </w:r>
      <w:r>
        <w:rPr>
          <w:rFonts w:cs="Arial"/>
        </w:rPr>
        <w:t>*</w:t>
      </w:r>
      <w:r w:rsidRPr="004C2FA5">
        <w:rPr>
          <w:rFonts w:cs="Arial"/>
        </w:rPr>
        <w:t xml:space="preserve"> Online applications can be downloaded from</w:t>
      </w:r>
      <w:r w:rsidRPr="004C2FA5">
        <w:rPr>
          <w:rFonts w:cs="Arial"/>
          <w:b/>
        </w:rPr>
        <w:t xml:space="preserve"> </w:t>
      </w:r>
      <w:r w:rsidRPr="001A6801">
        <w:rPr>
          <w:rFonts w:cs="Arial"/>
        </w:rPr>
        <w:t>the</w:t>
      </w:r>
      <w:r>
        <w:rPr>
          <w:rFonts w:cs="Arial"/>
          <w:b/>
        </w:rPr>
        <w:t xml:space="preserve"> </w:t>
      </w:r>
      <w:hyperlink r:id="rId13" w:history="1">
        <w:r w:rsidRPr="001A6801">
          <w:rPr>
            <w:rStyle w:val="Hyperlink"/>
            <w:rFonts w:cs="Arial"/>
            <w:b/>
          </w:rPr>
          <w:t>Victoria Police website</w:t>
        </w:r>
      </w:hyperlink>
      <w:r>
        <w:rPr>
          <w:rFonts w:cs="Arial"/>
          <w:b/>
        </w:rPr>
        <w:t>.</w:t>
      </w:r>
    </w:p>
    <w:p w:rsidR="00190872" w:rsidRDefault="00190872" w:rsidP="00190872">
      <w:pPr>
        <w:pStyle w:val="DHbullet"/>
        <w:numPr>
          <w:ilvl w:val="0"/>
          <w:numId w:val="0"/>
        </w:numPr>
        <w:ind w:left="1276"/>
        <w:rPr>
          <w:b/>
        </w:rPr>
      </w:pPr>
      <w:r w:rsidRPr="004C2FA5">
        <w:rPr>
          <w:rFonts w:cs="Arial"/>
        </w:rPr>
        <w:t xml:space="preserve">Complete </w:t>
      </w:r>
      <w:r>
        <w:rPr>
          <w:rFonts w:cs="Arial"/>
        </w:rPr>
        <w:t xml:space="preserve">the </w:t>
      </w:r>
      <w:r w:rsidRPr="004C2FA5">
        <w:rPr>
          <w:rFonts w:cs="Arial"/>
        </w:rPr>
        <w:t>form and send directly to Victoria Police. Please forward the original certificate to the Department (it will be copied and returned to you).</w:t>
      </w:r>
      <w:r>
        <w:rPr>
          <w:rFonts w:cs="Arial"/>
        </w:rPr>
        <w:t xml:space="preserve"> </w:t>
      </w:r>
      <w:r w:rsidRPr="00D848A5">
        <w:rPr>
          <w:b/>
        </w:rPr>
        <w:t xml:space="preserve">Please do not forward the application form </w:t>
      </w:r>
      <w:r>
        <w:rPr>
          <w:b/>
        </w:rPr>
        <w:t xml:space="preserve">for the police check </w:t>
      </w:r>
      <w:r w:rsidRPr="00D848A5">
        <w:rPr>
          <w:b/>
        </w:rPr>
        <w:t>to the Department.</w:t>
      </w:r>
    </w:p>
    <w:p w:rsidR="00190872" w:rsidRPr="00330493" w:rsidRDefault="00190872" w:rsidP="00190872">
      <w:pPr>
        <w:pStyle w:val="DHbullet"/>
        <w:numPr>
          <w:ilvl w:val="0"/>
          <w:numId w:val="0"/>
        </w:numPr>
        <w:ind w:left="720"/>
        <w:rPr>
          <w:rFonts w:cs="Arial"/>
        </w:rPr>
      </w:pPr>
    </w:p>
    <w:p w:rsidR="00190872" w:rsidRPr="00FE49F6" w:rsidRDefault="00D412F4" w:rsidP="00190872">
      <w:pPr>
        <w:pStyle w:val="Heading3"/>
        <w:tabs>
          <w:tab w:val="left" w:pos="851"/>
        </w:tabs>
      </w:pPr>
      <w:r>
        <w:t>7</w:t>
      </w:r>
      <w:r w:rsidR="00190872">
        <w:t>.</w:t>
      </w:r>
      <w:r w:rsidR="00190872">
        <w:tab/>
      </w:r>
      <w:r w:rsidR="00190872" w:rsidRPr="00FE49F6">
        <w:t>Financial capacity</w:t>
      </w:r>
    </w:p>
    <w:p w:rsidR="00190872" w:rsidRPr="004C2FA5" w:rsidRDefault="00190872" w:rsidP="00190872">
      <w:pPr>
        <w:pStyle w:val="DHHSbody"/>
      </w:pPr>
      <w:r>
        <w:t xml:space="preserve">The NEPT Act requires that the Department consider whether persons are of sound financial reputation and stable financial background. </w:t>
      </w:r>
      <w:r w:rsidRPr="004C2FA5">
        <w:t xml:space="preserve">Please arrange for an appropriately qualified independent certified practicing accountant (CPA) or associate chartered accountant (ACA) to review the proposed </w:t>
      </w:r>
      <w:r w:rsidR="00D412F4">
        <w:t>certificate</w:t>
      </w:r>
      <w:r>
        <w:t xml:space="preserve"> holder</w:t>
      </w:r>
      <w:r w:rsidRPr="004C2FA5">
        <w:t>’s financial situation and its capacity to develop the NEPT service</w:t>
      </w:r>
      <w:r>
        <w:t>,</w:t>
      </w:r>
      <w:r w:rsidRPr="004C2FA5">
        <w:t xml:space="preserve"> and complete the relevant form.</w:t>
      </w:r>
    </w:p>
    <w:p w:rsidR="00190872" w:rsidRPr="0065649F" w:rsidRDefault="00D412F4" w:rsidP="00190872">
      <w:pPr>
        <w:pStyle w:val="Heading3"/>
        <w:tabs>
          <w:tab w:val="left" w:pos="851"/>
        </w:tabs>
      </w:pPr>
      <w:r>
        <w:lastRenderedPageBreak/>
        <w:t>8.</w:t>
      </w:r>
      <w:r w:rsidR="00190872">
        <w:tab/>
      </w:r>
      <w:r w:rsidR="00190872" w:rsidRPr="0065649F">
        <w:t>Business name extract</w:t>
      </w:r>
    </w:p>
    <w:p w:rsidR="00190872" w:rsidRDefault="00190872" w:rsidP="00190872">
      <w:pPr>
        <w:pStyle w:val="DHHSbody"/>
        <w:tabs>
          <w:tab w:val="left" w:pos="851"/>
        </w:tabs>
        <w:ind w:left="851" w:hanging="851"/>
        <w:rPr>
          <w:rFonts w:cs="Arial"/>
          <w:b/>
          <w:bCs/>
        </w:rPr>
      </w:pPr>
      <w:r>
        <w:rPr>
          <w:noProof/>
          <w:lang w:eastAsia="en-AU"/>
        </w:rPr>
        <w:drawing>
          <wp:anchor distT="0" distB="0" distL="114300" distR="114300" simplePos="0" relativeHeight="251685376" behindDoc="0" locked="0" layoutInCell="1" allowOverlap="1" wp14:anchorId="5B79DFA7" wp14:editId="6D85EC45">
            <wp:simplePos x="0" y="0"/>
            <wp:positionH relativeFrom="column">
              <wp:posOffset>0</wp:posOffset>
            </wp:positionH>
            <wp:positionV relativeFrom="paragraph">
              <wp:posOffset>61546</wp:posOffset>
            </wp:positionV>
            <wp:extent cx="442595" cy="1835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65649F">
        <w:t>Provide a copy of the Certificate of Registration of Business Name which can be obtained from Consumer Affairs Victo</w:t>
      </w:r>
      <w:r>
        <w:t>ria for the proposed name of the NEPT Service</w:t>
      </w:r>
      <w:r w:rsidR="00D412F4">
        <w:t xml:space="preserve"> if it is proposed to change the name from what is already listed on the Certificate of AIP</w:t>
      </w:r>
      <w:r>
        <w:t xml:space="preserve">. </w:t>
      </w:r>
    </w:p>
    <w:p w:rsidR="00DB6B01" w:rsidRDefault="00DB6B01" w:rsidP="00C47AC1">
      <w:pPr>
        <w:pStyle w:val="DHbody"/>
      </w:pPr>
    </w:p>
    <w:p w:rsidR="00D412F4" w:rsidRPr="001B029B" w:rsidRDefault="00D412F4" w:rsidP="00D412F4">
      <w:pPr>
        <w:pStyle w:val="Heading3"/>
        <w:tabs>
          <w:tab w:val="left" w:pos="851"/>
        </w:tabs>
      </w:pPr>
      <w:r>
        <w:t>Accuracy of information</w:t>
      </w:r>
    </w:p>
    <w:p w:rsidR="00D412F4" w:rsidRDefault="00D412F4" w:rsidP="00D412F4">
      <w:pPr>
        <w:pStyle w:val="DHbody"/>
      </w:pPr>
      <w:r>
        <w:t xml:space="preserve">It is an offence under section 50(b) of the </w:t>
      </w:r>
      <w:r>
        <w:rPr>
          <w:i/>
        </w:rPr>
        <w:t xml:space="preserve">Non-Emergency Patient Transport Act 2003 </w:t>
      </w:r>
      <w:r>
        <w:t>to knowingly make any false or misleading statements in any application to the Secretary made under this Act.</w:t>
      </w:r>
    </w:p>
    <w:p w:rsidR="00DB6B01" w:rsidRDefault="00DB6B01" w:rsidP="00C47AC1">
      <w:pPr>
        <w:pStyle w:val="DHbody"/>
      </w:pPr>
    </w:p>
    <w:p w:rsidR="000978C6" w:rsidRPr="006F0F4E" w:rsidRDefault="000978C6" w:rsidP="006345A2">
      <w:pPr>
        <w:pStyle w:val="Heading2"/>
      </w:pPr>
      <w:r w:rsidRPr="006F0F4E">
        <w:t>What happens after an application is made?</w:t>
      </w:r>
    </w:p>
    <w:p w:rsidR="000978C6" w:rsidRDefault="000978C6" w:rsidP="006345A2">
      <w:pPr>
        <w:pStyle w:val="DHHSbody"/>
        <w:rPr>
          <w:rFonts w:cs="Arial"/>
        </w:rPr>
      </w:pPr>
      <w:r>
        <w:t>An Officer</w:t>
      </w:r>
      <w:r w:rsidRPr="006F0F4E">
        <w:t xml:space="preserve"> </w:t>
      </w:r>
      <w:r>
        <w:t xml:space="preserve">from the Private Hospitals </w:t>
      </w:r>
      <w:r w:rsidR="00162E48">
        <w:t>Branch</w:t>
      </w:r>
      <w:r>
        <w:t xml:space="preserve"> </w:t>
      </w:r>
      <w:r w:rsidRPr="006F0F4E">
        <w:t xml:space="preserve">will contact your organisation to </w:t>
      </w:r>
      <w:r>
        <w:t>request any further information or clarification of information that has been provided.</w:t>
      </w:r>
      <w:r w:rsidR="00675745">
        <w:t xml:space="preserve"> </w:t>
      </w:r>
    </w:p>
    <w:p w:rsidR="000978C6" w:rsidRPr="00D0255C" w:rsidRDefault="000978C6" w:rsidP="006345A2">
      <w:pPr>
        <w:pStyle w:val="Heading3"/>
      </w:pPr>
      <w:r>
        <w:t>Timeframes</w:t>
      </w:r>
    </w:p>
    <w:p w:rsidR="000978C6" w:rsidRPr="0065649F" w:rsidRDefault="000978C6" w:rsidP="006345A2">
      <w:pPr>
        <w:pStyle w:val="DHHSbody"/>
      </w:pPr>
      <w:r w:rsidRPr="0065649F">
        <w:t xml:space="preserve">The Secretary (or </w:t>
      </w:r>
      <w:r>
        <w:t>D</w:t>
      </w:r>
      <w:r w:rsidRPr="0065649F">
        <w:t>elegate) has 60 days after receiving a</w:t>
      </w:r>
      <w:r>
        <w:t>n</w:t>
      </w:r>
      <w:r w:rsidRPr="0065649F">
        <w:t xml:space="preserve"> application</w:t>
      </w:r>
      <w:r>
        <w:t xml:space="preserve"> (comprising the Schedule 4 form and the prescribed fee)</w:t>
      </w:r>
      <w:r w:rsidRPr="0065649F">
        <w:t xml:space="preserve"> to inform the applicant of a d</w:t>
      </w:r>
      <w:r>
        <w:t>ecision.  If the Secretary (or D</w:t>
      </w:r>
      <w:r w:rsidRPr="0065649F">
        <w:t xml:space="preserve">elegate) requests the applicant to </w:t>
      </w:r>
      <w:r>
        <w:t xml:space="preserve">provide </w:t>
      </w:r>
      <w:r w:rsidRPr="0065649F">
        <w:t xml:space="preserve">additional information, a decision must be made within 28 days </w:t>
      </w:r>
      <w:r>
        <w:t>of receipt of the</w:t>
      </w:r>
      <w:r w:rsidRPr="0065649F">
        <w:t xml:space="preserve"> information last requested or within the 60 day period, whichever is later.  </w:t>
      </w:r>
      <w:r>
        <w:t>Applicants should keep these timeframes</w:t>
      </w:r>
      <w:r w:rsidRPr="0065649F">
        <w:t xml:space="preserve"> in mind when submitting an application for </w:t>
      </w:r>
      <w:r>
        <w:t>AIP</w:t>
      </w:r>
      <w:r w:rsidRPr="0065649F">
        <w:t>.</w:t>
      </w:r>
    </w:p>
    <w:p w:rsidR="0087396B" w:rsidRPr="006F0F4E" w:rsidRDefault="0087396B" w:rsidP="0087396B">
      <w:pPr>
        <w:pStyle w:val="Heading3"/>
      </w:pPr>
      <w:r>
        <w:t>Endorsement of Certificate of AIP</w:t>
      </w:r>
    </w:p>
    <w:p w:rsidR="0087396B" w:rsidRPr="00CB159B" w:rsidRDefault="0087396B" w:rsidP="0087396B">
      <w:pPr>
        <w:pStyle w:val="DHHSbody"/>
      </w:pPr>
      <w:r>
        <w:t>If the Secretary (or Delegate) approves the application, the person who holds</w:t>
      </w:r>
      <w:r w:rsidRPr="00293EF6">
        <w:t xml:space="preserve"> the certificate of AIP must produce the certificate to the </w:t>
      </w:r>
      <w:r>
        <w:t>Department</w:t>
      </w:r>
      <w:r w:rsidRPr="00293EF6">
        <w:t xml:space="preserve"> for endorsement </w:t>
      </w:r>
      <w:r>
        <w:t>with</w:t>
      </w:r>
      <w:r w:rsidRPr="00293EF6">
        <w:t xml:space="preserve"> the particulars of the variation or transfer. </w:t>
      </w:r>
      <w:r>
        <w:t>Departmental staff will contact you during the application process to arrange for the return of the original certificate of AIP to the Department for endorsement. The Certificate</w:t>
      </w:r>
      <w:r w:rsidRPr="00CB159B">
        <w:t xml:space="preserve"> will be returned by post after endorsement. </w:t>
      </w:r>
    </w:p>
    <w:p w:rsidR="000978C6" w:rsidRPr="006F0F4E" w:rsidRDefault="000978C6" w:rsidP="006345A2">
      <w:pPr>
        <w:pStyle w:val="Heading3"/>
      </w:pPr>
      <w:r w:rsidRPr="006F0F4E">
        <w:t>Completed application should be sent to:</w:t>
      </w:r>
    </w:p>
    <w:p w:rsidR="000978C6" w:rsidRPr="00D774C8" w:rsidRDefault="000978C6" w:rsidP="00743290">
      <w:pPr>
        <w:pStyle w:val="DHbodynospace"/>
        <w:ind w:left="720"/>
      </w:pPr>
      <w:r w:rsidRPr="00D774C8">
        <w:t>Manager</w:t>
      </w:r>
    </w:p>
    <w:p w:rsidR="000978C6" w:rsidRPr="00D774C8" w:rsidRDefault="000978C6" w:rsidP="00743290">
      <w:pPr>
        <w:pStyle w:val="DHbodynospace"/>
        <w:ind w:left="720"/>
      </w:pPr>
      <w:r w:rsidRPr="00D774C8">
        <w:t>P</w:t>
      </w:r>
      <w:r>
        <w:t xml:space="preserve">rivate Hospitals </w:t>
      </w:r>
      <w:r w:rsidRPr="00D774C8">
        <w:t>Unit</w:t>
      </w:r>
    </w:p>
    <w:p w:rsidR="000978C6" w:rsidRDefault="000978C6" w:rsidP="00743290">
      <w:pPr>
        <w:pStyle w:val="DHbodynospace"/>
        <w:ind w:left="720"/>
      </w:pPr>
      <w:r>
        <w:t>Private Hospitals Branch</w:t>
      </w:r>
    </w:p>
    <w:p w:rsidR="000978C6" w:rsidRDefault="000978C6" w:rsidP="00743290">
      <w:pPr>
        <w:pStyle w:val="DHbodynospace"/>
        <w:ind w:left="720"/>
      </w:pPr>
      <w:r w:rsidRPr="00D774C8">
        <w:t>Department of Health</w:t>
      </w:r>
    </w:p>
    <w:p w:rsidR="000978C6" w:rsidRDefault="000978C6" w:rsidP="00743290">
      <w:pPr>
        <w:pStyle w:val="DHbodynospace"/>
        <w:ind w:left="720"/>
      </w:pPr>
      <w:r w:rsidRPr="00D774C8">
        <w:t>GPO Box 4541</w:t>
      </w:r>
    </w:p>
    <w:p w:rsidR="000978C6" w:rsidRDefault="000978C6" w:rsidP="00743290">
      <w:pPr>
        <w:pStyle w:val="DHbodynospace"/>
        <w:ind w:left="720"/>
      </w:pPr>
      <w:r w:rsidRPr="00D774C8">
        <w:t>MELBOURNE VIC 3001</w:t>
      </w:r>
    </w:p>
    <w:p w:rsidR="000978C6" w:rsidRDefault="000978C6" w:rsidP="00743290">
      <w:pPr>
        <w:pStyle w:val="DHbodynospace"/>
      </w:pPr>
    </w:p>
    <w:p w:rsidR="006345A2" w:rsidRDefault="006345A2" w:rsidP="00743290">
      <w:pPr>
        <w:pStyle w:val="DHbodynospace"/>
      </w:pPr>
    </w:p>
    <w:p w:rsidR="000978C6" w:rsidRDefault="000978C6" w:rsidP="00743290">
      <w:pPr>
        <w:pStyle w:val="DHbody"/>
        <w:jc w:val="both"/>
      </w:pPr>
      <w:r>
        <w:t>I</w:t>
      </w:r>
      <w:r w:rsidRPr="00D774C8">
        <w:t>f you require further information please contact the P</w:t>
      </w:r>
      <w:r>
        <w:t xml:space="preserve">rivate Hospitals </w:t>
      </w:r>
      <w:r w:rsidRPr="00D774C8">
        <w:t xml:space="preserve">Unit on </w:t>
      </w:r>
      <w:r>
        <w:t>+61 (3) 9096 </w:t>
      </w:r>
      <w:r w:rsidRPr="00D774C8">
        <w:t>2164.</w:t>
      </w:r>
    </w:p>
    <w:p w:rsidR="006345A2" w:rsidRDefault="006345A2" w:rsidP="00743290">
      <w:pPr>
        <w:pStyle w:val="DHbody"/>
        <w:jc w:val="both"/>
      </w:pPr>
    </w:p>
    <w:p w:rsidR="006345A2" w:rsidRDefault="006345A2" w:rsidP="00743290">
      <w:pPr>
        <w:pStyle w:val="DHbody"/>
        <w:jc w:val="both"/>
      </w:pPr>
    </w:p>
    <w:p w:rsidR="006345A2" w:rsidRDefault="006345A2" w:rsidP="00743290">
      <w:pPr>
        <w:pStyle w:val="DHbody"/>
        <w:jc w:val="both"/>
      </w:pPr>
    </w:p>
    <w:p w:rsidR="006345A2" w:rsidRDefault="006345A2" w:rsidP="00743290">
      <w:pPr>
        <w:pStyle w:val="DHbody"/>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tblCellMar>
        <w:tblLook w:val="00A0" w:firstRow="1" w:lastRow="0" w:firstColumn="1" w:lastColumn="0" w:noHBand="0" w:noVBand="0"/>
      </w:tblPr>
      <w:tblGrid>
        <w:gridCol w:w="10017"/>
      </w:tblGrid>
      <w:tr w:rsidR="000978C6" w:rsidRPr="006A1664" w:rsidTr="00743290">
        <w:tc>
          <w:tcPr>
            <w:tcW w:w="10017" w:type="dxa"/>
            <w:shd w:val="clear" w:color="auto" w:fill="auto"/>
          </w:tcPr>
          <w:p w:rsidR="000978C6" w:rsidRPr="006A1664" w:rsidRDefault="000978C6" w:rsidP="000978C6">
            <w:pPr>
              <w:pStyle w:val="Healthbody"/>
              <w:rPr>
                <w:rFonts w:cs="Arial"/>
              </w:rPr>
            </w:pPr>
            <w:r w:rsidRPr="006A1664">
              <w:rPr>
                <w:rFonts w:cs="Arial"/>
              </w:rPr>
              <w:t xml:space="preserve">Authorised by the Victorian Government, Melbourne. To receive this publication in an accessible format phone +613 9096 2164 or email </w:t>
            </w:r>
            <w:hyperlink r:id="rId14" w:history="1">
              <w:r w:rsidRPr="006A1664">
                <w:rPr>
                  <w:rStyle w:val="Hyperlink"/>
                  <w:rFonts w:cs="Arial"/>
                </w:rPr>
                <w:t>privatehospitals@health.vic.gov.au</w:t>
              </w:r>
            </w:hyperlink>
          </w:p>
        </w:tc>
      </w:tr>
    </w:tbl>
    <w:p w:rsidR="00B2752E" w:rsidRPr="00906490" w:rsidRDefault="00B2752E" w:rsidP="006345A2">
      <w:pPr>
        <w:pStyle w:val="DHHSbody"/>
      </w:pPr>
    </w:p>
    <w:sectPr w:rsidR="00B2752E" w:rsidRPr="00906490"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31" w:rsidRDefault="006C5B31">
      <w:r>
        <w:separator/>
      </w:r>
    </w:p>
  </w:endnote>
  <w:endnote w:type="continuationSeparator" w:id="0">
    <w:p w:rsidR="006C5B31" w:rsidRDefault="006C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A57C1F" w:rsidP="0051568D">
    <w:pPr>
      <w:pStyle w:val="DHHSfooter"/>
    </w:pPr>
    <w:r>
      <w:rPr>
        <w:noProof/>
        <w:lang w:eastAsia="en-AU"/>
      </w:rPr>
      <w:drawing>
        <wp:anchor distT="0" distB="0" distL="114300" distR="114300" simplePos="0" relativeHeight="251657728" behindDoc="0" locked="1" layoutInCell="0" allowOverlap="1" wp14:anchorId="6152E05C" wp14:editId="4376122C">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87396B" w:rsidP="0051568D">
    <w:pPr>
      <w:pStyle w:val="DHHSfooter"/>
    </w:pPr>
    <w:r>
      <w:t>Gu</w:t>
    </w:r>
    <w:r w:rsidR="00DF44AA">
      <w:t>ide to NEPT AIP transfer or variation</w:t>
    </w:r>
    <w:r w:rsidR="009D70A4" w:rsidRPr="00A11421">
      <w:tab/>
    </w:r>
    <w:r w:rsidR="009D70A4" w:rsidRPr="00A11421">
      <w:fldChar w:fldCharType="begin"/>
    </w:r>
    <w:r w:rsidR="009D70A4" w:rsidRPr="00A11421">
      <w:instrText xml:space="preserve"> PAGE </w:instrText>
    </w:r>
    <w:r w:rsidR="009D70A4" w:rsidRPr="00A11421">
      <w:fldChar w:fldCharType="separate"/>
    </w:r>
    <w:r w:rsidR="004363CB">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31" w:rsidRDefault="006C5B31" w:rsidP="002862F1">
      <w:pPr>
        <w:spacing w:before="120"/>
      </w:pPr>
      <w:r>
        <w:separator/>
      </w:r>
    </w:p>
  </w:footnote>
  <w:footnote w:type="continuationSeparator" w:id="0">
    <w:p w:rsidR="006C5B31" w:rsidRDefault="006C5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53B482C"/>
    <w:multiLevelType w:val="hybridMultilevel"/>
    <w:tmpl w:val="F8DA65F0"/>
    <w:lvl w:ilvl="0" w:tplc="CFA6CB40">
      <w:start w:val="7"/>
      <w:numFmt w:val="decimal"/>
      <w:lvlText w:val="%1."/>
      <w:lvlJc w:val="left"/>
      <w:pPr>
        <w:tabs>
          <w:tab w:val="num" w:pos="36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B8D43DB"/>
    <w:multiLevelType w:val="multilevel"/>
    <w:tmpl w:val="4B4E7622"/>
    <w:numStyleLink w:val="ZZNumbers"/>
  </w:abstractNum>
  <w:abstractNum w:abstractNumId="4">
    <w:nsid w:val="200F0FDA"/>
    <w:multiLevelType w:val="hybridMultilevel"/>
    <w:tmpl w:val="B0506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3F58A4"/>
    <w:multiLevelType w:val="hybridMultilevel"/>
    <w:tmpl w:val="57049A6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5F24154"/>
    <w:multiLevelType w:val="hybridMultilevel"/>
    <w:tmpl w:val="05108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C4303A5"/>
    <w:multiLevelType w:val="multilevel"/>
    <w:tmpl w:val="4B4E7622"/>
    <w:styleLink w:val="ZZNumbers"/>
    <w:lvl w:ilvl="0">
      <w:start w:val="1"/>
      <w:numFmt w:val="decimal"/>
      <w:pStyle w:val="DHbulle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nsid w:val="4A7F2172"/>
    <w:multiLevelType w:val="hybridMultilevel"/>
    <w:tmpl w:val="32B46A6E"/>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5606792D"/>
    <w:multiLevelType w:val="hybridMultilevel"/>
    <w:tmpl w:val="8E6405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0"/>
  </w:num>
  <w:num w:numId="10">
    <w:abstractNumId w:val="5"/>
  </w:num>
  <w:num w:numId="11">
    <w:abstractNumId w:val="4"/>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num>
  <w:num w:numId="22">
    <w:abstractNumId w:val="8"/>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1" w:cryptProviderType="rsaFull" w:cryptAlgorithmClass="hash" w:cryptAlgorithmType="typeAny" w:cryptAlgorithmSid="4" w:cryptSpinCount="100000" w:hash="GBFETXloFK5ThRMKiCFAzg73NAU=" w:salt="MJUCtkDLQKQUJuCrnFVyqA=="/>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31"/>
    <w:rsid w:val="00004110"/>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978C6"/>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62E48"/>
    <w:rsid w:val="001771DD"/>
    <w:rsid w:val="00177995"/>
    <w:rsid w:val="00177A8C"/>
    <w:rsid w:val="00186B33"/>
    <w:rsid w:val="00190872"/>
    <w:rsid w:val="00192F9D"/>
    <w:rsid w:val="00196EB8"/>
    <w:rsid w:val="00196EFB"/>
    <w:rsid w:val="001979FF"/>
    <w:rsid w:val="00197B17"/>
    <w:rsid w:val="001A3ACE"/>
    <w:rsid w:val="001A6801"/>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C3E2D"/>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4618C"/>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363CB"/>
    <w:rsid w:val="00442C6C"/>
    <w:rsid w:val="00443CBE"/>
    <w:rsid w:val="00443E8A"/>
    <w:rsid w:val="004441BC"/>
    <w:rsid w:val="004468B4"/>
    <w:rsid w:val="004472AF"/>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028F"/>
    <w:rsid w:val="00543903"/>
    <w:rsid w:val="00543F11"/>
    <w:rsid w:val="00547A95"/>
    <w:rsid w:val="005653C0"/>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45A2"/>
    <w:rsid w:val="006358B4"/>
    <w:rsid w:val="006419AA"/>
    <w:rsid w:val="00644B7E"/>
    <w:rsid w:val="006454E6"/>
    <w:rsid w:val="00646A68"/>
    <w:rsid w:val="0065092E"/>
    <w:rsid w:val="006557A7"/>
    <w:rsid w:val="00656290"/>
    <w:rsid w:val="006621D7"/>
    <w:rsid w:val="0066302A"/>
    <w:rsid w:val="00665624"/>
    <w:rsid w:val="00670597"/>
    <w:rsid w:val="006706D0"/>
    <w:rsid w:val="00675745"/>
    <w:rsid w:val="00677574"/>
    <w:rsid w:val="0068454C"/>
    <w:rsid w:val="00691B62"/>
    <w:rsid w:val="006933B5"/>
    <w:rsid w:val="00693D14"/>
    <w:rsid w:val="006A18C2"/>
    <w:rsid w:val="006B077C"/>
    <w:rsid w:val="006B6803"/>
    <w:rsid w:val="006C5B31"/>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7F4"/>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2353E"/>
    <w:rsid w:val="008338A2"/>
    <w:rsid w:val="00841AA9"/>
    <w:rsid w:val="00853EE4"/>
    <w:rsid w:val="00855535"/>
    <w:rsid w:val="0086255E"/>
    <w:rsid w:val="008633F0"/>
    <w:rsid w:val="00867D9D"/>
    <w:rsid w:val="00872E0A"/>
    <w:rsid w:val="0087396B"/>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84E"/>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349BC"/>
    <w:rsid w:val="00A44882"/>
    <w:rsid w:val="00A522A2"/>
    <w:rsid w:val="00A54715"/>
    <w:rsid w:val="00A57C1F"/>
    <w:rsid w:val="00A6061C"/>
    <w:rsid w:val="00A62D44"/>
    <w:rsid w:val="00A67263"/>
    <w:rsid w:val="00A7161C"/>
    <w:rsid w:val="00A77AA3"/>
    <w:rsid w:val="00A854EB"/>
    <w:rsid w:val="00A872E5"/>
    <w:rsid w:val="00A90D86"/>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3AEF"/>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4EF"/>
    <w:rsid w:val="00B5273A"/>
    <w:rsid w:val="00B546DC"/>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46FB"/>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45BC1"/>
    <w:rsid w:val="00C47AC1"/>
    <w:rsid w:val="00C602FF"/>
    <w:rsid w:val="00C61174"/>
    <w:rsid w:val="00C6148F"/>
    <w:rsid w:val="00C62F7A"/>
    <w:rsid w:val="00C63B9C"/>
    <w:rsid w:val="00C6682F"/>
    <w:rsid w:val="00C7275E"/>
    <w:rsid w:val="00C74C5D"/>
    <w:rsid w:val="00C863C4"/>
    <w:rsid w:val="00C93C3E"/>
    <w:rsid w:val="00C95BB3"/>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12F4"/>
    <w:rsid w:val="00D4606D"/>
    <w:rsid w:val="00D50B9C"/>
    <w:rsid w:val="00D52D73"/>
    <w:rsid w:val="00D52E58"/>
    <w:rsid w:val="00D714CC"/>
    <w:rsid w:val="00D75EA7"/>
    <w:rsid w:val="00D81F21"/>
    <w:rsid w:val="00D95470"/>
    <w:rsid w:val="00DA2619"/>
    <w:rsid w:val="00DA4239"/>
    <w:rsid w:val="00DB0B61"/>
    <w:rsid w:val="00DB6B01"/>
    <w:rsid w:val="00DC090B"/>
    <w:rsid w:val="00DC1679"/>
    <w:rsid w:val="00DC2CF1"/>
    <w:rsid w:val="00DC4FCF"/>
    <w:rsid w:val="00DC50E0"/>
    <w:rsid w:val="00DC6386"/>
    <w:rsid w:val="00DD1130"/>
    <w:rsid w:val="00DD1951"/>
    <w:rsid w:val="00DD6628"/>
    <w:rsid w:val="00DE3250"/>
    <w:rsid w:val="00DE6028"/>
    <w:rsid w:val="00DE78A3"/>
    <w:rsid w:val="00DF1A71"/>
    <w:rsid w:val="00DF44AA"/>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95B"/>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5E93"/>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footer" w:uiPriority="0"/>
    <w:lsdException w:name="caption" w:uiPriority="35" w:qFormat="1"/>
    <w:lsdException w:name="footnote reference" w:uiPriority="8"/>
    <w:lsdException w:name="Title" w:uiPriority="10" w:unhideWhenUsed="0" w:qFormat="1"/>
    <w:lsdException w:name="Default Paragraph Font" w:uiPriority="1"/>
    <w:lsdException w:name="Body Text Indent" w:uiPriority="0"/>
    <w:lsdException w:name="Subtitle" w:uiPriority="11" w:unhideWhenUsed="0" w:qFormat="1"/>
    <w:lsdException w:name="Body Text 2" w:uiPriority="0"/>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0978C6"/>
    <w:rPr>
      <w:rFonts w:ascii="Verdana" w:hAnsi="Verdan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0978C6"/>
    <w:rPr>
      <w:rFonts w:ascii="Tahoma" w:hAnsi="Tahoma" w:cs="Tahoma"/>
      <w:sz w:val="16"/>
      <w:szCs w:val="16"/>
    </w:rPr>
  </w:style>
  <w:style w:type="character" w:customStyle="1" w:styleId="BalloonTextChar">
    <w:name w:val="Balloon Text Char"/>
    <w:basedOn w:val="DefaultParagraphFont"/>
    <w:link w:val="BalloonText"/>
    <w:uiPriority w:val="99"/>
    <w:semiHidden/>
    <w:rsid w:val="000978C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BodyText2">
    <w:name w:val="Body Text 2"/>
    <w:basedOn w:val="Normal"/>
    <w:link w:val="BodyText2Char"/>
    <w:rsid w:val="000978C6"/>
    <w:rPr>
      <w:b/>
      <w:bCs/>
      <w:sz w:val="36"/>
    </w:rPr>
  </w:style>
  <w:style w:type="character" w:customStyle="1" w:styleId="BodyText2Char">
    <w:name w:val="Body Text 2 Char"/>
    <w:basedOn w:val="DefaultParagraphFont"/>
    <w:link w:val="BodyText2"/>
    <w:rsid w:val="000978C6"/>
    <w:rPr>
      <w:rFonts w:ascii="Verdana" w:hAnsi="Verdana"/>
      <w:b/>
      <w:bCs/>
      <w:sz w:val="36"/>
      <w:lang w:eastAsia="en-US"/>
    </w:r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DHbody">
    <w:name w:val="DH body"/>
    <w:link w:val="DHbodyChar"/>
    <w:rsid w:val="000978C6"/>
    <w:pPr>
      <w:spacing w:after="120" w:line="270" w:lineRule="exact"/>
    </w:pPr>
    <w:rPr>
      <w:rFonts w:ascii="Arial" w:eastAsia="Times" w:hAnsi="Arial"/>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tabs>
        <w:tab w:val="num" w:pos="397"/>
      </w:tabs>
      <w:ind w:left="397" w:hanging="397"/>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bodynospace">
    <w:name w:val="DH body no space"/>
    <w:basedOn w:val="DHbody"/>
    <w:rsid w:val="000978C6"/>
    <w:pPr>
      <w:spacing w:after="0"/>
    </w:pPr>
  </w:style>
  <w:style w:type="paragraph" w:customStyle="1" w:styleId="DHbullet">
    <w:name w:val="DH bullet"/>
    <w:basedOn w:val="DHbody"/>
    <w:rsid w:val="000978C6"/>
    <w:pPr>
      <w:numPr>
        <w:numId w:val="3"/>
      </w:numPr>
    </w:pPr>
  </w:style>
  <w:style w:type="paragraph" w:customStyle="1" w:styleId="DHheading2">
    <w:name w:val="DH heading 2"/>
    <w:next w:val="DHbody"/>
    <w:link w:val="DHheading2Char"/>
    <w:rsid w:val="000978C6"/>
    <w:pPr>
      <w:spacing w:before="240" w:after="90" w:line="320" w:lineRule="exact"/>
    </w:pPr>
    <w:rPr>
      <w:rFonts w:ascii="Arial" w:hAnsi="Arial"/>
      <w:b/>
      <w:bCs/>
      <w:sz w:val="28"/>
      <w:szCs w:val="24"/>
      <w:lang w:eastAsia="en-US"/>
    </w:rPr>
  </w:style>
  <w:style w:type="paragraph" w:customStyle="1" w:styleId="DHheading4">
    <w:name w:val="DH heading 4"/>
    <w:next w:val="DHbody"/>
    <w:rsid w:val="000978C6"/>
    <w:pPr>
      <w:spacing w:before="120" w:after="120" w:line="240" w:lineRule="exact"/>
    </w:pPr>
    <w:rPr>
      <w:rFonts w:ascii="Arial" w:hAnsi="Arial"/>
      <w:b/>
      <w:bCs/>
      <w:lang w:eastAsia="en-US"/>
    </w:rPr>
  </w:style>
  <w:style w:type="paragraph" w:customStyle="1" w:styleId="DHHeading3">
    <w:name w:val="DH Heading 3"/>
    <w:basedOn w:val="Normal"/>
    <w:rsid w:val="000978C6"/>
    <w:pPr>
      <w:spacing w:before="280" w:after="120" w:line="270" w:lineRule="exact"/>
    </w:pPr>
    <w:rPr>
      <w:rFonts w:ascii="Arial" w:hAnsi="Arial"/>
      <w:b/>
      <w:bCs/>
      <w:sz w:val="24"/>
      <w:szCs w:val="24"/>
      <w:lang w:val="it-IT"/>
    </w:rPr>
  </w:style>
  <w:style w:type="character" w:customStyle="1" w:styleId="DHbodyChar">
    <w:name w:val="DH body Char"/>
    <w:link w:val="DHbody"/>
    <w:rsid w:val="000978C6"/>
    <w:rPr>
      <w:rFonts w:ascii="Arial" w:eastAsia="Times" w:hAnsi="Arial"/>
      <w:lang w:eastAsia="en-US"/>
    </w:rPr>
  </w:style>
  <w:style w:type="character" w:customStyle="1" w:styleId="DHheading2Char">
    <w:name w:val="DH heading 2 Char"/>
    <w:link w:val="DHheading2"/>
    <w:rsid w:val="000978C6"/>
    <w:rPr>
      <w:rFonts w:ascii="Arial" w:hAnsi="Arial"/>
      <w:b/>
      <w:bCs/>
      <w:sz w:val="28"/>
      <w:szCs w:val="24"/>
      <w:lang w:eastAsia="en-US"/>
    </w:rPr>
  </w:style>
  <w:style w:type="paragraph" w:styleId="BodyTextIndent">
    <w:name w:val="Body Text Indent"/>
    <w:basedOn w:val="Normal"/>
    <w:link w:val="BodyTextIndentChar"/>
    <w:rsid w:val="000978C6"/>
    <w:pPr>
      <w:spacing w:after="120"/>
      <w:ind w:left="283"/>
    </w:pPr>
  </w:style>
  <w:style w:type="character" w:customStyle="1" w:styleId="BodyTextIndentChar">
    <w:name w:val="Body Text Indent Char"/>
    <w:basedOn w:val="DefaultParagraphFont"/>
    <w:link w:val="BodyTextIndent"/>
    <w:rsid w:val="000978C6"/>
    <w:rPr>
      <w:rFonts w:ascii="Verdana" w:hAnsi="Verdana"/>
      <w:lang w:eastAsia="en-US"/>
    </w:rPr>
  </w:style>
  <w:style w:type="paragraph" w:customStyle="1" w:styleId="Healthbody">
    <w:name w:val="Health body"/>
    <w:rsid w:val="000978C6"/>
    <w:pPr>
      <w:spacing w:after="120" w:line="270" w:lineRule="atLeast"/>
    </w:pPr>
    <w:rPr>
      <w:rFonts w:ascii="Arial" w:eastAsia="MS Mincho"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footer" w:uiPriority="0"/>
    <w:lsdException w:name="caption" w:uiPriority="35" w:qFormat="1"/>
    <w:lsdException w:name="footnote reference" w:uiPriority="8"/>
    <w:lsdException w:name="Title" w:uiPriority="10" w:unhideWhenUsed="0" w:qFormat="1"/>
    <w:lsdException w:name="Default Paragraph Font" w:uiPriority="1"/>
    <w:lsdException w:name="Body Text Indent" w:uiPriority="0"/>
    <w:lsdException w:name="Subtitle" w:uiPriority="11" w:unhideWhenUsed="0" w:qFormat="1"/>
    <w:lsdException w:name="Body Text 2" w:uiPriority="0"/>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0978C6"/>
    <w:rPr>
      <w:rFonts w:ascii="Verdana" w:hAnsi="Verdan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0978C6"/>
    <w:rPr>
      <w:rFonts w:ascii="Tahoma" w:hAnsi="Tahoma" w:cs="Tahoma"/>
      <w:sz w:val="16"/>
      <w:szCs w:val="16"/>
    </w:rPr>
  </w:style>
  <w:style w:type="character" w:customStyle="1" w:styleId="BalloonTextChar">
    <w:name w:val="Balloon Text Char"/>
    <w:basedOn w:val="DefaultParagraphFont"/>
    <w:link w:val="BalloonText"/>
    <w:uiPriority w:val="99"/>
    <w:semiHidden/>
    <w:rsid w:val="000978C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BodyText2">
    <w:name w:val="Body Text 2"/>
    <w:basedOn w:val="Normal"/>
    <w:link w:val="BodyText2Char"/>
    <w:rsid w:val="000978C6"/>
    <w:rPr>
      <w:b/>
      <w:bCs/>
      <w:sz w:val="36"/>
    </w:rPr>
  </w:style>
  <w:style w:type="character" w:customStyle="1" w:styleId="BodyText2Char">
    <w:name w:val="Body Text 2 Char"/>
    <w:basedOn w:val="DefaultParagraphFont"/>
    <w:link w:val="BodyText2"/>
    <w:rsid w:val="000978C6"/>
    <w:rPr>
      <w:rFonts w:ascii="Verdana" w:hAnsi="Verdana"/>
      <w:b/>
      <w:bCs/>
      <w:sz w:val="36"/>
      <w:lang w:eastAsia="en-US"/>
    </w:r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DHbody">
    <w:name w:val="DH body"/>
    <w:link w:val="DHbodyChar"/>
    <w:rsid w:val="000978C6"/>
    <w:pPr>
      <w:spacing w:after="120" w:line="270" w:lineRule="exact"/>
    </w:pPr>
    <w:rPr>
      <w:rFonts w:ascii="Arial" w:eastAsia="Times" w:hAnsi="Arial"/>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tabs>
        <w:tab w:val="num" w:pos="397"/>
      </w:tabs>
      <w:ind w:left="397" w:hanging="397"/>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bodynospace">
    <w:name w:val="DH body no space"/>
    <w:basedOn w:val="DHbody"/>
    <w:rsid w:val="000978C6"/>
    <w:pPr>
      <w:spacing w:after="0"/>
    </w:pPr>
  </w:style>
  <w:style w:type="paragraph" w:customStyle="1" w:styleId="DHbullet">
    <w:name w:val="DH bullet"/>
    <w:basedOn w:val="DHbody"/>
    <w:rsid w:val="000978C6"/>
    <w:pPr>
      <w:numPr>
        <w:numId w:val="3"/>
      </w:numPr>
    </w:pPr>
  </w:style>
  <w:style w:type="paragraph" w:customStyle="1" w:styleId="DHheading2">
    <w:name w:val="DH heading 2"/>
    <w:next w:val="DHbody"/>
    <w:link w:val="DHheading2Char"/>
    <w:rsid w:val="000978C6"/>
    <w:pPr>
      <w:spacing w:before="240" w:after="90" w:line="320" w:lineRule="exact"/>
    </w:pPr>
    <w:rPr>
      <w:rFonts w:ascii="Arial" w:hAnsi="Arial"/>
      <w:b/>
      <w:bCs/>
      <w:sz w:val="28"/>
      <w:szCs w:val="24"/>
      <w:lang w:eastAsia="en-US"/>
    </w:rPr>
  </w:style>
  <w:style w:type="paragraph" w:customStyle="1" w:styleId="DHheading4">
    <w:name w:val="DH heading 4"/>
    <w:next w:val="DHbody"/>
    <w:rsid w:val="000978C6"/>
    <w:pPr>
      <w:spacing w:before="120" w:after="120" w:line="240" w:lineRule="exact"/>
    </w:pPr>
    <w:rPr>
      <w:rFonts w:ascii="Arial" w:hAnsi="Arial"/>
      <w:b/>
      <w:bCs/>
      <w:lang w:eastAsia="en-US"/>
    </w:rPr>
  </w:style>
  <w:style w:type="paragraph" w:customStyle="1" w:styleId="DHHeading3">
    <w:name w:val="DH Heading 3"/>
    <w:basedOn w:val="Normal"/>
    <w:rsid w:val="000978C6"/>
    <w:pPr>
      <w:spacing w:before="280" w:after="120" w:line="270" w:lineRule="exact"/>
    </w:pPr>
    <w:rPr>
      <w:rFonts w:ascii="Arial" w:hAnsi="Arial"/>
      <w:b/>
      <w:bCs/>
      <w:sz w:val="24"/>
      <w:szCs w:val="24"/>
      <w:lang w:val="it-IT"/>
    </w:rPr>
  </w:style>
  <w:style w:type="character" w:customStyle="1" w:styleId="DHbodyChar">
    <w:name w:val="DH body Char"/>
    <w:link w:val="DHbody"/>
    <w:rsid w:val="000978C6"/>
    <w:rPr>
      <w:rFonts w:ascii="Arial" w:eastAsia="Times" w:hAnsi="Arial"/>
      <w:lang w:eastAsia="en-US"/>
    </w:rPr>
  </w:style>
  <w:style w:type="character" w:customStyle="1" w:styleId="DHheading2Char">
    <w:name w:val="DH heading 2 Char"/>
    <w:link w:val="DHheading2"/>
    <w:rsid w:val="000978C6"/>
    <w:rPr>
      <w:rFonts w:ascii="Arial" w:hAnsi="Arial"/>
      <w:b/>
      <w:bCs/>
      <w:sz w:val="28"/>
      <w:szCs w:val="24"/>
      <w:lang w:eastAsia="en-US"/>
    </w:rPr>
  </w:style>
  <w:style w:type="paragraph" w:styleId="BodyTextIndent">
    <w:name w:val="Body Text Indent"/>
    <w:basedOn w:val="Normal"/>
    <w:link w:val="BodyTextIndentChar"/>
    <w:rsid w:val="000978C6"/>
    <w:pPr>
      <w:spacing w:after="120"/>
      <w:ind w:left="283"/>
    </w:pPr>
  </w:style>
  <w:style w:type="character" w:customStyle="1" w:styleId="BodyTextIndentChar">
    <w:name w:val="Body Text Indent Char"/>
    <w:basedOn w:val="DefaultParagraphFont"/>
    <w:link w:val="BodyTextIndent"/>
    <w:rsid w:val="000978C6"/>
    <w:rPr>
      <w:rFonts w:ascii="Verdana" w:hAnsi="Verdana"/>
      <w:lang w:eastAsia="en-US"/>
    </w:rPr>
  </w:style>
  <w:style w:type="paragraph" w:customStyle="1" w:styleId="Healthbody">
    <w:name w:val="Health body"/>
    <w:rsid w:val="000978C6"/>
    <w:pPr>
      <w:spacing w:after="120" w:line="270" w:lineRule="atLeast"/>
    </w:pPr>
    <w:rPr>
      <w:rFonts w:ascii="Arial" w:eastAsia="MS Mincho"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ice.vic.gov.au/content.asp?Document_ID=2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2.health.vic.gov.au/hospitals-and-health-services/patient-care/ambulance-and-nept/non-emergency-transport/applying-to-be-nept/nept-licensing-fe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N059\GROUP\Q%20&amp;%20S%20Branch\Private%20Hospitals\Projects\Legislation\NEPT\2016%20Regulations\Final%20Regulations\Webpage%20updates\NEPT%20forms\April%202016%20NEW%20REGS\privatehospitals@health.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2%20Purple%20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F43A7-8197-45D9-8D5F-FB2B0C6E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02 Purple 2602</Template>
  <TotalTime>3</TotalTime>
  <Pages>4</Pages>
  <Words>1350</Words>
  <Characters>7826</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9158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Baxter</dc:creator>
  <cp:lastModifiedBy>Rachel Baxter</cp:lastModifiedBy>
  <cp:revision>4</cp:revision>
  <cp:lastPrinted>2016-04-18T05:48:00Z</cp:lastPrinted>
  <dcterms:created xsi:type="dcterms:W3CDTF">2016-04-18T05:48:00Z</dcterms:created>
  <dcterms:modified xsi:type="dcterms:W3CDTF">2016-04-19T06:02:00Z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