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5E868" w14:textId="77777777" w:rsidR="00002990" w:rsidRPr="003072C6" w:rsidRDefault="00683B1D" w:rsidP="00A55989">
      <w:pPr>
        <w:pStyle w:val="DHHSbodynospace"/>
      </w:pPr>
      <w:r>
        <w:rPr>
          <w:noProof/>
          <w:lang w:eastAsia="en-AU"/>
        </w:rPr>
        <w:drawing>
          <wp:anchor distT="0" distB="0" distL="114300" distR="114300" simplePos="0" relativeHeight="251658240" behindDoc="1" locked="1" layoutInCell="0" allowOverlap="1" wp14:anchorId="41DE6D16" wp14:editId="0D0BC128">
            <wp:simplePos x="0" y="0"/>
            <wp:positionH relativeFrom="page">
              <wp:posOffset>0</wp:posOffset>
            </wp:positionH>
            <wp:positionV relativeFrom="page">
              <wp:posOffset>0</wp:posOffset>
            </wp:positionV>
            <wp:extent cx="7563485" cy="10701655"/>
            <wp:effectExtent l="0" t="0" r="0" b="4445"/>
            <wp:wrapNone/>
            <wp:docPr id="101" name="Picture 101"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Victoria State Government Department of Health and Human Servi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3485" cy="107016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14:paraId="23E3A474" w14:textId="77777777" w:rsidTr="004C5777">
        <w:trPr>
          <w:trHeight w:val="3988"/>
        </w:trPr>
        <w:tc>
          <w:tcPr>
            <w:tcW w:w="7938" w:type="dxa"/>
            <w:shd w:val="clear" w:color="auto" w:fill="auto"/>
          </w:tcPr>
          <w:p w14:paraId="4BE1BB97" w14:textId="55A2193A" w:rsidR="00C416E1" w:rsidRPr="003072C6" w:rsidRDefault="00F048C5" w:rsidP="00E91933">
            <w:pPr>
              <w:pStyle w:val="DHHSreportmaintitlewhite"/>
            </w:pPr>
            <w:r>
              <w:t xml:space="preserve">Chief Psychiatrist </w:t>
            </w:r>
            <w:r w:rsidR="00435977">
              <w:t xml:space="preserve">‘s </w:t>
            </w:r>
            <w:r w:rsidR="00550498">
              <w:t>g</w:t>
            </w:r>
            <w:r w:rsidR="00435977">
              <w:t xml:space="preserve">uideline: </w:t>
            </w:r>
          </w:p>
          <w:p w14:paraId="7DD307EA" w14:textId="731D90C9" w:rsidR="00444D82" w:rsidRPr="003072C6" w:rsidRDefault="00F048C5" w:rsidP="00F048C5">
            <w:pPr>
              <w:pStyle w:val="DHHSreportsubtitlewhite"/>
            </w:pPr>
            <w:r>
              <w:t>Electronic communication and privacy</w:t>
            </w:r>
            <w:r w:rsidR="00550498">
              <w:t xml:space="preserve"> i</w:t>
            </w:r>
            <w:r>
              <w:t>n designated mental health services</w:t>
            </w:r>
          </w:p>
        </w:tc>
      </w:tr>
      <w:tr w:rsidR="001817CD" w:rsidRPr="003072C6" w14:paraId="0A6C711F" w14:textId="77777777" w:rsidTr="004C5777">
        <w:trPr>
          <w:trHeight w:val="4664"/>
        </w:trPr>
        <w:tc>
          <w:tcPr>
            <w:tcW w:w="10252" w:type="dxa"/>
            <w:shd w:val="clear" w:color="auto" w:fill="auto"/>
          </w:tcPr>
          <w:p w14:paraId="6F28C723" w14:textId="77777777" w:rsidR="00BC01C1" w:rsidRPr="003072C6" w:rsidRDefault="00BC01C1" w:rsidP="004F3441">
            <w:pPr>
              <w:pStyle w:val="Coverinstructions"/>
            </w:pPr>
          </w:p>
        </w:tc>
      </w:tr>
    </w:tbl>
    <w:p w14:paraId="7D3C58D9" w14:textId="77777777" w:rsidR="0069374A" w:rsidRPr="003072C6" w:rsidRDefault="0069374A" w:rsidP="00C2657D">
      <w:pPr>
        <w:pStyle w:val="DHHSbodynospace"/>
        <w:ind w:left="-454"/>
      </w:pPr>
    </w:p>
    <w:p w14:paraId="0F296B94" w14:textId="77777777" w:rsidR="00C51B1C" w:rsidRDefault="00C51B1C" w:rsidP="00CA6D4E">
      <w:pPr>
        <w:pStyle w:val="DHHSbodynospace"/>
        <w:sectPr w:rsidR="00C51B1C" w:rsidSect="00A55989">
          <w:type w:val="oddPage"/>
          <w:pgSz w:w="11906" w:h="16838"/>
          <w:pgMar w:top="3969" w:right="1304" w:bottom="1134" w:left="1304" w:header="454" w:footer="567" w:gutter="0"/>
          <w:cols w:space="720"/>
          <w:docGrid w:linePitch="360"/>
        </w:sectPr>
      </w:pPr>
    </w:p>
    <w:p w14:paraId="4310D239" w14:textId="77777777" w:rsidR="00AC0C3B" w:rsidRPr="003072C6" w:rsidRDefault="009208F5" w:rsidP="00CA6D4E">
      <w:pPr>
        <w:pStyle w:val="DHHSbodynospace"/>
      </w:pPr>
      <w:r w:rsidRPr="003072C6">
        <w:lastRenderedPageBreak/>
        <w:br w:type="page"/>
      </w:r>
      <w:r w:rsidR="00683B1D">
        <w:rPr>
          <w:noProof/>
          <w:lang w:eastAsia="en-AU"/>
        </w:rPr>
        <mc:AlternateContent>
          <mc:Choice Requires="wps">
            <w:drawing>
              <wp:anchor distT="0" distB="0" distL="114300" distR="114300" simplePos="0" relativeHeight="251657216" behindDoc="0" locked="0" layoutInCell="1" allowOverlap="1" wp14:anchorId="16FDDF0B" wp14:editId="246275BA">
                <wp:simplePos x="0" y="0"/>
                <wp:positionH relativeFrom="column">
                  <wp:posOffset>4572000</wp:posOffset>
                </wp:positionH>
                <wp:positionV relativeFrom="paragraph">
                  <wp:posOffset>10172700</wp:posOffset>
                </wp:positionV>
                <wp:extent cx="2514600" cy="342900"/>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CBBE5" w14:textId="77777777" w:rsidR="002E2EE0" w:rsidRDefault="002E2EE0" w:rsidP="00AC0C3B">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5in;margin-top:801pt;width:19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FetA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" filled="f" stroked="f">
                <v:textbox>
                  <w:txbxContent>
                    <w:p w14:paraId="700CBBE5" w14:textId="77777777" w:rsidR="002E2EE0" w:rsidRDefault="002E2EE0" w:rsidP="00AC0C3B">
                      <w:pPr>
                        <w:jc w:val="right"/>
                      </w:pPr>
                      <w:r w:rsidRPr="000147AF">
                        <w:rPr>
                          <w:rFonts w:ascii="Arial" w:hAnsi="Arial" w:cs="Arial"/>
                          <w:color w:val="808080"/>
                          <w:sz w:val="22"/>
                          <w:szCs w:val="22"/>
                        </w:rPr>
                        <w:t>Department of Health</w:t>
                      </w:r>
                    </w:p>
                  </w:txbxContent>
                </v:textbox>
              </v:shape>
            </w:pict>
          </mc:Fallback>
        </mc:AlternateContent>
      </w:r>
    </w:p>
    <w:tbl>
      <w:tblPr>
        <w:tblW w:w="0" w:type="auto"/>
        <w:tblInd w:w="1701" w:type="dxa"/>
        <w:tblCellMar>
          <w:left w:w="0" w:type="dxa"/>
          <w:right w:w="0" w:type="dxa"/>
        </w:tblCellMar>
        <w:tblLook w:val="04A0" w:firstRow="1" w:lastRow="0" w:firstColumn="1" w:lastColumn="0" w:noHBand="0" w:noVBand="1"/>
      </w:tblPr>
      <w:tblGrid>
        <w:gridCol w:w="7597"/>
      </w:tblGrid>
      <w:tr w:rsidR="00DE24E6" w:rsidRPr="003072C6" w14:paraId="4BE6FBBF" w14:textId="77777777" w:rsidTr="00CA6D4E">
        <w:trPr>
          <w:trHeight w:val="7402"/>
        </w:trPr>
        <w:tc>
          <w:tcPr>
            <w:tcW w:w="9298" w:type="dxa"/>
            <w:shd w:val="clear" w:color="auto" w:fill="auto"/>
            <w:vAlign w:val="center"/>
          </w:tcPr>
          <w:p w14:paraId="775DBD27" w14:textId="508F06FC" w:rsidR="00F53CFD" w:rsidRPr="00636934" w:rsidRDefault="00F048C5" w:rsidP="00636934">
            <w:pPr>
              <w:pStyle w:val="DHHSreportmaintitle"/>
            </w:pPr>
            <w:r>
              <w:lastRenderedPageBreak/>
              <w:t>Chief Psychiatrist</w:t>
            </w:r>
            <w:r w:rsidR="000D06B0">
              <w:t>’s</w:t>
            </w:r>
            <w:r>
              <w:t xml:space="preserve"> </w:t>
            </w:r>
            <w:r w:rsidR="00550498">
              <w:t>g</w:t>
            </w:r>
            <w:r w:rsidR="000D06B0">
              <w:t>uideline:</w:t>
            </w:r>
          </w:p>
          <w:p w14:paraId="2E569D8D" w14:textId="5BE8F9BB" w:rsidR="00BB47D7" w:rsidRPr="003072C6" w:rsidRDefault="00F048C5">
            <w:pPr>
              <w:pStyle w:val="DHHSreportsubtitle"/>
            </w:pPr>
            <w:r>
              <w:t>Electronic communication and privacy</w:t>
            </w:r>
            <w:r w:rsidR="00550498">
              <w:t xml:space="preserve"> i</w:t>
            </w:r>
            <w:r>
              <w:t>n designated mental health services</w:t>
            </w:r>
          </w:p>
        </w:tc>
      </w:tr>
      <w:tr w:rsidR="009906C7" w:rsidRPr="003072C6" w14:paraId="039EA394" w14:textId="77777777" w:rsidTr="009906C7">
        <w:tc>
          <w:tcPr>
            <w:tcW w:w="9298" w:type="dxa"/>
            <w:shd w:val="clear" w:color="auto" w:fill="auto"/>
            <w:vAlign w:val="center"/>
          </w:tcPr>
          <w:p w14:paraId="775499D6" w14:textId="77777777" w:rsidR="009906C7" w:rsidRPr="003072C6" w:rsidRDefault="009906C7" w:rsidP="009906C7">
            <w:pPr>
              <w:pStyle w:val="DHHSbody"/>
            </w:pPr>
          </w:p>
        </w:tc>
      </w:tr>
    </w:tbl>
    <w:p w14:paraId="77F6098D" w14:textId="77777777" w:rsidR="00CA6D4E" w:rsidRPr="003072C6" w:rsidRDefault="00CA6D4E" w:rsidP="00CA6D4E">
      <w:pPr>
        <w:pStyle w:val="DHHSbodynospace"/>
      </w:pPr>
    </w:p>
    <w:p w14:paraId="34D96D8B" w14:textId="77777777" w:rsidR="00AC0C3B" w:rsidRPr="003072C6" w:rsidRDefault="00C81BA6" w:rsidP="00CA6D4E">
      <w:pPr>
        <w:pStyle w:val="DHHSbodynospace"/>
      </w:pPr>
      <w:r w:rsidRPr="003072C6">
        <w:br w:type="page"/>
      </w: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3072C6" w14:paraId="4D9E7CCF" w14:textId="77777777" w:rsidTr="00564E8F">
        <w:trPr>
          <w:trHeight w:val="4313"/>
        </w:trPr>
        <w:tc>
          <w:tcPr>
            <w:tcW w:w="9401" w:type="dxa"/>
          </w:tcPr>
          <w:p w14:paraId="144C4923" w14:textId="77777777" w:rsidR="00564E8F" w:rsidRPr="00605B5B" w:rsidRDefault="00564E8F" w:rsidP="00031263">
            <w:pPr>
              <w:pStyle w:val="DHHSbody"/>
              <w:rPr>
                <w:i/>
                <w:color w:val="008950"/>
                <w:sz w:val="26"/>
                <w:szCs w:val="26"/>
              </w:rPr>
            </w:pPr>
          </w:p>
        </w:tc>
      </w:tr>
      <w:tr w:rsidR="00564E8F" w:rsidRPr="003072C6" w14:paraId="111C0CDD" w14:textId="77777777" w:rsidTr="001F09DC">
        <w:trPr>
          <w:trHeight w:val="6336"/>
        </w:trPr>
        <w:tc>
          <w:tcPr>
            <w:tcW w:w="9401" w:type="dxa"/>
            <w:vAlign w:val="bottom"/>
          </w:tcPr>
          <w:p w14:paraId="5426FAC6" w14:textId="77777777" w:rsidR="00605B5B" w:rsidRPr="00605B5B" w:rsidRDefault="00605B5B" w:rsidP="00605B5B">
            <w:pPr>
              <w:spacing w:after="200" w:line="300" w:lineRule="atLeast"/>
              <w:rPr>
                <w:rFonts w:ascii="Arial" w:eastAsia="Times" w:hAnsi="Arial"/>
                <w:sz w:val="24"/>
                <w:szCs w:val="19"/>
              </w:rPr>
            </w:pPr>
            <w:r w:rsidRPr="00605B5B">
              <w:rPr>
                <w:rFonts w:ascii="Arial" w:eastAsia="Times" w:hAnsi="Arial"/>
                <w:sz w:val="24"/>
                <w:szCs w:val="19"/>
              </w:rPr>
              <w:t>To receive this publication in an accessible format phone</w:t>
            </w:r>
            <w:r w:rsidR="00F048C5">
              <w:rPr>
                <w:rFonts w:ascii="Arial" w:eastAsia="Times" w:hAnsi="Arial"/>
                <w:sz w:val="24"/>
                <w:szCs w:val="19"/>
              </w:rPr>
              <w:t xml:space="preserve"> 03 9096 7571</w:t>
            </w:r>
            <w:r w:rsidRPr="00605B5B">
              <w:rPr>
                <w:rFonts w:ascii="Arial" w:eastAsia="Times" w:hAnsi="Arial"/>
                <w:sz w:val="24"/>
                <w:szCs w:val="19"/>
              </w:rPr>
              <w:t xml:space="preserve">, using the National Relay Service 13 36 77 if required, or </w:t>
            </w:r>
            <w:hyperlink r:id="rId10" w:history="1">
              <w:r w:rsidRPr="00550498">
                <w:rPr>
                  <w:rStyle w:val="Hyperlink"/>
                  <w:rFonts w:ascii="Arial" w:eastAsia="Times" w:hAnsi="Arial"/>
                  <w:sz w:val="24"/>
                  <w:szCs w:val="19"/>
                </w:rPr>
                <w:t xml:space="preserve">email </w:t>
              </w:r>
              <w:r w:rsidR="00550498" w:rsidRPr="00550498">
                <w:rPr>
                  <w:rStyle w:val="Hyperlink"/>
                  <w:rFonts w:ascii="Arial" w:eastAsia="Times" w:hAnsi="Arial"/>
                  <w:sz w:val="24"/>
                  <w:szCs w:val="19"/>
                </w:rPr>
                <w:t>the Office of the Chief Psychiatrist</w:t>
              </w:r>
            </w:hyperlink>
            <w:r w:rsidR="00550498">
              <w:rPr>
                <w:rFonts w:ascii="Arial" w:eastAsia="Times" w:hAnsi="Arial"/>
                <w:sz w:val="24"/>
                <w:szCs w:val="19"/>
              </w:rPr>
              <w:t xml:space="preserve"> &lt;</w:t>
            </w:r>
            <w:r w:rsidR="00F048C5" w:rsidRPr="00F048C5">
              <w:rPr>
                <w:rFonts w:ascii="Arial" w:eastAsia="Times" w:hAnsi="Arial"/>
                <w:sz w:val="24"/>
                <w:szCs w:val="19"/>
              </w:rPr>
              <w:t>ocp@dhhs.vic.gov.au</w:t>
            </w:r>
            <w:r w:rsidR="00550498">
              <w:rPr>
                <w:rFonts w:ascii="Arial" w:eastAsia="Times" w:hAnsi="Arial"/>
                <w:sz w:val="24"/>
                <w:szCs w:val="19"/>
              </w:rPr>
              <w:t>&gt;.</w:t>
            </w:r>
          </w:p>
          <w:p w14:paraId="766F5525" w14:textId="77777777" w:rsidR="00605B5B" w:rsidRPr="00605B5B" w:rsidRDefault="00605B5B" w:rsidP="00605B5B">
            <w:pPr>
              <w:spacing w:after="120" w:line="270" w:lineRule="atLeast"/>
              <w:rPr>
                <w:rFonts w:ascii="Arial" w:eastAsia="Times" w:hAnsi="Arial"/>
              </w:rPr>
            </w:pPr>
            <w:r w:rsidRPr="00605B5B">
              <w:rPr>
                <w:rFonts w:ascii="Arial" w:eastAsia="Times" w:hAnsi="Arial"/>
              </w:rPr>
              <w:t>Authorised and published by the Victorian Governmen</w:t>
            </w:r>
            <w:r>
              <w:rPr>
                <w:rFonts w:ascii="Arial" w:eastAsia="Times" w:hAnsi="Arial"/>
              </w:rPr>
              <w:t>t, 1 Treasury Place, Melbourne.</w:t>
            </w:r>
          </w:p>
          <w:p w14:paraId="282256C4" w14:textId="77777777" w:rsidR="00605B5B" w:rsidRPr="00605B5B" w:rsidRDefault="00605B5B" w:rsidP="00605B5B">
            <w:pPr>
              <w:spacing w:after="120" w:line="270" w:lineRule="atLeast"/>
              <w:rPr>
                <w:rFonts w:ascii="Arial" w:eastAsia="Times" w:hAnsi="Arial"/>
              </w:rPr>
            </w:pPr>
            <w:r w:rsidRPr="00605B5B">
              <w:rPr>
                <w:rFonts w:ascii="Arial" w:eastAsia="Times" w:hAnsi="Arial"/>
              </w:rPr>
              <w:t xml:space="preserve">© State of Victoria, Department of Health </w:t>
            </w:r>
            <w:r w:rsidR="002679D5">
              <w:rPr>
                <w:rFonts w:ascii="Arial" w:eastAsia="Times" w:hAnsi="Arial"/>
              </w:rPr>
              <w:t>and</w:t>
            </w:r>
            <w:r w:rsidRPr="00605B5B">
              <w:rPr>
                <w:rFonts w:ascii="Arial" w:eastAsia="Times" w:hAnsi="Arial"/>
              </w:rPr>
              <w:t xml:space="preserve"> Human Services</w:t>
            </w:r>
            <w:r w:rsidR="00550498">
              <w:rPr>
                <w:rFonts w:ascii="Arial" w:eastAsia="Times" w:hAnsi="Arial"/>
              </w:rPr>
              <w:t xml:space="preserve"> </w:t>
            </w:r>
            <w:r w:rsidR="00F048C5" w:rsidRPr="00F048C5">
              <w:rPr>
                <w:rFonts w:ascii="Arial" w:eastAsia="Times" w:hAnsi="Arial"/>
              </w:rPr>
              <w:t>September, 2018</w:t>
            </w:r>
            <w:r w:rsidRPr="00F048C5">
              <w:rPr>
                <w:rFonts w:ascii="Arial" w:eastAsia="Times" w:hAnsi="Arial"/>
              </w:rPr>
              <w:t>.</w:t>
            </w:r>
          </w:p>
          <w:p w14:paraId="48676D73" w14:textId="5A2EAA7A" w:rsidR="00605B5B" w:rsidRPr="00605B5B" w:rsidRDefault="003A0811" w:rsidP="00605B5B">
            <w:pPr>
              <w:spacing w:after="120" w:line="270" w:lineRule="atLeast"/>
              <w:rPr>
                <w:rFonts w:ascii="Arial" w:eastAsia="Times" w:hAnsi="Arial"/>
              </w:rPr>
            </w:pPr>
            <w:r>
              <w:rPr>
                <w:rFonts w:ascii="Arial" w:eastAsia="Times" w:hAnsi="Arial"/>
              </w:rPr>
              <w:t>ISBN 978-1-76069-625-2</w:t>
            </w:r>
          </w:p>
          <w:p w14:paraId="42DEC339" w14:textId="77777777" w:rsidR="00605B5B" w:rsidRPr="00605B5B" w:rsidRDefault="00605B5B" w:rsidP="00605B5B">
            <w:pPr>
              <w:spacing w:after="120" w:line="270" w:lineRule="atLeast"/>
              <w:rPr>
                <w:rFonts w:ascii="Arial" w:eastAsia="Times" w:hAnsi="Arial"/>
                <w:szCs w:val="19"/>
              </w:rPr>
            </w:pPr>
            <w:r w:rsidRPr="00605B5B">
              <w:rPr>
                <w:rFonts w:ascii="Arial" w:eastAsia="Times" w:hAnsi="Arial"/>
                <w:szCs w:val="19"/>
              </w:rPr>
              <w:t xml:space="preserve">Available at </w:t>
            </w:r>
            <w:r w:rsidRPr="00886121">
              <w:rPr>
                <w:rFonts w:ascii="Arial" w:eastAsia="Times" w:hAnsi="Arial"/>
                <w:color w:val="D50032"/>
              </w:rPr>
              <w:t>&lt;web page address&gt;</w:t>
            </w:r>
          </w:p>
          <w:p w14:paraId="76F43181" w14:textId="77777777" w:rsidR="00564E8F" w:rsidRPr="003072C6" w:rsidRDefault="00564E8F" w:rsidP="00605B5B">
            <w:pPr>
              <w:pStyle w:val="DHHSbody"/>
            </w:pPr>
          </w:p>
        </w:tc>
      </w:tr>
      <w:tr w:rsidR="009906C7" w:rsidRPr="003072C6" w14:paraId="61E9CA29" w14:textId="77777777" w:rsidTr="009906C7">
        <w:tc>
          <w:tcPr>
            <w:tcW w:w="9401" w:type="dxa"/>
            <w:vAlign w:val="bottom"/>
          </w:tcPr>
          <w:p w14:paraId="7C263C72" w14:textId="77777777" w:rsidR="009906C7" w:rsidRPr="003072C6" w:rsidRDefault="009906C7" w:rsidP="009906C7">
            <w:pPr>
              <w:pStyle w:val="DHHSbody"/>
            </w:pPr>
          </w:p>
        </w:tc>
      </w:tr>
    </w:tbl>
    <w:p w14:paraId="60FD84B3" w14:textId="77777777" w:rsidR="00ED4D17" w:rsidRPr="003072C6" w:rsidRDefault="00ED4D17" w:rsidP="003072C6">
      <w:pPr>
        <w:pStyle w:val="DHHSbody"/>
      </w:pPr>
      <w:bookmarkStart w:id="0" w:name="_GoBack"/>
      <w:bookmarkEnd w:id="0"/>
    </w:p>
    <w:p w14:paraId="78D89FE4" w14:textId="77777777" w:rsidR="00AC0C3B" w:rsidRPr="00636934" w:rsidRDefault="00AC0C3B" w:rsidP="00B13241">
      <w:pPr>
        <w:pStyle w:val="DHHSTOCheadingreport"/>
      </w:pPr>
      <w:r w:rsidRPr="00636934">
        <w:lastRenderedPageBreak/>
        <w:t>Contents</w:t>
      </w:r>
    </w:p>
    <w:p w14:paraId="4078BF15" w14:textId="77777777" w:rsidR="00700D9A" w:rsidRDefault="00E15DA9">
      <w:pPr>
        <w:pStyle w:val="TOC1"/>
        <w:rPr>
          <w:rFonts w:asciiTheme="minorHAnsi" w:eastAsiaTheme="minorEastAsia" w:hAnsiTheme="minorHAnsi" w:cstheme="minorBid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524705843" w:history="1">
        <w:r w:rsidR="00700D9A" w:rsidRPr="0064682A">
          <w:rPr>
            <w:rStyle w:val="Hyperlink"/>
          </w:rPr>
          <w:t>Introduction</w:t>
        </w:r>
        <w:r w:rsidR="00700D9A">
          <w:rPr>
            <w:webHidden/>
          </w:rPr>
          <w:tab/>
        </w:r>
        <w:r w:rsidR="00700D9A">
          <w:rPr>
            <w:webHidden/>
          </w:rPr>
          <w:fldChar w:fldCharType="begin"/>
        </w:r>
        <w:r w:rsidR="00700D9A">
          <w:rPr>
            <w:webHidden/>
          </w:rPr>
          <w:instrText xml:space="preserve"> PAGEREF _Toc524705843 \h </w:instrText>
        </w:r>
        <w:r w:rsidR="00700D9A">
          <w:rPr>
            <w:webHidden/>
          </w:rPr>
        </w:r>
        <w:r w:rsidR="00700D9A">
          <w:rPr>
            <w:webHidden/>
          </w:rPr>
          <w:fldChar w:fldCharType="separate"/>
        </w:r>
        <w:r w:rsidR="00700D9A">
          <w:rPr>
            <w:webHidden/>
          </w:rPr>
          <w:t>2</w:t>
        </w:r>
        <w:r w:rsidR="00700D9A">
          <w:rPr>
            <w:webHidden/>
          </w:rPr>
          <w:fldChar w:fldCharType="end"/>
        </w:r>
      </w:hyperlink>
    </w:p>
    <w:p w14:paraId="73476A68" w14:textId="77777777" w:rsidR="00700D9A" w:rsidRDefault="00700D9A">
      <w:pPr>
        <w:pStyle w:val="TOC2"/>
        <w:rPr>
          <w:rFonts w:asciiTheme="minorHAnsi" w:eastAsiaTheme="minorEastAsia" w:hAnsiTheme="minorHAnsi" w:cstheme="minorBidi"/>
          <w:sz w:val="22"/>
          <w:szCs w:val="22"/>
          <w:lang w:eastAsia="en-AU"/>
        </w:rPr>
      </w:pPr>
      <w:hyperlink w:anchor="_Toc524705844" w:history="1">
        <w:r w:rsidRPr="0064682A">
          <w:rPr>
            <w:rStyle w:val="Hyperlink"/>
          </w:rPr>
          <w:t>Purpose</w:t>
        </w:r>
        <w:r>
          <w:rPr>
            <w:webHidden/>
          </w:rPr>
          <w:tab/>
        </w:r>
        <w:r>
          <w:rPr>
            <w:webHidden/>
          </w:rPr>
          <w:fldChar w:fldCharType="begin"/>
        </w:r>
        <w:r>
          <w:rPr>
            <w:webHidden/>
          </w:rPr>
          <w:instrText xml:space="preserve"> PAGEREF _Toc524705844 \h </w:instrText>
        </w:r>
        <w:r>
          <w:rPr>
            <w:webHidden/>
          </w:rPr>
        </w:r>
        <w:r>
          <w:rPr>
            <w:webHidden/>
          </w:rPr>
          <w:fldChar w:fldCharType="separate"/>
        </w:r>
        <w:r>
          <w:rPr>
            <w:webHidden/>
          </w:rPr>
          <w:t>2</w:t>
        </w:r>
        <w:r>
          <w:rPr>
            <w:webHidden/>
          </w:rPr>
          <w:fldChar w:fldCharType="end"/>
        </w:r>
      </w:hyperlink>
    </w:p>
    <w:p w14:paraId="15CA198F" w14:textId="77777777" w:rsidR="00700D9A" w:rsidRDefault="00700D9A">
      <w:pPr>
        <w:pStyle w:val="TOC2"/>
        <w:rPr>
          <w:rFonts w:asciiTheme="minorHAnsi" w:eastAsiaTheme="minorEastAsia" w:hAnsiTheme="minorHAnsi" w:cstheme="minorBidi"/>
          <w:sz w:val="22"/>
          <w:szCs w:val="22"/>
          <w:lang w:eastAsia="en-AU"/>
        </w:rPr>
      </w:pPr>
      <w:hyperlink w:anchor="_Toc524705845" w:history="1">
        <w:r w:rsidRPr="0064682A">
          <w:rPr>
            <w:rStyle w:val="Hyperlink"/>
          </w:rPr>
          <w:t>Terminology</w:t>
        </w:r>
        <w:r>
          <w:rPr>
            <w:webHidden/>
          </w:rPr>
          <w:tab/>
        </w:r>
        <w:r>
          <w:rPr>
            <w:webHidden/>
          </w:rPr>
          <w:fldChar w:fldCharType="begin"/>
        </w:r>
        <w:r>
          <w:rPr>
            <w:webHidden/>
          </w:rPr>
          <w:instrText xml:space="preserve"> PAGEREF _Toc524705845 \h </w:instrText>
        </w:r>
        <w:r>
          <w:rPr>
            <w:webHidden/>
          </w:rPr>
        </w:r>
        <w:r>
          <w:rPr>
            <w:webHidden/>
          </w:rPr>
          <w:fldChar w:fldCharType="separate"/>
        </w:r>
        <w:r>
          <w:rPr>
            <w:webHidden/>
          </w:rPr>
          <w:t>2</w:t>
        </w:r>
        <w:r>
          <w:rPr>
            <w:webHidden/>
          </w:rPr>
          <w:fldChar w:fldCharType="end"/>
        </w:r>
      </w:hyperlink>
    </w:p>
    <w:p w14:paraId="05434D82" w14:textId="77777777" w:rsidR="00700D9A" w:rsidRDefault="00700D9A">
      <w:pPr>
        <w:pStyle w:val="TOC1"/>
        <w:rPr>
          <w:rFonts w:asciiTheme="minorHAnsi" w:eastAsiaTheme="minorEastAsia" w:hAnsiTheme="minorHAnsi" w:cstheme="minorBidi"/>
          <w:b w:val="0"/>
          <w:sz w:val="22"/>
          <w:szCs w:val="22"/>
          <w:lang w:eastAsia="en-AU"/>
        </w:rPr>
      </w:pPr>
      <w:hyperlink w:anchor="_Toc524705846" w:history="1">
        <w:r w:rsidRPr="0064682A">
          <w:rPr>
            <w:rStyle w:val="Hyperlink"/>
          </w:rPr>
          <w:t>Guiding principles for electronic communication and privacy</w:t>
        </w:r>
        <w:r>
          <w:rPr>
            <w:webHidden/>
          </w:rPr>
          <w:tab/>
        </w:r>
        <w:r>
          <w:rPr>
            <w:webHidden/>
          </w:rPr>
          <w:fldChar w:fldCharType="begin"/>
        </w:r>
        <w:r>
          <w:rPr>
            <w:webHidden/>
          </w:rPr>
          <w:instrText xml:space="preserve"> PAGEREF _Toc524705846 \h </w:instrText>
        </w:r>
        <w:r>
          <w:rPr>
            <w:webHidden/>
          </w:rPr>
        </w:r>
        <w:r>
          <w:rPr>
            <w:webHidden/>
          </w:rPr>
          <w:fldChar w:fldCharType="separate"/>
        </w:r>
        <w:r>
          <w:rPr>
            <w:webHidden/>
          </w:rPr>
          <w:t>3</w:t>
        </w:r>
        <w:r>
          <w:rPr>
            <w:webHidden/>
          </w:rPr>
          <w:fldChar w:fldCharType="end"/>
        </w:r>
      </w:hyperlink>
    </w:p>
    <w:p w14:paraId="02011D71" w14:textId="77777777" w:rsidR="00700D9A" w:rsidRDefault="00700D9A">
      <w:pPr>
        <w:pStyle w:val="TOC1"/>
        <w:rPr>
          <w:rFonts w:asciiTheme="minorHAnsi" w:eastAsiaTheme="minorEastAsia" w:hAnsiTheme="minorHAnsi" w:cstheme="minorBidi"/>
          <w:b w:val="0"/>
          <w:sz w:val="22"/>
          <w:szCs w:val="22"/>
          <w:lang w:eastAsia="en-AU"/>
        </w:rPr>
      </w:pPr>
      <w:hyperlink w:anchor="_Toc524705847" w:history="1">
        <w:r w:rsidRPr="0064682A">
          <w:rPr>
            <w:rStyle w:val="Hyperlink"/>
          </w:rPr>
          <w:t>Electronic communication and recovery</w:t>
        </w:r>
        <w:r>
          <w:rPr>
            <w:webHidden/>
          </w:rPr>
          <w:tab/>
        </w:r>
        <w:r>
          <w:rPr>
            <w:webHidden/>
          </w:rPr>
          <w:fldChar w:fldCharType="begin"/>
        </w:r>
        <w:r>
          <w:rPr>
            <w:webHidden/>
          </w:rPr>
          <w:instrText xml:space="preserve"> PAGEREF _Toc524705847 \h </w:instrText>
        </w:r>
        <w:r>
          <w:rPr>
            <w:webHidden/>
          </w:rPr>
        </w:r>
        <w:r>
          <w:rPr>
            <w:webHidden/>
          </w:rPr>
          <w:fldChar w:fldCharType="separate"/>
        </w:r>
        <w:r>
          <w:rPr>
            <w:webHidden/>
          </w:rPr>
          <w:t>4</w:t>
        </w:r>
        <w:r>
          <w:rPr>
            <w:webHidden/>
          </w:rPr>
          <w:fldChar w:fldCharType="end"/>
        </w:r>
      </w:hyperlink>
    </w:p>
    <w:p w14:paraId="7FD327C7" w14:textId="77777777" w:rsidR="00700D9A" w:rsidRDefault="00700D9A">
      <w:pPr>
        <w:pStyle w:val="TOC1"/>
        <w:rPr>
          <w:rFonts w:asciiTheme="minorHAnsi" w:eastAsiaTheme="minorEastAsia" w:hAnsiTheme="minorHAnsi" w:cstheme="minorBidi"/>
          <w:b w:val="0"/>
          <w:sz w:val="22"/>
          <w:szCs w:val="22"/>
          <w:lang w:eastAsia="en-AU"/>
        </w:rPr>
      </w:pPr>
      <w:hyperlink w:anchor="_Toc524705848" w:history="1">
        <w:r w:rsidRPr="0064682A">
          <w:rPr>
            <w:rStyle w:val="Hyperlink"/>
          </w:rPr>
          <w:t>Patients’ rights</w:t>
        </w:r>
        <w:r>
          <w:rPr>
            <w:webHidden/>
          </w:rPr>
          <w:tab/>
        </w:r>
        <w:r>
          <w:rPr>
            <w:webHidden/>
          </w:rPr>
          <w:fldChar w:fldCharType="begin"/>
        </w:r>
        <w:r>
          <w:rPr>
            <w:webHidden/>
          </w:rPr>
          <w:instrText xml:space="preserve"> PAGEREF _Toc524705848 \h </w:instrText>
        </w:r>
        <w:r>
          <w:rPr>
            <w:webHidden/>
          </w:rPr>
        </w:r>
        <w:r>
          <w:rPr>
            <w:webHidden/>
          </w:rPr>
          <w:fldChar w:fldCharType="separate"/>
        </w:r>
        <w:r>
          <w:rPr>
            <w:webHidden/>
          </w:rPr>
          <w:t>5</w:t>
        </w:r>
        <w:r>
          <w:rPr>
            <w:webHidden/>
          </w:rPr>
          <w:fldChar w:fldCharType="end"/>
        </w:r>
      </w:hyperlink>
    </w:p>
    <w:p w14:paraId="62A9F22F" w14:textId="77777777" w:rsidR="00700D9A" w:rsidRDefault="00700D9A">
      <w:pPr>
        <w:pStyle w:val="TOC2"/>
        <w:rPr>
          <w:rFonts w:asciiTheme="minorHAnsi" w:eastAsiaTheme="minorEastAsia" w:hAnsiTheme="minorHAnsi" w:cstheme="minorBidi"/>
          <w:sz w:val="22"/>
          <w:szCs w:val="22"/>
          <w:lang w:eastAsia="en-AU"/>
        </w:rPr>
      </w:pPr>
      <w:hyperlink w:anchor="_Toc524705849" w:history="1">
        <w:r w:rsidRPr="0064682A">
          <w:rPr>
            <w:rStyle w:val="Hyperlink"/>
          </w:rPr>
          <w:t>Restrictions to the right to communicate</w:t>
        </w:r>
        <w:r>
          <w:rPr>
            <w:webHidden/>
          </w:rPr>
          <w:tab/>
        </w:r>
        <w:r>
          <w:rPr>
            <w:webHidden/>
          </w:rPr>
          <w:fldChar w:fldCharType="begin"/>
        </w:r>
        <w:r>
          <w:rPr>
            <w:webHidden/>
          </w:rPr>
          <w:instrText xml:space="preserve"> PAGEREF _Toc524705849 \h </w:instrText>
        </w:r>
        <w:r>
          <w:rPr>
            <w:webHidden/>
          </w:rPr>
        </w:r>
        <w:r>
          <w:rPr>
            <w:webHidden/>
          </w:rPr>
          <w:fldChar w:fldCharType="separate"/>
        </w:r>
        <w:r>
          <w:rPr>
            <w:webHidden/>
          </w:rPr>
          <w:t>5</w:t>
        </w:r>
        <w:r>
          <w:rPr>
            <w:webHidden/>
          </w:rPr>
          <w:fldChar w:fldCharType="end"/>
        </w:r>
      </w:hyperlink>
    </w:p>
    <w:p w14:paraId="2CBCCD44" w14:textId="77777777" w:rsidR="00700D9A" w:rsidRDefault="00700D9A">
      <w:pPr>
        <w:pStyle w:val="TOC1"/>
        <w:rPr>
          <w:rFonts w:asciiTheme="minorHAnsi" w:eastAsiaTheme="minorEastAsia" w:hAnsiTheme="minorHAnsi" w:cstheme="minorBidi"/>
          <w:b w:val="0"/>
          <w:sz w:val="22"/>
          <w:szCs w:val="22"/>
          <w:lang w:eastAsia="en-AU"/>
        </w:rPr>
      </w:pPr>
      <w:hyperlink w:anchor="_Toc524705850" w:history="1">
        <w:r w:rsidRPr="0064682A">
          <w:rPr>
            <w:rStyle w:val="Hyperlink"/>
          </w:rPr>
          <w:t>Electronic devices and privacy</w:t>
        </w:r>
        <w:r>
          <w:rPr>
            <w:webHidden/>
          </w:rPr>
          <w:tab/>
        </w:r>
        <w:r>
          <w:rPr>
            <w:webHidden/>
          </w:rPr>
          <w:fldChar w:fldCharType="begin"/>
        </w:r>
        <w:r>
          <w:rPr>
            <w:webHidden/>
          </w:rPr>
          <w:instrText xml:space="preserve"> PAGEREF _Toc524705850 \h </w:instrText>
        </w:r>
        <w:r>
          <w:rPr>
            <w:webHidden/>
          </w:rPr>
        </w:r>
        <w:r>
          <w:rPr>
            <w:webHidden/>
          </w:rPr>
          <w:fldChar w:fldCharType="separate"/>
        </w:r>
        <w:r>
          <w:rPr>
            <w:webHidden/>
          </w:rPr>
          <w:t>7</w:t>
        </w:r>
        <w:r>
          <w:rPr>
            <w:webHidden/>
          </w:rPr>
          <w:fldChar w:fldCharType="end"/>
        </w:r>
      </w:hyperlink>
    </w:p>
    <w:p w14:paraId="621B7B86" w14:textId="77777777" w:rsidR="00700D9A" w:rsidRDefault="00700D9A">
      <w:pPr>
        <w:pStyle w:val="TOC2"/>
        <w:rPr>
          <w:rFonts w:asciiTheme="minorHAnsi" w:eastAsiaTheme="minorEastAsia" w:hAnsiTheme="minorHAnsi" w:cstheme="minorBidi"/>
          <w:sz w:val="22"/>
          <w:szCs w:val="22"/>
          <w:lang w:eastAsia="en-AU"/>
        </w:rPr>
      </w:pPr>
      <w:hyperlink w:anchor="_Toc524705851" w:history="1">
        <w:r w:rsidRPr="0064682A">
          <w:rPr>
            <w:rStyle w:val="Hyperlink"/>
          </w:rPr>
          <w:t>Unreasonable restrictions</w:t>
        </w:r>
        <w:r>
          <w:rPr>
            <w:webHidden/>
          </w:rPr>
          <w:tab/>
        </w:r>
        <w:r>
          <w:rPr>
            <w:webHidden/>
          </w:rPr>
          <w:fldChar w:fldCharType="begin"/>
        </w:r>
        <w:r>
          <w:rPr>
            <w:webHidden/>
          </w:rPr>
          <w:instrText xml:space="preserve"> PAGEREF _Toc524705851 \h </w:instrText>
        </w:r>
        <w:r>
          <w:rPr>
            <w:webHidden/>
          </w:rPr>
        </w:r>
        <w:r>
          <w:rPr>
            <w:webHidden/>
          </w:rPr>
          <w:fldChar w:fldCharType="separate"/>
        </w:r>
        <w:r>
          <w:rPr>
            <w:webHidden/>
          </w:rPr>
          <w:t>7</w:t>
        </w:r>
        <w:r>
          <w:rPr>
            <w:webHidden/>
          </w:rPr>
          <w:fldChar w:fldCharType="end"/>
        </w:r>
      </w:hyperlink>
    </w:p>
    <w:p w14:paraId="535EAB01" w14:textId="77777777" w:rsidR="00700D9A" w:rsidRDefault="00700D9A">
      <w:pPr>
        <w:pStyle w:val="TOC2"/>
        <w:rPr>
          <w:rFonts w:asciiTheme="minorHAnsi" w:eastAsiaTheme="minorEastAsia" w:hAnsiTheme="minorHAnsi" w:cstheme="minorBidi"/>
          <w:sz w:val="22"/>
          <w:szCs w:val="22"/>
          <w:lang w:eastAsia="en-AU"/>
        </w:rPr>
      </w:pPr>
      <w:hyperlink w:anchor="_Toc524705852" w:history="1">
        <w:r w:rsidRPr="0064682A">
          <w:rPr>
            <w:rStyle w:val="Hyperlink"/>
          </w:rPr>
          <w:t>Reasonable restrictions</w:t>
        </w:r>
        <w:r>
          <w:rPr>
            <w:webHidden/>
          </w:rPr>
          <w:tab/>
        </w:r>
        <w:r>
          <w:rPr>
            <w:webHidden/>
          </w:rPr>
          <w:fldChar w:fldCharType="begin"/>
        </w:r>
        <w:r>
          <w:rPr>
            <w:webHidden/>
          </w:rPr>
          <w:instrText xml:space="preserve"> PAGEREF _Toc524705852 \h </w:instrText>
        </w:r>
        <w:r>
          <w:rPr>
            <w:webHidden/>
          </w:rPr>
        </w:r>
        <w:r>
          <w:rPr>
            <w:webHidden/>
          </w:rPr>
          <w:fldChar w:fldCharType="separate"/>
        </w:r>
        <w:r>
          <w:rPr>
            <w:webHidden/>
          </w:rPr>
          <w:t>7</w:t>
        </w:r>
        <w:r>
          <w:rPr>
            <w:webHidden/>
          </w:rPr>
          <w:fldChar w:fldCharType="end"/>
        </w:r>
      </w:hyperlink>
    </w:p>
    <w:p w14:paraId="71D331B5" w14:textId="77777777" w:rsidR="00700D9A" w:rsidRDefault="00700D9A">
      <w:pPr>
        <w:pStyle w:val="TOC2"/>
        <w:rPr>
          <w:rFonts w:asciiTheme="minorHAnsi" w:eastAsiaTheme="minorEastAsia" w:hAnsiTheme="minorHAnsi" w:cstheme="minorBidi"/>
          <w:sz w:val="22"/>
          <w:szCs w:val="22"/>
          <w:lang w:eastAsia="en-AU"/>
        </w:rPr>
      </w:pPr>
      <w:hyperlink w:anchor="_Toc524705853" w:history="1">
        <w:r w:rsidRPr="0064682A">
          <w:rPr>
            <w:rStyle w:val="Hyperlink"/>
          </w:rPr>
          <w:t>Continuum of restrictions</w:t>
        </w:r>
        <w:r>
          <w:rPr>
            <w:webHidden/>
          </w:rPr>
          <w:tab/>
        </w:r>
        <w:r>
          <w:rPr>
            <w:webHidden/>
          </w:rPr>
          <w:fldChar w:fldCharType="begin"/>
        </w:r>
        <w:r>
          <w:rPr>
            <w:webHidden/>
          </w:rPr>
          <w:instrText xml:space="preserve"> PAGEREF _Toc524705853 \h </w:instrText>
        </w:r>
        <w:r>
          <w:rPr>
            <w:webHidden/>
          </w:rPr>
        </w:r>
        <w:r>
          <w:rPr>
            <w:webHidden/>
          </w:rPr>
          <w:fldChar w:fldCharType="separate"/>
        </w:r>
        <w:r>
          <w:rPr>
            <w:webHidden/>
          </w:rPr>
          <w:t>8</w:t>
        </w:r>
        <w:r>
          <w:rPr>
            <w:webHidden/>
          </w:rPr>
          <w:fldChar w:fldCharType="end"/>
        </w:r>
      </w:hyperlink>
    </w:p>
    <w:p w14:paraId="4E26DF9E" w14:textId="77777777" w:rsidR="00700D9A" w:rsidRDefault="00700D9A">
      <w:pPr>
        <w:pStyle w:val="TOC1"/>
        <w:rPr>
          <w:rFonts w:asciiTheme="minorHAnsi" w:eastAsiaTheme="minorEastAsia" w:hAnsiTheme="minorHAnsi" w:cstheme="minorBidi"/>
          <w:b w:val="0"/>
          <w:sz w:val="22"/>
          <w:szCs w:val="22"/>
          <w:lang w:eastAsia="en-AU"/>
        </w:rPr>
      </w:pPr>
      <w:hyperlink w:anchor="_Toc524705854" w:history="1">
        <w:r w:rsidRPr="0064682A">
          <w:rPr>
            <w:rStyle w:val="Hyperlink"/>
          </w:rPr>
          <w:t>E-safety</w:t>
        </w:r>
        <w:r>
          <w:rPr>
            <w:webHidden/>
          </w:rPr>
          <w:tab/>
        </w:r>
        <w:r>
          <w:rPr>
            <w:webHidden/>
          </w:rPr>
          <w:fldChar w:fldCharType="begin"/>
        </w:r>
        <w:r>
          <w:rPr>
            <w:webHidden/>
          </w:rPr>
          <w:instrText xml:space="preserve"> PAGEREF _Toc524705854 \h </w:instrText>
        </w:r>
        <w:r>
          <w:rPr>
            <w:webHidden/>
          </w:rPr>
        </w:r>
        <w:r>
          <w:rPr>
            <w:webHidden/>
          </w:rPr>
          <w:fldChar w:fldCharType="separate"/>
        </w:r>
        <w:r>
          <w:rPr>
            <w:webHidden/>
          </w:rPr>
          <w:t>9</w:t>
        </w:r>
        <w:r>
          <w:rPr>
            <w:webHidden/>
          </w:rPr>
          <w:fldChar w:fldCharType="end"/>
        </w:r>
      </w:hyperlink>
    </w:p>
    <w:p w14:paraId="445D9BC5" w14:textId="77777777" w:rsidR="00700D9A" w:rsidRDefault="00700D9A">
      <w:pPr>
        <w:pStyle w:val="TOC1"/>
        <w:rPr>
          <w:rFonts w:asciiTheme="minorHAnsi" w:eastAsiaTheme="minorEastAsia" w:hAnsiTheme="minorHAnsi" w:cstheme="minorBidi"/>
          <w:b w:val="0"/>
          <w:sz w:val="22"/>
          <w:szCs w:val="22"/>
          <w:lang w:eastAsia="en-AU"/>
        </w:rPr>
      </w:pPr>
      <w:hyperlink w:anchor="_Toc524705855" w:history="1">
        <w:r w:rsidRPr="0064682A">
          <w:rPr>
            <w:rStyle w:val="Hyperlink"/>
          </w:rPr>
          <w:t>Summary</w:t>
        </w:r>
        <w:r>
          <w:rPr>
            <w:webHidden/>
          </w:rPr>
          <w:tab/>
        </w:r>
        <w:r>
          <w:rPr>
            <w:webHidden/>
          </w:rPr>
          <w:fldChar w:fldCharType="begin"/>
        </w:r>
        <w:r>
          <w:rPr>
            <w:webHidden/>
          </w:rPr>
          <w:instrText xml:space="preserve"> PAGEREF _Toc524705855 \h </w:instrText>
        </w:r>
        <w:r>
          <w:rPr>
            <w:webHidden/>
          </w:rPr>
        </w:r>
        <w:r>
          <w:rPr>
            <w:webHidden/>
          </w:rPr>
          <w:fldChar w:fldCharType="separate"/>
        </w:r>
        <w:r>
          <w:rPr>
            <w:webHidden/>
          </w:rPr>
          <w:t>10</w:t>
        </w:r>
        <w:r>
          <w:rPr>
            <w:webHidden/>
          </w:rPr>
          <w:fldChar w:fldCharType="end"/>
        </w:r>
      </w:hyperlink>
    </w:p>
    <w:p w14:paraId="562DB992" w14:textId="77777777" w:rsidR="00700D9A" w:rsidRDefault="00700D9A">
      <w:pPr>
        <w:pStyle w:val="TOC2"/>
        <w:rPr>
          <w:rFonts w:asciiTheme="minorHAnsi" w:eastAsiaTheme="minorEastAsia" w:hAnsiTheme="minorHAnsi" w:cstheme="minorBidi"/>
          <w:sz w:val="22"/>
          <w:szCs w:val="22"/>
          <w:lang w:eastAsia="en-AU"/>
        </w:rPr>
      </w:pPr>
      <w:hyperlink w:anchor="_Toc524705856" w:history="1">
        <w:r w:rsidRPr="0064682A">
          <w:rPr>
            <w:rStyle w:val="Hyperlink"/>
          </w:rPr>
          <w:t>Key measures</w:t>
        </w:r>
        <w:r>
          <w:rPr>
            <w:webHidden/>
          </w:rPr>
          <w:tab/>
        </w:r>
        <w:r>
          <w:rPr>
            <w:webHidden/>
          </w:rPr>
          <w:fldChar w:fldCharType="begin"/>
        </w:r>
        <w:r>
          <w:rPr>
            <w:webHidden/>
          </w:rPr>
          <w:instrText xml:space="preserve"> PAGEREF _Toc524705856 \h </w:instrText>
        </w:r>
        <w:r>
          <w:rPr>
            <w:webHidden/>
          </w:rPr>
        </w:r>
        <w:r>
          <w:rPr>
            <w:webHidden/>
          </w:rPr>
          <w:fldChar w:fldCharType="separate"/>
        </w:r>
        <w:r>
          <w:rPr>
            <w:webHidden/>
          </w:rPr>
          <w:t>10</w:t>
        </w:r>
        <w:r>
          <w:rPr>
            <w:webHidden/>
          </w:rPr>
          <w:fldChar w:fldCharType="end"/>
        </w:r>
      </w:hyperlink>
    </w:p>
    <w:p w14:paraId="3334EA2F" w14:textId="77777777" w:rsidR="00700D9A" w:rsidRDefault="00700D9A">
      <w:pPr>
        <w:pStyle w:val="TOC1"/>
        <w:rPr>
          <w:rFonts w:asciiTheme="minorHAnsi" w:eastAsiaTheme="minorEastAsia" w:hAnsiTheme="minorHAnsi" w:cstheme="minorBidi"/>
          <w:b w:val="0"/>
          <w:sz w:val="22"/>
          <w:szCs w:val="22"/>
          <w:lang w:eastAsia="en-AU"/>
        </w:rPr>
      </w:pPr>
      <w:hyperlink w:anchor="_Toc524705857" w:history="1">
        <w:r w:rsidRPr="0064682A">
          <w:rPr>
            <w:rStyle w:val="Hyperlink"/>
          </w:rPr>
          <w:t>Further information</w:t>
        </w:r>
        <w:r>
          <w:rPr>
            <w:webHidden/>
          </w:rPr>
          <w:tab/>
        </w:r>
        <w:r>
          <w:rPr>
            <w:webHidden/>
          </w:rPr>
          <w:fldChar w:fldCharType="begin"/>
        </w:r>
        <w:r>
          <w:rPr>
            <w:webHidden/>
          </w:rPr>
          <w:instrText xml:space="preserve"> PAGEREF _Toc524705857 \h </w:instrText>
        </w:r>
        <w:r>
          <w:rPr>
            <w:webHidden/>
          </w:rPr>
        </w:r>
        <w:r>
          <w:rPr>
            <w:webHidden/>
          </w:rPr>
          <w:fldChar w:fldCharType="separate"/>
        </w:r>
        <w:r>
          <w:rPr>
            <w:webHidden/>
          </w:rPr>
          <w:t>10</w:t>
        </w:r>
        <w:r>
          <w:rPr>
            <w:webHidden/>
          </w:rPr>
          <w:fldChar w:fldCharType="end"/>
        </w:r>
      </w:hyperlink>
    </w:p>
    <w:p w14:paraId="1008E63E" w14:textId="77777777" w:rsidR="00700D9A" w:rsidRDefault="00700D9A">
      <w:pPr>
        <w:pStyle w:val="TOC2"/>
        <w:rPr>
          <w:rFonts w:asciiTheme="minorHAnsi" w:eastAsiaTheme="minorEastAsia" w:hAnsiTheme="minorHAnsi" w:cstheme="minorBidi"/>
          <w:sz w:val="22"/>
          <w:szCs w:val="22"/>
          <w:lang w:eastAsia="en-AU"/>
        </w:rPr>
      </w:pPr>
      <w:hyperlink w:anchor="_Toc524705858" w:history="1">
        <w:r w:rsidRPr="0064682A">
          <w:rPr>
            <w:rStyle w:val="Hyperlink"/>
            <w:rFonts w:eastAsia="Times"/>
          </w:rPr>
          <w:t>Appendix 1: Relevant sections of the Charter of Human Rights and Responsibilities Act</w:t>
        </w:r>
        <w:r>
          <w:rPr>
            <w:webHidden/>
          </w:rPr>
          <w:tab/>
        </w:r>
        <w:r>
          <w:rPr>
            <w:webHidden/>
          </w:rPr>
          <w:fldChar w:fldCharType="begin"/>
        </w:r>
        <w:r>
          <w:rPr>
            <w:webHidden/>
          </w:rPr>
          <w:instrText xml:space="preserve"> PAGEREF _Toc524705858 \h </w:instrText>
        </w:r>
        <w:r>
          <w:rPr>
            <w:webHidden/>
          </w:rPr>
        </w:r>
        <w:r>
          <w:rPr>
            <w:webHidden/>
          </w:rPr>
          <w:fldChar w:fldCharType="separate"/>
        </w:r>
        <w:r>
          <w:rPr>
            <w:webHidden/>
          </w:rPr>
          <w:t>11</w:t>
        </w:r>
        <w:r>
          <w:rPr>
            <w:webHidden/>
          </w:rPr>
          <w:fldChar w:fldCharType="end"/>
        </w:r>
      </w:hyperlink>
    </w:p>
    <w:p w14:paraId="407591D8" w14:textId="77777777" w:rsidR="00700D9A" w:rsidRDefault="00700D9A">
      <w:pPr>
        <w:pStyle w:val="TOC2"/>
        <w:rPr>
          <w:rFonts w:asciiTheme="minorHAnsi" w:eastAsiaTheme="minorEastAsia" w:hAnsiTheme="minorHAnsi" w:cstheme="minorBidi"/>
          <w:sz w:val="22"/>
          <w:szCs w:val="22"/>
          <w:lang w:eastAsia="en-AU"/>
        </w:rPr>
      </w:pPr>
      <w:hyperlink w:anchor="_Toc524705859" w:history="1">
        <w:r w:rsidRPr="0064682A">
          <w:rPr>
            <w:rStyle w:val="Hyperlink"/>
          </w:rPr>
          <w:t>Appendix 2: Relevant sections of the Mental Health Act</w:t>
        </w:r>
        <w:r>
          <w:rPr>
            <w:webHidden/>
          </w:rPr>
          <w:tab/>
        </w:r>
        <w:r>
          <w:rPr>
            <w:webHidden/>
          </w:rPr>
          <w:fldChar w:fldCharType="begin"/>
        </w:r>
        <w:r>
          <w:rPr>
            <w:webHidden/>
          </w:rPr>
          <w:instrText xml:space="preserve"> PAGEREF _Toc524705859 \h </w:instrText>
        </w:r>
        <w:r>
          <w:rPr>
            <w:webHidden/>
          </w:rPr>
        </w:r>
        <w:r>
          <w:rPr>
            <w:webHidden/>
          </w:rPr>
          <w:fldChar w:fldCharType="separate"/>
        </w:r>
        <w:r>
          <w:rPr>
            <w:webHidden/>
          </w:rPr>
          <w:t>12</w:t>
        </w:r>
        <w:r>
          <w:rPr>
            <w:webHidden/>
          </w:rPr>
          <w:fldChar w:fldCharType="end"/>
        </w:r>
      </w:hyperlink>
    </w:p>
    <w:p w14:paraId="7968E395" w14:textId="77777777" w:rsidR="00700D9A" w:rsidRDefault="00700D9A">
      <w:pPr>
        <w:pStyle w:val="TOC2"/>
        <w:rPr>
          <w:rFonts w:asciiTheme="minorHAnsi" w:eastAsiaTheme="minorEastAsia" w:hAnsiTheme="minorHAnsi" w:cstheme="minorBidi"/>
          <w:sz w:val="22"/>
          <w:szCs w:val="22"/>
          <w:lang w:eastAsia="en-AU"/>
        </w:rPr>
      </w:pPr>
      <w:hyperlink w:anchor="_Toc524705860" w:history="1">
        <w:r w:rsidRPr="0064682A">
          <w:rPr>
            <w:rStyle w:val="Hyperlink"/>
            <w:rFonts w:eastAsia="Times"/>
          </w:rPr>
          <w:t>Appendix 3: Relevant sections of the Health Records Act</w:t>
        </w:r>
        <w:r>
          <w:rPr>
            <w:webHidden/>
          </w:rPr>
          <w:tab/>
        </w:r>
        <w:r>
          <w:rPr>
            <w:webHidden/>
          </w:rPr>
          <w:fldChar w:fldCharType="begin"/>
        </w:r>
        <w:r>
          <w:rPr>
            <w:webHidden/>
          </w:rPr>
          <w:instrText xml:space="preserve"> PAGEREF _Toc524705860 \h </w:instrText>
        </w:r>
        <w:r>
          <w:rPr>
            <w:webHidden/>
          </w:rPr>
        </w:r>
        <w:r>
          <w:rPr>
            <w:webHidden/>
          </w:rPr>
          <w:fldChar w:fldCharType="separate"/>
        </w:r>
        <w:r>
          <w:rPr>
            <w:webHidden/>
          </w:rPr>
          <w:t>13</w:t>
        </w:r>
        <w:r>
          <w:rPr>
            <w:webHidden/>
          </w:rPr>
          <w:fldChar w:fldCharType="end"/>
        </w:r>
      </w:hyperlink>
    </w:p>
    <w:p w14:paraId="47EFBC58" w14:textId="77777777" w:rsidR="00700D9A" w:rsidRDefault="00700D9A">
      <w:pPr>
        <w:pStyle w:val="TOC2"/>
        <w:rPr>
          <w:rFonts w:asciiTheme="minorHAnsi" w:eastAsiaTheme="minorEastAsia" w:hAnsiTheme="minorHAnsi" w:cstheme="minorBidi"/>
          <w:sz w:val="22"/>
          <w:szCs w:val="22"/>
          <w:lang w:eastAsia="en-AU"/>
        </w:rPr>
      </w:pPr>
      <w:hyperlink w:anchor="_Toc524705861" w:history="1">
        <w:r w:rsidRPr="0064682A">
          <w:rPr>
            <w:rStyle w:val="Hyperlink"/>
            <w:rFonts w:eastAsia="Times"/>
          </w:rPr>
          <w:t>Appendix 4: Relevant sections of the Surveillance Devices Act</w:t>
        </w:r>
        <w:r>
          <w:rPr>
            <w:webHidden/>
          </w:rPr>
          <w:tab/>
        </w:r>
        <w:r>
          <w:rPr>
            <w:webHidden/>
          </w:rPr>
          <w:fldChar w:fldCharType="begin"/>
        </w:r>
        <w:r>
          <w:rPr>
            <w:webHidden/>
          </w:rPr>
          <w:instrText xml:space="preserve"> PAGEREF _Toc524705861 \h </w:instrText>
        </w:r>
        <w:r>
          <w:rPr>
            <w:webHidden/>
          </w:rPr>
        </w:r>
        <w:r>
          <w:rPr>
            <w:webHidden/>
          </w:rPr>
          <w:fldChar w:fldCharType="separate"/>
        </w:r>
        <w:r>
          <w:rPr>
            <w:webHidden/>
          </w:rPr>
          <w:t>14</w:t>
        </w:r>
        <w:r>
          <w:rPr>
            <w:webHidden/>
          </w:rPr>
          <w:fldChar w:fldCharType="end"/>
        </w:r>
      </w:hyperlink>
    </w:p>
    <w:p w14:paraId="2157C83D" w14:textId="77777777" w:rsidR="003E2E12" w:rsidRPr="003072C6" w:rsidRDefault="00E15DA9" w:rsidP="00213772">
      <w:pPr>
        <w:pStyle w:val="TOC2"/>
        <w:rPr>
          <w:noProof w:val="0"/>
        </w:rPr>
      </w:pPr>
      <w:r w:rsidRPr="003072C6">
        <w:rPr>
          <w:noProof w:val="0"/>
        </w:rPr>
        <w:fldChar w:fldCharType="end"/>
      </w:r>
    </w:p>
    <w:p w14:paraId="3FA9913F" w14:textId="77777777" w:rsidR="00AC0C3B" w:rsidRPr="003072C6" w:rsidRDefault="003E2E12" w:rsidP="00E91933">
      <w:pPr>
        <w:pStyle w:val="DHHSbody"/>
      </w:pPr>
      <w:r w:rsidRPr="003072C6">
        <w:br w:type="page"/>
      </w:r>
    </w:p>
    <w:p w14:paraId="6735E37E" w14:textId="77777777" w:rsidR="00AC0C3B" w:rsidRPr="003072C6" w:rsidRDefault="00AC0C3B" w:rsidP="00E91933">
      <w:pPr>
        <w:pStyle w:val="DHHSbody"/>
        <w:sectPr w:rsidR="00AC0C3B" w:rsidRPr="003072C6" w:rsidSect="00C51B1C">
          <w:pgSz w:w="11906" w:h="16838"/>
          <w:pgMar w:top="1701" w:right="1304" w:bottom="1134" w:left="1304" w:header="454" w:footer="567" w:gutter="0"/>
          <w:cols w:space="720"/>
          <w:docGrid w:linePitch="360"/>
        </w:sectPr>
      </w:pPr>
    </w:p>
    <w:p w14:paraId="19654F2A" w14:textId="77777777" w:rsidR="00260E65" w:rsidRDefault="00260E65" w:rsidP="00DE624F">
      <w:pPr>
        <w:pStyle w:val="DHHSbody"/>
        <w:rPr>
          <w:color w:val="004EA8"/>
          <w:sz w:val="44"/>
          <w:szCs w:val="44"/>
        </w:rPr>
      </w:pPr>
      <w:r>
        <w:lastRenderedPageBreak/>
        <w:br w:type="page"/>
      </w:r>
    </w:p>
    <w:p w14:paraId="5E9AB16F" w14:textId="77777777" w:rsidR="00A23E74" w:rsidRDefault="00A23E74" w:rsidP="00A23E74">
      <w:pPr>
        <w:pStyle w:val="Heading1"/>
      </w:pPr>
      <w:bookmarkStart w:id="1" w:name="_Toc524705843"/>
      <w:r>
        <w:lastRenderedPageBreak/>
        <w:t>Introduction</w:t>
      </w:r>
      <w:bookmarkEnd w:id="1"/>
    </w:p>
    <w:p w14:paraId="6F95CB7C" w14:textId="30CD5126" w:rsidR="00F4590A" w:rsidRDefault="00A23E74" w:rsidP="00F4590A">
      <w:pPr>
        <w:pStyle w:val="DHHSbody"/>
      </w:pPr>
      <w:r>
        <w:t>In accordance with s.</w:t>
      </w:r>
      <w:r w:rsidR="00F4590A">
        <w:t xml:space="preserve"> 121(1)</w:t>
      </w:r>
      <w:r w:rsidR="000B640B">
        <w:t>(</w:t>
      </w:r>
      <w:r w:rsidR="00F4590A">
        <w:t>a</w:t>
      </w:r>
      <w:r w:rsidR="000B640B">
        <w:t>)</w:t>
      </w:r>
      <w:r w:rsidR="00F4590A">
        <w:t xml:space="preserve"> of the </w:t>
      </w:r>
      <w:r w:rsidR="00F4590A" w:rsidRPr="00A23E74">
        <w:rPr>
          <w:i/>
        </w:rPr>
        <w:t>Mental Health Act 2014</w:t>
      </w:r>
      <w:r w:rsidR="00F4590A">
        <w:t>, the Chief Psychiatrist’</w:t>
      </w:r>
      <w:r w:rsidR="00787295">
        <w:t>s functions include</w:t>
      </w:r>
      <w:r w:rsidR="00F4590A">
        <w:t xml:space="preserve"> providing standards, guidelines and practice directions to mental health service providers. </w:t>
      </w:r>
    </w:p>
    <w:p w14:paraId="60AC3DEB" w14:textId="77777777" w:rsidR="00F4590A" w:rsidRPr="004645A0" w:rsidRDefault="00F4590A" w:rsidP="004645A0">
      <w:pPr>
        <w:pStyle w:val="Heading2"/>
      </w:pPr>
      <w:bookmarkStart w:id="2" w:name="_Toc524705844"/>
      <w:r w:rsidRPr="004645A0">
        <w:t>Purpose</w:t>
      </w:r>
      <w:bookmarkEnd w:id="2"/>
      <w:r w:rsidRPr="004645A0">
        <w:t xml:space="preserve"> </w:t>
      </w:r>
    </w:p>
    <w:p w14:paraId="4AD05389" w14:textId="152971BB" w:rsidR="00F4590A" w:rsidRPr="00F048C5" w:rsidRDefault="00F4590A" w:rsidP="00260E65">
      <w:pPr>
        <w:pStyle w:val="DHHSbody"/>
      </w:pPr>
      <w:bookmarkStart w:id="3" w:name="_Toc440566509"/>
      <w:r w:rsidRPr="00F048C5">
        <w:t xml:space="preserve">This guideline has been produced to </w:t>
      </w:r>
      <w:r w:rsidR="009F48B1">
        <w:t xml:space="preserve">help </w:t>
      </w:r>
      <w:r w:rsidRPr="00F048C5">
        <w:t>desi</w:t>
      </w:r>
      <w:r w:rsidR="009F48B1">
        <w:t>gnated mental health services to develop</w:t>
      </w:r>
      <w:r w:rsidRPr="00F048C5">
        <w:t xml:space="preserve"> their own policies and guidelines relating to the use of electronic communication devices. The principles presented in this guideline are informed by, but not limited to, the following legislative frameworks:</w:t>
      </w:r>
    </w:p>
    <w:p w14:paraId="35218F94" w14:textId="12D10D28" w:rsidR="00F4590A" w:rsidRPr="00F048C5" w:rsidRDefault="00F4590A" w:rsidP="00717D76">
      <w:pPr>
        <w:pStyle w:val="DHHSbullet1"/>
      </w:pPr>
      <w:r w:rsidRPr="00717D76">
        <w:rPr>
          <w:i/>
        </w:rPr>
        <w:t>Charter of Human Rights and Responsibilities Act 2001</w:t>
      </w:r>
      <w:r w:rsidRPr="00F048C5">
        <w:t xml:space="preserve"> (</w:t>
      </w:r>
      <w:r w:rsidR="003A49C8">
        <w:t>A</w:t>
      </w:r>
      <w:r w:rsidRPr="00F048C5">
        <w:t>ppendix 1)</w:t>
      </w:r>
    </w:p>
    <w:p w14:paraId="638DEE51" w14:textId="0C935091" w:rsidR="00F4590A" w:rsidRPr="00F048C5" w:rsidRDefault="00F4590A" w:rsidP="00717D76">
      <w:pPr>
        <w:pStyle w:val="DHHSbullet1"/>
      </w:pPr>
      <w:r w:rsidRPr="00717D76">
        <w:rPr>
          <w:i/>
        </w:rPr>
        <w:t>Mental Health Act 2014</w:t>
      </w:r>
      <w:r w:rsidRPr="00F048C5">
        <w:t xml:space="preserve"> (</w:t>
      </w:r>
      <w:r w:rsidR="003A49C8">
        <w:t>A</w:t>
      </w:r>
      <w:r w:rsidRPr="00F048C5">
        <w:t>ppendix 2)</w:t>
      </w:r>
    </w:p>
    <w:p w14:paraId="56FC7330" w14:textId="69766AD5" w:rsidR="00F4590A" w:rsidRPr="00F048C5" w:rsidRDefault="00F4590A" w:rsidP="00717D76">
      <w:pPr>
        <w:pStyle w:val="DHHSbullet1"/>
      </w:pPr>
      <w:r w:rsidRPr="00717D76">
        <w:rPr>
          <w:i/>
        </w:rPr>
        <w:t>Health Records Act 2001</w:t>
      </w:r>
      <w:r w:rsidRPr="00F048C5">
        <w:t xml:space="preserve"> (</w:t>
      </w:r>
      <w:r w:rsidR="003A49C8">
        <w:t>A</w:t>
      </w:r>
      <w:r w:rsidRPr="00F048C5">
        <w:t>ppendix 3)</w:t>
      </w:r>
    </w:p>
    <w:p w14:paraId="2DDBE981" w14:textId="79B6CEDE" w:rsidR="00F4590A" w:rsidRDefault="00F4590A" w:rsidP="00717D76">
      <w:pPr>
        <w:pStyle w:val="DHHSbullet1"/>
      </w:pPr>
      <w:r w:rsidRPr="00717D76">
        <w:rPr>
          <w:i/>
        </w:rPr>
        <w:t>Surveillance Devices Act 1999</w:t>
      </w:r>
      <w:r w:rsidRPr="00F048C5">
        <w:t xml:space="preserve"> (</w:t>
      </w:r>
      <w:r w:rsidR="003A49C8">
        <w:t>A</w:t>
      </w:r>
      <w:r w:rsidRPr="00F048C5">
        <w:t>ppendix 4)</w:t>
      </w:r>
      <w:r w:rsidR="00717D76">
        <w:t>.</w:t>
      </w:r>
    </w:p>
    <w:p w14:paraId="6899D75F" w14:textId="77777777" w:rsidR="000C0532" w:rsidRDefault="000C0532" w:rsidP="00A17CA8">
      <w:pPr>
        <w:pStyle w:val="DHHSbodynospace"/>
      </w:pPr>
    </w:p>
    <w:tbl>
      <w:tblPr>
        <w:tblStyle w:val="TableGrid"/>
        <w:tblW w:w="0" w:type="auto"/>
        <w:tblLook w:val="04A0" w:firstRow="1" w:lastRow="0" w:firstColumn="1" w:lastColumn="0" w:noHBand="0" w:noVBand="1"/>
      </w:tblPr>
      <w:tblGrid>
        <w:gridCol w:w="9288"/>
      </w:tblGrid>
      <w:tr w:rsidR="000C0532" w14:paraId="21914A89" w14:textId="77777777" w:rsidTr="00A25F0F">
        <w:tc>
          <w:tcPr>
            <w:tcW w:w="9288" w:type="dxa"/>
            <w:shd w:val="clear" w:color="auto" w:fill="E0EAF5"/>
          </w:tcPr>
          <w:p w14:paraId="70E84BB9" w14:textId="77777777" w:rsidR="000C0532" w:rsidRPr="000C0532" w:rsidRDefault="000C0532" w:rsidP="000C0532">
            <w:pPr>
              <w:pStyle w:val="DHHStablecolhead"/>
              <w:rPr>
                <w:rFonts w:eastAsia="Times"/>
              </w:rPr>
            </w:pPr>
            <w:r w:rsidRPr="000C0532">
              <w:rPr>
                <w:rFonts w:eastAsia="Times"/>
              </w:rPr>
              <w:t>Key messages</w:t>
            </w:r>
          </w:p>
          <w:p w14:paraId="1AADEDD9" w14:textId="71374A3F" w:rsidR="000C0532" w:rsidRPr="000C0532" w:rsidRDefault="000C0532" w:rsidP="000C0532">
            <w:pPr>
              <w:pStyle w:val="DHHStablebullet"/>
              <w:rPr>
                <w:rFonts w:eastAsia="Times"/>
              </w:rPr>
            </w:pPr>
            <w:r w:rsidRPr="000C0532">
              <w:rPr>
                <w:rFonts w:eastAsia="Times"/>
              </w:rPr>
              <w:t>Every patient has the right to enjoy his or her human rights, without discrimination (Charter of Human Rights and Responsibilities Act)</w:t>
            </w:r>
            <w:r w:rsidR="009F48B1">
              <w:rPr>
                <w:rFonts w:eastAsia="Times"/>
              </w:rPr>
              <w:t>.</w:t>
            </w:r>
          </w:p>
          <w:p w14:paraId="1D8A5834" w14:textId="69FFDF2C" w:rsidR="000C0532" w:rsidRPr="000C0532" w:rsidRDefault="000C0532" w:rsidP="000C0532">
            <w:pPr>
              <w:pStyle w:val="DHHStablebullet"/>
              <w:rPr>
                <w:rFonts w:eastAsia="Times"/>
              </w:rPr>
            </w:pPr>
            <w:r w:rsidRPr="000C0532">
              <w:rPr>
                <w:rFonts w:eastAsia="Times"/>
              </w:rPr>
              <w:t>Patients have the right to privately communicate information of all kinds (including audio and visual) and to communicate lawfully with any person (Mental Health Act)</w:t>
            </w:r>
            <w:r w:rsidR="009F48B1">
              <w:rPr>
                <w:rFonts w:eastAsia="Times"/>
              </w:rPr>
              <w:t>.</w:t>
            </w:r>
          </w:p>
          <w:p w14:paraId="5F668979" w14:textId="42F68B34" w:rsidR="000C0532" w:rsidRPr="000C0532" w:rsidRDefault="000C0532" w:rsidP="000C0532">
            <w:pPr>
              <w:pStyle w:val="DHHStablebullet"/>
              <w:rPr>
                <w:rFonts w:eastAsia="Times"/>
              </w:rPr>
            </w:pPr>
            <w:r w:rsidRPr="000C0532">
              <w:rPr>
                <w:rFonts w:eastAsia="Times"/>
              </w:rPr>
              <w:t>A patient must not be deprived of his or her property other than in accordance with law (Charter of Human Rights and Responsibilities</w:t>
            </w:r>
            <w:r w:rsidR="000B640B">
              <w:rPr>
                <w:rFonts w:eastAsia="Times"/>
              </w:rPr>
              <w:t xml:space="preserve"> Act</w:t>
            </w:r>
            <w:r w:rsidRPr="000C0532">
              <w:rPr>
                <w:rFonts w:eastAsia="Times"/>
              </w:rPr>
              <w:t>)</w:t>
            </w:r>
            <w:r w:rsidR="009F48B1">
              <w:rPr>
                <w:rFonts w:eastAsia="Times"/>
              </w:rPr>
              <w:t>.</w:t>
            </w:r>
          </w:p>
          <w:p w14:paraId="7BB4C4D7" w14:textId="1075D48B" w:rsidR="000C0532" w:rsidRPr="000C0532" w:rsidRDefault="000C0532" w:rsidP="000C0532">
            <w:pPr>
              <w:pStyle w:val="DHHStablebullet"/>
              <w:rPr>
                <w:rFonts w:eastAsia="Times"/>
              </w:rPr>
            </w:pPr>
            <w:r w:rsidRPr="000C0532">
              <w:rPr>
                <w:rFonts w:eastAsia="Times"/>
              </w:rPr>
              <w:t xml:space="preserve">An authorised psychiatrist may direct staff, in writing, to restrict communication if this is needed to protect health, safety and wellbeing (conditions and exceptions are provided in the Mental Health Act). </w:t>
            </w:r>
          </w:p>
          <w:p w14:paraId="60F05CCC" w14:textId="514A5324" w:rsidR="000C0532" w:rsidRPr="000C0532" w:rsidRDefault="000C0532" w:rsidP="000C0532">
            <w:pPr>
              <w:pStyle w:val="DHHStablebullet"/>
              <w:rPr>
                <w:rFonts w:eastAsia="Times"/>
              </w:rPr>
            </w:pPr>
            <w:r w:rsidRPr="000C0532">
              <w:rPr>
                <w:rFonts w:eastAsia="Times"/>
              </w:rPr>
              <w:t>If a patient’s right to communicate is restricted, this must be effected in the least restrictive way possible, within the context of a patient-centred, recovery</w:t>
            </w:r>
            <w:r w:rsidR="009F48B1">
              <w:rPr>
                <w:rFonts w:eastAsia="Times"/>
              </w:rPr>
              <w:t>-</w:t>
            </w:r>
            <w:r w:rsidRPr="000C0532">
              <w:rPr>
                <w:rFonts w:eastAsia="Times"/>
              </w:rPr>
              <w:t>focused approach, with due consideration to alternative options to communicate. Restrictions needs to be reviewed regularly and ceased immediately</w:t>
            </w:r>
            <w:r w:rsidR="009F48B1">
              <w:rPr>
                <w:rFonts w:eastAsia="Times"/>
              </w:rPr>
              <w:t xml:space="preserve"> when</w:t>
            </w:r>
            <w:r w:rsidRPr="000C0532">
              <w:rPr>
                <w:rFonts w:eastAsia="Times"/>
              </w:rPr>
              <w:t xml:space="preserve"> no longer necessary (Mental Health Act)</w:t>
            </w:r>
            <w:r w:rsidR="009F48B1">
              <w:rPr>
                <w:rFonts w:eastAsia="Times"/>
              </w:rPr>
              <w:t>.</w:t>
            </w:r>
          </w:p>
          <w:p w14:paraId="0024DF25" w14:textId="109053B9" w:rsidR="000C0532" w:rsidRDefault="000C0532">
            <w:pPr>
              <w:pStyle w:val="DHHStablebullet"/>
              <w:rPr>
                <w:rFonts w:eastAsia="Times"/>
              </w:rPr>
            </w:pPr>
            <w:r w:rsidRPr="000C0532">
              <w:rPr>
                <w:rFonts w:eastAsia="Times"/>
              </w:rPr>
              <w:t>Recording of ‘health information’ using an electronic communication device is subject to health privacy principles (Health Records Act and Surveillance Devices Act)</w:t>
            </w:r>
            <w:r w:rsidR="009F48B1">
              <w:rPr>
                <w:rFonts w:eastAsia="Times"/>
              </w:rPr>
              <w:t>.</w:t>
            </w:r>
          </w:p>
        </w:tc>
      </w:tr>
    </w:tbl>
    <w:p w14:paraId="5DE5372C" w14:textId="77777777" w:rsidR="00F048C5" w:rsidRPr="004645A0" w:rsidRDefault="00F048C5" w:rsidP="004645A0">
      <w:pPr>
        <w:pStyle w:val="Heading2"/>
      </w:pPr>
      <w:bookmarkStart w:id="4" w:name="_Toc524705845"/>
      <w:bookmarkEnd w:id="3"/>
      <w:r w:rsidRPr="004645A0">
        <w:t>Terminology</w:t>
      </w:r>
      <w:bookmarkEnd w:id="4"/>
    </w:p>
    <w:p w14:paraId="3D826D33" w14:textId="6EA258E6" w:rsidR="00F048C5" w:rsidRPr="00F048C5" w:rsidRDefault="000B640B" w:rsidP="000B640B">
      <w:pPr>
        <w:pStyle w:val="DHHSbody"/>
        <w:rPr>
          <w:rFonts w:eastAsia="MS Gothic"/>
          <w:b/>
          <w:bCs/>
          <w:sz w:val="24"/>
          <w:szCs w:val="26"/>
        </w:rPr>
      </w:pPr>
      <w:r>
        <w:t>F</w:t>
      </w:r>
      <w:r w:rsidRPr="00F048C5">
        <w:t xml:space="preserve">or the purpose of this </w:t>
      </w:r>
      <w:r>
        <w:t>g</w:t>
      </w:r>
      <w:r w:rsidRPr="00F048C5">
        <w:t>uideline</w:t>
      </w:r>
      <w:r>
        <w:t>,</w:t>
      </w:r>
      <w:r w:rsidRPr="00F048C5">
        <w:t xml:space="preserve"> </w:t>
      </w:r>
      <w:r>
        <w:t>e</w:t>
      </w:r>
      <w:r w:rsidRPr="00F048C5">
        <w:t>lectronic communication devices include</w:t>
      </w:r>
      <w:r w:rsidR="00F048C5" w:rsidRPr="009F48B1">
        <w:t>:</w:t>
      </w:r>
      <w:r w:rsidR="00F048C5" w:rsidRPr="00F048C5">
        <w:rPr>
          <w:rFonts w:eastAsia="MS Gothic"/>
          <w:b/>
          <w:bCs/>
          <w:sz w:val="24"/>
          <w:szCs w:val="26"/>
        </w:rPr>
        <w:t xml:space="preserve"> </w:t>
      </w:r>
    </w:p>
    <w:p w14:paraId="4FA40BAD" w14:textId="5757CD0B" w:rsidR="00F048C5" w:rsidRPr="00F048C5" w:rsidRDefault="003A49C8" w:rsidP="00260E65">
      <w:pPr>
        <w:pStyle w:val="DHHSbullet1"/>
      </w:pPr>
      <w:r>
        <w:t>m</w:t>
      </w:r>
      <w:r w:rsidR="00F048C5" w:rsidRPr="00F048C5">
        <w:t>obile phones</w:t>
      </w:r>
    </w:p>
    <w:p w14:paraId="6360D6FE" w14:textId="179897A1" w:rsidR="00F048C5" w:rsidRPr="00F048C5" w:rsidRDefault="003A49C8" w:rsidP="00260E65">
      <w:pPr>
        <w:pStyle w:val="DHHSbullet1"/>
      </w:pPr>
      <w:r>
        <w:t>t</w:t>
      </w:r>
      <w:r w:rsidR="00F048C5" w:rsidRPr="00F048C5">
        <w:t>ablet devices</w:t>
      </w:r>
    </w:p>
    <w:p w14:paraId="1524C4BD" w14:textId="4644053D" w:rsidR="00F048C5" w:rsidRPr="00F048C5" w:rsidRDefault="003A49C8" w:rsidP="00260E65">
      <w:pPr>
        <w:pStyle w:val="DHHSbullet1lastline"/>
      </w:pPr>
      <w:r>
        <w:t>c</w:t>
      </w:r>
      <w:r w:rsidR="00F048C5" w:rsidRPr="00F048C5">
        <w:t>omputers</w:t>
      </w:r>
      <w:r>
        <w:t>.</w:t>
      </w:r>
    </w:p>
    <w:p w14:paraId="3E9C40CE" w14:textId="77777777" w:rsidR="00F048C5" w:rsidRDefault="00F048C5" w:rsidP="00260E65">
      <w:pPr>
        <w:pStyle w:val="DHHSbody"/>
      </w:pPr>
      <w:r w:rsidRPr="00F048C5">
        <w:t>People admitted to inpatient units on a compulsory basis are often termed ‘patients’. Those receiving treatment voluntarily are often termed ‘consumers’. The term ‘patient’ is used throughout this document to refer to people in both categories for consistency.</w:t>
      </w:r>
    </w:p>
    <w:p w14:paraId="5C280A4C" w14:textId="77777777" w:rsidR="0046387C" w:rsidRDefault="0046387C">
      <w:pPr>
        <w:rPr>
          <w:rFonts w:ascii="Arial" w:hAnsi="Arial"/>
          <w:b/>
          <w:color w:val="004EA8"/>
          <w:sz w:val="28"/>
          <w:szCs w:val="28"/>
        </w:rPr>
      </w:pPr>
      <w:r>
        <w:br w:type="page"/>
      </w:r>
    </w:p>
    <w:p w14:paraId="0B6EF6E1" w14:textId="014C0352" w:rsidR="00F048C5" w:rsidRPr="00F048C5" w:rsidRDefault="00F048C5" w:rsidP="0046387C">
      <w:pPr>
        <w:pStyle w:val="Heading1"/>
        <w:rPr>
          <w:rFonts w:eastAsia="Times"/>
          <w:color w:val="auto"/>
          <w:sz w:val="20"/>
          <w:szCs w:val="20"/>
        </w:rPr>
      </w:pPr>
      <w:bookmarkStart w:id="5" w:name="_Toc524705846"/>
      <w:r w:rsidRPr="00F048C5">
        <w:lastRenderedPageBreak/>
        <w:t>Guiding principles for electronic communication and privacy</w:t>
      </w:r>
      <w:bookmarkEnd w:id="5"/>
    </w:p>
    <w:p w14:paraId="3B01D9A0" w14:textId="4ED523DD" w:rsidR="00F048C5" w:rsidRPr="00F048C5" w:rsidRDefault="00F048C5" w:rsidP="00717D76">
      <w:pPr>
        <w:pStyle w:val="DHHSbody"/>
      </w:pPr>
      <w:r w:rsidRPr="00F048C5">
        <w:t xml:space="preserve">Designated mental health services should develop clear internal policies and guidelines for </w:t>
      </w:r>
      <w:r w:rsidR="000B640B">
        <w:t xml:space="preserve">patient </w:t>
      </w:r>
      <w:r w:rsidRPr="00F048C5">
        <w:t>use of electronic communication devic</w:t>
      </w:r>
      <w:r w:rsidR="00DF1374">
        <w:t xml:space="preserve">es. These will help to ensure </w:t>
      </w:r>
      <w:r w:rsidRPr="00F048C5">
        <w:t xml:space="preserve">staff are informed of </w:t>
      </w:r>
      <w:r w:rsidR="00DF1374">
        <w:t>patients’ rights to communicate</w:t>
      </w:r>
      <w:r w:rsidRPr="00F048C5">
        <w:t xml:space="preserve"> in a manner that respects the right of other staff and patients to privacy. Best practice is patient-centred and recovery</w:t>
      </w:r>
      <w:r w:rsidR="00DF1374">
        <w:t>-</w:t>
      </w:r>
      <w:r w:rsidRPr="00F048C5">
        <w:t>focused, with the least restrictive approach possible and where reasonable alternatives are offered and supported.</w:t>
      </w:r>
      <w:r w:rsidR="00550498">
        <w:t xml:space="preserve"> </w:t>
      </w:r>
    </w:p>
    <w:p w14:paraId="51069854" w14:textId="77777777" w:rsidR="00F048C5" w:rsidRPr="00F048C5" w:rsidRDefault="00F048C5" w:rsidP="00717D76">
      <w:pPr>
        <w:pStyle w:val="DHHSbody"/>
      </w:pPr>
      <w:r w:rsidRPr="00F048C5">
        <w:t>Policies and guidelines for electronic communication should include the following at a minimum:</w:t>
      </w:r>
    </w:p>
    <w:p w14:paraId="050EBA1E" w14:textId="5290D8E1" w:rsidR="00F048C5" w:rsidRPr="00F048C5" w:rsidRDefault="003A49C8" w:rsidP="00717D76">
      <w:pPr>
        <w:pStyle w:val="DHHSbullet1"/>
      </w:pPr>
      <w:r>
        <w:t>t</w:t>
      </w:r>
      <w:r w:rsidR="00F048C5" w:rsidRPr="00F048C5">
        <w:t>he purpose of the policy or guideline in the conte</w:t>
      </w:r>
      <w:r w:rsidR="00DF1374">
        <w:t>xt of patient-centred, recovery-</w:t>
      </w:r>
      <w:r w:rsidR="00F048C5" w:rsidRPr="00F048C5">
        <w:t>focused care</w:t>
      </w:r>
    </w:p>
    <w:p w14:paraId="2106BE15" w14:textId="3A0346F2" w:rsidR="00F048C5" w:rsidRPr="00F048C5" w:rsidRDefault="003A49C8" w:rsidP="00717D76">
      <w:pPr>
        <w:pStyle w:val="DHHSbullet1"/>
      </w:pPr>
      <w:r>
        <w:t>a</w:t>
      </w:r>
      <w:r w:rsidR="00F048C5" w:rsidRPr="00F048C5">
        <w:t xml:space="preserve"> patient’s right to communicate privately and lawfully with any person</w:t>
      </w:r>
    </w:p>
    <w:p w14:paraId="1AB6F36A" w14:textId="68A5495F" w:rsidR="00F048C5" w:rsidRPr="00F048C5" w:rsidRDefault="000B640B" w:rsidP="00717D76">
      <w:pPr>
        <w:pStyle w:val="DHHSbullet1"/>
      </w:pPr>
      <w:r>
        <w:t xml:space="preserve">the </w:t>
      </w:r>
      <w:r w:rsidR="003A49C8">
        <w:t>b</w:t>
      </w:r>
      <w:r w:rsidR="00F048C5" w:rsidRPr="00F048C5">
        <w:t>enefits and risks of using electronic communication devices to mental health across the lifespan</w:t>
      </w:r>
    </w:p>
    <w:p w14:paraId="77A4DD6E" w14:textId="3C351B5E" w:rsidR="00F048C5" w:rsidRPr="00F048C5" w:rsidRDefault="003A49C8" w:rsidP="00717D76">
      <w:pPr>
        <w:pStyle w:val="DHHSbullet1"/>
      </w:pPr>
      <w:r>
        <w:t>c</w:t>
      </w:r>
      <w:r w:rsidR="00F048C5" w:rsidRPr="00F048C5">
        <w:t>onditions that need to be met when restricting commu</w:t>
      </w:r>
      <w:r w:rsidR="00B8606A">
        <w:t>nication, including providing</w:t>
      </w:r>
      <w:r w:rsidR="00F048C5" w:rsidRPr="00F048C5">
        <w:t xml:space="preserve"> alternative options</w:t>
      </w:r>
    </w:p>
    <w:p w14:paraId="0ACFC072" w14:textId="435455CC" w:rsidR="00F048C5" w:rsidRPr="00F048C5" w:rsidRDefault="003A49C8" w:rsidP="00717D76">
      <w:pPr>
        <w:pStyle w:val="DHHSbullet1"/>
      </w:pPr>
      <w:r>
        <w:t>m</w:t>
      </w:r>
      <w:r w:rsidR="00F048C5" w:rsidRPr="00F048C5">
        <w:t>onitoring and ceasing restrictions on communication immediately when no longer necessary</w:t>
      </w:r>
    </w:p>
    <w:p w14:paraId="5F169613" w14:textId="6D236995" w:rsidR="00F048C5" w:rsidRPr="00F048C5" w:rsidRDefault="003A49C8" w:rsidP="00717D76">
      <w:pPr>
        <w:pStyle w:val="DHHSbullet1"/>
      </w:pPr>
      <w:r>
        <w:t>s</w:t>
      </w:r>
      <w:r w:rsidR="00F048C5" w:rsidRPr="00F048C5">
        <w:t>ecure storage and registration of personal electronic communication devices</w:t>
      </w:r>
    </w:p>
    <w:p w14:paraId="00884DBE" w14:textId="2B4599B7" w:rsidR="00F048C5" w:rsidRPr="00F048C5" w:rsidRDefault="003A49C8" w:rsidP="00717D76">
      <w:pPr>
        <w:pStyle w:val="DHHSbullet1"/>
      </w:pPr>
      <w:r>
        <w:t>m</w:t>
      </w:r>
      <w:r w:rsidR="00F048C5" w:rsidRPr="00F048C5">
        <w:t>aintaining the privacy of others</w:t>
      </w:r>
    </w:p>
    <w:p w14:paraId="081B28A6" w14:textId="633C4954" w:rsidR="00F048C5" w:rsidRPr="00F048C5" w:rsidRDefault="003A49C8" w:rsidP="00717D76">
      <w:pPr>
        <w:pStyle w:val="DHHSbullet1"/>
      </w:pPr>
      <w:r>
        <w:t>p</w:t>
      </w:r>
      <w:r w:rsidR="00F048C5" w:rsidRPr="00F048C5">
        <w:t>rohibition on publishing private conversations and activity</w:t>
      </w:r>
    </w:p>
    <w:p w14:paraId="14F32BBF" w14:textId="266FFD21" w:rsidR="00F048C5" w:rsidRPr="00F048C5" w:rsidRDefault="003A49C8" w:rsidP="00717D76">
      <w:pPr>
        <w:pStyle w:val="DHHSbullet1"/>
      </w:pPr>
      <w:r>
        <w:t>e</w:t>
      </w:r>
      <w:r w:rsidR="00F048C5" w:rsidRPr="00F048C5">
        <w:t>xpressed and implied consent to recording private activity and conversations</w:t>
      </w:r>
    </w:p>
    <w:p w14:paraId="4FE1E948" w14:textId="3B74529E" w:rsidR="00F048C5" w:rsidRPr="00F048C5" w:rsidRDefault="003A49C8" w:rsidP="00717D76">
      <w:pPr>
        <w:pStyle w:val="DHHSbullet1"/>
      </w:pPr>
      <w:r>
        <w:t>i</w:t>
      </w:r>
      <w:r w:rsidR="00F048C5" w:rsidRPr="00F048C5">
        <w:t>nclusions and exceptions to the above</w:t>
      </w:r>
    </w:p>
    <w:p w14:paraId="28BF5BC4" w14:textId="4875C883" w:rsidR="00F048C5" w:rsidRPr="00F048C5" w:rsidRDefault="003A49C8" w:rsidP="00717D76">
      <w:pPr>
        <w:pStyle w:val="DHHSbullet1lastline"/>
      </w:pPr>
      <w:r>
        <w:t>r</w:t>
      </w:r>
      <w:r w:rsidR="00F048C5" w:rsidRPr="00F048C5">
        <w:t xml:space="preserve">oles and responsibilities of staff in supporting patients’ rights </w:t>
      </w:r>
      <w:r w:rsidR="000B640B">
        <w:t>regarding</w:t>
      </w:r>
      <w:r w:rsidR="000B640B" w:rsidRPr="00F048C5">
        <w:t xml:space="preserve"> </w:t>
      </w:r>
      <w:r w:rsidR="00F048C5" w:rsidRPr="00F048C5">
        <w:t>communication and privacy</w:t>
      </w:r>
      <w:r>
        <w:t>.</w:t>
      </w:r>
    </w:p>
    <w:p w14:paraId="50303FE0" w14:textId="77777777" w:rsidR="00F048C5" w:rsidRPr="00F048C5" w:rsidRDefault="00F048C5" w:rsidP="00717D76">
      <w:pPr>
        <w:pStyle w:val="DHHSbody"/>
      </w:pPr>
      <w:r w:rsidRPr="00F048C5">
        <w:t>Policies and guidelines need to align with relevant legislation that applies to communication and privacy. General guidance is provided within this guideline; however, designated mental health services are advised to seek their own legal advice when developing policies and guidelines.</w:t>
      </w:r>
    </w:p>
    <w:p w14:paraId="7069B245" w14:textId="77777777" w:rsidR="0046387C" w:rsidRDefault="0046387C">
      <w:pPr>
        <w:rPr>
          <w:rFonts w:ascii="Arial" w:hAnsi="Arial"/>
          <w:b/>
          <w:color w:val="004EA8"/>
          <w:sz w:val="28"/>
          <w:szCs w:val="28"/>
        </w:rPr>
      </w:pPr>
      <w:r>
        <w:br w:type="page"/>
      </w:r>
    </w:p>
    <w:p w14:paraId="660F4DC3" w14:textId="071FF795" w:rsidR="00F048C5" w:rsidRPr="00F048C5" w:rsidRDefault="00F048C5" w:rsidP="0046387C">
      <w:pPr>
        <w:pStyle w:val="Heading1"/>
      </w:pPr>
      <w:bookmarkStart w:id="6" w:name="_Toc524705847"/>
      <w:r w:rsidRPr="00F048C5">
        <w:lastRenderedPageBreak/>
        <w:t>Electronic communication and recovery</w:t>
      </w:r>
      <w:bookmarkEnd w:id="6"/>
    </w:p>
    <w:p w14:paraId="7427266D" w14:textId="1EC8FE0F" w:rsidR="00F048C5" w:rsidRPr="00F048C5" w:rsidRDefault="00F048C5" w:rsidP="00717D76">
      <w:pPr>
        <w:pStyle w:val="DHHSbody"/>
      </w:pPr>
      <w:r w:rsidRPr="00F048C5">
        <w:t>From the perspective of the individual being treated for mental illness, the use of electronic communication devices can prom</w:t>
      </w:r>
      <w:r w:rsidR="000842CE">
        <w:t>ote recovery</w:t>
      </w:r>
      <w:r w:rsidRPr="00F048C5">
        <w:t xml:space="preserve">, as defined within the </w:t>
      </w:r>
      <w:r w:rsidRPr="00F048C5">
        <w:rPr>
          <w:i/>
        </w:rPr>
        <w:t xml:space="preserve">National Standards for Mental Health Services </w:t>
      </w:r>
      <w:r w:rsidRPr="00A17CA8">
        <w:t>(2010)</w:t>
      </w:r>
      <w:r w:rsidRPr="003A49C8">
        <w:t>.</w:t>
      </w:r>
      <w:r w:rsidRPr="00F048C5">
        <w:t xml:space="preserve"> In this context recovery means gaining and retaining hope, meaning and purpose in life, understanding one</w:t>
      </w:r>
      <w:r w:rsidR="00105A69">
        <w:t>’</w:t>
      </w:r>
      <w:r w:rsidRPr="00F048C5">
        <w:t>s abilities and disabilities, engaging in an active life, personal autonomy, social identity and maintaining a positive sense of self.</w:t>
      </w:r>
    </w:p>
    <w:p w14:paraId="2CAA1215" w14:textId="46091C1A" w:rsidR="00AF5A06" w:rsidRPr="00AF5A06" w:rsidRDefault="00F048C5" w:rsidP="00AF5A06">
      <w:pPr>
        <w:pStyle w:val="DHHSbody"/>
      </w:pPr>
      <w:r w:rsidRPr="00F048C5">
        <w:t xml:space="preserve">Patients’ rights to seek, receive and share information, </w:t>
      </w:r>
      <w:r w:rsidR="00B8606A">
        <w:t xml:space="preserve">to </w:t>
      </w:r>
      <w:r w:rsidRPr="00F048C5">
        <w:t xml:space="preserve">own electronic communication devices and </w:t>
      </w:r>
      <w:r w:rsidR="00B8606A">
        <w:t xml:space="preserve">to </w:t>
      </w:r>
      <w:r w:rsidRPr="00F048C5">
        <w:t xml:space="preserve">be considered equal are protected by the </w:t>
      </w:r>
      <w:r w:rsidRPr="00A17CA8">
        <w:t>Charter of Human Rights and Responsibilities Act</w:t>
      </w:r>
      <w:r w:rsidRPr="00F048C5">
        <w:rPr>
          <w:i/>
        </w:rPr>
        <w:t xml:space="preserve"> </w:t>
      </w:r>
      <w:r w:rsidRPr="00F048C5">
        <w:t>(</w:t>
      </w:r>
      <w:r w:rsidR="002C53DF">
        <w:t xml:space="preserve">see </w:t>
      </w:r>
      <w:r w:rsidR="003A49C8">
        <w:t>A</w:t>
      </w:r>
      <w:r w:rsidR="002C53DF">
        <w:t xml:space="preserve">ppendix 1). </w:t>
      </w:r>
    </w:p>
    <w:tbl>
      <w:tblPr>
        <w:tblStyle w:val="TableGrid"/>
        <w:tblW w:w="0" w:type="auto"/>
        <w:tblLook w:val="04A0" w:firstRow="1" w:lastRow="0" w:firstColumn="1" w:lastColumn="0" w:noHBand="0" w:noVBand="1"/>
      </w:tblPr>
      <w:tblGrid>
        <w:gridCol w:w="9288"/>
      </w:tblGrid>
      <w:tr w:rsidR="000C0532" w14:paraId="1996C31F" w14:textId="77777777" w:rsidTr="00A25F0F">
        <w:tc>
          <w:tcPr>
            <w:tcW w:w="9288" w:type="dxa"/>
            <w:shd w:val="clear" w:color="auto" w:fill="E0EAF5"/>
          </w:tcPr>
          <w:p w14:paraId="7DE91E41" w14:textId="77777777" w:rsidR="000C0532" w:rsidRDefault="000C0532" w:rsidP="000C0532">
            <w:pPr>
              <w:pStyle w:val="DHHStablecolhead"/>
            </w:pPr>
            <w:r>
              <w:t>Examples of ways that electronic communication devices can promote recovery</w:t>
            </w:r>
          </w:p>
          <w:p w14:paraId="733A9A5F" w14:textId="1713E108" w:rsidR="000C0532" w:rsidRDefault="000C0532" w:rsidP="000C0532">
            <w:pPr>
              <w:pStyle w:val="DHHStablebullet"/>
            </w:pPr>
            <w:r>
              <w:t xml:space="preserve">To stay connected to friends, family and other members of </w:t>
            </w:r>
            <w:r w:rsidR="002C53DF">
              <w:t xml:space="preserve">a </w:t>
            </w:r>
            <w:r>
              <w:t>personal support network, including other patients and patient support networks.</w:t>
            </w:r>
          </w:p>
          <w:p w14:paraId="2A412AF8" w14:textId="16C5E33D" w:rsidR="000C0532" w:rsidRDefault="000C0532" w:rsidP="000C0532">
            <w:pPr>
              <w:pStyle w:val="DHHStablebullet"/>
            </w:pPr>
            <w:r>
              <w:t>To use features of the device for therapeutic benefit and/or recreation (</w:t>
            </w:r>
            <w:r w:rsidR="003A49C8">
              <w:rPr>
                <w:rFonts w:eastAsia="Times"/>
              </w:rPr>
              <w:t>for example,</w:t>
            </w:r>
            <w:r w:rsidR="003A49C8" w:rsidRPr="00F048C5">
              <w:rPr>
                <w:rFonts w:eastAsia="Times"/>
              </w:rPr>
              <w:t xml:space="preserve"> </w:t>
            </w:r>
            <w:r>
              <w:t>listening to music, playing games, using self-help apps</w:t>
            </w:r>
            <w:r w:rsidR="000B640B">
              <w:t xml:space="preserve"> and</w:t>
            </w:r>
            <w:r w:rsidR="002C53DF">
              <w:t xml:space="preserve"> </w:t>
            </w:r>
            <w:r>
              <w:t>watching videos).</w:t>
            </w:r>
          </w:p>
          <w:p w14:paraId="211A3AB2" w14:textId="5B65C409" w:rsidR="000C0532" w:rsidRDefault="000C0532" w:rsidP="000C0532">
            <w:pPr>
              <w:pStyle w:val="DHHStablebullet"/>
            </w:pPr>
            <w:r>
              <w:t>To access legal rights such as legal representation, advocacy, making a complaint, seeking a second opinion, contacting a nominated person or other rights under the Mental Health Act.</w:t>
            </w:r>
          </w:p>
          <w:p w14:paraId="064A86E6" w14:textId="2C495E27" w:rsidR="000C0532" w:rsidRDefault="000C0532" w:rsidP="000C0532">
            <w:pPr>
              <w:pStyle w:val="DHHStablebullet"/>
            </w:pPr>
            <w:r>
              <w:t>To find out more about mental health problems/diagnoses, recovery, treatments, coping skills, rights information</w:t>
            </w:r>
            <w:r w:rsidR="002C53DF">
              <w:t xml:space="preserve"> and</w:t>
            </w:r>
            <w:r>
              <w:t xml:space="preserve"> service standards.</w:t>
            </w:r>
          </w:p>
          <w:p w14:paraId="7425DCED" w14:textId="77777777" w:rsidR="000C0532" w:rsidRDefault="000C0532" w:rsidP="000C0532">
            <w:pPr>
              <w:pStyle w:val="DHHStablebullet"/>
            </w:pPr>
            <w:r>
              <w:t>To seek out support services and options following discharge.</w:t>
            </w:r>
          </w:p>
          <w:p w14:paraId="6B9952DA" w14:textId="30661EB5" w:rsidR="000C0532" w:rsidRDefault="000C0532" w:rsidP="000C0532">
            <w:pPr>
              <w:pStyle w:val="DHHStablebullet"/>
            </w:pPr>
            <w:r>
              <w:t>To address day-to-day needs (paying bills, reading correspondence</w:t>
            </w:r>
            <w:r w:rsidR="000B640B">
              <w:t xml:space="preserve"> and</w:t>
            </w:r>
            <w:r w:rsidR="002C53DF">
              <w:t xml:space="preserve"> </w:t>
            </w:r>
            <w:r>
              <w:t>communicating with Centrelink or employers).</w:t>
            </w:r>
          </w:p>
          <w:p w14:paraId="740C5E9E" w14:textId="2C93BC86" w:rsidR="000C0532" w:rsidRDefault="000C0532" w:rsidP="000C0532">
            <w:pPr>
              <w:pStyle w:val="DHHStablebullet"/>
            </w:pPr>
            <w:r>
              <w:t>To maintain a sense of normalcy/routine (using social media is part of many peop</w:t>
            </w:r>
            <w:r w:rsidR="002C53DF">
              <w:t>le’s routine) and dignity (</w:t>
            </w:r>
            <w:r>
              <w:t>almost everyone uses these devices).</w:t>
            </w:r>
          </w:p>
        </w:tc>
      </w:tr>
    </w:tbl>
    <w:p w14:paraId="47C82925" w14:textId="77777777" w:rsidR="000C0532" w:rsidRDefault="000C0532" w:rsidP="00A17CA8">
      <w:pPr>
        <w:pStyle w:val="DHHSbodynospace"/>
      </w:pPr>
    </w:p>
    <w:tbl>
      <w:tblPr>
        <w:tblStyle w:val="TableGrid"/>
        <w:tblW w:w="0" w:type="auto"/>
        <w:tblLook w:val="04A0" w:firstRow="1" w:lastRow="0" w:firstColumn="1" w:lastColumn="0" w:noHBand="0" w:noVBand="1"/>
      </w:tblPr>
      <w:tblGrid>
        <w:gridCol w:w="9180"/>
      </w:tblGrid>
      <w:tr w:rsidR="000C0532" w14:paraId="33869220" w14:textId="77777777" w:rsidTr="00126C47">
        <w:tc>
          <w:tcPr>
            <w:tcW w:w="9180" w:type="dxa"/>
            <w:shd w:val="clear" w:color="auto" w:fill="E0EAF5"/>
          </w:tcPr>
          <w:p w14:paraId="64DF42B6" w14:textId="4378BCCC" w:rsidR="000C0532" w:rsidRDefault="000C0532" w:rsidP="000C0532">
            <w:pPr>
              <w:pStyle w:val="DHHStablecolhead"/>
            </w:pPr>
            <w:r>
              <w:t>Mental Health Act Principles (s. 11)</w:t>
            </w:r>
          </w:p>
          <w:p w14:paraId="3CA58251" w14:textId="77777777" w:rsidR="00105A69" w:rsidRDefault="002C53DF" w:rsidP="00A17CA8">
            <w:pPr>
              <w:pStyle w:val="DHHStabletext"/>
            </w:pPr>
            <w:r>
              <w:t>Persons</w:t>
            </w:r>
            <w:r w:rsidR="000C0532">
              <w:t xml:space="preserve"> receiving mental health services should</w:t>
            </w:r>
            <w:r w:rsidR="00105A69">
              <w:t>:</w:t>
            </w:r>
            <w:r w:rsidR="000C0532">
              <w:t xml:space="preserve"> </w:t>
            </w:r>
          </w:p>
          <w:p w14:paraId="640F2AE3" w14:textId="45461A36" w:rsidR="000C0532" w:rsidRDefault="000C0532">
            <w:pPr>
              <w:pStyle w:val="DHHStablebullet"/>
            </w:pPr>
            <w:r>
              <w:t>be provided assessment and treatment in the least restrictive way possible</w:t>
            </w:r>
          </w:p>
          <w:p w14:paraId="34ED4073" w14:textId="67B68DBC" w:rsidR="000C0532" w:rsidRDefault="000C0532" w:rsidP="000C0532">
            <w:pPr>
              <w:pStyle w:val="DHHStablebullet"/>
            </w:pPr>
            <w:r>
              <w:t>be involved in all decisions and be supported to make or participate in those decisions, and that their views and preferences should be respected</w:t>
            </w:r>
          </w:p>
          <w:p w14:paraId="0CCE4A88" w14:textId="47D4E16A" w:rsidR="000C0532" w:rsidRDefault="000C0532" w:rsidP="000C0532">
            <w:pPr>
              <w:pStyle w:val="DHHStablebullet"/>
            </w:pPr>
            <w:r>
              <w:t>be allowed to make decisions that involve a degree of risk</w:t>
            </w:r>
          </w:p>
          <w:p w14:paraId="610DF335" w14:textId="472B3649" w:rsidR="000C0532" w:rsidRDefault="000C0532" w:rsidP="000C0532">
            <w:pPr>
              <w:pStyle w:val="DHHStablebullet"/>
            </w:pPr>
            <w:r>
              <w:t>have their rights, dignity and autonomy respected and promoted</w:t>
            </w:r>
          </w:p>
          <w:p w14:paraId="6F38341C" w14:textId="3C762524" w:rsidR="000C0532" w:rsidRDefault="000C0532" w:rsidP="000C0532">
            <w:pPr>
              <w:pStyle w:val="DHHStablebullet"/>
            </w:pPr>
            <w:r>
              <w:t>be provided with services that aim to bring about the best possible therapeutic outcomes and promote recovery and full participation in community life.</w:t>
            </w:r>
          </w:p>
          <w:p w14:paraId="16FE4415" w14:textId="6EA8B213" w:rsidR="000C0532" w:rsidRDefault="000C0532">
            <w:pPr>
              <w:pStyle w:val="DHHStabletext"/>
            </w:pPr>
            <w:r>
              <w:t>Children and young persons receiving mental health services should have their best interests recognised and promoted as a primary consideration</w:t>
            </w:r>
            <w:r w:rsidR="003A49C8">
              <w:t>.</w:t>
            </w:r>
          </w:p>
        </w:tc>
      </w:tr>
    </w:tbl>
    <w:p w14:paraId="42BAEFE7" w14:textId="2AAD35A4" w:rsidR="0046387C" w:rsidRDefault="00126C47" w:rsidP="00A17CA8">
      <w:pPr>
        <w:pStyle w:val="DHHSbodyaftertablefigure"/>
      </w:pPr>
      <w:r>
        <w:t>Patient-centred, recovery-focused decisions about electronic communication devices can be documented in the care plan.</w:t>
      </w:r>
    </w:p>
    <w:p w14:paraId="3EF48A07" w14:textId="77777777" w:rsidR="0046387C" w:rsidRDefault="0046387C">
      <w:pPr>
        <w:rPr>
          <w:rFonts w:ascii="Arial" w:hAnsi="Arial"/>
          <w:b/>
          <w:color w:val="004EA8"/>
          <w:sz w:val="28"/>
          <w:szCs w:val="28"/>
        </w:rPr>
      </w:pPr>
      <w:r>
        <w:br w:type="page"/>
      </w:r>
    </w:p>
    <w:p w14:paraId="4CA0ADD1" w14:textId="326E1C8A" w:rsidR="00F048C5" w:rsidRPr="00F048C5" w:rsidRDefault="00F048C5" w:rsidP="0046387C">
      <w:pPr>
        <w:pStyle w:val="Heading1"/>
      </w:pPr>
      <w:bookmarkStart w:id="7" w:name="_Toc524705848"/>
      <w:r w:rsidRPr="00F048C5">
        <w:lastRenderedPageBreak/>
        <w:t>Patients</w:t>
      </w:r>
      <w:r w:rsidR="00126C47">
        <w:t>’</w:t>
      </w:r>
      <w:r w:rsidRPr="00F048C5">
        <w:t xml:space="preserve"> rights</w:t>
      </w:r>
      <w:bookmarkEnd w:id="7"/>
    </w:p>
    <w:p w14:paraId="4B38FCBF" w14:textId="61C6F8A4" w:rsidR="00F048C5" w:rsidRPr="00F048C5" w:rsidRDefault="00126C47" w:rsidP="00717D76">
      <w:pPr>
        <w:pStyle w:val="DHHSbody"/>
      </w:pPr>
      <w:r>
        <w:t>A</w:t>
      </w:r>
      <w:r w:rsidRPr="00F048C5">
        <w:t xml:space="preserve"> </w:t>
      </w:r>
      <w:r w:rsidR="00F048C5" w:rsidRPr="00F048C5">
        <w:t xml:space="preserve">patient’s right to communicate is further protected under the </w:t>
      </w:r>
      <w:r w:rsidR="00F048C5" w:rsidRPr="00A17CA8">
        <w:t>Mental Health Act</w:t>
      </w:r>
      <w:r w:rsidR="00F048C5" w:rsidRPr="00F048C5">
        <w:rPr>
          <w:i/>
        </w:rPr>
        <w:t xml:space="preserve"> </w:t>
      </w:r>
      <w:r w:rsidR="00F048C5" w:rsidRPr="00F048C5">
        <w:t>(</w:t>
      </w:r>
      <w:r>
        <w:t xml:space="preserve">see </w:t>
      </w:r>
      <w:r w:rsidR="00B84E9B">
        <w:t>A</w:t>
      </w:r>
      <w:r w:rsidR="00F048C5" w:rsidRPr="00F048C5">
        <w:t>ppendix 2).</w:t>
      </w:r>
    </w:p>
    <w:p w14:paraId="644512B6" w14:textId="77777777" w:rsidR="00F048C5" w:rsidRPr="00F048C5" w:rsidRDefault="00F048C5" w:rsidP="004645A0">
      <w:pPr>
        <w:pStyle w:val="Heading2"/>
      </w:pPr>
      <w:bookmarkStart w:id="8" w:name="_Toc524705849"/>
      <w:r w:rsidRPr="00F048C5">
        <w:t>Restrictions to the right to communicate</w:t>
      </w:r>
      <w:bookmarkEnd w:id="8"/>
    </w:p>
    <w:p w14:paraId="48EBBC77" w14:textId="468432CE" w:rsidR="00F048C5" w:rsidRPr="00F048C5" w:rsidRDefault="00F048C5" w:rsidP="00717D76">
      <w:pPr>
        <w:pStyle w:val="DHHSbody"/>
      </w:pPr>
      <w:r w:rsidRPr="00F048C5">
        <w:t xml:space="preserve">Decisions </w:t>
      </w:r>
      <w:r w:rsidR="00126C47">
        <w:t>about</w:t>
      </w:r>
      <w:r w:rsidR="00126C47" w:rsidRPr="00F048C5">
        <w:t xml:space="preserve"> </w:t>
      </w:r>
      <w:r w:rsidRPr="00F048C5">
        <w:t xml:space="preserve">communication need to encompass the </w:t>
      </w:r>
      <w:r w:rsidR="00126C47" w:rsidRPr="00E3733D">
        <w:t>Mental Health Act</w:t>
      </w:r>
      <w:r w:rsidR="00126C47" w:rsidRPr="00F048C5" w:rsidDel="00126C47">
        <w:t xml:space="preserve"> </w:t>
      </w:r>
      <w:r w:rsidRPr="00F048C5">
        <w:t xml:space="preserve">principles, especially with regard to promoting a person’s recovery, providing treatment in the least restrictive way possible, recognising people’s individual needs and the role of parents, guardians, families and carers. </w:t>
      </w:r>
    </w:p>
    <w:p w14:paraId="16A9EDBC" w14:textId="65F4DB9F" w:rsidR="00F048C5" w:rsidRPr="00F048C5" w:rsidRDefault="00126C47" w:rsidP="00717D76">
      <w:pPr>
        <w:pStyle w:val="DHHSbody"/>
      </w:pPr>
      <w:r>
        <w:t>R</w:t>
      </w:r>
      <w:r w:rsidR="00F048C5" w:rsidRPr="00F048C5">
        <w:t>emov</w:t>
      </w:r>
      <w:r>
        <w:t>ing</w:t>
      </w:r>
      <w:r w:rsidR="00F048C5" w:rsidRPr="00F048C5">
        <w:t xml:space="preserve"> a person’s electronic device can have an adverse impact on wellbeing, recovery, connection with family and friends and their engagement with treatment</w:t>
      </w:r>
      <w:r w:rsidR="00CE2089">
        <w:t>.</w:t>
      </w:r>
      <w:r w:rsidR="00F048C5" w:rsidRPr="00F048C5">
        <w:t xml:space="preserve"> </w:t>
      </w:r>
      <w:r w:rsidR="00CE2089">
        <w:t>T</w:t>
      </w:r>
      <w:r w:rsidR="00F048C5" w:rsidRPr="00F048C5">
        <w:t>herefore</w:t>
      </w:r>
      <w:r w:rsidR="00CE2089">
        <w:t>,</w:t>
      </w:r>
      <w:r w:rsidR="00F048C5" w:rsidRPr="00F048C5">
        <w:t xml:space="preserve"> in the presence of restrictions, due consideration needs to be given to meeting the patient’s communication requirements by offering alternative options. There are particular considerations for ensuring the safety and wellbeing of children and young people using electronic communication. More information on e</w:t>
      </w:r>
      <w:r w:rsidR="00CE2089">
        <w:t>-s</w:t>
      </w:r>
      <w:r w:rsidR="00F048C5" w:rsidRPr="00F048C5">
        <w:t xml:space="preserve">afety can be found at the end of this document. </w:t>
      </w:r>
    </w:p>
    <w:p w14:paraId="10120A3C" w14:textId="5E2BE268" w:rsidR="00F048C5" w:rsidRPr="00F048C5" w:rsidRDefault="00F048C5" w:rsidP="00717D76">
      <w:pPr>
        <w:pStyle w:val="DHHSbody"/>
      </w:pPr>
      <w:r w:rsidRPr="00F048C5">
        <w:t xml:space="preserve">In the event that the health, safety and wellbeing of an inpatient or another person is at risk, under the </w:t>
      </w:r>
      <w:r w:rsidRPr="002E2EE0">
        <w:t>Mental Health Act</w:t>
      </w:r>
      <w:r w:rsidRPr="00F048C5">
        <w:t xml:space="preserve"> authorised psychiatrists or </w:t>
      </w:r>
      <w:r w:rsidR="00CE2089">
        <w:t xml:space="preserve">a </w:t>
      </w:r>
      <w:r w:rsidRPr="00F048C5">
        <w:t>delegate (s. 151) may direct staff, in writing, to restrict an inpatient’s right to communicate if they are satisfied this is reasonably necessary (</w:t>
      </w:r>
      <w:r w:rsidR="00B96DAD">
        <w:t xml:space="preserve">see </w:t>
      </w:r>
      <w:r w:rsidR="00B84E9B">
        <w:t>A</w:t>
      </w:r>
      <w:r w:rsidRPr="00F048C5">
        <w:t xml:space="preserve">ppendix 2). </w:t>
      </w:r>
    </w:p>
    <w:p w14:paraId="1F1F5779" w14:textId="6CF24D78" w:rsidR="00F048C5" w:rsidRPr="00F048C5" w:rsidRDefault="00F048C5" w:rsidP="00717D76">
      <w:pPr>
        <w:pStyle w:val="DHHSbody"/>
      </w:pPr>
      <w:r w:rsidRPr="00F048C5">
        <w:t xml:space="preserve">When restricting the right to communicate, an authorised psychiatrist or delegate (s. 151) must: </w:t>
      </w:r>
    </w:p>
    <w:p w14:paraId="106B6EDD" w14:textId="77777777" w:rsidR="00F048C5" w:rsidRPr="00F048C5" w:rsidRDefault="00F048C5" w:rsidP="00717D76">
      <w:pPr>
        <w:pStyle w:val="DHHSbullet1"/>
      </w:pPr>
      <w:r w:rsidRPr="00F048C5">
        <w:t>give the direction in writing</w:t>
      </w:r>
    </w:p>
    <w:p w14:paraId="0488C6B7" w14:textId="77777777" w:rsidR="00F048C5" w:rsidRPr="00F048C5" w:rsidRDefault="00F048C5" w:rsidP="00717D76">
      <w:pPr>
        <w:pStyle w:val="DHHSbullet1"/>
      </w:pPr>
      <w:r w:rsidRPr="00F048C5">
        <w:t>ensure the restrictions are the least restrictive possible</w:t>
      </w:r>
    </w:p>
    <w:p w14:paraId="0E3C1753" w14:textId="77777777" w:rsidR="00F048C5" w:rsidRPr="00F048C5" w:rsidRDefault="00F048C5" w:rsidP="00717D76">
      <w:pPr>
        <w:pStyle w:val="DHHSbullet1"/>
      </w:pPr>
      <w:r w:rsidRPr="00F048C5">
        <w:t>review his/her decision on a regular basis</w:t>
      </w:r>
    </w:p>
    <w:p w14:paraId="32579183" w14:textId="69D67947" w:rsidR="00F048C5" w:rsidRPr="00F048C5" w:rsidRDefault="00F048C5" w:rsidP="00717D76">
      <w:pPr>
        <w:pStyle w:val="DHHSbullet1"/>
      </w:pPr>
      <w:r w:rsidRPr="00F048C5">
        <w:t xml:space="preserve">cease the restriction immediately when it is no longer necessary </w:t>
      </w:r>
    </w:p>
    <w:p w14:paraId="64761791" w14:textId="03638142" w:rsidR="00F048C5" w:rsidRPr="00F048C5" w:rsidRDefault="00F048C5" w:rsidP="00717D76">
      <w:pPr>
        <w:pStyle w:val="DHHSbullet1"/>
      </w:pPr>
      <w:r w:rsidRPr="00F048C5">
        <w:t xml:space="preserve">take reasonable steps to inform the inpatient and the following </w:t>
      </w:r>
      <w:r w:rsidR="00CE2089">
        <w:t>others</w:t>
      </w:r>
      <w:r w:rsidR="00CE2089" w:rsidRPr="00F048C5">
        <w:t xml:space="preserve"> </w:t>
      </w:r>
      <w:r w:rsidRPr="00F048C5">
        <w:t>in relation to the inpatient about the restriction and the reasons for it:</w:t>
      </w:r>
    </w:p>
    <w:p w14:paraId="217312BC" w14:textId="77777777" w:rsidR="00F048C5" w:rsidRPr="00F048C5" w:rsidRDefault="00F048C5" w:rsidP="00717D76">
      <w:pPr>
        <w:pStyle w:val="DHHSbullet2"/>
      </w:pPr>
      <w:r w:rsidRPr="00F048C5">
        <w:t>the nominated person</w:t>
      </w:r>
    </w:p>
    <w:p w14:paraId="56A26FD7" w14:textId="77777777" w:rsidR="00F048C5" w:rsidRPr="00F048C5" w:rsidRDefault="00F048C5" w:rsidP="00717D76">
      <w:pPr>
        <w:pStyle w:val="DHHSbullet2"/>
      </w:pPr>
      <w:r w:rsidRPr="00F048C5">
        <w:t>a guardian</w:t>
      </w:r>
    </w:p>
    <w:p w14:paraId="30A97821" w14:textId="77777777" w:rsidR="00F048C5" w:rsidRPr="00F048C5" w:rsidRDefault="00F048C5" w:rsidP="00717D76">
      <w:pPr>
        <w:pStyle w:val="DHHSbullet2"/>
      </w:pPr>
      <w:r w:rsidRPr="00F048C5">
        <w:t>a carer</w:t>
      </w:r>
    </w:p>
    <w:p w14:paraId="7072487A" w14:textId="40418E5D" w:rsidR="00F048C5" w:rsidRPr="00F048C5" w:rsidRDefault="00F048C5" w:rsidP="00717D76">
      <w:pPr>
        <w:pStyle w:val="DHHSbullet2"/>
      </w:pPr>
      <w:r w:rsidRPr="00F048C5">
        <w:t xml:space="preserve">a parent </w:t>
      </w:r>
      <w:r w:rsidR="00CE2089">
        <w:t>(</w:t>
      </w:r>
      <w:r w:rsidRPr="00F048C5">
        <w:t>if the patient is under the age of 16 years</w:t>
      </w:r>
      <w:r w:rsidR="00CE2089">
        <w:t>)</w:t>
      </w:r>
    </w:p>
    <w:p w14:paraId="6B535CE4" w14:textId="1CCEE7F5" w:rsidR="00F048C5" w:rsidRPr="00F048C5" w:rsidRDefault="00F048C5" w:rsidP="00717D76">
      <w:pPr>
        <w:pStyle w:val="DHHSbullet2lastline"/>
      </w:pPr>
      <w:r w:rsidRPr="00F048C5">
        <w:t>the secretary to the Department of Health and Human Services if the inpatient is the subject of a family reunification order or care by Secretary order</w:t>
      </w:r>
      <w:r w:rsidR="003A49C8">
        <w:t>.</w:t>
      </w:r>
    </w:p>
    <w:p w14:paraId="781F784F" w14:textId="666C8483" w:rsidR="00F048C5" w:rsidRPr="00F048C5" w:rsidRDefault="00F048C5" w:rsidP="00717D76">
      <w:pPr>
        <w:pStyle w:val="DHHSbody"/>
      </w:pPr>
      <w:r w:rsidRPr="00F048C5">
        <w:t xml:space="preserve">A direction cannot be given </w:t>
      </w:r>
      <w:r w:rsidR="00CE2089">
        <w:t>that</w:t>
      </w:r>
      <w:r w:rsidR="00CE2089" w:rsidRPr="00F048C5">
        <w:t xml:space="preserve"> </w:t>
      </w:r>
      <w:r w:rsidRPr="00F048C5">
        <w:t>restricts an inpatient</w:t>
      </w:r>
      <w:r w:rsidR="00CE2089">
        <w:t>’</w:t>
      </w:r>
      <w:r w:rsidRPr="00F048C5">
        <w:t>s right to communicate with:</w:t>
      </w:r>
    </w:p>
    <w:p w14:paraId="6A5754AD" w14:textId="2A9E8DDC" w:rsidR="00F048C5" w:rsidRPr="00F048C5" w:rsidRDefault="00F048C5" w:rsidP="00717D76">
      <w:pPr>
        <w:pStyle w:val="DHHSbullet1"/>
      </w:pPr>
      <w:r w:rsidRPr="00F048C5">
        <w:t>a legal representative</w:t>
      </w:r>
    </w:p>
    <w:p w14:paraId="335852EE" w14:textId="7284D58E" w:rsidR="00F048C5" w:rsidRPr="00F048C5" w:rsidRDefault="00F048C5" w:rsidP="00717D76">
      <w:pPr>
        <w:pStyle w:val="DHHSbullet1"/>
      </w:pPr>
      <w:r w:rsidRPr="00F048C5">
        <w:t xml:space="preserve">the </w:t>
      </w:r>
      <w:r w:rsidR="00CE2089">
        <w:t>C</w:t>
      </w:r>
      <w:r w:rsidRPr="00F048C5">
        <w:t xml:space="preserve">hief </w:t>
      </w:r>
      <w:r w:rsidR="00CE2089">
        <w:t>P</w:t>
      </w:r>
      <w:r w:rsidRPr="00F048C5">
        <w:t>sychiatrist</w:t>
      </w:r>
    </w:p>
    <w:p w14:paraId="5E724562" w14:textId="3258DD15" w:rsidR="00F048C5" w:rsidRPr="00F048C5" w:rsidRDefault="00F048C5" w:rsidP="00717D76">
      <w:pPr>
        <w:pStyle w:val="DHHSbullet1"/>
      </w:pPr>
      <w:r w:rsidRPr="00F048C5">
        <w:t>the Mental Health Complaints Commissioner</w:t>
      </w:r>
    </w:p>
    <w:p w14:paraId="60DCA108" w14:textId="5BF7ACD1" w:rsidR="00F048C5" w:rsidRPr="00F048C5" w:rsidRDefault="00F048C5" w:rsidP="00717D76">
      <w:pPr>
        <w:pStyle w:val="DHHSbullet1"/>
      </w:pPr>
      <w:r w:rsidRPr="00F048C5">
        <w:t>the Mental Health Tribunal</w:t>
      </w:r>
    </w:p>
    <w:p w14:paraId="0B1AA758" w14:textId="77777777" w:rsidR="00F048C5" w:rsidRPr="00F048C5" w:rsidRDefault="00F048C5" w:rsidP="00717D76">
      <w:pPr>
        <w:pStyle w:val="DHHSbullet1"/>
      </w:pPr>
      <w:r w:rsidRPr="00F048C5">
        <w:t>a community visitor, or</w:t>
      </w:r>
    </w:p>
    <w:p w14:paraId="1892A2FA" w14:textId="1A39F42D" w:rsidR="00F048C5" w:rsidRPr="00DE624F" w:rsidRDefault="00F048C5" w:rsidP="00717D76">
      <w:pPr>
        <w:pStyle w:val="DHHSbullet1"/>
      </w:pPr>
      <w:r w:rsidRPr="00F048C5">
        <w:t xml:space="preserve">a prescribed person or body </w:t>
      </w:r>
      <w:r w:rsidR="008C6FF5">
        <w:rPr>
          <w:rFonts w:cs="Arial"/>
        </w:rPr>
        <w:t>(t</w:t>
      </w:r>
      <w:r w:rsidRPr="00F048C5">
        <w:rPr>
          <w:rFonts w:cs="Arial"/>
        </w:rPr>
        <w:t xml:space="preserve">he Independent Mental Health Advocacy service is a prescribed body for the purposes of s. 16(2)(f) of the </w:t>
      </w:r>
      <w:r w:rsidR="008C6FF5" w:rsidRPr="00E3733D">
        <w:t>Mental Health Act</w:t>
      </w:r>
      <w:r w:rsidR="008C6FF5">
        <w:rPr>
          <w:rFonts w:cs="Arial"/>
        </w:rPr>
        <w:t>).</w:t>
      </w:r>
    </w:p>
    <w:p w14:paraId="4C8319A6" w14:textId="77777777" w:rsidR="003A49C8" w:rsidRDefault="003A49C8" w:rsidP="002E2EE0">
      <w:pPr>
        <w:pStyle w:val="DHHSbodynospace"/>
      </w:pPr>
    </w:p>
    <w:p w14:paraId="56C8E82A" w14:textId="77777777" w:rsidR="002E2EE0" w:rsidRDefault="002E2EE0" w:rsidP="002E2EE0">
      <w:pPr>
        <w:pStyle w:val="DHHSbodynospace"/>
      </w:pPr>
    </w:p>
    <w:p w14:paraId="397E896C" w14:textId="77777777" w:rsidR="002E2EE0" w:rsidRDefault="002E2EE0" w:rsidP="002E2EE0">
      <w:pPr>
        <w:pStyle w:val="DHHSbodynospace"/>
      </w:pPr>
    </w:p>
    <w:p w14:paraId="544D9A02" w14:textId="77777777" w:rsidR="002E2EE0" w:rsidRDefault="002E2EE0" w:rsidP="002E2EE0">
      <w:pPr>
        <w:pStyle w:val="DHHSbodynospace"/>
      </w:pPr>
    </w:p>
    <w:p w14:paraId="147FDAAA" w14:textId="77777777" w:rsidR="002E2EE0" w:rsidRDefault="002E2EE0" w:rsidP="002E2EE0">
      <w:pPr>
        <w:pStyle w:val="DHHSbodynospace"/>
      </w:pPr>
    </w:p>
    <w:p w14:paraId="5D194D64" w14:textId="77777777" w:rsidR="002E2EE0" w:rsidRPr="00F048C5" w:rsidRDefault="002E2EE0" w:rsidP="002E2EE0">
      <w:pPr>
        <w:pStyle w:val="DHHSbodynospace"/>
      </w:pPr>
    </w:p>
    <w:tbl>
      <w:tblPr>
        <w:tblStyle w:val="TableGrid"/>
        <w:tblW w:w="0" w:type="auto"/>
        <w:tblLook w:val="04A0" w:firstRow="1" w:lastRow="0" w:firstColumn="1" w:lastColumn="0" w:noHBand="0" w:noVBand="1"/>
      </w:tblPr>
      <w:tblGrid>
        <w:gridCol w:w="9288"/>
      </w:tblGrid>
      <w:tr w:rsidR="000C0532" w14:paraId="69B21FC3" w14:textId="77777777" w:rsidTr="00A25F0F">
        <w:tc>
          <w:tcPr>
            <w:tcW w:w="9288" w:type="dxa"/>
            <w:shd w:val="clear" w:color="auto" w:fill="E0EAF5"/>
          </w:tcPr>
          <w:p w14:paraId="5C7BE46C" w14:textId="3D178F6C" w:rsidR="000C0532" w:rsidRPr="000C0532" w:rsidRDefault="000C0532" w:rsidP="000C0532">
            <w:pPr>
              <w:pStyle w:val="DHHStablecolhead"/>
            </w:pPr>
            <w:r w:rsidRPr="000C0532">
              <w:lastRenderedPageBreak/>
              <w:t xml:space="preserve">Examples of applying the </w:t>
            </w:r>
            <w:r w:rsidR="008C6FF5">
              <w:t>Mental Health Act</w:t>
            </w:r>
            <w:r w:rsidR="008C6FF5" w:rsidRPr="000C0532">
              <w:t xml:space="preserve"> </w:t>
            </w:r>
            <w:r w:rsidRPr="000C0532">
              <w:t>principles in practice</w:t>
            </w:r>
          </w:p>
          <w:p w14:paraId="17F6EB63" w14:textId="77777777" w:rsidR="000C0532" w:rsidRPr="000C0532" w:rsidRDefault="000C0532" w:rsidP="00B20FAF">
            <w:pPr>
              <w:pStyle w:val="DHHStablebullet"/>
            </w:pPr>
            <w:r w:rsidRPr="000C0532">
              <w:t xml:space="preserve">If the policy or relevant legislation has been breached, causing potential harm, a dialogue needs to occur with the patient to explore the circumstances. Seek agreement on how the requirements of the policy or legislation can be met. </w:t>
            </w:r>
          </w:p>
          <w:p w14:paraId="76B0FADF" w14:textId="4FA381D0" w:rsidR="000C0532" w:rsidRPr="000C0532" w:rsidRDefault="000C0532" w:rsidP="00B20FAF">
            <w:pPr>
              <w:pStyle w:val="DHHStablebullet"/>
            </w:pPr>
            <w:r w:rsidRPr="000C0532">
              <w:t>A discussion about restricting</w:t>
            </w:r>
            <w:r w:rsidR="008C6FF5">
              <w:t xml:space="preserve"> the</w:t>
            </w:r>
            <w:r w:rsidRPr="000C0532">
              <w:t xml:space="preserve"> use of electronic devices may be appropriate if the policy or legislation is repeatedly breached in a manner that causes harm, despite agreement on appropriate use. </w:t>
            </w:r>
          </w:p>
          <w:p w14:paraId="7E9528E8" w14:textId="345B9E32" w:rsidR="000C0532" w:rsidRPr="000C0532" w:rsidRDefault="000C0532" w:rsidP="00B20FAF">
            <w:pPr>
              <w:pStyle w:val="DHHStablebullet"/>
            </w:pPr>
            <w:r w:rsidRPr="000C0532">
              <w:t xml:space="preserve">Restrictions to communication may occur when there are potential or actual breaches to privacy of both patients and staff and the legislative requirements in </w:t>
            </w:r>
            <w:r w:rsidR="008C6FF5">
              <w:t>Mental Health Act</w:t>
            </w:r>
            <w:r w:rsidR="008C6FF5" w:rsidRPr="000C0532">
              <w:t xml:space="preserve"> </w:t>
            </w:r>
            <w:r w:rsidR="008C6FF5">
              <w:t>(</w:t>
            </w:r>
            <w:r w:rsidRPr="000C0532">
              <w:t>s.16</w:t>
            </w:r>
            <w:r w:rsidR="008C6FF5">
              <w:t>)</w:t>
            </w:r>
            <w:r w:rsidRPr="000C0532">
              <w:t xml:space="preserve"> are met. </w:t>
            </w:r>
            <w:r w:rsidR="008C6FF5">
              <w:t>‘</w:t>
            </w:r>
            <w:r w:rsidRPr="000C0532">
              <w:t>Health information</w:t>
            </w:r>
            <w:r w:rsidR="008C6FF5">
              <w:t>’</w:t>
            </w:r>
            <w:r w:rsidRPr="000C0532">
              <w:t xml:space="preserve"> is protected by the Health Privacy Principles within the Health Records Act (</w:t>
            </w:r>
            <w:r w:rsidR="008C6FF5">
              <w:t xml:space="preserve">see </w:t>
            </w:r>
            <w:r w:rsidR="00B84E9B">
              <w:t>A</w:t>
            </w:r>
            <w:r w:rsidRPr="000C0532">
              <w:t>ppendix 3).</w:t>
            </w:r>
          </w:p>
          <w:p w14:paraId="3B4F3BB3" w14:textId="67EEC6BB" w:rsidR="000C0532" w:rsidRDefault="000C0532" w:rsidP="00B20FAF">
            <w:pPr>
              <w:pStyle w:val="DHHStablebullet"/>
            </w:pPr>
            <w:r w:rsidRPr="000C0532">
              <w:t xml:space="preserve">A communication device can only be taken away from an inpatient without their agreement where the requirements of the </w:t>
            </w:r>
            <w:r w:rsidR="008C6FF5">
              <w:t>Mental Health Act</w:t>
            </w:r>
            <w:r w:rsidR="008C6FF5" w:rsidRPr="000C0532">
              <w:t xml:space="preserve"> </w:t>
            </w:r>
            <w:r w:rsidRPr="000C0532">
              <w:t>are met.</w:t>
            </w:r>
          </w:p>
        </w:tc>
      </w:tr>
    </w:tbl>
    <w:p w14:paraId="2191CB7D" w14:textId="77777777" w:rsidR="0046387C" w:rsidRDefault="0046387C" w:rsidP="002E2EE0">
      <w:pPr>
        <w:pStyle w:val="DHHSbody"/>
      </w:pPr>
    </w:p>
    <w:p w14:paraId="18725385" w14:textId="77777777" w:rsidR="0046387C" w:rsidRDefault="0046387C">
      <w:pPr>
        <w:rPr>
          <w:rFonts w:ascii="Arial" w:hAnsi="Arial"/>
          <w:bCs/>
          <w:color w:val="004EA8"/>
          <w:sz w:val="44"/>
          <w:szCs w:val="44"/>
        </w:rPr>
      </w:pPr>
      <w:r>
        <w:br w:type="page"/>
      </w:r>
    </w:p>
    <w:p w14:paraId="71795E98" w14:textId="7138506D" w:rsidR="00F048C5" w:rsidRDefault="00F048C5" w:rsidP="0046387C">
      <w:pPr>
        <w:pStyle w:val="Heading1"/>
      </w:pPr>
      <w:bookmarkStart w:id="9" w:name="_Toc524705850"/>
      <w:r w:rsidRPr="00F048C5">
        <w:lastRenderedPageBreak/>
        <w:t>Electronic devices and privacy</w:t>
      </w:r>
      <w:bookmarkEnd w:id="9"/>
    </w:p>
    <w:p w14:paraId="52EA1743" w14:textId="4BE1DF18" w:rsidR="00DA3663" w:rsidRDefault="00F048C5" w:rsidP="00276670">
      <w:pPr>
        <w:pStyle w:val="DHHSbody"/>
      </w:pPr>
      <w:r w:rsidRPr="00F048C5">
        <w:t>Recording a private activity or conversation</w:t>
      </w:r>
      <w:r w:rsidR="00AF5A06">
        <w:t xml:space="preserve"> –</w:t>
      </w:r>
      <w:r w:rsidRPr="00F048C5">
        <w:t xml:space="preserve"> for example</w:t>
      </w:r>
      <w:r w:rsidR="00AF5A06">
        <w:t>,</w:t>
      </w:r>
      <w:r w:rsidRPr="00F048C5">
        <w:t xml:space="preserve"> </w:t>
      </w:r>
      <w:r w:rsidR="00AF5A06">
        <w:t>about</w:t>
      </w:r>
      <w:r w:rsidR="00AF5A06" w:rsidRPr="00F048C5">
        <w:t xml:space="preserve"> </w:t>
      </w:r>
      <w:r w:rsidRPr="00F048C5">
        <w:t>health information</w:t>
      </w:r>
      <w:r w:rsidR="00AF5A06">
        <w:t xml:space="preserve"> –</w:t>
      </w:r>
      <w:r w:rsidRPr="00F048C5">
        <w:t xml:space="preserve"> using a </w:t>
      </w:r>
      <w:r w:rsidR="008C6FF5">
        <w:t>‘</w:t>
      </w:r>
      <w:r w:rsidRPr="00F048C5">
        <w:t>surveillance device</w:t>
      </w:r>
      <w:r w:rsidR="008C6FF5">
        <w:t>’</w:t>
      </w:r>
      <w:r w:rsidRPr="00F048C5">
        <w:t xml:space="preserve"> may contravene the </w:t>
      </w:r>
      <w:r w:rsidR="00FC3A52" w:rsidRPr="002E2EE0">
        <w:t>Surveillance Devices Act</w:t>
      </w:r>
      <w:r w:rsidRPr="00B84E9B">
        <w:t>.</w:t>
      </w:r>
      <w:r w:rsidRPr="00F048C5">
        <w:t xml:space="preserve"> Contemporary electronic communication devices typically have the capacity to record audio and visual information and</w:t>
      </w:r>
      <w:r w:rsidR="00B96DAD">
        <w:t>,</w:t>
      </w:r>
      <w:r w:rsidRPr="00F048C5">
        <w:t xml:space="preserve"> as such</w:t>
      </w:r>
      <w:r w:rsidR="00B96DAD">
        <w:t>,</w:t>
      </w:r>
      <w:r w:rsidRPr="00F048C5">
        <w:t xml:space="preserve"> these devices can be considered </w:t>
      </w:r>
      <w:r w:rsidR="008C6FF5">
        <w:t>‘</w:t>
      </w:r>
      <w:r w:rsidRPr="00F048C5">
        <w:t>sur</w:t>
      </w:r>
      <w:r w:rsidR="003B664A">
        <w:t>veillance devices</w:t>
      </w:r>
      <w:r w:rsidR="008C6FF5">
        <w:t>’</w:t>
      </w:r>
      <w:r w:rsidR="003B664A">
        <w:t xml:space="preserve"> under the Act</w:t>
      </w:r>
      <w:r w:rsidRPr="00F048C5">
        <w:t xml:space="preserve"> (</w:t>
      </w:r>
      <w:r w:rsidR="00B96DAD">
        <w:t xml:space="preserve">see </w:t>
      </w:r>
      <w:r w:rsidR="00B84E9B">
        <w:t>A</w:t>
      </w:r>
      <w:r w:rsidRPr="00F048C5">
        <w:t xml:space="preserve">ppendix 4). </w:t>
      </w:r>
    </w:p>
    <w:p w14:paraId="17E7818F" w14:textId="0D23334A" w:rsidR="00F048C5" w:rsidRPr="00647FA0" w:rsidRDefault="00DA3663" w:rsidP="002E2EE0">
      <w:pPr>
        <w:pStyle w:val="Heading2"/>
      </w:pPr>
      <w:bookmarkStart w:id="10" w:name="_Toc524705851"/>
      <w:r>
        <w:t>Unreasonable restrictions</w:t>
      </w:r>
      <w:bookmarkEnd w:id="10"/>
    </w:p>
    <w:tbl>
      <w:tblPr>
        <w:tblStyle w:val="TableGrid"/>
        <w:tblW w:w="0" w:type="auto"/>
        <w:tblLook w:val="04A0" w:firstRow="1" w:lastRow="0" w:firstColumn="1" w:lastColumn="0" w:noHBand="0" w:noVBand="1"/>
      </w:tblPr>
      <w:tblGrid>
        <w:gridCol w:w="9180"/>
      </w:tblGrid>
      <w:tr w:rsidR="00276670" w14:paraId="58049AE3" w14:textId="77777777" w:rsidTr="00DA3663">
        <w:tc>
          <w:tcPr>
            <w:tcW w:w="9180" w:type="dxa"/>
            <w:shd w:val="clear" w:color="auto" w:fill="E0EAF5"/>
          </w:tcPr>
          <w:p w14:paraId="27620000" w14:textId="77777777" w:rsidR="00276670" w:rsidRDefault="00276670" w:rsidP="00276670">
            <w:pPr>
              <w:pStyle w:val="DHHStablecolhead"/>
            </w:pPr>
            <w:r>
              <w:t>Examples when it would generally not be reasonable to restrict use of electronic communication devices</w:t>
            </w:r>
          </w:p>
          <w:p w14:paraId="75A6CA8D" w14:textId="77777777" w:rsidR="00276670" w:rsidRDefault="00276670" w:rsidP="00276670">
            <w:pPr>
              <w:pStyle w:val="DHHStablebullet"/>
            </w:pPr>
            <w:r>
              <w:t>A first time breach of the communication policy – especially if there was no prior explanation of the policy and expectations, or no first warning/advice given.</w:t>
            </w:r>
          </w:p>
          <w:p w14:paraId="1AB5792A" w14:textId="6E5B58BF" w:rsidR="00276670" w:rsidRDefault="00276670" w:rsidP="00276670">
            <w:pPr>
              <w:pStyle w:val="DHHStablebullet"/>
            </w:pPr>
            <w:r>
              <w:t>Taking photos of the facility if other patients and staff are not in the photo (it is reasonable to take photographs of a mental health facility</w:t>
            </w:r>
            <w:r w:rsidR="00AF5A06">
              <w:t>;</w:t>
            </w:r>
            <w:r>
              <w:t xml:space="preserve"> these are public services and other patients in the hospital can do this).</w:t>
            </w:r>
          </w:p>
          <w:p w14:paraId="3EF5F023" w14:textId="22036232" w:rsidR="00276670" w:rsidRDefault="00276670" w:rsidP="00276670">
            <w:pPr>
              <w:pStyle w:val="DHHStablebullet"/>
            </w:pPr>
            <w:r>
              <w:t>Making online purchases (unless there were risks such as accru</w:t>
            </w:r>
            <w:r w:rsidR="00AF5A06">
              <w:t>ing</w:t>
            </w:r>
            <w:r>
              <w:t xml:space="preserve"> significant debt)</w:t>
            </w:r>
            <w:r w:rsidR="00AF5A06">
              <w:t>.</w:t>
            </w:r>
          </w:p>
          <w:p w14:paraId="7C0A4B2C" w14:textId="7A9BECA2" w:rsidR="00276670" w:rsidRDefault="00276670" w:rsidP="00276670">
            <w:pPr>
              <w:pStyle w:val="DHHStablebullet"/>
            </w:pPr>
            <w:r>
              <w:t>Concern that a patient may use the device for unlawful or harmful reasons but has not actually done so (pre-emptive management of risk).</w:t>
            </w:r>
          </w:p>
          <w:p w14:paraId="31F2DCBC" w14:textId="7A7B0CCE" w:rsidR="00276670" w:rsidRDefault="00276670" w:rsidP="00276670">
            <w:pPr>
              <w:pStyle w:val="DHHStablebullet"/>
            </w:pPr>
            <w:r>
              <w:t>Because a patient is making complaints, seeking legal advice, seeking advocacy or expressing anger at the service.</w:t>
            </w:r>
          </w:p>
          <w:p w14:paraId="4D0AD49D" w14:textId="7EE62B54" w:rsidR="00276670" w:rsidRDefault="00276670" w:rsidP="00276670">
            <w:pPr>
              <w:pStyle w:val="DHHStablebullet"/>
            </w:pPr>
            <w:r>
              <w:t>Because a patient is writing about their experience of being unwell, or of being in hospital, on social media (unless this contravenes the Surveillance Devices Act or Health Records Act</w:t>
            </w:r>
            <w:r w:rsidR="00AF5A06">
              <w:t>)</w:t>
            </w:r>
            <w:r>
              <w:t>. This is an increasingly common and often helpful strategy for people to connect with their community, and to activate their support networks.</w:t>
            </w:r>
          </w:p>
          <w:p w14:paraId="338B6D58" w14:textId="0013E06E" w:rsidR="00276670" w:rsidRDefault="00276670" w:rsidP="00276670">
            <w:pPr>
              <w:pStyle w:val="DHHStablebullet"/>
            </w:pPr>
            <w:r>
              <w:t xml:space="preserve">Because a patient is writing about unusual beliefs/delusions on social media (unless this contravenes the </w:t>
            </w:r>
            <w:r w:rsidR="00AF5A06" w:rsidRPr="00E3733D">
              <w:t>Surveillance Devices Act</w:t>
            </w:r>
            <w:r>
              <w:t xml:space="preserve">, </w:t>
            </w:r>
            <w:r w:rsidR="00AF5A06">
              <w:t xml:space="preserve">Health Records Act </w:t>
            </w:r>
            <w:r>
              <w:t>or otherwise poses a high risk of harm to the person or others).</w:t>
            </w:r>
          </w:p>
          <w:p w14:paraId="06EE8870" w14:textId="77777777" w:rsidR="00276670" w:rsidRDefault="00276670" w:rsidP="00276670">
            <w:pPr>
              <w:pStyle w:val="DHHStablebullet"/>
            </w:pPr>
            <w:r>
              <w:t>Because a patient is researching their treatment, diagnosis, the service or any other issue related to their admission.</w:t>
            </w:r>
          </w:p>
          <w:p w14:paraId="07F4DE66" w14:textId="77777777" w:rsidR="00276670" w:rsidRDefault="00276670" w:rsidP="00276670">
            <w:pPr>
              <w:pStyle w:val="DHHStablebullet"/>
            </w:pPr>
            <w:r>
              <w:t>For any punitive reason.</w:t>
            </w:r>
          </w:p>
        </w:tc>
      </w:tr>
    </w:tbl>
    <w:p w14:paraId="6C316F69" w14:textId="774A6849" w:rsidR="00DA3663" w:rsidRPr="00E3733D" w:rsidRDefault="00DA3663" w:rsidP="00DA3663">
      <w:pPr>
        <w:pStyle w:val="Heading2"/>
      </w:pPr>
      <w:bookmarkStart w:id="11" w:name="_Toc524705852"/>
      <w:r>
        <w:t>Reasonable restrictions</w:t>
      </w:r>
      <w:bookmarkEnd w:id="11"/>
    </w:p>
    <w:p w14:paraId="43B6DA45" w14:textId="77777777" w:rsidR="00F048C5" w:rsidRDefault="00F048C5" w:rsidP="00276670">
      <w:pPr>
        <w:pStyle w:val="DHHSbodyaftertablefigure"/>
      </w:pPr>
      <w:r w:rsidRPr="00F048C5">
        <w:t xml:space="preserve">Restrictions to communication </w:t>
      </w:r>
      <w:r w:rsidRPr="002E2EE0">
        <w:rPr>
          <w:b/>
          <w:u w:val="single"/>
        </w:rPr>
        <w:t>may</w:t>
      </w:r>
      <w:r w:rsidRPr="00F048C5">
        <w:t xml:space="preserve"> be considered in the following circumstances. </w:t>
      </w:r>
    </w:p>
    <w:p w14:paraId="58E060CE" w14:textId="77777777" w:rsidR="00276670" w:rsidRPr="00276670" w:rsidRDefault="00276670" w:rsidP="00276670">
      <w:pPr>
        <w:pStyle w:val="DHHSbody"/>
      </w:pPr>
      <w:r>
        <w:t xml:space="preserve">Note: </w:t>
      </w:r>
      <w:r w:rsidRPr="00F048C5">
        <w:t>These examples are not exhaustive and every situation needs be tailored to individual circumstances and preferences.</w:t>
      </w:r>
    </w:p>
    <w:tbl>
      <w:tblPr>
        <w:tblStyle w:val="TableGrid"/>
        <w:tblW w:w="0" w:type="auto"/>
        <w:tblLook w:val="04A0" w:firstRow="1" w:lastRow="0" w:firstColumn="1" w:lastColumn="0" w:noHBand="0" w:noVBand="1"/>
      </w:tblPr>
      <w:tblGrid>
        <w:gridCol w:w="9288"/>
      </w:tblGrid>
      <w:tr w:rsidR="00276670" w14:paraId="785602A4" w14:textId="77777777" w:rsidTr="00A25F0F">
        <w:tc>
          <w:tcPr>
            <w:tcW w:w="9288" w:type="dxa"/>
            <w:shd w:val="clear" w:color="auto" w:fill="E0EAF5"/>
          </w:tcPr>
          <w:p w14:paraId="32EEB393" w14:textId="77777777" w:rsidR="00276670" w:rsidRDefault="00276670" w:rsidP="00276670">
            <w:pPr>
              <w:pStyle w:val="DHHStablecolhead"/>
            </w:pPr>
            <w:r>
              <w:t xml:space="preserve">Examples when it may be reasonable to restrict use of electronic communication devices </w:t>
            </w:r>
          </w:p>
          <w:p w14:paraId="0A6BE818" w14:textId="1AF4CC2F" w:rsidR="00276670" w:rsidRDefault="00276670" w:rsidP="00276670">
            <w:pPr>
              <w:pStyle w:val="DHHStablebullet"/>
            </w:pPr>
            <w:r>
              <w:t xml:space="preserve">Unlawful use of </w:t>
            </w:r>
            <w:r w:rsidR="005B41BC">
              <w:t xml:space="preserve">a </w:t>
            </w:r>
            <w:r>
              <w:t>device (</w:t>
            </w:r>
            <w:r w:rsidR="00B84E9B">
              <w:rPr>
                <w:rFonts w:eastAsia="Times"/>
              </w:rPr>
              <w:t>for example,</w:t>
            </w:r>
            <w:r>
              <w:t xml:space="preserve"> stalking and harassment).</w:t>
            </w:r>
          </w:p>
          <w:p w14:paraId="68B3A474" w14:textId="77777777" w:rsidR="00276670" w:rsidRDefault="00276670" w:rsidP="00276670">
            <w:pPr>
              <w:pStyle w:val="DHHStablebullet"/>
            </w:pPr>
            <w:r>
              <w:t>Breach of another person’s privacy, for example:</w:t>
            </w:r>
          </w:p>
          <w:p w14:paraId="4EB8D7C6" w14:textId="7C3D6A09" w:rsidR="00276670" w:rsidRDefault="00276670" w:rsidP="00A25F0F">
            <w:pPr>
              <w:pStyle w:val="DHHStablebullet"/>
              <w:numPr>
                <w:ilvl w:val="6"/>
                <w:numId w:val="36"/>
              </w:numPr>
              <w:ind w:left="488"/>
            </w:pPr>
            <w:r>
              <w:t>audio or video recording a conversation between a patient and their mental health clinician about their care plan without the express or implied consent of the patient and the clinician</w:t>
            </w:r>
            <w:r w:rsidR="005B41BC">
              <w:t xml:space="preserve"> and</w:t>
            </w:r>
            <w:r>
              <w:t xml:space="preserve"> when this conversation is taking place in a private area where it would be reasonable to expect not to be overheard</w:t>
            </w:r>
            <w:r w:rsidR="005B41BC">
              <w:t xml:space="preserve"> (t</w:t>
            </w:r>
            <w:r>
              <w:t>his contravenes the</w:t>
            </w:r>
            <w:r w:rsidR="005B41BC" w:rsidRPr="00E3733D">
              <w:t xml:space="preserve"> Surveillance Devices Act</w:t>
            </w:r>
            <w:r w:rsidR="005B41BC">
              <w:t>)</w:t>
            </w:r>
          </w:p>
          <w:p w14:paraId="243A9468" w14:textId="0D2CF8B9" w:rsidR="00276670" w:rsidRDefault="00276670" w:rsidP="00A25F0F">
            <w:pPr>
              <w:pStyle w:val="DHHStablebullet"/>
              <w:numPr>
                <w:ilvl w:val="6"/>
                <w:numId w:val="36"/>
              </w:numPr>
              <w:ind w:left="488"/>
            </w:pPr>
            <w:r>
              <w:t xml:space="preserve">audio or video recording a patient and posting the recording on social media such as YouTube without the express or implied consent of all parties captured in the recording </w:t>
            </w:r>
            <w:r w:rsidR="005B41BC">
              <w:t>(t</w:t>
            </w:r>
            <w:r>
              <w:t xml:space="preserve">his </w:t>
            </w:r>
            <w:r w:rsidR="005B41BC">
              <w:t xml:space="preserve">also </w:t>
            </w:r>
            <w:r>
              <w:t>contravenes the</w:t>
            </w:r>
            <w:r w:rsidR="005B41BC" w:rsidRPr="00E3733D">
              <w:t xml:space="preserve"> Surveillance Devices Act</w:t>
            </w:r>
            <w:r w:rsidR="005B41BC">
              <w:t>)</w:t>
            </w:r>
            <w:r>
              <w:t xml:space="preserve">. </w:t>
            </w:r>
          </w:p>
          <w:p w14:paraId="765C2C93" w14:textId="2FABB2C5" w:rsidR="00276670" w:rsidRDefault="00276670" w:rsidP="00276670">
            <w:pPr>
              <w:pStyle w:val="DHHStablebullet"/>
            </w:pPr>
            <w:r>
              <w:t xml:space="preserve">Patient request for restriction in </w:t>
            </w:r>
            <w:r w:rsidR="005B41BC">
              <w:t xml:space="preserve">an </w:t>
            </w:r>
            <w:r>
              <w:t>advance statement (</w:t>
            </w:r>
            <w:r w:rsidR="005B41BC">
              <w:rPr>
                <w:rFonts w:eastAsia="Times"/>
              </w:rPr>
              <w:t xml:space="preserve">the </w:t>
            </w:r>
            <w:r>
              <w:t>patient may have personal reasons for not wanting their phone).</w:t>
            </w:r>
          </w:p>
          <w:p w14:paraId="4926F897" w14:textId="77777777" w:rsidR="00276670" w:rsidRDefault="00276670" w:rsidP="00276670">
            <w:pPr>
              <w:pStyle w:val="DHHStablebullet"/>
            </w:pPr>
            <w:r>
              <w:lastRenderedPageBreak/>
              <w:t>Patient agreement following a discussion about risk of harm, such as past instances of accruing large debts while unwell (this kind of restriction should have patient discussion and consent, be part of a treatment plan, may involve carers/family, and should always be based on current risks, not past history).</w:t>
            </w:r>
          </w:p>
          <w:p w14:paraId="771B95FD" w14:textId="4D0CF758" w:rsidR="00276670" w:rsidRDefault="00276670" w:rsidP="00647FA0">
            <w:pPr>
              <w:pStyle w:val="DHHStablebullet"/>
            </w:pPr>
            <w:r>
              <w:t xml:space="preserve">Extreme disinhibited behaviour </w:t>
            </w:r>
            <w:r w:rsidR="005B41BC">
              <w:t xml:space="preserve">that </w:t>
            </w:r>
            <w:r>
              <w:t>may have serious long</w:t>
            </w:r>
            <w:r w:rsidR="005B41BC">
              <w:t>-</w:t>
            </w:r>
            <w:r>
              <w:t>term repercussions for the person (</w:t>
            </w:r>
            <w:r w:rsidR="005B41BC">
              <w:t xml:space="preserve">for example, </w:t>
            </w:r>
            <w:r>
              <w:t>posting naked photographs online</w:t>
            </w:r>
            <w:r w:rsidR="005B41BC">
              <w:t xml:space="preserve"> or</w:t>
            </w:r>
            <w:r>
              <w:t xml:space="preserve"> making extremely large online purchases).</w:t>
            </w:r>
          </w:p>
        </w:tc>
      </w:tr>
    </w:tbl>
    <w:p w14:paraId="16B057F9" w14:textId="0084571F" w:rsidR="00F048C5" w:rsidRPr="00F048C5" w:rsidRDefault="00F048C5" w:rsidP="00A25F0F">
      <w:pPr>
        <w:pStyle w:val="DHHSbodyaftertablefigure"/>
      </w:pPr>
      <w:r w:rsidRPr="00F048C5">
        <w:lastRenderedPageBreak/>
        <w:t xml:space="preserve">From time to time mental health services may receive requests from </w:t>
      </w:r>
      <w:r w:rsidR="005B41BC">
        <w:t>people</w:t>
      </w:r>
      <w:r w:rsidR="005B41BC" w:rsidRPr="00F048C5">
        <w:t xml:space="preserve"> </w:t>
      </w:r>
      <w:r w:rsidRPr="00F048C5">
        <w:t xml:space="preserve">external to the unit to restrict </w:t>
      </w:r>
      <w:r w:rsidR="005B41BC">
        <w:t xml:space="preserve">a patient’s </w:t>
      </w:r>
      <w:r w:rsidRPr="00F048C5">
        <w:t xml:space="preserve">mobile phone use because the individual is feeling threatened, harassed or otherwise unsafe. For example, </w:t>
      </w:r>
      <w:r w:rsidR="005B41BC">
        <w:t xml:space="preserve">the person might be making </w:t>
      </w:r>
      <w:r w:rsidRPr="00F048C5">
        <w:t>frequent calls to family members, carers or the police. Strategies are suggested below</w:t>
      </w:r>
      <w:r w:rsidR="005B41BC">
        <w:t>.</w:t>
      </w:r>
    </w:p>
    <w:p w14:paraId="062BB1D2" w14:textId="3FEE027E" w:rsidR="00F048C5" w:rsidRPr="00F048C5" w:rsidRDefault="00F048C5" w:rsidP="00B84E9B">
      <w:pPr>
        <w:pStyle w:val="DHHSnumberdigit"/>
        <w:rPr>
          <w:b/>
        </w:rPr>
      </w:pPr>
      <w:r w:rsidRPr="00F048C5">
        <w:t>Determine whether the calls are unlawful (</w:t>
      </w:r>
      <w:r w:rsidR="00B84E9B">
        <w:t>for example,</w:t>
      </w:r>
      <w:r w:rsidRPr="00F048C5">
        <w:t xml:space="preserve"> stalking, harassment, threats of violence) or lawful but upsetting. </w:t>
      </w:r>
    </w:p>
    <w:p w14:paraId="555167E8" w14:textId="7E3F1A40" w:rsidR="00F048C5" w:rsidRPr="00F048C5" w:rsidRDefault="00F048C5" w:rsidP="00B84E9B">
      <w:pPr>
        <w:pStyle w:val="DHHSnumberdigit"/>
        <w:rPr>
          <w:b/>
        </w:rPr>
      </w:pPr>
      <w:r w:rsidRPr="00F048C5">
        <w:t xml:space="preserve">In accordance with the </w:t>
      </w:r>
      <w:r w:rsidR="00B96DAD">
        <w:t>Mental Health Act</w:t>
      </w:r>
      <w:r w:rsidRPr="00F048C5">
        <w:t xml:space="preserve">, the authorised psychiatrist is the only person </w:t>
      </w:r>
      <w:r w:rsidR="002B6A97">
        <w:t>who</w:t>
      </w:r>
      <w:r w:rsidR="002B6A97" w:rsidRPr="00F048C5">
        <w:t xml:space="preserve"> </w:t>
      </w:r>
      <w:r w:rsidRPr="00F048C5">
        <w:t xml:space="preserve">can direct staff to restrict communication. The conditions that need to be met when restricting communication are provided in the </w:t>
      </w:r>
      <w:r w:rsidR="00B96DAD">
        <w:t>Mental Health Act</w:t>
      </w:r>
      <w:r w:rsidRPr="00F048C5">
        <w:t>. The authorised psychiatrist may consider information and evidence provided by other</w:t>
      </w:r>
      <w:r w:rsidR="002B6A97">
        <w:t>s</w:t>
      </w:r>
      <w:r w:rsidR="002B6A97" w:rsidRPr="00F048C5">
        <w:t xml:space="preserve"> </w:t>
      </w:r>
      <w:r w:rsidRPr="00F048C5">
        <w:t xml:space="preserve">when arriving at the decision to restrict communication and whether further action is needed in the event that the circumstances leading up to the restriction were unlawful. </w:t>
      </w:r>
    </w:p>
    <w:tbl>
      <w:tblPr>
        <w:tblStyle w:val="TableGrid"/>
        <w:tblW w:w="0" w:type="auto"/>
        <w:tblLook w:val="04A0" w:firstRow="1" w:lastRow="0" w:firstColumn="1" w:lastColumn="0" w:noHBand="0" w:noVBand="1"/>
      </w:tblPr>
      <w:tblGrid>
        <w:gridCol w:w="9288"/>
      </w:tblGrid>
      <w:tr w:rsidR="00A25F0F" w14:paraId="7A9739CD" w14:textId="77777777" w:rsidTr="00A25F0F">
        <w:tc>
          <w:tcPr>
            <w:tcW w:w="9288" w:type="dxa"/>
            <w:shd w:val="clear" w:color="auto" w:fill="E0EAF5"/>
          </w:tcPr>
          <w:p w14:paraId="2F0C05FA" w14:textId="77777777" w:rsidR="00A25F0F" w:rsidRPr="00A25F0F" w:rsidRDefault="00A25F0F" w:rsidP="00A25F0F">
            <w:pPr>
              <w:pStyle w:val="DHHStablecolhead"/>
              <w:rPr>
                <w:rFonts w:eastAsia="Times"/>
              </w:rPr>
            </w:pPr>
            <w:r w:rsidRPr="00A25F0F">
              <w:rPr>
                <w:rFonts w:eastAsia="Times"/>
              </w:rPr>
              <w:t>Frequent calls to a family member or carer resulting in the person requesting a restriction in communication</w:t>
            </w:r>
          </w:p>
          <w:p w14:paraId="7B4E015D" w14:textId="2173C0DF" w:rsidR="00A25F0F" w:rsidRDefault="00A25F0F" w:rsidP="00647FA0">
            <w:pPr>
              <w:pStyle w:val="DHHStabletext"/>
              <w:rPr>
                <w:rFonts w:eastAsia="Times"/>
              </w:rPr>
            </w:pPr>
            <w:r w:rsidRPr="00A25F0F">
              <w:rPr>
                <w:rFonts w:eastAsia="Times"/>
              </w:rPr>
              <w:t xml:space="preserve">In the event that there was no unlawful act leading to the request for restriction, explore the needs and circumstances driving the unwelcome behaviour from </w:t>
            </w:r>
            <w:r w:rsidRPr="00A25F0F">
              <w:t>the</w:t>
            </w:r>
            <w:r w:rsidRPr="00A25F0F">
              <w:rPr>
                <w:rFonts w:eastAsia="Times"/>
              </w:rPr>
              <w:t xml:space="preserve"> perspective</w:t>
            </w:r>
            <w:r w:rsidR="00BC7FD5">
              <w:rPr>
                <w:rFonts w:eastAsia="Times"/>
              </w:rPr>
              <w:t>s</w:t>
            </w:r>
            <w:r w:rsidRPr="00A25F0F">
              <w:rPr>
                <w:rFonts w:eastAsia="Times"/>
              </w:rPr>
              <w:t xml:space="preserve"> of both parties. Learning how to express needs and meet those needs in a manner that doesn’t negatively impact on relationships with family and carers can be an important component of the recovery process. Family or carers may also benefit from support in their relationship and communication with the patient. Supporting the patient to make and participate in decisions </w:t>
            </w:r>
            <w:r w:rsidR="00BC7FD5">
              <w:rPr>
                <w:rFonts w:eastAsia="Times"/>
              </w:rPr>
              <w:t>about</w:t>
            </w:r>
            <w:r w:rsidR="00BC7FD5" w:rsidRPr="00A25F0F">
              <w:rPr>
                <w:rFonts w:eastAsia="Times"/>
              </w:rPr>
              <w:t xml:space="preserve"> </w:t>
            </w:r>
            <w:r w:rsidRPr="00A25F0F">
              <w:rPr>
                <w:rFonts w:eastAsia="Times"/>
              </w:rPr>
              <w:t xml:space="preserve">helpful and effective communication and managing personal discomfort when communication needs are not met immediately can be an important part of the recovery process and aligns with the principles of the </w:t>
            </w:r>
            <w:r w:rsidR="00B96DAD">
              <w:t xml:space="preserve">Mental Health Act </w:t>
            </w:r>
            <w:r w:rsidRPr="00A25F0F">
              <w:rPr>
                <w:rFonts w:eastAsia="Times"/>
              </w:rPr>
              <w:t>and the Charter.</w:t>
            </w:r>
          </w:p>
        </w:tc>
      </w:tr>
    </w:tbl>
    <w:p w14:paraId="169178C4" w14:textId="77777777" w:rsidR="00F048C5" w:rsidRDefault="00F048C5" w:rsidP="002E2EE0">
      <w:pPr>
        <w:pStyle w:val="DHHSbodynospace"/>
      </w:pPr>
    </w:p>
    <w:tbl>
      <w:tblPr>
        <w:tblStyle w:val="TableGrid"/>
        <w:tblW w:w="0" w:type="auto"/>
        <w:tblLook w:val="04A0" w:firstRow="1" w:lastRow="0" w:firstColumn="1" w:lastColumn="0" w:noHBand="0" w:noVBand="1"/>
      </w:tblPr>
      <w:tblGrid>
        <w:gridCol w:w="9288"/>
      </w:tblGrid>
      <w:tr w:rsidR="00A25F0F" w14:paraId="2C9846C0" w14:textId="77777777" w:rsidTr="00A25F0F">
        <w:tc>
          <w:tcPr>
            <w:tcW w:w="9288" w:type="dxa"/>
            <w:shd w:val="clear" w:color="auto" w:fill="E0EAF5"/>
          </w:tcPr>
          <w:p w14:paraId="65D2C474" w14:textId="77777777" w:rsidR="00A25F0F" w:rsidRPr="00A25F0F" w:rsidRDefault="00A25F0F" w:rsidP="00A25F0F">
            <w:pPr>
              <w:pStyle w:val="DHHStablecolhead"/>
              <w:rPr>
                <w:rFonts w:eastAsia="Times"/>
              </w:rPr>
            </w:pPr>
            <w:r w:rsidRPr="00A25F0F">
              <w:rPr>
                <w:rFonts w:eastAsia="Times"/>
              </w:rPr>
              <w:t>Frequent calls to the police resulting in a request from the police to restrict communication</w:t>
            </w:r>
          </w:p>
          <w:p w14:paraId="61C77A65" w14:textId="682030D3" w:rsidR="00A25F0F" w:rsidRPr="00A25F0F" w:rsidRDefault="00A25F0F" w:rsidP="00A25F0F">
            <w:pPr>
              <w:pStyle w:val="DHHStabletext"/>
              <w:rPr>
                <w:rFonts w:eastAsia="Times"/>
              </w:rPr>
            </w:pPr>
            <w:r w:rsidRPr="00A25F0F">
              <w:rPr>
                <w:rFonts w:eastAsia="Times"/>
              </w:rPr>
              <w:t>Explore the nature of the calls to police. Is the patient seeking to report an unlawful act? Does the person have a complaint about their rights being violated? Does the person feel unsafe?</w:t>
            </w:r>
          </w:p>
          <w:p w14:paraId="3CAF4FE1" w14:textId="54E4064D" w:rsidR="00A25F0F" w:rsidRDefault="00A25F0F" w:rsidP="00647FA0">
            <w:pPr>
              <w:pStyle w:val="DHHStabletext"/>
              <w:rPr>
                <w:rFonts w:eastAsia="Times"/>
              </w:rPr>
            </w:pPr>
            <w:r w:rsidRPr="00A25F0F">
              <w:rPr>
                <w:rFonts w:eastAsia="Times"/>
              </w:rPr>
              <w:t xml:space="preserve">Supporting the patient’s right to make and participate in decisions </w:t>
            </w:r>
            <w:r w:rsidR="00BC7FD5">
              <w:rPr>
                <w:rFonts w:eastAsia="Times"/>
              </w:rPr>
              <w:t>about</w:t>
            </w:r>
            <w:r w:rsidR="00BC7FD5" w:rsidRPr="00A25F0F">
              <w:rPr>
                <w:rFonts w:eastAsia="Times"/>
              </w:rPr>
              <w:t xml:space="preserve"> </w:t>
            </w:r>
            <w:r w:rsidRPr="00A25F0F">
              <w:rPr>
                <w:rFonts w:eastAsia="Times"/>
              </w:rPr>
              <w:t xml:space="preserve">the most appropriate course of action aligns with the </w:t>
            </w:r>
            <w:r w:rsidR="00B96DAD">
              <w:t>Mental Health Act</w:t>
            </w:r>
            <w:r w:rsidR="00B96DAD">
              <w:rPr>
                <w:rFonts w:eastAsia="Times"/>
              </w:rPr>
              <w:t xml:space="preserve"> </w:t>
            </w:r>
            <w:r w:rsidRPr="00A25F0F">
              <w:rPr>
                <w:rFonts w:eastAsia="Times"/>
              </w:rPr>
              <w:t>and the Charter and is part of the recovery process. Depending on the nature of the calls, the patient may be supported in communicating with the agency that is best positioned to address their concerns. This may be the police, Mental Health Complaints Commissioner, Independent Mental Health Advoca</w:t>
            </w:r>
            <w:r w:rsidR="00BC7FD5">
              <w:rPr>
                <w:rFonts w:eastAsia="Times"/>
              </w:rPr>
              <w:t>cy</w:t>
            </w:r>
            <w:r w:rsidRPr="00A25F0F">
              <w:rPr>
                <w:rFonts w:eastAsia="Times"/>
              </w:rPr>
              <w:t xml:space="preserve"> or other agency.</w:t>
            </w:r>
          </w:p>
        </w:tc>
      </w:tr>
    </w:tbl>
    <w:p w14:paraId="68DF0FAF" w14:textId="77777777" w:rsidR="00F048C5" w:rsidRPr="00F048C5" w:rsidRDefault="00F048C5" w:rsidP="0046387C">
      <w:pPr>
        <w:pStyle w:val="Heading2"/>
      </w:pPr>
      <w:bookmarkStart w:id="12" w:name="_Toc524705853"/>
      <w:r w:rsidRPr="00F048C5">
        <w:t>Continuum of restrictions</w:t>
      </w:r>
      <w:bookmarkEnd w:id="12"/>
    </w:p>
    <w:p w14:paraId="5069A7E8" w14:textId="1CF8CA45" w:rsidR="00F048C5" w:rsidRPr="00F048C5" w:rsidRDefault="00F048C5" w:rsidP="00717D76">
      <w:pPr>
        <w:pStyle w:val="DHHSbody"/>
      </w:pPr>
      <w:r w:rsidRPr="00F048C5">
        <w:t>Universal restrictions</w:t>
      </w:r>
      <w:r w:rsidR="00DA3663">
        <w:t xml:space="preserve"> (</w:t>
      </w:r>
      <w:r w:rsidRPr="00F048C5">
        <w:t>remov</w:t>
      </w:r>
      <w:r w:rsidR="00DA3663">
        <w:t>ing</w:t>
      </w:r>
      <w:r w:rsidRPr="00F048C5">
        <w:t xml:space="preserve"> all mobile communication devices </w:t>
      </w:r>
      <w:r w:rsidR="00DA3663">
        <w:t xml:space="preserve">– </w:t>
      </w:r>
      <w:r w:rsidRPr="00F048C5">
        <w:t>for example</w:t>
      </w:r>
      <w:r w:rsidR="00DA3663">
        <w:t>,</w:t>
      </w:r>
      <w:r w:rsidRPr="00F048C5">
        <w:t xml:space="preserve"> on child and adolescent units or in mental health intensive care units</w:t>
      </w:r>
      <w:r w:rsidR="00DA3663">
        <w:t>)</w:t>
      </w:r>
      <w:r w:rsidRPr="00F048C5">
        <w:t xml:space="preserve"> contravene the Charter and </w:t>
      </w:r>
      <w:r w:rsidR="00B96DAD">
        <w:t>Mental Health Act</w:t>
      </w:r>
      <w:r w:rsidRPr="00F048C5">
        <w:t xml:space="preserve">. </w:t>
      </w:r>
    </w:p>
    <w:p w14:paraId="005B4860" w14:textId="39A3575C" w:rsidR="00DE74E9" w:rsidRDefault="00F048C5" w:rsidP="00A25F0F">
      <w:pPr>
        <w:pStyle w:val="DHHSbody"/>
      </w:pPr>
      <w:r w:rsidRPr="00F048C5">
        <w:t xml:space="preserve">In accordance with the </w:t>
      </w:r>
      <w:r w:rsidR="00B96DAD">
        <w:t>Mental Health Act</w:t>
      </w:r>
      <w:r w:rsidRPr="00F048C5">
        <w:t>, restrictions on the right to communicate need to be patient-centred, recovery</w:t>
      </w:r>
      <w:r w:rsidR="00DA3663">
        <w:t>-</w:t>
      </w:r>
      <w:r w:rsidRPr="00F048C5">
        <w:t xml:space="preserve">focused and be the least restrictive approach possible to protect health, safety and wellbeing. </w:t>
      </w:r>
    </w:p>
    <w:p w14:paraId="2F05C8B8" w14:textId="77777777" w:rsidR="005F4F84" w:rsidRDefault="005F4F84" w:rsidP="00A25F0F">
      <w:pPr>
        <w:pStyle w:val="DHHSbody"/>
      </w:pPr>
    </w:p>
    <w:p w14:paraId="07BA85D7" w14:textId="77777777" w:rsidR="005F4F84" w:rsidRDefault="005F4F84" w:rsidP="00A25F0F">
      <w:pPr>
        <w:pStyle w:val="DHHSbody"/>
      </w:pPr>
    </w:p>
    <w:p w14:paraId="7FC8E2ED" w14:textId="77777777" w:rsidR="005F4F84" w:rsidRDefault="005F4F84" w:rsidP="00A25F0F">
      <w:pPr>
        <w:pStyle w:val="DHHSbody"/>
      </w:pPr>
    </w:p>
    <w:tbl>
      <w:tblPr>
        <w:tblStyle w:val="TableGrid"/>
        <w:tblW w:w="0" w:type="auto"/>
        <w:tblLook w:val="04A0" w:firstRow="1" w:lastRow="0" w:firstColumn="1" w:lastColumn="0" w:noHBand="0" w:noVBand="1"/>
      </w:tblPr>
      <w:tblGrid>
        <w:gridCol w:w="9288"/>
      </w:tblGrid>
      <w:tr w:rsidR="00BA42A3" w14:paraId="6A687C27" w14:textId="77777777" w:rsidTr="00A25F0F">
        <w:tc>
          <w:tcPr>
            <w:tcW w:w="9288" w:type="dxa"/>
            <w:shd w:val="clear" w:color="auto" w:fill="E0EAF5"/>
          </w:tcPr>
          <w:p w14:paraId="5CDDB64F" w14:textId="5AAA7CF8" w:rsidR="00BA42A3" w:rsidRDefault="00BA42A3" w:rsidP="000C0532">
            <w:pPr>
              <w:pStyle w:val="DHHStablecolhead"/>
              <w:rPr>
                <w:rFonts w:eastAsia="Times"/>
              </w:rPr>
            </w:pPr>
            <w:r w:rsidRPr="00BA42A3">
              <w:rPr>
                <w:rFonts w:eastAsia="Times"/>
              </w:rPr>
              <w:lastRenderedPageBreak/>
              <w:t>Least restrictive through to most restrictive practices for us</w:t>
            </w:r>
            <w:r w:rsidR="00DA3663">
              <w:rPr>
                <w:rFonts w:eastAsia="Times"/>
              </w:rPr>
              <w:t xml:space="preserve">ing </w:t>
            </w:r>
            <w:r w:rsidRPr="00BA42A3">
              <w:rPr>
                <w:rFonts w:eastAsia="Times"/>
              </w:rPr>
              <w:t>electronic communication devices</w:t>
            </w:r>
          </w:p>
          <w:p w14:paraId="40A7CD91" w14:textId="77777777" w:rsidR="00BA42A3" w:rsidRPr="000C0532" w:rsidRDefault="00BA42A3" w:rsidP="00BA42A3">
            <w:pPr>
              <w:pStyle w:val="DHHStabletext"/>
              <w:rPr>
                <w:rFonts w:eastAsia="Times"/>
                <w:b/>
              </w:rPr>
            </w:pPr>
            <w:r w:rsidRPr="000C0532">
              <w:rPr>
                <w:rFonts w:eastAsia="Times"/>
                <w:b/>
              </w:rPr>
              <w:t>No restriction</w:t>
            </w:r>
          </w:p>
          <w:p w14:paraId="0085F77D" w14:textId="77777777" w:rsidR="00BA42A3" w:rsidRPr="00BA42A3" w:rsidRDefault="00BA42A3" w:rsidP="00BA42A3">
            <w:pPr>
              <w:pStyle w:val="DHHStabletext"/>
              <w:rPr>
                <w:rFonts w:eastAsia="Times"/>
              </w:rPr>
            </w:pPr>
            <w:r w:rsidRPr="00BA42A3">
              <w:rPr>
                <w:rFonts w:eastAsia="Times"/>
              </w:rPr>
              <w:t>The person can use the electronic communication device at any time, unsupervised.</w:t>
            </w:r>
          </w:p>
          <w:p w14:paraId="2E7438A6" w14:textId="77777777" w:rsidR="00BA42A3" w:rsidRPr="000C0532" w:rsidRDefault="00BA42A3" w:rsidP="00BA42A3">
            <w:pPr>
              <w:pStyle w:val="DHHStabletext"/>
              <w:rPr>
                <w:rFonts w:eastAsia="Times"/>
                <w:b/>
              </w:rPr>
            </w:pPr>
            <w:r w:rsidRPr="000C0532">
              <w:rPr>
                <w:rFonts w:eastAsia="Times"/>
                <w:b/>
              </w:rPr>
              <w:t>Least restrictive</w:t>
            </w:r>
          </w:p>
          <w:p w14:paraId="3BAE01A9" w14:textId="787ED13F" w:rsidR="00BA42A3" w:rsidRPr="00BA42A3" w:rsidRDefault="00BA42A3" w:rsidP="000C0532">
            <w:pPr>
              <w:pStyle w:val="DHHStablebullet"/>
              <w:rPr>
                <w:rFonts w:eastAsia="Times"/>
              </w:rPr>
            </w:pPr>
            <w:r w:rsidRPr="00BA42A3">
              <w:rPr>
                <w:rFonts w:eastAsia="Times"/>
              </w:rPr>
              <w:t>Electronic devices can be used unsupervised and/or in a private space</w:t>
            </w:r>
            <w:r w:rsidR="00DA3663">
              <w:rPr>
                <w:rFonts w:eastAsia="Times"/>
              </w:rPr>
              <w:t>.</w:t>
            </w:r>
          </w:p>
          <w:p w14:paraId="1D828F12" w14:textId="77777777" w:rsidR="00BA42A3" w:rsidRPr="00BA42A3" w:rsidRDefault="00BA42A3" w:rsidP="000C0532">
            <w:pPr>
              <w:pStyle w:val="DHHStablebullet"/>
              <w:rPr>
                <w:rFonts w:eastAsia="Times"/>
              </w:rPr>
            </w:pPr>
            <w:r w:rsidRPr="00BA42A3">
              <w:rPr>
                <w:rFonts w:eastAsia="Times"/>
              </w:rPr>
              <w:t>Each patient keeps their own electronic devices in a personal locker. Access to the device is managed by the patient and documented within the care plan.</w:t>
            </w:r>
          </w:p>
          <w:p w14:paraId="34B75917" w14:textId="77777777" w:rsidR="00BA42A3" w:rsidRPr="00BA42A3" w:rsidRDefault="00BA42A3" w:rsidP="000C0532">
            <w:pPr>
              <w:pStyle w:val="DHHStablebullet"/>
              <w:rPr>
                <w:rFonts w:eastAsia="Times"/>
              </w:rPr>
            </w:pPr>
            <w:r w:rsidRPr="00BA42A3">
              <w:rPr>
                <w:rFonts w:eastAsia="Times"/>
              </w:rPr>
              <w:t>Charging points and wireless headphones are available if ligature concerns require removal of cabled items.</w:t>
            </w:r>
          </w:p>
          <w:p w14:paraId="78E19FFE" w14:textId="32AAE47C" w:rsidR="00BA42A3" w:rsidRPr="00BA42A3" w:rsidRDefault="00BA42A3" w:rsidP="000C0532">
            <w:pPr>
              <w:pStyle w:val="DHHStablebullet"/>
              <w:rPr>
                <w:rFonts w:eastAsia="Times"/>
              </w:rPr>
            </w:pPr>
            <w:r w:rsidRPr="00BA42A3">
              <w:rPr>
                <w:rFonts w:eastAsia="Times"/>
              </w:rPr>
              <w:t xml:space="preserve">Telephones, computers or tablets with internet access are available for use by any patient within designated areas. Access will depend on </w:t>
            </w:r>
            <w:r w:rsidR="00DA3663">
              <w:rPr>
                <w:rFonts w:eastAsia="Times"/>
              </w:rPr>
              <w:t xml:space="preserve">local </w:t>
            </w:r>
            <w:r w:rsidRPr="00BA42A3">
              <w:rPr>
                <w:rFonts w:eastAsia="Times"/>
              </w:rPr>
              <w:t xml:space="preserve">demand. </w:t>
            </w:r>
          </w:p>
          <w:p w14:paraId="02C3CEE9" w14:textId="77777777" w:rsidR="00BA42A3" w:rsidRPr="000C0532" w:rsidRDefault="00BA42A3" w:rsidP="00BA42A3">
            <w:pPr>
              <w:pStyle w:val="DHHStabletext"/>
              <w:rPr>
                <w:rFonts w:eastAsia="Times"/>
                <w:b/>
              </w:rPr>
            </w:pPr>
            <w:r w:rsidRPr="000C0532">
              <w:rPr>
                <w:rFonts w:eastAsia="Times"/>
                <w:b/>
              </w:rPr>
              <w:t>Restrictive</w:t>
            </w:r>
          </w:p>
          <w:p w14:paraId="2CE56908" w14:textId="77777777" w:rsidR="00BA42A3" w:rsidRPr="00BA42A3" w:rsidRDefault="00BA42A3" w:rsidP="000C0532">
            <w:pPr>
              <w:pStyle w:val="DHHStablebullet"/>
              <w:rPr>
                <w:rFonts w:eastAsia="Times"/>
              </w:rPr>
            </w:pPr>
            <w:r w:rsidRPr="00BA42A3">
              <w:rPr>
                <w:rFonts w:eastAsia="Times"/>
              </w:rPr>
              <w:t xml:space="preserve">Patients don’t have access to internet or telephones. </w:t>
            </w:r>
          </w:p>
          <w:p w14:paraId="77FB2E13" w14:textId="3D6A40BE" w:rsidR="00BA42A3" w:rsidRPr="00BA42A3" w:rsidRDefault="00BA42A3" w:rsidP="000C0532">
            <w:pPr>
              <w:pStyle w:val="DHHStablebullet"/>
              <w:rPr>
                <w:rFonts w:eastAsia="Times"/>
              </w:rPr>
            </w:pPr>
            <w:r w:rsidRPr="00BA42A3">
              <w:rPr>
                <w:rFonts w:eastAsia="Times"/>
              </w:rPr>
              <w:t xml:space="preserve">Patients don’t have access to a private area </w:t>
            </w:r>
            <w:r w:rsidR="00346C72">
              <w:rPr>
                <w:rFonts w:eastAsia="Times"/>
              </w:rPr>
              <w:t>to</w:t>
            </w:r>
            <w:r w:rsidR="00346C72" w:rsidRPr="00BA42A3">
              <w:rPr>
                <w:rFonts w:eastAsia="Times"/>
              </w:rPr>
              <w:t xml:space="preserve"> </w:t>
            </w:r>
            <w:r w:rsidRPr="00BA42A3">
              <w:rPr>
                <w:rFonts w:eastAsia="Times"/>
              </w:rPr>
              <w:t>use devices.</w:t>
            </w:r>
          </w:p>
          <w:p w14:paraId="7A237B65" w14:textId="583A7D37" w:rsidR="00BA42A3" w:rsidRPr="00BA42A3" w:rsidRDefault="00BA42A3" w:rsidP="000C0532">
            <w:pPr>
              <w:pStyle w:val="DHHStablebullet"/>
              <w:rPr>
                <w:rFonts w:eastAsia="Times"/>
              </w:rPr>
            </w:pPr>
            <w:r w:rsidRPr="00BA42A3">
              <w:rPr>
                <w:rFonts w:eastAsia="Times"/>
              </w:rPr>
              <w:t>Patient</w:t>
            </w:r>
            <w:r w:rsidR="00346C72">
              <w:rPr>
                <w:rFonts w:eastAsia="Times"/>
              </w:rPr>
              <w:t>s</w:t>
            </w:r>
            <w:r w:rsidRPr="00BA42A3">
              <w:rPr>
                <w:rFonts w:eastAsia="Times"/>
              </w:rPr>
              <w:t xml:space="preserve"> ha</w:t>
            </w:r>
            <w:r w:rsidR="00346C72">
              <w:rPr>
                <w:rFonts w:eastAsia="Times"/>
              </w:rPr>
              <w:t>ve</w:t>
            </w:r>
            <w:r w:rsidRPr="00BA42A3">
              <w:rPr>
                <w:rFonts w:eastAsia="Times"/>
              </w:rPr>
              <w:t xml:space="preserve"> to ask staff for access to shared telephones.</w:t>
            </w:r>
          </w:p>
          <w:p w14:paraId="3E41D27E" w14:textId="77777777" w:rsidR="00BA42A3" w:rsidRPr="00BA42A3" w:rsidRDefault="00BA42A3" w:rsidP="000C0532">
            <w:pPr>
              <w:pStyle w:val="DHHStablebullet"/>
              <w:rPr>
                <w:rFonts w:eastAsia="Times"/>
              </w:rPr>
            </w:pPr>
            <w:r w:rsidRPr="00BA42A3">
              <w:rPr>
                <w:rFonts w:eastAsia="Times"/>
              </w:rPr>
              <w:t xml:space="preserve">Each patient keeps their own electronic devices, but charging cords are confiscated and provision is not made for other means of charging. </w:t>
            </w:r>
          </w:p>
          <w:p w14:paraId="7E350EE6" w14:textId="77777777" w:rsidR="00BA42A3" w:rsidRPr="00BA42A3" w:rsidRDefault="00BA42A3" w:rsidP="000C0532">
            <w:pPr>
              <w:pStyle w:val="DHHStablebullet"/>
              <w:rPr>
                <w:rFonts w:eastAsia="Times"/>
              </w:rPr>
            </w:pPr>
            <w:r w:rsidRPr="00BA42A3">
              <w:rPr>
                <w:rFonts w:eastAsia="Times"/>
              </w:rPr>
              <w:t>Headphones are confiscated without a wireless alternative being provided.</w:t>
            </w:r>
          </w:p>
          <w:p w14:paraId="548999AB" w14:textId="77777777" w:rsidR="00BA42A3" w:rsidRPr="000C0532" w:rsidRDefault="00BA42A3" w:rsidP="00BA42A3">
            <w:pPr>
              <w:pStyle w:val="DHHStabletext"/>
              <w:rPr>
                <w:rFonts w:eastAsia="Times"/>
                <w:b/>
              </w:rPr>
            </w:pPr>
            <w:r w:rsidRPr="000C0532">
              <w:rPr>
                <w:rFonts w:eastAsia="Times"/>
                <w:b/>
              </w:rPr>
              <w:t>Most restrictive</w:t>
            </w:r>
          </w:p>
          <w:p w14:paraId="3DD928BC" w14:textId="46D4418C" w:rsidR="00BA42A3" w:rsidRPr="00BA42A3" w:rsidRDefault="00BA42A3" w:rsidP="000C0532">
            <w:pPr>
              <w:pStyle w:val="DHHStablebullet"/>
              <w:rPr>
                <w:rFonts w:eastAsia="Times"/>
              </w:rPr>
            </w:pPr>
            <w:r w:rsidRPr="00BA42A3">
              <w:rPr>
                <w:rFonts w:eastAsia="Times"/>
              </w:rPr>
              <w:t>Patient</w:t>
            </w:r>
            <w:r w:rsidR="00381E3F">
              <w:rPr>
                <w:rFonts w:eastAsia="Times"/>
              </w:rPr>
              <w:t>s’</w:t>
            </w:r>
            <w:r w:rsidRPr="00BA42A3">
              <w:rPr>
                <w:rFonts w:eastAsia="Times"/>
              </w:rPr>
              <w:t xml:space="preserve"> devices are confiscated.</w:t>
            </w:r>
          </w:p>
          <w:p w14:paraId="4EFC988D" w14:textId="070FD8C6" w:rsidR="00BA42A3" w:rsidRPr="00BA42A3" w:rsidRDefault="00346C72" w:rsidP="000C0532">
            <w:pPr>
              <w:pStyle w:val="DHHStablebullet"/>
              <w:rPr>
                <w:rFonts w:eastAsia="Times"/>
              </w:rPr>
            </w:pPr>
            <w:r>
              <w:rPr>
                <w:rFonts w:eastAsia="Times"/>
              </w:rPr>
              <w:t>P</w:t>
            </w:r>
            <w:r w:rsidR="00BA42A3" w:rsidRPr="00BA42A3">
              <w:rPr>
                <w:rFonts w:eastAsia="Times"/>
              </w:rPr>
              <w:t>atient</w:t>
            </w:r>
            <w:r w:rsidR="00381E3F">
              <w:rPr>
                <w:rFonts w:eastAsia="Times"/>
              </w:rPr>
              <w:t>s’</w:t>
            </w:r>
            <w:r w:rsidR="00BA42A3" w:rsidRPr="00BA42A3">
              <w:rPr>
                <w:rFonts w:eastAsia="Times"/>
              </w:rPr>
              <w:t xml:space="preserve"> use of devices </w:t>
            </w:r>
            <w:r>
              <w:rPr>
                <w:rFonts w:eastAsia="Times"/>
              </w:rPr>
              <w:t xml:space="preserve">is supervised </w:t>
            </w:r>
            <w:r w:rsidR="00BA42A3" w:rsidRPr="00BA42A3">
              <w:rPr>
                <w:rFonts w:eastAsia="Times"/>
              </w:rPr>
              <w:t>(impinging privacy)</w:t>
            </w:r>
            <w:r>
              <w:rPr>
                <w:rFonts w:eastAsia="Times"/>
              </w:rPr>
              <w:t>.</w:t>
            </w:r>
            <w:r w:rsidR="00BA42A3" w:rsidRPr="00BA42A3">
              <w:rPr>
                <w:rFonts w:eastAsia="Times"/>
              </w:rPr>
              <w:t xml:space="preserve"> </w:t>
            </w:r>
          </w:p>
          <w:p w14:paraId="4B753469" w14:textId="790678DB" w:rsidR="00BA42A3" w:rsidRDefault="00BA42A3" w:rsidP="00AF5A06">
            <w:pPr>
              <w:pStyle w:val="DHHStabletext"/>
              <w:rPr>
                <w:rFonts w:eastAsia="Times"/>
              </w:rPr>
            </w:pPr>
            <w:r w:rsidRPr="00BA42A3">
              <w:rPr>
                <w:rFonts w:eastAsia="Times"/>
              </w:rPr>
              <w:t xml:space="preserve">With regard to all the examples provided above, the </w:t>
            </w:r>
            <w:r w:rsidR="00B96DAD">
              <w:t>Mental Health Act</w:t>
            </w:r>
            <w:r w:rsidR="00B96DAD">
              <w:rPr>
                <w:rFonts w:eastAsia="Times"/>
              </w:rPr>
              <w:t xml:space="preserve"> </w:t>
            </w:r>
            <w:r w:rsidRPr="00BA42A3">
              <w:rPr>
                <w:rFonts w:eastAsia="Times"/>
              </w:rPr>
              <w:t>provisions need to be met (</w:t>
            </w:r>
            <w:r w:rsidR="00B96DAD">
              <w:rPr>
                <w:rFonts w:eastAsia="Times"/>
              </w:rPr>
              <w:t>see A</w:t>
            </w:r>
            <w:r w:rsidRPr="00BA42A3">
              <w:rPr>
                <w:rFonts w:eastAsia="Times"/>
              </w:rPr>
              <w:t>ppendix 2).</w:t>
            </w:r>
          </w:p>
        </w:tc>
      </w:tr>
    </w:tbl>
    <w:p w14:paraId="456FE678" w14:textId="7B24D213" w:rsidR="00F048C5" w:rsidRPr="0046387C" w:rsidRDefault="00381E3F" w:rsidP="0046387C">
      <w:pPr>
        <w:pStyle w:val="Heading1"/>
        <w:rPr>
          <w:b/>
          <w:sz w:val="28"/>
          <w:szCs w:val="28"/>
        </w:rPr>
      </w:pPr>
      <w:bookmarkStart w:id="13" w:name="_Toc524705854"/>
      <w:r>
        <w:t>E-s</w:t>
      </w:r>
      <w:r w:rsidR="00F048C5" w:rsidRPr="00F048C5">
        <w:t>afety</w:t>
      </w:r>
      <w:bookmarkEnd w:id="13"/>
    </w:p>
    <w:p w14:paraId="70E95E8F" w14:textId="41A4FF79" w:rsidR="00F048C5" w:rsidRPr="00F048C5" w:rsidRDefault="00F048C5" w:rsidP="00717D76">
      <w:pPr>
        <w:pStyle w:val="DHHSbody"/>
      </w:pPr>
      <w:r w:rsidRPr="00F048C5">
        <w:t>The online world is part of everyday life for many children and young people. It is a forum where they can play</w:t>
      </w:r>
      <w:r w:rsidR="00381E3F">
        <w:t>,</w:t>
      </w:r>
      <w:r w:rsidRPr="00F048C5">
        <w:t xml:space="preserve"> learn and socialise. Electronic communication also exposes young people to potential risks to their mental health and wellbeing. The Office of the </w:t>
      </w:r>
      <w:proofErr w:type="spellStart"/>
      <w:r w:rsidRPr="00F048C5">
        <w:t>eSafety</w:t>
      </w:r>
      <w:proofErr w:type="spellEnd"/>
      <w:r w:rsidRPr="00F048C5">
        <w:t xml:space="preserve"> Commissioner has produced </w:t>
      </w:r>
      <w:hyperlink r:id="rId11" w:history="1">
        <w:r w:rsidRPr="00FE7544">
          <w:rPr>
            <w:rStyle w:val="Hyperlink"/>
          </w:rPr>
          <w:t>advice for parents</w:t>
        </w:r>
      </w:hyperlink>
      <w:r w:rsidRPr="00F048C5">
        <w:t xml:space="preserve"> </w:t>
      </w:r>
      <w:r w:rsidR="00FE7544">
        <w:t>&lt;</w:t>
      </w:r>
      <w:r w:rsidR="00E63097" w:rsidRPr="00FE7544">
        <w:t>https://esafety.gov.au/education-resources/iparent</w:t>
      </w:r>
      <w:r w:rsidR="00FE7544">
        <w:t>&gt;</w:t>
      </w:r>
      <w:r w:rsidR="00E63097">
        <w:t xml:space="preserve"> </w:t>
      </w:r>
      <w:r w:rsidRPr="00F048C5">
        <w:t>on how to minimise</w:t>
      </w:r>
      <w:r w:rsidR="00381E3F">
        <w:t xml:space="preserve"> the</w:t>
      </w:r>
      <w:r w:rsidRPr="00F048C5">
        <w:t xml:space="preserve"> risks associated with us</w:t>
      </w:r>
      <w:r w:rsidR="00381E3F">
        <w:t>ing</w:t>
      </w:r>
      <w:r w:rsidRPr="00F048C5">
        <w:t xml:space="preserve"> mobile phones, tablet devices and computers, which includes information on social media, screen time, protecting personal information, exposure to inappropriate content, cyberbully</w:t>
      </w:r>
      <w:r w:rsidR="00FE7544">
        <w:t xml:space="preserve">ing and contact with strangers. </w:t>
      </w:r>
      <w:r w:rsidR="003B664A">
        <w:t xml:space="preserve">This information might also be of helpful to mental health service providers. </w:t>
      </w:r>
    </w:p>
    <w:p w14:paraId="407406A2" w14:textId="77777777" w:rsidR="0046387C" w:rsidRDefault="0046387C">
      <w:pPr>
        <w:rPr>
          <w:rFonts w:ascii="Arial" w:hAnsi="Arial"/>
          <w:bCs/>
          <w:color w:val="004EA8"/>
          <w:sz w:val="44"/>
          <w:szCs w:val="44"/>
        </w:rPr>
      </w:pPr>
      <w:r>
        <w:br w:type="page"/>
      </w:r>
    </w:p>
    <w:p w14:paraId="43DD9367" w14:textId="2212A5EC" w:rsidR="00F048C5" w:rsidRPr="00F048C5" w:rsidRDefault="00F048C5" w:rsidP="0046387C">
      <w:pPr>
        <w:pStyle w:val="Heading1"/>
      </w:pPr>
      <w:bookmarkStart w:id="14" w:name="_Toc524705855"/>
      <w:r w:rsidRPr="00F048C5">
        <w:lastRenderedPageBreak/>
        <w:t>Summary</w:t>
      </w:r>
      <w:bookmarkEnd w:id="14"/>
    </w:p>
    <w:p w14:paraId="266CAF36" w14:textId="0DD1B61D" w:rsidR="0056707C" w:rsidRDefault="00F048C5" w:rsidP="00717D76">
      <w:pPr>
        <w:pStyle w:val="DHHSbody"/>
      </w:pPr>
      <w:r w:rsidRPr="00F048C5">
        <w:t>Patients have the right to communicate. Communication can promote recovery. There may be circumstances when restricting communication may be necessary to protect health, safety, wellbeing and privacy</w:t>
      </w:r>
      <w:r w:rsidR="0056707C" w:rsidRPr="00F048C5">
        <w:t>.</w:t>
      </w:r>
    </w:p>
    <w:p w14:paraId="328A6776" w14:textId="38D88213" w:rsidR="0056707C" w:rsidRDefault="0056707C" w:rsidP="00717D76">
      <w:pPr>
        <w:pStyle w:val="DHHSbody"/>
      </w:pPr>
      <w:r>
        <w:t>Information about us</w:t>
      </w:r>
      <w:r w:rsidR="00381E3F">
        <w:t>ing</w:t>
      </w:r>
      <w:r w:rsidR="00550498">
        <w:t xml:space="preserve"> </w:t>
      </w:r>
      <w:r>
        <w:t>communication devices must be conveyed in a manner in which the individual</w:t>
      </w:r>
      <w:r w:rsidR="00DE7FAE">
        <w:t>,</w:t>
      </w:r>
      <w:r>
        <w:t xml:space="preserve"> according to their specific circumstances, can best understand. Where an individual is represented by a guardian or is a child, information must be provided to the guardian of the</w:t>
      </w:r>
      <w:r w:rsidR="00550498">
        <w:t xml:space="preserve"> </w:t>
      </w:r>
      <w:r>
        <w:t>individual or the parent or the guardian of the child where the individual or child does not fully understand the information conveyed.</w:t>
      </w:r>
    </w:p>
    <w:p w14:paraId="02AFE03B" w14:textId="5995B90F" w:rsidR="0056707C" w:rsidRDefault="00F048C5" w:rsidP="00717D76">
      <w:pPr>
        <w:pStyle w:val="DHHSbody"/>
      </w:pPr>
      <w:r w:rsidRPr="00F048C5">
        <w:t>Restrictions to communication need to be patient-centred and recovery</w:t>
      </w:r>
      <w:r w:rsidR="00DE7FAE">
        <w:t>-</w:t>
      </w:r>
      <w:r w:rsidRPr="00F048C5">
        <w:t>focused and</w:t>
      </w:r>
      <w:r w:rsidR="00550498">
        <w:t xml:space="preserve"> </w:t>
      </w:r>
      <w:r w:rsidRPr="00F048C5">
        <w:t xml:space="preserve">discussed with the patient in a </w:t>
      </w:r>
      <w:r w:rsidR="00DE7FAE">
        <w:t>way</w:t>
      </w:r>
      <w:r w:rsidR="00DE7FAE" w:rsidRPr="00F048C5">
        <w:t xml:space="preserve"> </w:t>
      </w:r>
      <w:r w:rsidRPr="00F048C5">
        <w:t>that supports their right to participate in or make decisions</w:t>
      </w:r>
      <w:r w:rsidR="0056707C">
        <w:t xml:space="preserve">. </w:t>
      </w:r>
      <w:r w:rsidRPr="00F048C5">
        <w:t xml:space="preserve">Restrictions need to be the least restrictive possible to protect health, safety, wellbeing and privacy and include </w:t>
      </w:r>
      <w:r w:rsidR="00DE7FAE">
        <w:t xml:space="preserve">a </w:t>
      </w:r>
      <w:r w:rsidRPr="00F048C5">
        <w:t xml:space="preserve">discussion </w:t>
      </w:r>
      <w:r w:rsidR="00DE7FAE">
        <w:t>about</w:t>
      </w:r>
      <w:r w:rsidR="00DE7FAE" w:rsidRPr="00F048C5">
        <w:t xml:space="preserve"> </w:t>
      </w:r>
      <w:r w:rsidRPr="00F048C5">
        <w:t>alternative options that support communication whil</w:t>
      </w:r>
      <w:r w:rsidR="00DE7FAE">
        <w:t>e</w:t>
      </w:r>
      <w:r w:rsidRPr="00F048C5">
        <w:t xml:space="preserve"> protecting the patient and others. </w:t>
      </w:r>
    </w:p>
    <w:p w14:paraId="3039DA0D" w14:textId="5DCA6A81" w:rsidR="00F048C5" w:rsidRPr="00F048C5" w:rsidRDefault="00F048C5" w:rsidP="00DE624F">
      <w:pPr>
        <w:pStyle w:val="DHHSbody"/>
      </w:pPr>
      <w:r w:rsidRPr="00F048C5">
        <w:t>Restrictions need to be monitored and ceased as soon as the reason for the restriction no longer applies. Options for secure</w:t>
      </w:r>
      <w:r w:rsidR="008632EF">
        <w:t>ly</w:t>
      </w:r>
      <w:r w:rsidRPr="00F048C5">
        <w:t xml:space="preserve"> stor</w:t>
      </w:r>
      <w:r w:rsidR="008632EF">
        <w:t>ing</w:t>
      </w:r>
      <w:r w:rsidRPr="00F048C5">
        <w:t xml:space="preserve"> and regist</w:t>
      </w:r>
      <w:r w:rsidR="008632EF">
        <w:t>ering</w:t>
      </w:r>
      <w:r w:rsidRPr="00F048C5">
        <w:t xml:space="preserve"> personal property are recommended, together with access to ‘charging stations’ (with due consideration to safety of ligatures). Health services are required to adhere to relevant legislation </w:t>
      </w:r>
      <w:r w:rsidR="008632EF">
        <w:t>regarding</w:t>
      </w:r>
      <w:r w:rsidR="008632EF" w:rsidRPr="00F048C5">
        <w:t xml:space="preserve"> </w:t>
      </w:r>
      <w:r w:rsidRPr="00F048C5">
        <w:t xml:space="preserve">communication and privacy. </w:t>
      </w:r>
    </w:p>
    <w:p w14:paraId="366EFB6B" w14:textId="77777777" w:rsidR="00F048C5" w:rsidRDefault="004645A0" w:rsidP="004645A0">
      <w:pPr>
        <w:pStyle w:val="Heading2"/>
      </w:pPr>
      <w:bookmarkStart w:id="15" w:name="_Toc524705856"/>
      <w:r>
        <w:t>Key measures</w:t>
      </w:r>
      <w:bookmarkEnd w:id="15"/>
    </w:p>
    <w:p w14:paraId="5AB0086B" w14:textId="71BEB367" w:rsidR="003B664A" w:rsidRPr="003B664A" w:rsidRDefault="003B664A" w:rsidP="00717D76">
      <w:pPr>
        <w:pStyle w:val="DHHSbody"/>
      </w:pPr>
      <w:r>
        <w:t xml:space="preserve">The following measures may be helpful to mental health services to audit </w:t>
      </w:r>
      <w:r w:rsidR="008632EF">
        <w:t xml:space="preserve">their </w:t>
      </w:r>
      <w:r>
        <w:t>compliance with local policy:</w:t>
      </w:r>
    </w:p>
    <w:p w14:paraId="2E3FD4D4" w14:textId="14C0A9BE" w:rsidR="00F048C5" w:rsidRPr="00F048C5" w:rsidRDefault="003B664A" w:rsidP="005F4F84">
      <w:pPr>
        <w:pStyle w:val="DHHSnumberdigit"/>
        <w:numPr>
          <w:ilvl w:val="0"/>
          <w:numId w:val="42"/>
        </w:numPr>
      </w:pPr>
      <w:r>
        <w:t>Designated mental health services have</w:t>
      </w:r>
      <w:r w:rsidR="00F048C5" w:rsidRPr="00F048C5">
        <w:t xml:space="preserve"> a policy </w:t>
      </w:r>
      <w:r w:rsidR="008632EF">
        <w:t>that</w:t>
      </w:r>
      <w:r w:rsidR="008632EF" w:rsidRPr="00F048C5">
        <w:t xml:space="preserve"> </w:t>
      </w:r>
      <w:r w:rsidR="00F048C5" w:rsidRPr="00F048C5">
        <w:t>support</w:t>
      </w:r>
      <w:r>
        <w:t>s</w:t>
      </w:r>
      <w:r w:rsidR="00F048C5" w:rsidRPr="00F048C5">
        <w:t xml:space="preserve"> electronic communication in a manner th</w:t>
      </w:r>
      <w:r>
        <w:t>at accords with the principles in this guideline.</w:t>
      </w:r>
    </w:p>
    <w:p w14:paraId="61D48854" w14:textId="77777777" w:rsidR="00F048C5" w:rsidRPr="00F048C5" w:rsidRDefault="00F048C5" w:rsidP="00717D76">
      <w:pPr>
        <w:pStyle w:val="DHHSnumberdigit"/>
      </w:pPr>
      <w:r w:rsidRPr="00F048C5">
        <w:t>Staff are aware of the following legislation and how it applies to electronic communication and privacy:</w:t>
      </w:r>
    </w:p>
    <w:p w14:paraId="317EEB03" w14:textId="556D2C4A" w:rsidR="00F048C5" w:rsidRPr="00F048C5" w:rsidRDefault="00F048C5" w:rsidP="005F4F84">
      <w:pPr>
        <w:pStyle w:val="DHHSbullet2"/>
      </w:pPr>
      <w:r w:rsidRPr="00F048C5">
        <w:t>Charter of Human Rights and Responsibilities Act (</w:t>
      </w:r>
      <w:r w:rsidR="008632EF">
        <w:t xml:space="preserve">see </w:t>
      </w:r>
      <w:r w:rsidR="00B84E9B">
        <w:t>A</w:t>
      </w:r>
      <w:r w:rsidRPr="00F048C5">
        <w:t>ppendix 1)</w:t>
      </w:r>
    </w:p>
    <w:p w14:paraId="6D0AAC87" w14:textId="23DB4C33" w:rsidR="00F048C5" w:rsidRPr="00F048C5" w:rsidRDefault="00F048C5" w:rsidP="005F4F84">
      <w:pPr>
        <w:pStyle w:val="DHHSbullet2"/>
      </w:pPr>
      <w:r w:rsidRPr="00F048C5">
        <w:t>Mental Health Act (</w:t>
      </w:r>
      <w:r w:rsidR="008632EF">
        <w:t xml:space="preserve">see </w:t>
      </w:r>
      <w:r w:rsidR="00B84E9B">
        <w:t>A</w:t>
      </w:r>
      <w:r w:rsidRPr="00F048C5">
        <w:t>ppendix 2)</w:t>
      </w:r>
    </w:p>
    <w:p w14:paraId="4D899A19" w14:textId="35AF0D7A" w:rsidR="00F048C5" w:rsidRPr="00F048C5" w:rsidRDefault="00F048C5" w:rsidP="005F4F84">
      <w:pPr>
        <w:pStyle w:val="DHHSbullet2"/>
      </w:pPr>
      <w:r w:rsidRPr="00F048C5">
        <w:t>Health Records Act (</w:t>
      </w:r>
      <w:r w:rsidR="008632EF">
        <w:t xml:space="preserve">see </w:t>
      </w:r>
      <w:r w:rsidR="00B84E9B">
        <w:t>A</w:t>
      </w:r>
      <w:r w:rsidRPr="00F048C5">
        <w:t>ppendix 3)</w:t>
      </w:r>
    </w:p>
    <w:p w14:paraId="32E99004" w14:textId="4DE162DA" w:rsidR="00F048C5" w:rsidRPr="00F048C5" w:rsidRDefault="00F048C5" w:rsidP="005F4F84">
      <w:pPr>
        <w:pStyle w:val="DHHSbullet2lastline"/>
      </w:pPr>
      <w:r w:rsidRPr="00F048C5">
        <w:t>Surveillance Devices Act (</w:t>
      </w:r>
      <w:r w:rsidR="008632EF">
        <w:t xml:space="preserve">see </w:t>
      </w:r>
      <w:r w:rsidR="00B84E9B">
        <w:t>A</w:t>
      </w:r>
      <w:r w:rsidRPr="00F048C5">
        <w:t>ppendix 4)</w:t>
      </w:r>
      <w:r w:rsidR="00B84E9B">
        <w:t>.</w:t>
      </w:r>
    </w:p>
    <w:p w14:paraId="4546C89D" w14:textId="47B37D20" w:rsidR="00F048C5" w:rsidRPr="00F048C5" w:rsidRDefault="00186649" w:rsidP="00717D76">
      <w:pPr>
        <w:pStyle w:val="DHHSnumberdigit"/>
      </w:pPr>
      <w:r>
        <w:t>I</w:t>
      </w:r>
      <w:r w:rsidR="00F048C5" w:rsidRPr="00F048C5">
        <w:t xml:space="preserve">npatient and consumer complaints </w:t>
      </w:r>
      <w:r>
        <w:t xml:space="preserve">about </w:t>
      </w:r>
      <w:r w:rsidR="00F048C5" w:rsidRPr="00F048C5">
        <w:t xml:space="preserve">electronic communication </w:t>
      </w:r>
      <w:r>
        <w:t xml:space="preserve">access </w:t>
      </w:r>
      <w:r w:rsidR="00F048C5" w:rsidRPr="00F048C5">
        <w:t>and privacy in designated mental health services</w:t>
      </w:r>
      <w:r>
        <w:t xml:space="preserve"> reduce.</w:t>
      </w:r>
    </w:p>
    <w:p w14:paraId="478AFCBC" w14:textId="77777777" w:rsidR="00F048C5" w:rsidRPr="00F048C5" w:rsidRDefault="00F048C5" w:rsidP="0046387C">
      <w:pPr>
        <w:pStyle w:val="Heading1"/>
      </w:pPr>
      <w:bookmarkStart w:id="16" w:name="_Toc524705857"/>
      <w:r w:rsidRPr="00F048C5">
        <w:t>Further information</w:t>
      </w:r>
      <w:bookmarkEnd w:id="16"/>
    </w:p>
    <w:p w14:paraId="3A0EA000" w14:textId="6D78712A" w:rsidR="00F048C5" w:rsidRPr="00F048C5" w:rsidRDefault="00F048C5" w:rsidP="00717D76">
      <w:pPr>
        <w:pStyle w:val="DHHSbody"/>
        <w:rPr>
          <w:i/>
        </w:rPr>
      </w:pPr>
      <w:r w:rsidRPr="00F048C5">
        <w:t>In developing, implementing and evaluating local policies and guidelines for mental health services, the department supports recovery</w:t>
      </w:r>
      <w:r w:rsidR="00186649">
        <w:t>-</w:t>
      </w:r>
      <w:r w:rsidRPr="00F048C5">
        <w:t xml:space="preserve">oriented, patient-centred, interdisciplinary collaboration. As such, consultation with patients and others </w:t>
      </w:r>
      <w:r w:rsidR="00186649">
        <w:t>affected</w:t>
      </w:r>
      <w:r w:rsidR="00186649" w:rsidRPr="00F048C5">
        <w:t xml:space="preserve"> </w:t>
      </w:r>
      <w:r w:rsidRPr="00F048C5">
        <w:t xml:space="preserve">by the policy or guideline is a critical step in the process, in alignment with the </w:t>
      </w:r>
      <w:r w:rsidRPr="005F4F84">
        <w:t>Mental Health Act.</w:t>
      </w:r>
    </w:p>
    <w:p w14:paraId="5E1CE276" w14:textId="77777777" w:rsidR="00F048C5" w:rsidRPr="00F048C5" w:rsidRDefault="00F048C5" w:rsidP="00DE624F">
      <w:pPr>
        <w:pStyle w:val="DHHSbody"/>
      </w:pPr>
      <w:r w:rsidRPr="00F048C5">
        <w:br w:type="page"/>
      </w:r>
    </w:p>
    <w:p w14:paraId="1528A721" w14:textId="7FC60079" w:rsidR="00F048C5" w:rsidRDefault="00F048C5" w:rsidP="00700D9A">
      <w:pPr>
        <w:pStyle w:val="Heading2"/>
        <w:rPr>
          <w:rFonts w:eastAsia="Times"/>
        </w:rPr>
      </w:pPr>
      <w:bookmarkStart w:id="17" w:name="_Toc524705858"/>
      <w:r w:rsidRPr="00F048C5">
        <w:rPr>
          <w:rFonts w:eastAsia="Times"/>
        </w:rPr>
        <w:lastRenderedPageBreak/>
        <w:t xml:space="preserve">Appendix 1: </w:t>
      </w:r>
      <w:r w:rsidR="003A49C8">
        <w:rPr>
          <w:rFonts w:eastAsia="Times"/>
        </w:rPr>
        <w:t xml:space="preserve">Relevant sections of the </w:t>
      </w:r>
      <w:r w:rsidRPr="00F048C5">
        <w:rPr>
          <w:rFonts w:eastAsia="Times"/>
        </w:rPr>
        <w:t>Charter of Human Rights and Responsibilities Act</w:t>
      </w:r>
      <w:bookmarkEnd w:id="17"/>
      <w:r w:rsidRPr="00F048C5">
        <w:rPr>
          <w:rFonts w:eastAsia="Times"/>
        </w:rPr>
        <w:t xml:space="preserve"> </w:t>
      </w:r>
    </w:p>
    <w:tbl>
      <w:tblPr>
        <w:tblStyle w:val="TableGrid"/>
        <w:tblW w:w="0" w:type="auto"/>
        <w:tblLook w:val="04A0" w:firstRow="1" w:lastRow="0" w:firstColumn="1" w:lastColumn="0" w:noHBand="0" w:noVBand="1"/>
      </w:tblPr>
      <w:tblGrid>
        <w:gridCol w:w="2410"/>
        <w:gridCol w:w="6770"/>
      </w:tblGrid>
      <w:tr w:rsidR="00F773EA" w14:paraId="070EEE0E" w14:textId="77777777" w:rsidTr="005F4F84">
        <w:trPr>
          <w:tblHeader/>
        </w:trPr>
        <w:tc>
          <w:tcPr>
            <w:tcW w:w="2410" w:type="dxa"/>
          </w:tcPr>
          <w:p w14:paraId="58DB4D19" w14:textId="77777777" w:rsidR="00F773EA" w:rsidRPr="00BA42A3" w:rsidRDefault="00F773EA" w:rsidP="005F4F84">
            <w:pPr>
              <w:pStyle w:val="DHHStablecolhead"/>
            </w:pPr>
            <w:r>
              <w:rPr>
                <w:rFonts w:eastAsia="Times"/>
              </w:rPr>
              <w:t>Section</w:t>
            </w:r>
          </w:p>
        </w:tc>
        <w:tc>
          <w:tcPr>
            <w:tcW w:w="6770" w:type="dxa"/>
          </w:tcPr>
          <w:p w14:paraId="70299A3C" w14:textId="5C6AA2C8" w:rsidR="00F773EA" w:rsidRPr="005C0DA8" w:rsidRDefault="00D73006" w:rsidP="005F4F84">
            <w:pPr>
              <w:pStyle w:val="DHHStablecolhead"/>
            </w:pPr>
            <w:r>
              <w:rPr>
                <w:rFonts w:eastAsia="Times"/>
              </w:rPr>
              <w:t>Provisions</w:t>
            </w:r>
          </w:p>
        </w:tc>
      </w:tr>
      <w:tr w:rsidR="00A25F0F" w14:paraId="4D726A4F" w14:textId="77777777" w:rsidTr="005F4F84">
        <w:tc>
          <w:tcPr>
            <w:tcW w:w="2410" w:type="dxa"/>
          </w:tcPr>
          <w:p w14:paraId="62CF451C" w14:textId="5FF1F831" w:rsidR="00A25F0F" w:rsidRPr="00F773EA" w:rsidRDefault="005C0DA8" w:rsidP="00647FA0">
            <w:pPr>
              <w:pStyle w:val="DHHStabletext"/>
            </w:pPr>
            <w:r w:rsidRPr="005F4F84">
              <w:t xml:space="preserve">Freedom of expression </w:t>
            </w:r>
            <w:r w:rsidRPr="005F4F84">
              <w:rPr>
                <w:rFonts w:eastAsia="Times"/>
              </w:rPr>
              <w:t>(s. 15)</w:t>
            </w:r>
          </w:p>
        </w:tc>
        <w:tc>
          <w:tcPr>
            <w:tcW w:w="6770" w:type="dxa"/>
          </w:tcPr>
          <w:p w14:paraId="449B1B96" w14:textId="77777777" w:rsidR="005C0DA8" w:rsidRPr="005C0DA8" w:rsidRDefault="005C0DA8" w:rsidP="005C0DA8">
            <w:pPr>
              <w:pStyle w:val="DHHStabletext"/>
            </w:pPr>
            <w:r w:rsidRPr="005C0DA8">
              <w:t>Every person has the right to freedom of expression which includes the freedom to seek, receive and impart information and ideas of all kinds, whether within or outside Victoria and whether:</w:t>
            </w:r>
          </w:p>
          <w:p w14:paraId="0D7E3039" w14:textId="77777777" w:rsidR="005C0DA8" w:rsidRPr="005C0DA8" w:rsidRDefault="005C0DA8" w:rsidP="005C0DA8">
            <w:pPr>
              <w:pStyle w:val="DHHStabletext"/>
              <w:framePr w:hSpace="180" w:wrap="around" w:vAnchor="page" w:hAnchor="margin" w:y="4059"/>
              <w:numPr>
                <w:ilvl w:val="0"/>
                <w:numId w:val="40"/>
              </w:numPr>
              <w:ind w:left="459"/>
            </w:pPr>
            <w:r w:rsidRPr="005C0DA8">
              <w:t xml:space="preserve">orally; or </w:t>
            </w:r>
          </w:p>
          <w:p w14:paraId="3D0CAF4F" w14:textId="77777777" w:rsidR="005C0DA8" w:rsidRPr="005C0DA8" w:rsidRDefault="005C0DA8" w:rsidP="005C0DA8">
            <w:pPr>
              <w:pStyle w:val="DHHStabletext"/>
              <w:framePr w:hSpace="180" w:wrap="around" w:vAnchor="page" w:hAnchor="margin" w:y="4059"/>
              <w:numPr>
                <w:ilvl w:val="0"/>
                <w:numId w:val="40"/>
              </w:numPr>
              <w:ind w:left="459"/>
            </w:pPr>
            <w:r w:rsidRPr="005C0DA8">
              <w:t>in writing; or</w:t>
            </w:r>
          </w:p>
          <w:p w14:paraId="2AAE30CF" w14:textId="77777777" w:rsidR="005C0DA8" w:rsidRPr="005C0DA8" w:rsidRDefault="005C0DA8" w:rsidP="005C0DA8">
            <w:pPr>
              <w:pStyle w:val="DHHStabletext"/>
              <w:framePr w:hSpace="180" w:wrap="around" w:vAnchor="page" w:hAnchor="margin" w:y="4059"/>
              <w:numPr>
                <w:ilvl w:val="0"/>
                <w:numId w:val="40"/>
              </w:numPr>
              <w:ind w:left="459"/>
            </w:pPr>
            <w:r w:rsidRPr="005C0DA8">
              <w:t>in print; or</w:t>
            </w:r>
          </w:p>
          <w:p w14:paraId="77933722" w14:textId="77777777" w:rsidR="005C0DA8" w:rsidRPr="005C0DA8" w:rsidRDefault="005C0DA8" w:rsidP="005C0DA8">
            <w:pPr>
              <w:pStyle w:val="DHHStabletext"/>
              <w:framePr w:hSpace="180" w:wrap="around" w:vAnchor="page" w:hAnchor="margin" w:y="4059"/>
              <w:numPr>
                <w:ilvl w:val="0"/>
                <w:numId w:val="40"/>
              </w:numPr>
              <w:ind w:left="459"/>
            </w:pPr>
            <w:r w:rsidRPr="005C0DA8">
              <w:t>by way of art; or</w:t>
            </w:r>
          </w:p>
          <w:p w14:paraId="65B70D8F" w14:textId="77777777" w:rsidR="005C0DA8" w:rsidRDefault="005C0DA8" w:rsidP="005C0DA8">
            <w:pPr>
              <w:pStyle w:val="DHHStabletext"/>
              <w:numPr>
                <w:ilvl w:val="0"/>
                <w:numId w:val="40"/>
              </w:numPr>
              <w:ind w:left="459"/>
            </w:pPr>
            <w:r w:rsidRPr="005C0DA8">
              <w:t>in another medium</w:t>
            </w:r>
            <w:r w:rsidRPr="005C0DA8">
              <w:rPr>
                <w:bCs/>
              </w:rPr>
              <w:t xml:space="preserve"> chosen by him or her.</w:t>
            </w:r>
          </w:p>
          <w:p w14:paraId="3A900AAE" w14:textId="77777777" w:rsidR="005C0DA8" w:rsidRPr="00B72025" w:rsidRDefault="005C0DA8" w:rsidP="005C0DA8">
            <w:pPr>
              <w:pStyle w:val="DHHStabletext"/>
            </w:pPr>
            <w:r w:rsidRPr="00B72025">
              <w:t>Special duties and responsibilities are attached to the right of freedom of expression and the right may be subject to lawful restrictions reasonably necessary:</w:t>
            </w:r>
          </w:p>
          <w:p w14:paraId="42F685FC" w14:textId="77777777" w:rsidR="005C0DA8" w:rsidRPr="00B72025" w:rsidRDefault="005C0DA8" w:rsidP="005C0DA8">
            <w:pPr>
              <w:pStyle w:val="DHHStabletext"/>
              <w:numPr>
                <w:ilvl w:val="0"/>
                <w:numId w:val="41"/>
              </w:numPr>
              <w:ind w:left="459"/>
            </w:pPr>
            <w:r w:rsidRPr="00B72025">
              <w:t>to respect the rights and reputation of other persons; or</w:t>
            </w:r>
          </w:p>
          <w:p w14:paraId="067EE70C" w14:textId="77777777" w:rsidR="00A25F0F" w:rsidRDefault="005C0DA8" w:rsidP="005C0DA8">
            <w:pPr>
              <w:pStyle w:val="DHHStabletext"/>
              <w:numPr>
                <w:ilvl w:val="0"/>
                <w:numId w:val="41"/>
              </w:numPr>
              <w:ind w:left="459"/>
            </w:pPr>
            <w:r w:rsidRPr="00B72025">
              <w:t>for the protection of national security, public order, public health or public morality.</w:t>
            </w:r>
          </w:p>
        </w:tc>
      </w:tr>
      <w:tr w:rsidR="00A25F0F" w14:paraId="3C2C505C" w14:textId="77777777" w:rsidTr="005F4F84">
        <w:tc>
          <w:tcPr>
            <w:tcW w:w="2410" w:type="dxa"/>
          </w:tcPr>
          <w:p w14:paraId="39654652" w14:textId="39DAFD2A" w:rsidR="00A25F0F" w:rsidRPr="00F773EA" w:rsidRDefault="005C0DA8" w:rsidP="005F4F84">
            <w:pPr>
              <w:pStyle w:val="DHHStabletext"/>
            </w:pPr>
            <w:bookmarkStart w:id="18" w:name="_Toc177782741"/>
            <w:bookmarkStart w:id="19" w:name="_Toc292115509"/>
            <w:r w:rsidRPr="005F4F84">
              <w:t>Property rights</w:t>
            </w:r>
            <w:bookmarkEnd w:id="18"/>
            <w:bookmarkEnd w:id="19"/>
            <w:r w:rsidR="005F4F84">
              <w:t xml:space="preserve"> (s. 20)</w:t>
            </w:r>
          </w:p>
        </w:tc>
        <w:tc>
          <w:tcPr>
            <w:tcW w:w="6770" w:type="dxa"/>
          </w:tcPr>
          <w:p w14:paraId="7D4787A9" w14:textId="77777777" w:rsidR="00A25F0F" w:rsidRDefault="005C0DA8" w:rsidP="00A25F0F">
            <w:pPr>
              <w:pStyle w:val="DHHStabletext"/>
            </w:pPr>
            <w:r w:rsidRPr="00B72025">
              <w:t>A person must not be deprived of his or her property other than in accordance with law.</w:t>
            </w:r>
          </w:p>
        </w:tc>
      </w:tr>
      <w:tr w:rsidR="005C0DA8" w14:paraId="17A113CC" w14:textId="77777777" w:rsidTr="005F4F84">
        <w:tc>
          <w:tcPr>
            <w:tcW w:w="2410" w:type="dxa"/>
          </w:tcPr>
          <w:p w14:paraId="0B13BDE7" w14:textId="408E1B7F" w:rsidR="005C0DA8" w:rsidRPr="00F773EA" w:rsidRDefault="005C0DA8" w:rsidP="00647FA0">
            <w:pPr>
              <w:pStyle w:val="DHHStabletext"/>
            </w:pPr>
            <w:r w:rsidRPr="005F4F84">
              <w:t xml:space="preserve">Recognition and equality before the law </w:t>
            </w:r>
            <w:r w:rsidRPr="005F4F84">
              <w:rPr>
                <w:rFonts w:eastAsia="Times"/>
              </w:rPr>
              <w:t>(s. 8)</w:t>
            </w:r>
          </w:p>
        </w:tc>
        <w:tc>
          <w:tcPr>
            <w:tcW w:w="6770" w:type="dxa"/>
          </w:tcPr>
          <w:p w14:paraId="0F6910A7" w14:textId="77777777" w:rsidR="005C0DA8" w:rsidRPr="00B72025" w:rsidRDefault="005C0DA8" w:rsidP="005C0DA8">
            <w:pPr>
              <w:pStyle w:val="DHHStabletext"/>
              <w:numPr>
                <w:ilvl w:val="0"/>
                <w:numId w:val="37"/>
              </w:numPr>
              <w:ind w:left="317"/>
            </w:pPr>
            <w:r w:rsidRPr="00B72025">
              <w:t>Every person has the right to recognition as a person before the law.</w:t>
            </w:r>
          </w:p>
          <w:p w14:paraId="4CB07FF4" w14:textId="77777777" w:rsidR="005C0DA8" w:rsidRPr="00B72025" w:rsidRDefault="005C0DA8" w:rsidP="005C0DA8">
            <w:pPr>
              <w:pStyle w:val="DHHStabletext"/>
              <w:numPr>
                <w:ilvl w:val="0"/>
                <w:numId w:val="37"/>
              </w:numPr>
              <w:ind w:left="317"/>
            </w:pPr>
            <w:r w:rsidRPr="00B72025">
              <w:t>Every person has the right to enjoy his or human rights without discrimination.</w:t>
            </w:r>
          </w:p>
          <w:p w14:paraId="2A2990B4" w14:textId="77777777" w:rsidR="005C0DA8" w:rsidRPr="00BA42A3" w:rsidRDefault="005C0DA8" w:rsidP="005C0DA8">
            <w:pPr>
              <w:pStyle w:val="DHHStabletext"/>
              <w:numPr>
                <w:ilvl w:val="0"/>
                <w:numId w:val="37"/>
              </w:numPr>
              <w:ind w:left="317"/>
            </w:pPr>
            <w:r w:rsidRPr="00B72025">
              <w:t>Every person is equal before the law and is entitled to the equal protection of the law without discrimination and has the right to equal and effective protection against discrimination.</w:t>
            </w:r>
          </w:p>
        </w:tc>
      </w:tr>
    </w:tbl>
    <w:p w14:paraId="148B61A4" w14:textId="77777777" w:rsidR="00647FA0" w:rsidRDefault="00647FA0" w:rsidP="00647FA0">
      <w:pPr>
        <w:pStyle w:val="DHHStabletext"/>
      </w:pPr>
    </w:p>
    <w:p w14:paraId="58C33D0A" w14:textId="55097F19" w:rsidR="00647FA0" w:rsidRDefault="00647FA0">
      <w:pPr>
        <w:rPr>
          <w:rFonts w:ascii="Arial" w:hAnsi="Arial"/>
        </w:rPr>
      </w:pPr>
      <w:r>
        <w:br w:type="page"/>
      </w:r>
    </w:p>
    <w:p w14:paraId="685DD372" w14:textId="1377E773" w:rsidR="00647FA0" w:rsidRDefault="00647FA0" w:rsidP="005F4F84">
      <w:pPr>
        <w:pStyle w:val="Heading2"/>
      </w:pPr>
      <w:bookmarkStart w:id="20" w:name="_Toc524705859"/>
      <w:r w:rsidRPr="00647FA0">
        <w:lastRenderedPageBreak/>
        <w:t xml:space="preserve">Appendix 2: </w:t>
      </w:r>
      <w:r w:rsidR="00413440" w:rsidRPr="00647FA0">
        <w:t xml:space="preserve">Relevant sections of the </w:t>
      </w:r>
      <w:r w:rsidRPr="00647FA0">
        <w:t>Mental Health Act</w:t>
      </w:r>
      <w:bookmarkEnd w:id="20"/>
    </w:p>
    <w:tbl>
      <w:tblPr>
        <w:tblStyle w:val="TableGrid"/>
        <w:tblW w:w="0" w:type="auto"/>
        <w:tblLook w:val="04A0" w:firstRow="1" w:lastRow="0" w:firstColumn="1" w:lastColumn="0" w:noHBand="0" w:noVBand="1"/>
      </w:tblPr>
      <w:tblGrid>
        <w:gridCol w:w="1450"/>
        <w:gridCol w:w="7730"/>
      </w:tblGrid>
      <w:tr w:rsidR="00647FA0" w14:paraId="6EF5C557" w14:textId="77777777" w:rsidTr="005F4F84">
        <w:tc>
          <w:tcPr>
            <w:tcW w:w="1450" w:type="dxa"/>
          </w:tcPr>
          <w:p w14:paraId="751D50BF" w14:textId="06CC963F" w:rsidR="00647FA0" w:rsidRPr="00647FA0" w:rsidRDefault="00647FA0" w:rsidP="005F4F84">
            <w:pPr>
              <w:pStyle w:val="DHHStablecolhead"/>
            </w:pPr>
            <w:r>
              <w:t>Section</w:t>
            </w:r>
            <w:r>
              <w:t xml:space="preserve"> </w:t>
            </w:r>
            <w:r>
              <w:rPr>
                <w:rFonts w:eastAsia="Times"/>
              </w:rPr>
              <w:t>(Part 3, Division 2)</w:t>
            </w:r>
          </w:p>
        </w:tc>
        <w:tc>
          <w:tcPr>
            <w:tcW w:w="7730" w:type="dxa"/>
          </w:tcPr>
          <w:p w14:paraId="00AFAFBE" w14:textId="067F328F" w:rsidR="00647FA0" w:rsidRPr="00647FA0" w:rsidRDefault="00647FA0" w:rsidP="00647FA0">
            <w:pPr>
              <w:pStyle w:val="DHHStablecolhead"/>
            </w:pPr>
            <w:r>
              <w:t>Provisions</w:t>
            </w:r>
          </w:p>
        </w:tc>
      </w:tr>
      <w:tr w:rsidR="00647FA0" w14:paraId="58111500" w14:textId="77777777" w:rsidTr="005F4F84">
        <w:tc>
          <w:tcPr>
            <w:tcW w:w="1450" w:type="dxa"/>
          </w:tcPr>
          <w:p w14:paraId="65A09915" w14:textId="1970E2E4" w:rsidR="00647FA0" w:rsidRPr="00647FA0" w:rsidRDefault="00647FA0" w:rsidP="00413440">
            <w:pPr>
              <w:pStyle w:val="DHHStabletext"/>
            </w:pPr>
            <w:r w:rsidRPr="005C0DA8">
              <w:t xml:space="preserve">Communicate </w:t>
            </w:r>
            <w:r w:rsidRPr="005C0DA8">
              <w:rPr>
                <w:rFonts w:eastAsia="Times"/>
              </w:rPr>
              <w:t>(s. 14)</w:t>
            </w:r>
          </w:p>
        </w:tc>
        <w:tc>
          <w:tcPr>
            <w:tcW w:w="7730" w:type="dxa"/>
          </w:tcPr>
          <w:p w14:paraId="38DA5928" w14:textId="77777777" w:rsidR="00647FA0" w:rsidRPr="005C0DA8" w:rsidRDefault="00647FA0" w:rsidP="00647FA0">
            <w:pPr>
              <w:pStyle w:val="DHHStabletext"/>
              <w:rPr>
                <w:rFonts w:eastAsia="Times"/>
              </w:rPr>
            </w:pPr>
            <w:r w:rsidRPr="005C0DA8">
              <w:rPr>
                <w:rFonts w:eastAsia="Times"/>
              </w:rPr>
              <w:t>In relation to an inpatient, means:</w:t>
            </w:r>
          </w:p>
          <w:p w14:paraId="2B9B1DC9" w14:textId="77777777" w:rsidR="00647FA0" w:rsidRPr="005C0DA8" w:rsidRDefault="00647FA0" w:rsidP="005F4F84">
            <w:pPr>
              <w:pStyle w:val="DHHStablebullet"/>
              <w:spacing w:before="0"/>
              <w:rPr>
                <w:rFonts w:eastAsia="Times"/>
              </w:rPr>
            </w:pPr>
            <w:r w:rsidRPr="005C0DA8">
              <w:rPr>
                <w:rFonts w:eastAsia="Times"/>
              </w:rPr>
              <w:t>sending from, or receiving at, a designated mental health service uncensored private communication which may include communication by letter, telephone or electronic means; or</w:t>
            </w:r>
          </w:p>
          <w:p w14:paraId="5D1DB762" w14:textId="78D28215" w:rsidR="00647FA0" w:rsidRPr="00647FA0" w:rsidRDefault="00647FA0" w:rsidP="005F4F84">
            <w:pPr>
              <w:pStyle w:val="DHHStablebullet"/>
              <w:spacing w:before="0"/>
            </w:pPr>
            <w:r w:rsidRPr="005C0DA8">
              <w:rPr>
                <w:rFonts w:eastAsia="Times"/>
              </w:rPr>
              <w:t>receiving visitors at a designated mental health service at reasonable times, including the Australian legal practitioner or nominated person of the inpatient.</w:t>
            </w:r>
          </w:p>
        </w:tc>
      </w:tr>
      <w:tr w:rsidR="00647FA0" w14:paraId="27FED69F" w14:textId="77777777" w:rsidTr="005F4F84">
        <w:tc>
          <w:tcPr>
            <w:tcW w:w="1450" w:type="dxa"/>
          </w:tcPr>
          <w:p w14:paraId="225F7825" w14:textId="70957A0F" w:rsidR="00647FA0" w:rsidRPr="00647FA0" w:rsidRDefault="00647FA0" w:rsidP="00413440">
            <w:pPr>
              <w:pStyle w:val="DHHStabletext"/>
            </w:pPr>
            <w:r w:rsidRPr="00B72025">
              <w:t>Right to communicate</w:t>
            </w:r>
            <w:r>
              <w:t xml:space="preserve"> </w:t>
            </w:r>
            <w:r w:rsidRPr="00B72025">
              <w:rPr>
                <w:rFonts w:eastAsia="Times"/>
              </w:rPr>
              <w:t>(s. 15)</w:t>
            </w:r>
          </w:p>
        </w:tc>
        <w:tc>
          <w:tcPr>
            <w:tcW w:w="7730" w:type="dxa"/>
          </w:tcPr>
          <w:p w14:paraId="3ED54635" w14:textId="77777777" w:rsidR="00647FA0" w:rsidRPr="00B72025" w:rsidRDefault="00647FA0" w:rsidP="005F4F84">
            <w:pPr>
              <w:pStyle w:val="DHHStablebullet"/>
              <w:spacing w:before="0"/>
            </w:pPr>
            <w:r w:rsidRPr="00B72025">
              <w:t>An inpatient has a right to communicate lawfully with any person.</w:t>
            </w:r>
          </w:p>
          <w:p w14:paraId="16F32C5C" w14:textId="77777777" w:rsidR="00647FA0" w:rsidRPr="00B72025" w:rsidRDefault="00647FA0" w:rsidP="005F4F84">
            <w:pPr>
              <w:pStyle w:val="DHHStablebullet"/>
              <w:spacing w:before="0"/>
            </w:pPr>
            <w:r w:rsidRPr="00B72025">
              <w:t>An inpatient has a right to communicate with any person for the purpose of seeking legal advice or legal representation.</w:t>
            </w:r>
          </w:p>
          <w:p w14:paraId="4390E06F" w14:textId="09F97561" w:rsidR="00647FA0" w:rsidRPr="00647FA0" w:rsidRDefault="00647FA0" w:rsidP="005F4F84">
            <w:pPr>
              <w:pStyle w:val="DHHStablebullet"/>
              <w:spacing w:before="0"/>
            </w:pPr>
            <w:r w:rsidRPr="00B72025">
              <w:t>Members of staff of a designated mental health service must ensure that reasonable steps are taken to assist an inpatient to communicate lawfully with any person.</w:t>
            </w:r>
          </w:p>
        </w:tc>
      </w:tr>
      <w:tr w:rsidR="00647FA0" w14:paraId="34B7297E" w14:textId="77777777" w:rsidTr="005F4F84">
        <w:tc>
          <w:tcPr>
            <w:tcW w:w="1450" w:type="dxa"/>
          </w:tcPr>
          <w:p w14:paraId="767C527F" w14:textId="48929A89" w:rsidR="00647FA0" w:rsidRPr="00647FA0" w:rsidRDefault="00647FA0" w:rsidP="00413440">
            <w:pPr>
              <w:pStyle w:val="DHHStabletext"/>
            </w:pPr>
            <w:r w:rsidRPr="00B72025">
              <w:t>Restrictions on right to communicate</w:t>
            </w:r>
            <w:r>
              <w:t xml:space="preserve"> </w:t>
            </w:r>
            <w:r w:rsidRPr="00B72025">
              <w:rPr>
                <w:rFonts w:eastAsia="Times"/>
              </w:rPr>
              <w:t>(s. 16)</w:t>
            </w:r>
          </w:p>
        </w:tc>
        <w:tc>
          <w:tcPr>
            <w:tcW w:w="7730" w:type="dxa"/>
          </w:tcPr>
          <w:p w14:paraId="4218C74E" w14:textId="44811A85" w:rsidR="00647FA0" w:rsidRPr="00B72025" w:rsidRDefault="00647FA0" w:rsidP="005F4F84">
            <w:pPr>
              <w:pStyle w:val="DHHStablebullet"/>
              <w:spacing w:before="0"/>
              <w:rPr>
                <w:rFonts w:ascii="Times New Roman" w:hAnsi="Times New Roman"/>
                <w:sz w:val="24"/>
              </w:rPr>
            </w:pPr>
            <w:r w:rsidRPr="00B72025">
              <w:t>An authorised psychiatrist may in writing direct staff at a designated mental health service to restrict an inpatient</w:t>
            </w:r>
            <w:r>
              <w:t>’</w:t>
            </w:r>
            <w:r w:rsidRPr="00B72025">
              <w:t>s right to communicate if the authorised psychiatrist is satisfied that the restriction is reasonably necessary to protect the health, safety and wellbeing of the inpatient or of another person.</w:t>
            </w:r>
          </w:p>
          <w:p w14:paraId="4BA2D699" w14:textId="25280119" w:rsidR="00647FA0" w:rsidRPr="00B72025" w:rsidRDefault="00647FA0" w:rsidP="005F4F84">
            <w:pPr>
              <w:pStyle w:val="DHHStablebullet"/>
              <w:spacing w:before="0"/>
            </w:pPr>
            <w:r w:rsidRPr="00B72025">
              <w:t>A direction cannot be given which restricts an inpatient</w:t>
            </w:r>
            <w:r>
              <w:t>’</w:t>
            </w:r>
            <w:r w:rsidRPr="00B72025">
              <w:t>s right to communicate with:</w:t>
            </w:r>
          </w:p>
          <w:p w14:paraId="410F8E90" w14:textId="77777777" w:rsidR="00647FA0" w:rsidRPr="00B72025" w:rsidRDefault="00647FA0" w:rsidP="005F4F84">
            <w:pPr>
              <w:pStyle w:val="DHHStablebullet"/>
              <w:numPr>
                <w:ilvl w:val="6"/>
                <w:numId w:val="31"/>
              </w:numPr>
              <w:spacing w:before="0"/>
              <w:ind w:left="534"/>
            </w:pPr>
            <w:r w:rsidRPr="00B72025">
              <w:t>a legal representative; or</w:t>
            </w:r>
          </w:p>
          <w:p w14:paraId="0CDD0222" w14:textId="77777777" w:rsidR="00647FA0" w:rsidRPr="00B72025" w:rsidRDefault="00647FA0" w:rsidP="005F4F84">
            <w:pPr>
              <w:pStyle w:val="DHHStablebullet"/>
              <w:numPr>
                <w:ilvl w:val="6"/>
                <w:numId w:val="31"/>
              </w:numPr>
              <w:spacing w:before="0"/>
              <w:ind w:left="534"/>
            </w:pPr>
            <w:r w:rsidRPr="00B72025">
              <w:t>the chief psychiatrist; or</w:t>
            </w:r>
          </w:p>
          <w:p w14:paraId="15A78156" w14:textId="77777777" w:rsidR="00647FA0" w:rsidRPr="00B72025" w:rsidRDefault="00647FA0" w:rsidP="005F4F84">
            <w:pPr>
              <w:pStyle w:val="DHHStablebullet"/>
              <w:numPr>
                <w:ilvl w:val="6"/>
                <w:numId w:val="31"/>
              </w:numPr>
              <w:spacing w:before="0"/>
              <w:ind w:left="534"/>
            </w:pPr>
            <w:r w:rsidRPr="00B72025">
              <w:t>the Mental Health Complaints Commissioner; or</w:t>
            </w:r>
          </w:p>
          <w:p w14:paraId="56196F72" w14:textId="77777777" w:rsidR="00647FA0" w:rsidRPr="00B72025" w:rsidRDefault="00647FA0" w:rsidP="005F4F84">
            <w:pPr>
              <w:pStyle w:val="DHHStablebullet"/>
              <w:numPr>
                <w:ilvl w:val="6"/>
                <w:numId w:val="31"/>
              </w:numPr>
              <w:spacing w:before="0"/>
              <w:ind w:left="534"/>
            </w:pPr>
            <w:r w:rsidRPr="00B72025">
              <w:t>the Mental Health Tribunal; or</w:t>
            </w:r>
          </w:p>
          <w:p w14:paraId="28D552E4" w14:textId="77777777" w:rsidR="00647FA0" w:rsidRPr="00B72025" w:rsidRDefault="00647FA0" w:rsidP="005F4F84">
            <w:pPr>
              <w:pStyle w:val="DHHStablebullet"/>
              <w:numPr>
                <w:ilvl w:val="6"/>
                <w:numId w:val="31"/>
              </w:numPr>
              <w:spacing w:before="0"/>
              <w:ind w:left="534"/>
            </w:pPr>
            <w:r w:rsidRPr="00B72025">
              <w:t>a community visitor, or</w:t>
            </w:r>
          </w:p>
          <w:p w14:paraId="1AD9AC94" w14:textId="77777777" w:rsidR="00647FA0" w:rsidRPr="00B72025" w:rsidRDefault="00647FA0" w:rsidP="005F4F84">
            <w:pPr>
              <w:pStyle w:val="DHHStablebullet"/>
              <w:numPr>
                <w:ilvl w:val="6"/>
                <w:numId w:val="31"/>
              </w:numPr>
              <w:spacing w:before="0"/>
              <w:ind w:left="534"/>
            </w:pPr>
            <w:r w:rsidRPr="00B72025">
              <w:t>a prescribed person or body</w:t>
            </w:r>
            <w:r>
              <w:t>.</w:t>
            </w:r>
            <w:r w:rsidRPr="00B72025">
              <w:t xml:space="preserve">* </w:t>
            </w:r>
          </w:p>
          <w:p w14:paraId="2BBE62A3" w14:textId="77777777" w:rsidR="00647FA0" w:rsidRPr="00B72025" w:rsidRDefault="00647FA0" w:rsidP="005F4F84">
            <w:pPr>
              <w:pStyle w:val="DHHStabletext"/>
              <w:spacing w:before="0"/>
            </w:pPr>
            <w:r w:rsidRPr="00B72025">
              <w:t xml:space="preserve">*[The Independent Mental Health Advocacy service is a prescribed body for the purposes of s. 16(2)(f) of the </w:t>
            </w:r>
            <w:r>
              <w:t>Act</w:t>
            </w:r>
            <w:r w:rsidRPr="00B72025">
              <w:t xml:space="preserve">.] </w:t>
            </w:r>
          </w:p>
          <w:p w14:paraId="1A75CFF2" w14:textId="664DA7E8" w:rsidR="00647FA0" w:rsidRPr="00647FA0" w:rsidRDefault="00647FA0" w:rsidP="005F4F84">
            <w:pPr>
              <w:pStyle w:val="DHHStablebullet"/>
              <w:spacing w:before="0"/>
            </w:pPr>
            <w:r w:rsidRPr="00B72025">
              <w:t>An authorised psychiatrist must ensure that if he or she directs that an inpatient</w:t>
            </w:r>
            <w:r>
              <w:t>’</w:t>
            </w:r>
            <w:r w:rsidRPr="00B72025">
              <w:t>s right to communicate be restricted, those restrictions are the least restrictive possible to protect the health, safety and wellbeing of the inpatient or of another person.</w:t>
            </w:r>
          </w:p>
        </w:tc>
      </w:tr>
      <w:tr w:rsidR="00647FA0" w14:paraId="6FB76D31" w14:textId="77777777" w:rsidTr="005F4F84">
        <w:tc>
          <w:tcPr>
            <w:tcW w:w="1450" w:type="dxa"/>
          </w:tcPr>
          <w:p w14:paraId="71BF918D" w14:textId="53BA3A2E" w:rsidR="00647FA0" w:rsidRPr="00647FA0" w:rsidRDefault="00647FA0" w:rsidP="00413440">
            <w:pPr>
              <w:pStyle w:val="DHHStabletext"/>
            </w:pPr>
            <w:r w:rsidRPr="00B72025">
              <w:rPr>
                <w:rFonts w:cs="Arial"/>
              </w:rPr>
              <w:t>Persons to be notified of restriction on inpatient's right to communicate</w:t>
            </w:r>
            <w:r>
              <w:rPr>
                <w:rFonts w:cs="Arial"/>
              </w:rPr>
              <w:t xml:space="preserve"> </w:t>
            </w:r>
            <w:r w:rsidRPr="00B72025">
              <w:rPr>
                <w:rFonts w:eastAsia="Times"/>
              </w:rPr>
              <w:t>(s. 17)</w:t>
            </w:r>
          </w:p>
        </w:tc>
        <w:tc>
          <w:tcPr>
            <w:tcW w:w="7730" w:type="dxa"/>
          </w:tcPr>
          <w:p w14:paraId="043250AF" w14:textId="7A39386E" w:rsidR="00647FA0" w:rsidRPr="00B72025" w:rsidRDefault="00647FA0" w:rsidP="005F4F84">
            <w:pPr>
              <w:pStyle w:val="DHHStablebullet"/>
              <w:spacing w:before="0"/>
            </w:pPr>
            <w:r w:rsidRPr="00B72025">
              <w:t>An authorised psychiatrist who makes a direction to restrict an inpatient</w:t>
            </w:r>
            <w:r>
              <w:t>’</w:t>
            </w:r>
            <w:r w:rsidRPr="00B72025">
              <w:t>s right to communicate must ensure that reasonable steps are taken to inform the inpatient and the following persons in relation to the inpatient about the restriction, and the reason for it:</w:t>
            </w:r>
          </w:p>
          <w:p w14:paraId="194E0C6A" w14:textId="77777777" w:rsidR="00647FA0" w:rsidRPr="00B72025" w:rsidRDefault="00647FA0" w:rsidP="005F4F84">
            <w:pPr>
              <w:pStyle w:val="DHHStablebullet"/>
              <w:numPr>
                <w:ilvl w:val="6"/>
                <w:numId w:val="31"/>
              </w:numPr>
              <w:spacing w:before="0"/>
              <w:ind w:left="534"/>
            </w:pPr>
            <w:r w:rsidRPr="00B72025">
              <w:t>the nominated person;</w:t>
            </w:r>
          </w:p>
          <w:p w14:paraId="623EF2E2" w14:textId="77777777" w:rsidR="00647FA0" w:rsidRPr="00B72025" w:rsidRDefault="00647FA0" w:rsidP="005F4F84">
            <w:pPr>
              <w:pStyle w:val="DHHStablebullet"/>
              <w:numPr>
                <w:ilvl w:val="6"/>
                <w:numId w:val="31"/>
              </w:numPr>
              <w:spacing w:before="0"/>
              <w:ind w:left="534"/>
            </w:pPr>
            <w:r w:rsidRPr="00B72025">
              <w:t>a guardian;</w:t>
            </w:r>
          </w:p>
          <w:p w14:paraId="23F8A0AB" w14:textId="77777777" w:rsidR="00647FA0" w:rsidRPr="00B72025" w:rsidRDefault="00647FA0" w:rsidP="005F4F84">
            <w:pPr>
              <w:pStyle w:val="DHHStablebullet"/>
              <w:numPr>
                <w:ilvl w:val="6"/>
                <w:numId w:val="31"/>
              </w:numPr>
              <w:spacing w:before="0"/>
              <w:ind w:left="534"/>
            </w:pPr>
            <w:r w:rsidRPr="00B72025">
              <w:t>a carer;</w:t>
            </w:r>
          </w:p>
          <w:p w14:paraId="14388E6D" w14:textId="77777777" w:rsidR="00647FA0" w:rsidRPr="00B72025" w:rsidRDefault="00647FA0" w:rsidP="005F4F84">
            <w:pPr>
              <w:pStyle w:val="DHHStablebullet"/>
              <w:numPr>
                <w:ilvl w:val="6"/>
                <w:numId w:val="31"/>
              </w:numPr>
              <w:spacing w:before="0"/>
              <w:ind w:left="534"/>
            </w:pPr>
            <w:r w:rsidRPr="00B72025">
              <w:t>a parent, if the inpatient is under the age of 16 years;</w:t>
            </w:r>
          </w:p>
          <w:p w14:paraId="5D3FB2B3" w14:textId="58BC97F4" w:rsidR="00647FA0" w:rsidRPr="00647FA0" w:rsidRDefault="00647FA0" w:rsidP="005F4F84">
            <w:pPr>
              <w:pStyle w:val="DHHStablebullet"/>
              <w:numPr>
                <w:ilvl w:val="6"/>
                <w:numId w:val="31"/>
              </w:numPr>
              <w:spacing w:before="0"/>
              <w:ind w:left="534"/>
            </w:pPr>
            <w:r w:rsidRPr="00B72025">
              <w:t>the Secretary to the Department of Health and Human Services, if the inpatient is the subject of a family reunification order or a care by Secretary order.</w:t>
            </w:r>
          </w:p>
        </w:tc>
      </w:tr>
      <w:tr w:rsidR="00647FA0" w14:paraId="186EBA70" w14:textId="77777777" w:rsidTr="005F4F84">
        <w:tc>
          <w:tcPr>
            <w:tcW w:w="1450" w:type="dxa"/>
          </w:tcPr>
          <w:p w14:paraId="6AE4EDC7" w14:textId="2BCC47B7" w:rsidR="00647FA0" w:rsidRPr="00647FA0" w:rsidRDefault="00647FA0" w:rsidP="00413440">
            <w:pPr>
              <w:pStyle w:val="DHHStabletext"/>
            </w:pPr>
            <w:r w:rsidRPr="00B72025">
              <w:rPr>
                <w:rFonts w:cs="Arial"/>
              </w:rPr>
              <w:t>Restriction on right to communicate to be monitored regularly</w:t>
            </w:r>
            <w:r>
              <w:rPr>
                <w:rFonts w:cs="Arial"/>
              </w:rPr>
              <w:t xml:space="preserve"> </w:t>
            </w:r>
            <w:r w:rsidRPr="00B72025">
              <w:t>(s. 18)</w:t>
            </w:r>
          </w:p>
        </w:tc>
        <w:tc>
          <w:tcPr>
            <w:tcW w:w="7730" w:type="dxa"/>
          </w:tcPr>
          <w:p w14:paraId="561E59DC" w14:textId="464A2AEE" w:rsidR="00647FA0" w:rsidRPr="00B72025" w:rsidRDefault="00647FA0" w:rsidP="005F4F84">
            <w:pPr>
              <w:pStyle w:val="DHHStablebullet"/>
              <w:spacing w:before="0"/>
            </w:pPr>
            <w:r w:rsidRPr="00B72025">
              <w:t>An authorised psychiatrist who makes a direction to restrict an inpatient</w:t>
            </w:r>
            <w:r>
              <w:t>’</w:t>
            </w:r>
            <w:r w:rsidRPr="00B72025">
              <w:t>s right to communicate must review his or her decision on a regular basis to determine whether the restriction needs to be continued.</w:t>
            </w:r>
          </w:p>
          <w:p w14:paraId="6B82EA98" w14:textId="7B3F971B" w:rsidR="00647FA0" w:rsidRPr="00647FA0" w:rsidRDefault="00647FA0" w:rsidP="005F4F84">
            <w:pPr>
              <w:pStyle w:val="DHHStablebullet"/>
              <w:spacing w:before="0"/>
            </w:pPr>
            <w:r w:rsidRPr="00B72025">
              <w:t xml:space="preserve">If the authorised psychiatrist is satisfied that it is no longer necessary to </w:t>
            </w:r>
            <w:r w:rsidRPr="00647FA0">
              <w:t>restrict</w:t>
            </w:r>
            <w:r w:rsidRPr="00B72025">
              <w:t xml:space="preserve"> the inpatient</w:t>
            </w:r>
            <w:r>
              <w:t>’</w:t>
            </w:r>
            <w:r w:rsidRPr="00B72025">
              <w:t>s right to communicate, the authorised psychiatrist must immediately cease the restriction.</w:t>
            </w:r>
          </w:p>
        </w:tc>
      </w:tr>
    </w:tbl>
    <w:p w14:paraId="20EA55E2" w14:textId="34B31707" w:rsidR="00F048C5" w:rsidRDefault="00F048C5" w:rsidP="00700D9A">
      <w:pPr>
        <w:pStyle w:val="Heading2"/>
        <w:rPr>
          <w:rFonts w:eastAsia="Times"/>
        </w:rPr>
      </w:pPr>
      <w:r w:rsidRPr="00F048C5">
        <w:br w:type="page"/>
      </w:r>
      <w:bookmarkStart w:id="21" w:name="_Toc524705860"/>
      <w:r w:rsidRPr="00F048C5">
        <w:rPr>
          <w:rFonts w:eastAsia="Times"/>
        </w:rPr>
        <w:lastRenderedPageBreak/>
        <w:t xml:space="preserve">Appendix 3: </w:t>
      </w:r>
      <w:r w:rsidR="003A49C8">
        <w:rPr>
          <w:rFonts w:eastAsia="Times"/>
        </w:rPr>
        <w:t xml:space="preserve">Relevant sections of the </w:t>
      </w:r>
      <w:r w:rsidRPr="00F048C5">
        <w:rPr>
          <w:rFonts w:eastAsia="Times"/>
        </w:rPr>
        <w:t>Health Records Act</w:t>
      </w:r>
      <w:bookmarkEnd w:id="21"/>
      <w:r w:rsidRPr="00F048C5">
        <w:rPr>
          <w:rFonts w:eastAsia="Times"/>
        </w:rPr>
        <w:t xml:space="preserve"> </w:t>
      </w:r>
    </w:p>
    <w:p w14:paraId="605DB8DA" w14:textId="2C83FAAE" w:rsidR="00B72025" w:rsidRDefault="00B72025" w:rsidP="00B72025">
      <w:pPr>
        <w:pStyle w:val="DHHSbody"/>
        <w:rPr>
          <w:b/>
        </w:rPr>
      </w:pPr>
      <w:r w:rsidRPr="00F048C5">
        <w:rPr>
          <w:b/>
        </w:rPr>
        <w:t>Recording of ‘health information’ using an electronic communicati</w:t>
      </w:r>
      <w:r>
        <w:rPr>
          <w:b/>
        </w:rPr>
        <w:t xml:space="preserve">on device is subject to the </w:t>
      </w:r>
      <w:r w:rsidR="00413440">
        <w:rPr>
          <w:b/>
        </w:rPr>
        <w:t>Health Records Act</w:t>
      </w:r>
      <w:r>
        <w:rPr>
          <w:b/>
        </w:rPr>
        <w:t>.</w:t>
      </w:r>
      <w:r w:rsidRPr="00B72025">
        <w:rPr>
          <w:b/>
        </w:rPr>
        <w:t xml:space="preserve"> </w:t>
      </w:r>
    </w:p>
    <w:p w14:paraId="06895ADE" w14:textId="77777777" w:rsidR="00B72025" w:rsidRDefault="00B72025" w:rsidP="00B72025">
      <w:pPr>
        <w:pStyle w:val="DHHSbody"/>
        <w:rPr>
          <w:b/>
        </w:rPr>
      </w:pPr>
      <w:r w:rsidRPr="00F048C5">
        <w:rPr>
          <w:b/>
        </w:rPr>
        <w:t>Definition</w:t>
      </w:r>
    </w:p>
    <w:p w14:paraId="5E6F97B1" w14:textId="35D328FF" w:rsidR="00B72025" w:rsidRPr="00F048C5" w:rsidRDefault="00B72025" w:rsidP="00B72025">
      <w:pPr>
        <w:pStyle w:val="DHHSbody"/>
      </w:pPr>
      <w:r w:rsidRPr="00F048C5">
        <w:t>Health information includes</w:t>
      </w:r>
      <w:r w:rsidR="00413440">
        <w:t>—</w:t>
      </w:r>
    </w:p>
    <w:p w14:paraId="7A1B3F1C" w14:textId="77777777" w:rsidR="00B72025" w:rsidRPr="00F048C5" w:rsidRDefault="00B72025" w:rsidP="00B72025">
      <w:pPr>
        <w:pStyle w:val="DHHSbody"/>
      </w:pPr>
      <w:r w:rsidRPr="00F048C5">
        <w:t xml:space="preserve">(a) information or an opinion about— </w:t>
      </w:r>
    </w:p>
    <w:p w14:paraId="0250FEE6" w14:textId="2C4FD492" w:rsidR="00B72025" w:rsidRPr="00F048C5" w:rsidRDefault="00B72025" w:rsidP="00F85EA6">
      <w:pPr>
        <w:pStyle w:val="DHHSbody"/>
        <w:ind w:left="142"/>
      </w:pPr>
      <w:r w:rsidRPr="00F048C5">
        <w:t>(</w:t>
      </w:r>
      <w:proofErr w:type="spellStart"/>
      <w:r w:rsidRPr="00F048C5">
        <w:t>i</w:t>
      </w:r>
      <w:proofErr w:type="spellEnd"/>
      <w:r w:rsidRPr="00F048C5">
        <w:t>) the physical, mental or psychological health (at any time) of an individual; or</w:t>
      </w:r>
    </w:p>
    <w:p w14:paraId="784F7C6B" w14:textId="0D9AB272" w:rsidR="00B72025" w:rsidRPr="00F048C5" w:rsidRDefault="00B72025" w:rsidP="00F85EA6">
      <w:pPr>
        <w:pStyle w:val="DHHSbody"/>
        <w:ind w:left="142"/>
      </w:pPr>
      <w:r w:rsidRPr="00F048C5">
        <w:t>(ii) a disability (at any time) of an individual; or</w:t>
      </w:r>
    </w:p>
    <w:p w14:paraId="1C64FDED" w14:textId="7338939B" w:rsidR="00B72025" w:rsidRPr="00F048C5" w:rsidRDefault="00B72025" w:rsidP="00F85EA6">
      <w:pPr>
        <w:pStyle w:val="DHHSbody"/>
        <w:ind w:left="142"/>
      </w:pPr>
      <w:r w:rsidRPr="00F048C5">
        <w:t>(iii) an individual</w:t>
      </w:r>
      <w:r w:rsidR="00413440">
        <w:t>’</w:t>
      </w:r>
      <w:r w:rsidRPr="00F048C5">
        <w:t xml:space="preserve">s expressed wishes about the future provision of health services to him or her; or </w:t>
      </w:r>
    </w:p>
    <w:p w14:paraId="696E2A9D" w14:textId="79BAB8C5" w:rsidR="00B72025" w:rsidRPr="00F048C5" w:rsidRDefault="00B72025" w:rsidP="00F85EA6">
      <w:pPr>
        <w:pStyle w:val="DHHSbody"/>
        <w:ind w:left="142"/>
      </w:pPr>
      <w:r w:rsidRPr="00F048C5">
        <w:t xml:space="preserve">(iv) a health service provided, or to be provided, to an individual— that is also personal information; or </w:t>
      </w:r>
    </w:p>
    <w:p w14:paraId="4265A7BF" w14:textId="33DDE665" w:rsidR="00B72025" w:rsidRPr="00B72025" w:rsidRDefault="00B72025" w:rsidP="00B72025">
      <w:pPr>
        <w:pStyle w:val="DHHSbody"/>
      </w:pPr>
      <w:r w:rsidRPr="00F048C5">
        <w:t>(b) other personal information collected to provide, or in providing, a health service</w:t>
      </w:r>
      <w:r w:rsidR="00413440">
        <w:t>…</w:t>
      </w:r>
    </w:p>
    <w:p w14:paraId="50E114A4" w14:textId="77777777" w:rsidR="00717D76" w:rsidRDefault="00717D76" w:rsidP="00DE624F">
      <w:pPr>
        <w:pStyle w:val="DHHSbody"/>
        <w:rPr>
          <w:color w:val="004EA8"/>
          <w:sz w:val="44"/>
          <w:szCs w:val="44"/>
        </w:rPr>
      </w:pPr>
      <w:r>
        <w:br w:type="page"/>
      </w:r>
    </w:p>
    <w:p w14:paraId="65E1B1A4" w14:textId="6F6ECB44" w:rsidR="00717D76" w:rsidRDefault="00717D76" w:rsidP="00700D9A">
      <w:pPr>
        <w:pStyle w:val="Heading2"/>
        <w:rPr>
          <w:rFonts w:eastAsia="Times"/>
        </w:rPr>
      </w:pPr>
      <w:bookmarkStart w:id="22" w:name="_Toc524705861"/>
      <w:r w:rsidRPr="00F048C5">
        <w:rPr>
          <w:rFonts w:eastAsia="Times"/>
        </w:rPr>
        <w:lastRenderedPageBreak/>
        <w:t xml:space="preserve">Appendix 4: </w:t>
      </w:r>
      <w:r w:rsidR="003A49C8">
        <w:rPr>
          <w:rFonts w:eastAsia="Times"/>
        </w:rPr>
        <w:t xml:space="preserve">Relevant sections of the </w:t>
      </w:r>
      <w:r w:rsidRPr="00F048C5">
        <w:rPr>
          <w:rFonts w:eastAsia="Times"/>
        </w:rPr>
        <w:t>Surveillance Devices Act</w:t>
      </w:r>
      <w:bookmarkEnd w:id="22"/>
    </w:p>
    <w:tbl>
      <w:tblPr>
        <w:tblStyle w:val="TableGrid"/>
        <w:tblW w:w="9180" w:type="dxa"/>
        <w:tblLook w:val="04A0" w:firstRow="1" w:lastRow="0" w:firstColumn="1" w:lastColumn="0" w:noHBand="0" w:noVBand="1"/>
      </w:tblPr>
      <w:tblGrid>
        <w:gridCol w:w="1872"/>
        <w:gridCol w:w="7308"/>
      </w:tblGrid>
      <w:tr w:rsidR="00B84E9B" w14:paraId="088491F0" w14:textId="77777777" w:rsidTr="00700D9A">
        <w:trPr>
          <w:tblHeader/>
        </w:trPr>
        <w:tc>
          <w:tcPr>
            <w:tcW w:w="1872" w:type="dxa"/>
          </w:tcPr>
          <w:p w14:paraId="6F473B4C" w14:textId="77777777" w:rsidR="00B84E9B" w:rsidRPr="00B84E9B" w:rsidRDefault="00F773EA" w:rsidP="00700D9A">
            <w:pPr>
              <w:pStyle w:val="DHHStablecolhead"/>
              <w:rPr>
                <w:rFonts w:eastAsia="Times"/>
              </w:rPr>
            </w:pPr>
            <w:r>
              <w:rPr>
                <w:rFonts w:eastAsia="Times"/>
              </w:rPr>
              <w:t>Section</w:t>
            </w:r>
          </w:p>
        </w:tc>
        <w:tc>
          <w:tcPr>
            <w:tcW w:w="7308" w:type="dxa"/>
          </w:tcPr>
          <w:p w14:paraId="1ABABA2A" w14:textId="44C94610" w:rsidR="00B84E9B" w:rsidRPr="00B84E9B" w:rsidRDefault="00D73006" w:rsidP="00700D9A">
            <w:pPr>
              <w:pStyle w:val="DHHStablecolhead"/>
              <w:rPr>
                <w:rFonts w:eastAsia="Times"/>
              </w:rPr>
            </w:pPr>
            <w:r>
              <w:rPr>
                <w:rFonts w:eastAsia="Times"/>
              </w:rPr>
              <w:t>Provisions</w:t>
            </w:r>
          </w:p>
        </w:tc>
      </w:tr>
      <w:tr w:rsidR="00B84E9B" w14:paraId="20E707AD" w14:textId="77777777" w:rsidTr="00B84E9B">
        <w:tc>
          <w:tcPr>
            <w:tcW w:w="1872" w:type="dxa"/>
          </w:tcPr>
          <w:p w14:paraId="60DF4BE6" w14:textId="0DBF6D60" w:rsidR="00B84E9B" w:rsidRPr="00B84E9B" w:rsidRDefault="00B84E9B" w:rsidP="00647FA0">
            <w:pPr>
              <w:pStyle w:val="DHHStabletext"/>
              <w:rPr>
                <w:rFonts w:eastAsia="Times"/>
              </w:rPr>
            </w:pPr>
            <w:r w:rsidRPr="00B84E9B">
              <w:rPr>
                <w:rFonts w:eastAsia="Times"/>
              </w:rPr>
              <w:t>Definitions (s. 3)</w:t>
            </w:r>
          </w:p>
        </w:tc>
        <w:tc>
          <w:tcPr>
            <w:tcW w:w="7308" w:type="dxa"/>
          </w:tcPr>
          <w:p w14:paraId="716F9ABB" w14:textId="77777777" w:rsidR="00B84E9B" w:rsidRPr="00B84E9B" w:rsidRDefault="00B84E9B" w:rsidP="00B84E9B">
            <w:pPr>
              <w:pStyle w:val="DHHStabletext"/>
              <w:rPr>
                <w:rFonts w:eastAsia="Times"/>
              </w:rPr>
            </w:pPr>
            <w:r w:rsidRPr="00B84E9B">
              <w:rPr>
                <w:rFonts w:eastAsia="Times"/>
              </w:rPr>
              <w:t>Listening device: any device capable of being used to overhear, record, monitor or listen to a private conversation or words spoken to or by any person in private conversation (excludes hearing aids).</w:t>
            </w:r>
          </w:p>
          <w:p w14:paraId="618FF284" w14:textId="77777777" w:rsidR="00B84E9B" w:rsidRPr="00B84E9B" w:rsidRDefault="00B84E9B" w:rsidP="00B84E9B">
            <w:pPr>
              <w:pStyle w:val="DHHStabletext"/>
              <w:rPr>
                <w:rFonts w:eastAsia="Times"/>
              </w:rPr>
            </w:pPr>
            <w:r w:rsidRPr="00B84E9B">
              <w:rPr>
                <w:rFonts w:eastAsia="Times"/>
              </w:rPr>
              <w:t>Optical surveillance device: any device capable of being used to record visually or observe a private activity (excludes spectacles).</w:t>
            </w:r>
          </w:p>
          <w:p w14:paraId="6A579215" w14:textId="77777777" w:rsidR="00B84E9B" w:rsidRPr="00B84E9B" w:rsidRDefault="00B84E9B" w:rsidP="00B84E9B">
            <w:pPr>
              <w:pStyle w:val="DHHStabletext"/>
              <w:rPr>
                <w:rFonts w:eastAsia="Times"/>
              </w:rPr>
            </w:pPr>
            <w:r w:rsidRPr="00B84E9B">
              <w:rPr>
                <w:rFonts w:eastAsia="Times"/>
              </w:rPr>
              <w:t>Party:</w:t>
            </w:r>
          </w:p>
          <w:p w14:paraId="3C8C318E" w14:textId="6D557AAD" w:rsidR="00B84E9B" w:rsidRPr="00B84E9B" w:rsidRDefault="00B84E9B" w:rsidP="00F85EA6">
            <w:pPr>
              <w:pStyle w:val="DHHStabletext"/>
              <w:ind w:left="175"/>
              <w:rPr>
                <w:rFonts w:eastAsia="Times"/>
              </w:rPr>
            </w:pPr>
            <w:r w:rsidRPr="00B84E9B">
              <w:rPr>
                <w:rFonts w:eastAsia="Times"/>
              </w:rPr>
              <w:t xml:space="preserve">(a) to a private activity, means a person who takes part in the activity; </w:t>
            </w:r>
          </w:p>
          <w:p w14:paraId="6955ED13" w14:textId="34C9D2ED" w:rsidR="00B84E9B" w:rsidRPr="00B84E9B" w:rsidRDefault="00B84E9B" w:rsidP="00F85EA6">
            <w:pPr>
              <w:pStyle w:val="DHHStabletext"/>
              <w:ind w:left="175"/>
              <w:rPr>
                <w:rFonts w:eastAsia="Times"/>
              </w:rPr>
            </w:pPr>
            <w:r w:rsidRPr="00B84E9B">
              <w:rPr>
                <w:rFonts w:eastAsia="Times"/>
              </w:rPr>
              <w:t>(b) to a private conversation, means a person by or to whom words are spoken in the course of the conversation.</w:t>
            </w:r>
          </w:p>
          <w:p w14:paraId="2074DF9A" w14:textId="77777777" w:rsidR="00B84E9B" w:rsidRPr="00B84E9B" w:rsidRDefault="00B84E9B" w:rsidP="00B84E9B">
            <w:pPr>
              <w:pStyle w:val="DHHStabletext"/>
              <w:rPr>
                <w:rFonts w:eastAsia="Times"/>
              </w:rPr>
            </w:pPr>
            <w:r w:rsidRPr="00B84E9B">
              <w:rPr>
                <w:rFonts w:eastAsia="Times"/>
              </w:rPr>
              <w:t xml:space="preserve">Private activity: means an activity carried on in circumstances that may reasonably be taken to indicate that the parties to it desire it to be observed only by themselves, but does not include— </w:t>
            </w:r>
          </w:p>
          <w:p w14:paraId="3EB2C76D" w14:textId="45D4DB9E" w:rsidR="00B84E9B" w:rsidRPr="00B84E9B" w:rsidRDefault="00B84E9B" w:rsidP="00F85EA6">
            <w:pPr>
              <w:pStyle w:val="DHHStabletext"/>
              <w:ind w:left="175"/>
              <w:rPr>
                <w:rFonts w:eastAsia="Times"/>
              </w:rPr>
            </w:pPr>
            <w:r w:rsidRPr="00B84E9B">
              <w:rPr>
                <w:rFonts w:eastAsia="Times"/>
              </w:rPr>
              <w:t xml:space="preserve">(a) an activity carried on outside a building; or </w:t>
            </w:r>
          </w:p>
          <w:p w14:paraId="6B996814" w14:textId="43A3E347" w:rsidR="00B84E9B" w:rsidRPr="00B84E9B" w:rsidRDefault="00B84E9B" w:rsidP="00F85EA6">
            <w:pPr>
              <w:pStyle w:val="DHHStabletext"/>
              <w:ind w:left="175"/>
              <w:rPr>
                <w:rFonts w:eastAsia="Times"/>
              </w:rPr>
            </w:pPr>
            <w:r w:rsidRPr="00B84E9B">
              <w:rPr>
                <w:rFonts w:eastAsia="Times"/>
              </w:rPr>
              <w:t>(b) an activity carried on in any circumstances in which the parties to it ought reasonably to expect that it may be observed by someone else.</w:t>
            </w:r>
          </w:p>
          <w:p w14:paraId="773AAC0B" w14:textId="77777777" w:rsidR="00B84E9B" w:rsidRPr="00B84E9B" w:rsidRDefault="00B84E9B" w:rsidP="00B84E9B">
            <w:pPr>
              <w:pStyle w:val="DHHStabletext"/>
              <w:rPr>
                <w:rFonts w:eastAsia="Times"/>
              </w:rPr>
            </w:pPr>
            <w:r w:rsidRPr="00B84E9B">
              <w:rPr>
                <w:rFonts w:eastAsia="Times"/>
              </w:rPr>
              <w:t>Private conversation: means a conversation carried on in circumstances that may reasonably be taken to indicate that the parties to it desire it to be heard only by themselves, but does not include a conversation made in any circumstances in which the parties to it ought reasonably to expect that it may be overheard by someone else.</w:t>
            </w:r>
          </w:p>
        </w:tc>
      </w:tr>
      <w:tr w:rsidR="00B84E9B" w14:paraId="7C8C3EE9" w14:textId="77777777" w:rsidTr="00B84E9B">
        <w:tc>
          <w:tcPr>
            <w:tcW w:w="1872" w:type="dxa"/>
          </w:tcPr>
          <w:p w14:paraId="5A1E3E0E" w14:textId="78028E34" w:rsidR="00B84E9B" w:rsidRPr="00717D76" w:rsidRDefault="00B84E9B" w:rsidP="00647FA0">
            <w:pPr>
              <w:pStyle w:val="DHHStabletext"/>
              <w:rPr>
                <w:rFonts w:eastAsia="Times"/>
              </w:rPr>
            </w:pPr>
            <w:r w:rsidRPr="00717D76">
              <w:rPr>
                <w:rFonts w:eastAsia="Times"/>
              </w:rPr>
              <w:t>Regulation of installation, use and maintenance of listening devices</w:t>
            </w:r>
            <w:r>
              <w:rPr>
                <w:rFonts w:eastAsia="Times"/>
                <w:b/>
              </w:rPr>
              <w:t xml:space="preserve"> </w:t>
            </w:r>
            <w:r w:rsidRPr="00717D76">
              <w:rPr>
                <w:rFonts w:eastAsia="Times"/>
              </w:rPr>
              <w:t>(s. 6)</w:t>
            </w:r>
          </w:p>
        </w:tc>
        <w:tc>
          <w:tcPr>
            <w:tcW w:w="7308" w:type="dxa"/>
          </w:tcPr>
          <w:p w14:paraId="553F807E" w14:textId="77777777" w:rsidR="00B84E9B" w:rsidRPr="00717D76" w:rsidRDefault="00B84E9B" w:rsidP="00B84E9B">
            <w:pPr>
              <w:pStyle w:val="DHHStabletext"/>
              <w:rPr>
                <w:rFonts w:eastAsia="Times"/>
              </w:rPr>
            </w:pPr>
            <w:r w:rsidRPr="00717D76">
              <w:rPr>
                <w:rFonts w:eastAsia="Times"/>
              </w:rPr>
              <w:t xml:space="preserve">A person must not knowingly install, use or maintain a listening device to overhear, record, monitor or listen to a private conversation to which the person is not a party, without the express or implied consent of each party to the conversation. </w:t>
            </w:r>
          </w:p>
          <w:p w14:paraId="003140B6" w14:textId="77777777" w:rsidR="00B84E9B" w:rsidRDefault="00B84E9B" w:rsidP="00B84E9B">
            <w:pPr>
              <w:pStyle w:val="DHHStabletext"/>
              <w:rPr>
                <w:rFonts w:eastAsia="Times"/>
              </w:rPr>
            </w:pPr>
            <w:r w:rsidRPr="00717D76">
              <w:rPr>
                <w:rFonts w:eastAsia="Times"/>
              </w:rPr>
              <w:t>Penalty: in the case of a natural person, level 7 imprisonment (2 years maximum) or a level 7 fine (240 penalty units maximum) or both</w:t>
            </w:r>
            <w:r>
              <w:rPr>
                <w:rFonts w:eastAsia="Times"/>
              </w:rPr>
              <w:t>.</w:t>
            </w:r>
          </w:p>
        </w:tc>
      </w:tr>
      <w:tr w:rsidR="00B84E9B" w14:paraId="72AD0BE3" w14:textId="77777777" w:rsidTr="00B84E9B">
        <w:tc>
          <w:tcPr>
            <w:tcW w:w="1872" w:type="dxa"/>
          </w:tcPr>
          <w:p w14:paraId="2B5664B6" w14:textId="21FEBDB6" w:rsidR="00B84E9B" w:rsidRPr="00717D76" w:rsidRDefault="00B84E9B" w:rsidP="00647FA0">
            <w:pPr>
              <w:pStyle w:val="DHHStabletext"/>
              <w:rPr>
                <w:rFonts w:eastAsia="Times"/>
              </w:rPr>
            </w:pPr>
            <w:r w:rsidRPr="00717D76">
              <w:rPr>
                <w:rFonts w:eastAsia="Times"/>
              </w:rPr>
              <w:t>Regulation of installation, use and maintenance of optical surveillance</w:t>
            </w:r>
            <w:r>
              <w:rPr>
                <w:rFonts w:eastAsia="Times"/>
                <w:b/>
              </w:rPr>
              <w:t xml:space="preserve"> </w:t>
            </w:r>
            <w:r w:rsidRPr="00717D76">
              <w:rPr>
                <w:rFonts w:eastAsia="Times"/>
              </w:rPr>
              <w:t>(s. 7)</w:t>
            </w:r>
          </w:p>
        </w:tc>
        <w:tc>
          <w:tcPr>
            <w:tcW w:w="7308" w:type="dxa"/>
          </w:tcPr>
          <w:p w14:paraId="2C6269EB" w14:textId="77777777" w:rsidR="00B84E9B" w:rsidRPr="00717D76" w:rsidRDefault="00B84E9B" w:rsidP="00B84E9B">
            <w:pPr>
              <w:pStyle w:val="DHHStabletext"/>
              <w:rPr>
                <w:rFonts w:eastAsia="Times"/>
              </w:rPr>
            </w:pPr>
            <w:r w:rsidRPr="00717D76">
              <w:rPr>
                <w:rFonts w:eastAsia="Times"/>
              </w:rPr>
              <w:t xml:space="preserve">A person must not knowingly install, use or maintain an optical surveillance device to record visually or observe a private activity to which the person is not a party, without the express or implied consent of each party to the activity. </w:t>
            </w:r>
          </w:p>
          <w:p w14:paraId="56862101" w14:textId="77777777" w:rsidR="00B84E9B" w:rsidRDefault="00B84E9B" w:rsidP="00B84E9B">
            <w:pPr>
              <w:pStyle w:val="DHHStabletext"/>
              <w:rPr>
                <w:rFonts w:eastAsia="Times"/>
              </w:rPr>
            </w:pPr>
            <w:r w:rsidRPr="00717D76">
              <w:rPr>
                <w:rFonts w:eastAsia="Times"/>
              </w:rPr>
              <w:t>Penalty: in the case of a natural person, level 7 imprisonment (2 years maximum) or a level 7 fine (240 penalty units maximum) or both</w:t>
            </w:r>
            <w:r>
              <w:rPr>
                <w:rFonts w:eastAsia="Times"/>
              </w:rPr>
              <w:t>.</w:t>
            </w:r>
          </w:p>
        </w:tc>
      </w:tr>
      <w:tr w:rsidR="00B84E9B" w14:paraId="232D896E" w14:textId="77777777" w:rsidTr="00B84E9B">
        <w:tc>
          <w:tcPr>
            <w:tcW w:w="1872" w:type="dxa"/>
          </w:tcPr>
          <w:p w14:paraId="73ADEC36" w14:textId="7F62F2D1" w:rsidR="00B84E9B" w:rsidRPr="00717D76" w:rsidRDefault="00B84E9B" w:rsidP="00647FA0">
            <w:pPr>
              <w:pStyle w:val="DHHStabletext"/>
              <w:rPr>
                <w:rFonts w:eastAsia="Times"/>
              </w:rPr>
            </w:pPr>
            <w:r w:rsidRPr="00717D76">
              <w:rPr>
                <w:rFonts w:eastAsia="Times"/>
              </w:rPr>
              <w:t>Prohibition on communication or publication of private conversations or activities</w:t>
            </w:r>
            <w:r>
              <w:rPr>
                <w:rFonts w:eastAsia="Times"/>
                <w:b/>
              </w:rPr>
              <w:t xml:space="preserve"> </w:t>
            </w:r>
            <w:r w:rsidRPr="00717D76">
              <w:rPr>
                <w:rFonts w:eastAsia="Times"/>
              </w:rPr>
              <w:t>(s. 11)</w:t>
            </w:r>
          </w:p>
        </w:tc>
        <w:tc>
          <w:tcPr>
            <w:tcW w:w="7308" w:type="dxa"/>
          </w:tcPr>
          <w:p w14:paraId="724BD16B" w14:textId="77777777" w:rsidR="00B84E9B" w:rsidRPr="00717D76" w:rsidRDefault="00B84E9B" w:rsidP="00B84E9B">
            <w:pPr>
              <w:pStyle w:val="DHHStabletext"/>
              <w:rPr>
                <w:rFonts w:eastAsia="Times"/>
              </w:rPr>
            </w:pPr>
            <w:r w:rsidRPr="00717D76">
              <w:rPr>
                <w:rFonts w:eastAsia="Times"/>
              </w:rPr>
              <w:t xml:space="preserve">A person must not knowingly communicate or publish a record or report of a private conversation or private activity that has been made as a direct or indirect result of the use of a listening device or an optical surveillance device. </w:t>
            </w:r>
          </w:p>
          <w:p w14:paraId="61ADF52C" w14:textId="77777777" w:rsidR="00B84E9B" w:rsidRPr="00717D76" w:rsidRDefault="00B84E9B" w:rsidP="00B84E9B">
            <w:pPr>
              <w:pStyle w:val="DHHStabletext"/>
              <w:rPr>
                <w:rFonts w:eastAsia="Times"/>
              </w:rPr>
            </w:pPr>
            <w:r w:rsidRPr="00717D76">
              <w:rPr>
                <w:rFonts w:eastAsia="Times"/>
              </w:rPr>
              <w:t>Penalty: in the case of a natural person, level 7 imprisonment (2 years maximum) or a level 7 fine (240 penalty units maximum) or both.</w:t>
            </w:r>
          </w:p>
          <w:p w14:paraId="69A38A33" w14:textId="77777777" w:rsidR="00B84E9B" w:rsidRPr="00717D76" w:rsidRDefault="00B84E9B" w:rsidP="00B84E9B">
            <w:pPr>
              <w:pStyle w:val="DHHStabletext"/>
              <w:rPr>
                <w:rFonts w:eastAsia="Times"/>
              </w:rPr>
            </w:pPr>
            <w:r w:rsidRPr="00717D76">
              <w:rPr>
                <w:rFonts w:eastAsia="Times"/>
              </w:rPr>
              <w:t>An exception to this prohibition is where the communication or publication was made with the express or implied consent of each party to the private conversation or private activity.</w:t>
            </w:r>
          </w:p>
          <w:p w14:paraId="41F9B1FA" w14:textId="3F1165BE" w:rsidR="00B84E9B" w:rsidRDefault="00B84E9B" w:rsidP="00647FA0">
            <w:pPr>
              <w:pStyle w:val="DHHStabletext"/>
              <w:rPr>
                <w:rFonts w:eastAsia="Times"/>
              </w:rPr>
            </w:pPr>
            <w:r w:rsidRPr="00717D76">
              <w:rPr>
                <w:rFonts w:eastAsia="Times"/>
              </w:rPr>
              <w:t xml:space="preserve">For a comprehensive list that covers other exceptions to this prohibition in specified circumstances, please see </w:t>
            </w:r>
            <w:r w:rsidR="00D73006">
              <w:rPr>
                <w:rFonts w:eastAsia="Times"/>
              </w:rPr>
              <w:t>s.</w:t>
            </w:r>
            <w:r w:rsidR="00D73006" w:rsidRPr="00717D76">
              <w:rPr>
                <w:rFonts w:eastAsia="Times"/>
              </w:rPr>
              <w:t xml:space="preserve"> </w:t>
            </w:r>
            <w:r w:rsidRPr="00717D76">
              <w:rPr>
                <w:rFonts w:eastAsia="Times"/>
              </w:rPr>
              <w:t xml:space="preserve">11 of the </w:t>
            </w:r>
            <w:r w:rsidR="00D73006" w:rsidRPr="00F048C5">
              <w:t>Surveillance Devices Act</w:t>
            </w:r>
            <w:r>
              <w:rPr>
                <w:rFonts w:eastAsia="Times"/>
              </w:rPr>
              <w:t>.</w:t>
            </w:r>
          </w:p>
        </w:tc>
      </w:tr>
    </w:tbl>
    <w:p w14:paraId="24FE10FD" w14:textId="77777777" w:rsidR="00B84E9B" w:rsidRDefault="00B84E9B" w:rsidP="00B84E9B">
      <w:pPr>
        <w:pStyle w:val="DHHStabletext"/>
        <w:rPr>
          <w:rFonts w:eastAsia="Times"/>
        </w:rPr>
      </w:pPr>
    </w:p>
    <w:sectPr w:rsidR="00B84E9B" w:rsidSect="00647FA0">
      <w:headerReference w:type="even" r:id="rId12"/>
      <w:headerReference w:type="default" r:id="rId13"/>
      <w:footerReference w:type="even" r:id="rId14"/>
      <w:footerReference w:type="default" r:id="rId15"/>
      <w:footerReference w:type="first" r:id="rId16"/>
      <w:pgSz w:w="11906" w:h="16838"/>
      <w:pgMar w:top="1843" w:right="1304" w:bottom="1134" w:left="1304" w:header="454" w:footer="51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F33107" w15:done="0"/>
  <w15:commentEx w15:paraId="0164E52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3EA78" w14:textId="77777777" w:rsidR="002E2EE0" w:rsidRDefault="002E2EE0">
      <w:r>
        <w:separator/>
      </w:r>
    </w:p>
  </w:endnote>
  <w:endnote w:type="continuationSeparator" w:id="0">
    <w:p w14:paraId="613186C6" w14:textId="77777777" w:rsidR="002E2EE0" w:rsidRDefault="002E2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19D1F" w14:textId="77777777" w:rsidR="002E2EE0" w:rsidRPr="008114D1" w:rsidRDefault="002E2EE0" w:rsidP="00E969B1">
    <w:pPr>
      <w:pStyle w:val="DHHSfooter"/>
    </w:pPr>
    <w:r>
      <w:t xml:space="preserve">Page </w:t>
    </w:r>
    <w:r w:rsidRPr="005A39EC">
      <w:fldChar w:fldCharType="begin"/>
    </w:r>
    <w:r w:rsidRPr="005A39EC">
      <w:instrText xml:space="preserve"> PAGE </w:instrText>
    </w:r>
    <w:r w:rsidRPr="005A39EC">
      <w:fldChar w:fldCharType="separate"/>
    </w:r>
    <w:r w:rsidR="00435977">
      <w:rPr>
        <w:noProof/>
      </w:rPr>
      <w:t>2</w:t>
    </w:r>
    <w:r w:rsidRPr="005A39EC">
      <w:fldChar w:fldCharType="end"/>
    </w:r>
    <w:r>
      <w:tab/>
    </w:r>
    <w:r w:rsidRPr="00260E65">
      <w:t>Electronic communication and privacy in designated mental health services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CB77C" w14:textId="77777777" w:rsidR="002E2EE0" w:rsidRPr="0031753A" w:rsidRDefault="002E2EE0" w:rsidP="00E969B1">
    <w:pPr>
      <w:pStyle w:val="DHHSfooter"/>
    </w:pPr>
    <w:r w:rsidRPr="00260E65">
      <w:t>Electronic communication and privacy in designated mental health services</w:t>
    </w:r>
    <w:r w:rsidRPr="0031753A">
      <w:tab/>
      <w:t xml:space="preserve">Page </w:t>
    </w:r>
    <w:r w:rsidRPr="0031753A">
      <w:fldChar w:fldCharType="begin"/>
    </w:r>
    <w:r w:rsidRPr="0031753A">
      <w:instrText xml:space="preserve"> PAGE </w:instrText>
    </w:r>
    <w:r w:rsidRPr="0031753A">
      <w:fldChar w:fldCharType="separate"/>
    </w:r>
    <w:r w:rsidR="00435977">
      <w:rPr>
        <w:noProof/>
      </w:rPr>
      <w:t>1</w:t>
    </w:r>
    <w:r w:rsidRPr="0031753A">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1B013" w14:textId="77777777" w:rsidR="002E2EE0" w:rsidRPr="001A7E04" w:rsidRDefault="002E2EE0" w:rsidP="00AC0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05C5D" w14:textId="77777777" w:rsidR="002E2EE0" w:rsidRDefault="002E2EE0">
      <w:r>
        <w:separator/>
      </w:r>
    </w:p>
  </w:footnote>
  <w:footnote w:type="continuationSeparator" w:id="0">
    <w:p w14:paraId="6E42DE11" w14:textId="77777777" w:rsidR="002E2EE0" w:rsidRDefault="002E2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BC35E" w14:textId="77777777" w:rsidR="002E2EE0" w:rsidRPr="0069374A" w:rsidRDefault="002E2EE0" w:rsidP="00E969B1">
    <w:pPr>
      <w:pStyle w:val="DHHS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5029D" w14:textId="77777777" w:rsidR="002E2EE0" w:rsidRDefault="002E2EE0" w:rsidP="00E969B1">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E0E2C"/>
    <w:multiLevelType w:val="hybridMultilevel"/>
    <w:tmpl w:val="A914D09C"/>
    <w:lvl w:ilvl="0" w:tplc="B29A6F4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165446F2"/>
    <w:multiLevelType w:val="hybridMultilevel"/>
    <w:tmpl w:val="EE085CB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ED04D2A"/>
    <w:multiLevelType w:val="hybridMultilevel"/>
    <w:tmpl w:val="403E0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FC46482"/>
    <w:multiLevelType w:val="hybridMultilevel"/>
    <w:tmpl w:val="115C5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3BB6B19"/>
    <w:multiLevelType w:val="hybridMultilevel"/>
    <w:tmpl w:val="6678684C"/>
    <w:lvl w:ilvl="0" w:tplc="650A930E">
      <w:start w:val="5"/>
      <w:numFmt w:val="bullet"/>
      <w:lvlText w:val="-"/>
      <w:lvlJc w:val="left"/>
      <w:pPr>
        <w:ind w:left="720" w:hanging="360"/>
      </w:pPr>
      <w:rPr>
        <w:rFonts w:ascii="Arial" w:eastAsia="Times"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8D51B47"/>
    <w:multiLevelType w:val="multilevel"/>
    <w:tmpl w:val="F8BA783E"/>
    <w:numStyleLink w:val="ZZNumbers"/>
  </w:abstractNum>
  <w:abstractNum w:abstractNumId="6">
    <w:nsid w:val="2A9417EA"/>
    <w:multiLevelType w:val="hybridMultilevel"/>
    <w:tmpl w:val="4314DBB2"/>
    <w:lvl w:ilvl="0" w:tplc="B29A6F4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BE06D38"/>
    <w:multiLevelType w:val="hybridMultilevel"/>
    <w:tmpl w:val="B2002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CAE4A0A"/>
    <w:multiLevelType w:val="hybridMultilevel"/>
    <w:tmpl w:val="53C03E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FD07014"/>
    <w:multiLevelType w:val="hybridMultilevel"/>
    <w:tmpl w:val="0BE0FE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057399D"/>
    <w:multiLevelType w:val="hybridMultilevel"/>
    <w:tmpl w:val="DE1EB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2F641B6"/>
    <w:multiLevelType w:val="hybridMultilevel"/>
    <w:tmpl w:val="D3E0C43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4A26159"/>
    <w:multiLevelType w:val="hybridMultilevel"/>
    <w:tmpl w:val="7DF816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C4303A5"/>
    <w:multiLevelType w:val="multilevel"/>
    <w:tmpl w:val="F8BA783E"/>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4">
    <w:nsid w:val="444B256B"/>
    <w:multiLevelType w:val="hybridMultilevel"/>
    <w:tmpl w:val="5B706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73165BB"/>
    <w:multiLevelType w:val="hybridMultilevel"/>
    <w:tmpl w:val="E8B65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7D86A01"/>
    <w:multiLevelType w:val="hybridMultilevel"/>
    <w:tmpl w:val="EE085CB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A2369E9"/>
    <w:multiLevelType w:val="hybridMultilevel"/>
    <w:tmpl w:val="EE085CB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21F418B"/>
    <w:multiLevelType w:val="hybridMultilevel"/>
    <w:tmpl w:val="EE085CB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nsid w:val="54F037F2"/>
    <w:multiLevelType w:val="multilevel"/>
    <w:tmpl w:val="1DAE0B7E"/>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Arial" w:hAnsi="Arial" w:hint="default"/>
      </w:rPr>
    </w:lvl>
    <w:lvl w:ilvl="3">
      <w:start w:val="1"/>
      <w:numFmt w:val="bullet"/>
      <w:lvlRestart w:val="0"/>
      <w:lvlText w:val="–"/>
      <w:lvlJc w:val="left"/>
      <w:pPr>
        <w:ind w:left="567" w:hanging="283"/>
      </w:pPr>
      <w:rPr>
        <w:rFonts w:ascii="Arial" w:hAnsi="Arial"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Text w:val="-"/>
      <w:lvlJc w:val="left"/>
      <w:pPr>
        <w:ind w:left="227" w:hanging="227"/>
      </w:pPr>
      <w:rPr>
        <w:rFonts w:ascii="Courier New" w:hAnsi="Courier New"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nsid w:val="5AF242BE"/>
    <w:multiLevelType w:val="hybridMultilevel"/>
    <w:tmpl w:val="8BF01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E510556"/>
    <w:multiLevelType w:val="hybridMultilevel"/>
    <w:tmpl w:val="47AAB1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0E33260"/>
    <w:multiLevelType w:val="hybridMultilevel"/>
    <w:tmpl w:val="0BE0FE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A9819AE"/>
    <w:multiLevelType w:val="hybridMultilevel"/>
    <w:tmpl w:val="CA221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CC100FB"/>
    <w:multiLevelType w:val="hybridMultilevel"/>
    <w:tmpl w:val="6CDE1B4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1E23255"/>
    <w:multiLevelType w:val="multilevel"/>
    <w:tmpl w:val="459A94C4"/>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Arial" w:hAnsi="Arial" w:hint="default"/>
      </w:rPr>
    </w:lvl>
    <w:lvl w:ilvl="3">
      <w:start w:val="1"/>
      <w:numFmt w:val="bullet"/>
      <w:lvlRestart w:val="0"/>
      <w:lvlText w:val="–"/>
      <w:lvlJc w:val="left"/>
      <w:pPr>
        <w:ind w:left="567" w:hanging="283"/>
      </w:pPr>
      <w:rPr>
        <w:rFonts w:ascii="Arial" w:hAnsi="Arial"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Text w:val="-"/>
      <w:lvlJc w:val="left"/>
      <w:pPr>
        <w:ind w:left="227" w:hanging="227"/>
      </w:pPr>
      <w:rPr>
        <w:rFonts w:ascii="Courier New" w:hAnsi="Courier New"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nsid w:val="758137E7"/>
    <w:multiLevelType w:val="hybridMultilevel"/>
    <w:tmpl w:val="4314DBB2"/>
    <w:lvl w:ilvl="0" w:tplc="B29A6F4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96576ED"/>
    <w:multiLevelType w:val="hybridMultilevel"/>
    <w:tmpl w:val="D9B21F0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13"/>
    <w:lvlOverride w:ilvl="0">
      <w:lvl w:ilvl="0">
        <w:start w:val="1"/>
        <w:numFmt w:val="decimal"/>
        <w:pStyle w:val="DHHSnumberdigit"/>
        <w:lvlText w:val="%1."/>
        <w:lvlJc w:val="left"/>
        <w:pPr>
          <w:tabs>
            <w:tab w:val="num" w:pos="397"/>
          </w:tabs>
          <w:ind w:left="397" w:hanging="397"/>
        </w:pPr>
        <w:rPr>
          <w:rFonts w:hint="default"/>
          <w:b w:val="0"/>
        </w:rPr>
      </w:lvl>
    </w:lvlOverride>
    <w:lvlOverride w:ilvl="1">
      <w:lvl w:ilvl="1">
        <w:start w:val="1"/>
        <w:numFmt w:val="decimal"/>
        <w:lvlRestart w:val="0"/>
        <w:pStyle w:val="DHHSnumberdigitindent"/>
        <w:lvlText w:val="%2."/>
        <w:lvlJc w:val="left"/>
        <w:pPr>
          <w:tabs>
            <w:tab w:val="num" w:pos="794"/>
          </w:tabs>
          <w:ind w:left="794" w:hanging="397"/>
        </w:pPr>
        <w:rPr>
          <w:rFonts w:hint="default"/>
        </w:rPr>
      </w:lvl>
    </w:lvlOverride>
    <w:lvlOverride w:ilvl="2">
      <w:lvl w:ilvl="2">
        <w:start w:val="1"/>
        <w:numFmt w:val="lowerLetter"/>
        <w:lvlRestart w:val="0"/>
        <w:pStyle w:val="DHHSnumberloweralpha"/>
        <w:lvlText w:val="(%3)"/>
        <w:lvlJc w:val="left"/>
        <w:pPr>
          <w:tabs>
            <w:tab w:val="num" w:pos="397"/>
          </w:tabs>
          <w:ind w:left="397" w:hanging="397"/>
        </w:pPr>
        <w:rPr>
          <w:rFonts w:hint="default"/>
        </w:rPr>
      </w:lvl>
    </w:lvlOverride>
    <w:lvlOverride w:ilvl="3">
      <w:lvl w:ilvl="3">
        <w:start w:val="1"/>
        <w:numFmt w:val="lowerLetter"/>
        <w:lvlRestart w:val="0"/>
        <w:pStyle w:val="DHHSnumberloweralphaindent"/>
        <w:lvlText w:val="(%4)"/>
        <w:lvlJc w:val="left"/>
        <w:pPr>
          <w:tabs>
            <w:tab w:val="num" w:pos="794"/>
          </w:tabs>
          <w:ind w:left="794" w:hanging="397"/>
        </w:pPr>
        <w:rPr>
          <w:rFonts w:hint="default"/>
        </w:rPr>
      </w:lvl>
    </w:lvlOverride>
    <w:lvlOverride w:ilvl="4">
      <w:lvl w:ilvl="4">
        <w:start w:val="1"/>
        <w:numFmt w:val="lowerRoman"/>
        <w:lvlRestart w:val="0"/>
        <w:pStyle w:val="DHHSnumberlowerroman"/>
        <w:lvlText w:val="(%5)"/>
        <w:lvlJc w:val="left"/>
        <w:pPr>
          <w:tabs>
            <w:tab w:val="num" w:pos="397"/>
          </w:tabs>
          <w:ind w:left="397" w:hanging="397"/>
        </w:pPr>
        <w:rPr>
          <w:rFonts w:hint="default"/>
        </w:rPr>
      </w:lvl>
    </w:lvlOverride>
    <w:lvlOverride w:ilvl="5">
      <w:lvl w:ilvl="5">
        <w:start w:val="1"/>
        <w:numFmt w:val="lowerRoman"/>
        <w:lvlRestart w:val="0"/>
        <w:pStyle w:val="DHHSnumberlowerromanindent"/>
        <w:lvlText w:val="(%6)"/>
        <w:lvlJc w:val="left"/>
        <w:pPr>
          <w:tabs>
            <w:tab w:val="num" w:pos="794"/>
          </w:tabs>
          <w:ind w:left="794" w:hanging="397"/>
        </w:pPr>
        <w:rPr>
          <w:rFonts w:hint="default"/>
        </w:rPr>
      </w:lvl>
    </w:lvlOverride>
    <w:lvlOverride w:ilvl="6">
      <w:lvl w:ilvl="6">
        <w:start w:val="1"/>
        <w:numFmt w:val="none"/>
        <w:lvlRestart w:val="0"/>
        <w:lvlText w:val=""/>
        <w:lvlJc w:val="left"/>
        <w:pPr>
          <w:ind w:left="0" w:firstLine="0"/>
        </w:pPr>
        <w:rPr>
          <w:rFonts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right"/>
        <w:pPr>
          <w:ind w:left="0" w:firstLine="0"/>
        </w:pPr>
        <w:rPr>
          <w:rFonts w:hint="default"/>
        </w:rPr>
      </w:lvl>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1"/>
  </w:num>
  <w:num w:numId="17">
    <w:abstractNumId w:val="22"/>
  </w:num>
  <w:num w:numId="18">
    <w:abstractNumId w:val="0"/>
  </w:num>
  <w:num w:numId="19">
    <w:abstractNumId w:val="7"/>
  </w:num>
  <w:num w:numId="20">
    <w:abstractNumId w:val="8"/>
  </w:num>
  <w:num w:numId="21">
    <w:abstractNumId w:val="4"/>
  </w:num>
  <w:num w:numId="22">
    <w:abstractNumId w:val="10"/>
  </w:num>
  <w:num w:numId="23">
    <w:abstractNumId w:val="2"/>
  </w:num>
  <w:num w:numId="24">
    <w:abstractNumId w:val="24"/>
  </w:num>
  <w:num w:numId="25">
    <w:abstractNumId w:val="14"/>
  </w:num>
  <w:num w:numId="26">
    <w:abstractNumId w:val="25"/>
  </w:num>
  <w:num w:numId="27">
    <w:abstractNumId w:val="11"/>
  </w:num>
  <w:num w:numId="28">
    <w:abstractNumId w:val="15"/>
  </w:num>
  <w:num w:numId="29">
    <w:abstractNumId w:val="12"/>
  </w:num>
  <w:num w:numId="30">
    <w:abstractNumId w:val="28"/>
  </w:num>
  <w:num w:numId="31">
    <w:abstractNumId w:val="20"/>
  </w:num>
  <w:num w:numId="32">
    <w:abstractNumId w:val="19"/>
  </w:num>
  <w:num w:numId="33">
    <w:abstractNumId w:val="9"/>
  </w:num>
  <w:num w:numId="34">
    <w:abstractNumId w:val="1"/>
  </w:num>
  <w:num w:numId="35">
    <w:abstractNumId w:val="17"/>
  </w:num>
  <w:num w:numId="36">
    <w:abstractNumId w:val="26"/>
  </w:num>
  <w:num w:numId="37">
    <w:abstractNumId w:val="23"/>
  </w:num>
  <w:num w:numId="38">
    <w:abstractNumId w:val="18"/>
  </w:num>
  <w:num w:numId="39">
    <w:abstractNumId w:val="16"/>
  </w:num>
  <w:num w:numId="40">
    <w:abstractNumId w:val="6"/>
  </w:num>
  <w:num w:numId="41">
    <w:abstractNumId w:val="27"/>
  </w:num>
  <w:num w:numId="42">
    <w:abstractNumId w:val="13"/>
    <w:lvlOverride w:ilvl="0">
      <w:startOverride w:val="1"/>
      <w:lvl w:ilvl="0">
        <w:start w:val="1"/>
        <w:numFmt w:val="decimal"/>
        <w:pStyle w:val="DHHSnumberdigit"/>
        <w:lvlText w:val="%1."/>
        <w:lvlJc w:val="left"/>
        <w:pPr>
          <w:tabs>
            <w:tab w:val="num" w:pos="397"/>
          </w:tabs>
          <w:ind w:left="397" w:hanging="397"/>
        </w:pPr>
        <w:rPr>
          <w:rFonts w:hint="default"/>
          <w:b w:val="0"/>
        </w:rPr>
      </w:lvl>
    </w:lvlOverride>
    <w:lvlOverride w:ilvl="1">
      <w:startOverride w:val="1"/>
      <w:lvl w:ilvl="1">
        <w:start w:val="1"/>
        <w:numFmt w:val="decimal"/>
        <w:lvlRestart w:val="0"/>
        <w:pStyle w:val="DHHSnumberdigitindent"/>
        <w:lvlText w:val="%2."/>
        <w:lvlJc w:val="left"/>
        <w:pPr>
          <w:tabs>
            <w:tab w:val="num" w:pos="794"/>
          </w:tabs>
          <w:ind w:left="794" w:hanging="397"/>
        </w:pPr>
        <w:rPr>
          <w:rFonts w:hint="default"/>
        </w:rPr>
      </w:lvl>
    </w:lvlOverride>
    <w:lvlOverride w:ilvl="2">
      <w:startOverride w:val="1"/>
      <w:lvl w:ilvl="2">
        <w:start w:val="1"/>
        <w:numFmt w:val="lowerLetter"/>
        <w:lvlRestart w:val="0"/>
        <w:pStyle w:val="DHHSnumberloweralpha"/>
        <w:lvlText w:val="(%3)"/>
        <w:lvlJc w:val="left"/>
        <w:pPr>
          <w:tabs>
            <w:tab w:val="num" w:pos="397"/>
          </w:tabs>
          <w:ind w:left="397" w:hanging="397"/>
        </w:pPr>
        <w:rPr>
          <w:rFonts w:hint="default"/>
        </w:rPr>
      </w:lvl>
    </w:lvlOverride>
    <w:lvlOverride w:ilvl="3">
      <w:startOverride w:val="1"/>
      <w:lvl w:ilvl="3">
        <w:start w:val="1"/>
        <w:numFmt w:val="lowerLetter"/>
        <w:lvlRestart w:val="0"/>
        <w:pStyle w:val="DHHSnumberloweralphaindent"/>
        <w:lvlText w:val="(%4)"/>
        <w:lvlJc w:val="left"/>
        <w:pPr>
          <w:tabs>
            <w:tab w:val="num" w:pos="794"/>
          </w:tabs>
          <w:ind w:left="794" w:hanging="397"/>
        </w:pPr>
        <w:rPr>
          <w:rFonts w:hint="default"/>
        </w:rPr>
      </w:lvl>
    </w:lvlOverride>
    <w:lvlOverride w:ilvl="4">
      <w:startOverride w:val="1"/>
      <w:lvl w:ilvl="4">
        <w:start w:val="1"/>
        <w:numFmt w:val="lowerRoman"/>
        <w:lvlRestart w:val="0"/>
        <w:pStyle w:val="DHHSnumberlowerroman"/>
        <w:lvlText w:val="(%5)"/>
        <w:lvlJc w:val="left"/>
        <w:pPr>
          <w:tabs>
            <w:tab w:val="num" w:pos="397"/>
          </w:tabs>
          <w:ind w:left="397" w:hanging="397"/>
        </w:pPr>
        <w:rPr>
          <w:rFonts w:hint="default"/>
        </w:rPr>
      </w:lvl>
    </w:lvlOverride>
    <w:lvlOverride w:ilvl="5">
      <w:startOverride w:val="1"/>
      <w:lvl w:ilvl="5">
        <w:start w:val="1"/>
        <w:numFmt w:val="lowerRoman"/>
        <w:lvlRestart w:val="0"/>
        <w:pStyle w:val="DHHSnumberlowerromanindent"/>
        <w:lvlText w:val="(%6)"/>
        <w:lvlJc w:val="left"/>
        <w:pPr>
          <w:tabs>
            <w:tab w:val="num" w:pos="794"/>
          </w:tabs>
          <w:ind w:left="794" w:hanging="397"/>
        </w:pPr>
        <w:rPr>
          <w:rFonts w:hint="default"/>
        </w:rPr>
      </w:lvl>
    </w:lvlOverride>
    <w:lvlOverride w:ilvl="6">
      <w:startOverride w:val="1"/>
      <w:lvl w:ilvl="6">
        <w:start w:val="1"/>
        <w:numFmt w:val="none"/>
        <w:lvlRestart w:val="0"/>
        <w:lvlText w:val=""/>
        <w:lvlJc w:val="left"/>
        <w:pPr>
          <w:ind w:left="0" w:firstLine="0"/>
        </w:pPr>
        <w:rPr>
          <w:rFonts w:hint="default"/>
        </w:rPr>
      </w:lvl>
    </w:lvlOverride>
    <w:lvlOverride w:ilvl="7">
      <w:startOverride w:val="1"/>
      <w:lvl w:ilvl="7">
        <w:start w:val="1"/>
        <w:numFmt w:val="none"/>
        <w:lvlRestart w:val="0"/>
        <w:lvlText w:val=""/>
        <w:lvlJc w:val="left"/>
        <w:pPr>
          <w:ind w:left="0" w:firstLine="0"/>
        </w:pPr>
        <w:rPr>
          <w:rFonts w:hint="default"/>
        </w:rPr>
      </w:lvl>
    </w:lvlOverride>
    <w:lvlOverride w:ilvl="8">
      <w:startOverride w:val="1"/>
      <w:lvl w:ilvl="8">
        <w:start w:val="1"/>
        <w:numFmt w:val="none"/>
        <w:lvlRestart w:val="0"/>
        <w:lvlText w:val=""/>
        <w:lvlJc w:val="right"/>
        <w:pPr>
          <w:ind w:left="0" w:firstLine="0"/>
        </w:pPr>
        <w:rPr>
          <w:rFonts w:hint="default"/>
        </w:rPr>
      </w:lvl>
    </w:lvlOverride>
  </w:num>
  <w:num w:numId="43">
    <w:abstractNumId w:val="13"/>
  </w:num>
  <w:num w:numId="44">
    <w:abstractNumId w:val="19"/>
  </w:num>
  <w:num w:numId="45">
    <w:abstractNumId w:val="19"/>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 Davies">
    <w15:presenceInfo w15:providerId="Windows Live" w15:userId="e2dac1da986955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B1D"/>
    <w:rsid w:val="00002990"/>
    <w:rsid w:val="000048AC"/>
    <w:rsid w:val="00014FC4"/>
    <w:rsid w:val="00020AAB"/>
    <w:rsid w:val="000223A4"/>
    <w:rsid w:val="00022E60"/>
    <w:rsid w:val="00026C19"/>
    <w:rsid w:val="00031263"/>
    <w:rsid w:val="00060E93"/>
    <w:rsid w:val="00064936"/>
    <w:rsid w:val="000734F8"/>
    <w:rsid w:val="000736B8"/>
    <w:rsid w:val="000817CB"/>
    <w:rsid w:val="000842CE"/>
    <w:rsid w:val="000873EF"/>
    <w:rsid w:val="000B3792"/>
    <w:rsid w:val="000B640B"/>
    <w:rsid w:val="000C0532"/>
    <w:rsid w:val="000C6242"/>
    <w:rsid w:val="000C68DB"/>
    <w:rsid w:val="000D06B0"/>
    <w:rsid w:val="000D2C32"/>
    <w:rsid w:val="000E6F72"/>
    <w:rsid w:val="000F0478"/>
    <w:rsid w:val="000F0A50"/>
    <w:rsid w:val="00103D5E"/>
    <w:rsid w:val="00104EA7"/>
    <w:rsid w:val="00105A69"/>
    <w:rsid w:val="00105FAD"/>
    <w:rsid w:val="0011155B"/>
    <w:rsid w:val="00111A6A"/>
    <w:rsid w:val="00121BF1"/>
    <w:rsid w:val="00126C47"/>
    <w:rsid w:val="00127A8B"/>
    <w:rsid w:val="00134BE5"/>
    <w:rsid w:val="001412D1"/>
    <w:rsid w:val="001423E3"/>
    <w:rsid w:val="001475EA"/>
    <w:rsid w:val="001504F5"/>
    <w:rsid w:val="001517BD"/>
    <w:rsid w:val="0017248D"/>
    <w:rsid w:val="00173626"/>
    <w:rsid w:val="0017614A"/>
    <w:rsid w:val="001817CD"/>
    <w:rsid w:val="0018235E"/>
    <w:rsid w:val="00186649"/>
    <w:rsid w:val="0018768C"/>
    <w:rsid w:val="00192BA0"/>
    <w:rsid w:val="00197303"/>
    <w:rsid w:val="001A17EA"/>
    <w:rsid w:val="001A1D17"/>
    <w:rsid w:val="001A22AA"/>
    <w:rsid w:val="001A7A18"/>
    <w:rsid w:val="001B1565"/>
    <w:rsid w:val="001B166D"/>
    <w:rsid w:val="001B28B5"/>
    <w:rsid w:val="001B2975"/>
    <w:rsid w:val="001C122D"/>
    <w:rsid w:val="001D2A82"/>
    <w:rsid w:val="001D569B"/>
    <w:rsid w:val="001E0EA3"/>
    <w:rsid w:val="001E4995"/>
    <w:rsid w:val="001E7A42"/>
    <w:rsid w:val="001F09DC"/>
    <w:rsid w:val="001F43E6"/>
    <w:rsid w:val="00213772"/>
    <w:rsid w:val="00220749"/>
    <w:rsid w:val="0022422C"/>
    <w:rsid w:val="0022724E"/>
    <w:rsid w:val="00230666"/>
    <w:rsid w:val="00231153"/>
    <w:rsid w:val="0023252E"/>
    <w:rsid w:val="00241C31"/>
    <w:rsid w:val="0024775A"/>
    <w:rsid w:val="00260E65"/>
    <w:rsid w:val="002679D5"/>
    <w:rsid w:val="002714FD"/>
    <w:rsid w:val="00275F94"/>
    <w:rsid w:val="00276670"/>
    <w:rsid w:val="00281B9C"/>
    <w:rsid w:val="00284C9B"/>
    <w:rsid w:val="002A141B"/>
    <w:rsid w:val="002A26B6"/>
    <w:rsid w:val="002A6A4E"/>
    <w:rsid w:val="002B5A85"/>
    <w:rsid w:val="002B63A7"/>
    <w:rsid w:val="002B6A97"/>
    <w:rsid w:val="002C53DF"/>
    <w:rsid w:val="002C5543"/>
    <w:rsid w:val="002D0F7F"/>
    <w:rsid w:val="002E0198"/>
    <w:rsid w:val="002E1D7C"/>
    <w:rsid w:val="002E2EE0"/>
    <w:rsid w:val="002F449B"/>
    <w:rsid w:val="002F4D86"/>
    <w:rsid w:val="002F5D69"/>
    <w:rsid w:val="002F7C77"/>
    <w:rsid w:val="00300CB3"/>
    <w:rsid w:val="0030394B"/>
    <w:rsid w:val="003072C6"/>
    <w:rsid w:val="00310D8E"/>
    <w:rsid w:val="00315BBD"/>
    <w:rsid w:val="00316CFC"/>
    <w:rsid w:val="0031753A"/>
    <w:rsid w:val="00320293"/>
    <w:rsid w:val="00322CC2"/>
    <w:rsid w:val="003271DC"/>
    <w:rsid w:val="00334B54"/>
    <w:rsid w:val="0033739E"/>
    <w:rsid w:val="00343733"/>
    <w:rsid w:val="00346C72"/>
    <w:rsid w:val="00355886"/>
    <w:rsid w:val="00356814"/>
    <w:rsid w:val="0038019F"/>
    <w:rsid w:val="00381E3F"/>
    <w:rsid w:val="00382071"/>
    <w:rsid w:val="003A0811"/>
    <w:rsid w:val="003A18B7"/>
    <w:rsid w:val="003A2F25"/>
    <w:rsid w:val="003A49C8"/>
    <w:rsid w:val="003B2807"/>
    <w:rsid w:val="003B664A"/>
    <w:rsid w:val="003C68F2"/>
    <w:rsid w:val="003D58B8"/>
    <w:rsid w:val="003D5CFB"/>
    <w:rsid w:val="003E2636"/>
    <w:rsid w:val="003E2E12"/>
    <w:rsid w:val="003F39CE"/>
    <w:rsid w:val="00401108"/>
    <w:rsid w:val="00402927"/>
    <w:rsid w:val="00407993"/>
    <w:rsid w:val="00411833"/>
    <w:rsid w:val="00412F64"/>
    <w:rsid w:val="00413440"/>
    <w:rsid w:val="00417BEB"/>
    <w:rsid w:val="004324FF"/>
    <w:rsid w:val="00432A55"/>
    <w:rsid w:val="00435977"/>
    <w:rsid w:val="0044260A"/>
    <w:rsid w:val="00444D82"/>
    <w:rsid w:val="004564C6"/>
    <w:rsid w:val="004610CC"/>
    <w:rsid w:val="0046387C"/>
    <w:rsid w:val="004645A0"/>
    <w:rsid w:val="00465464"/>
    <w:rsid w:val="00465E87"/>
    <w:rsid w:val="0047109A"/>
    <w:rsid w:val="0047786A"/>
    <w:rsid w:val="00477A65"/>
    <w:rsid w:val="00482DB3"/>
    <w:rsid w:val="004A0236"/>
    <w:rsid w:val="004A369A"/>
    <w:rsid w:val="004A3B3E"/>
    <w:rsid w:val="004C27D5"/>
    <w:rsid w:val="004C5777"/>
    <w:rsid w:val="004D0173"/>
    <w:rsid w:val="004D1056"/>
    <w:rsid w:val="004E1EDE"/>
    <w:rsid w:val="004E21E2"/>
    <w:rsid w:val="004E293F"/>
    <w:rsid w:val="004E380D"/>
    <w:rsid w:val="004E7922"/>
    <w:rsid w:val="004F0DFC"/>
    <w:rsid w:val="004F3441"/>
    <w:rsid w:val="004F41B2"/>
    <w:rsid w:val="004F4AFC"/>
    <w:rsid w:val="004F52A5"/>
    <w:rsid w:val="00500C8C"/>
    <w:rsid w:val="00501375"/>
    <w:rsid w:val="00501D3B"/>
    <w:rsid w:val="005022C9"/>
    <w:rsid w:val="0050779D"/>
    <w:rsid w:val="005139EA"/>
    <w:rsid w:val="00520BBB"/>
    <w:rsid w:val="00525456"/>
    <w:rsid w:val="00525D84"/>
    <w:rsid w:val="00532236"/>
    <w:rsid w:val="00532405"/>
    <w:rsid w:val="00541DFE"/>
    <w:rsid w:val="00543E6C"/>
    <w:rsid w:val="00544184"/>
    <w:rsid w:val="00550498"/>
    <w:rsid w:val="005552FD"/>
    <w:rsid w:val="005600E5"/>
    <w:rsid w:val="00564E8F"/>
    <w:rsid w:val="0056707C"/>
    <w:rsid w:val="005728A4"/>
    <w:rsid w:val="005763FC"/>
    <w:rsid w:val="00576EB4"/>
    <w:rsid w:val="00577B30"/>
    <w:rsid w:val="00582768"/>
    <w:rsid w:val="00583461"/>
    <w:rsid w:val="005856A4"/>
    <w:rsid w:val="00590730"/>
    <w:rsid w:val="005A3051"/>
    <w:rsid w:val="005A53FE"/>
    <w:rsid w:val="005B41BC"/>
    <w:rsid w:val="005B7D22"/>
    <w:rsid w:val="005C029E"/>
    <w:rsid w:val="005C0DA8"/>
    <w:rsid w:val="005E085D"/>
    <w:rsid w:val="005E3FA7"/>
    <w:rsid w:val="005E7963"/>
    <w:rsid w:val="005F218C"/>
    <w:rsid w:val="005F4523"/>
    <w:rsid w:val="005F4F84"/>
    <w:rsid w:val="00601D4D"/>
    <w:rsid w:val="006021B4"/>
    <w:rsid w:val="00605B5B"/>
    <w:rsid w:val="006062D8"/>
    <w:rsid w:val="00606827"/>
    <w:rsid w:val="00620262"/>
    <w:rsid w:val="00621B4C"/>
    <w:rsid w:val="00627C52"/>
    <w:rsid w:val="00630937"/>
    <w:rsid w:val="00636934"/>
    <w:rsid w:val="00647FA0"/>
    <w:rsid w:val="00653B84"/>
    <w:rsid w:val="00653E0D"/>
    <w:rsid w:val="00683B1D"/>
    <w:rsid w:val="006865C8"/>
    <w:rsid w:val="00686B48"/>
    <w:rsid w:val="00687038"/>
    <w:rsid w:val="0068714E"/>
    <w:rsid w:val="006929F7"/>
    <w:rsid w:val="0069374A"/>
    <w:rsid w:val="00694AB8"/>
    <w:rsid w:val="00695EF7"/>
    <w:rsid w:val="0069699D"/>
    <w:rsid w:val="006970C3"/>
    <w:rsid w:val="006B0E0F"/>
    <w:rsid w:val="006B2C51"/>
    <w:rsid w:val="006B6361"/>
    <w:rsid w:val="006D360C"/>
    <w:rsid w:val="006D5AC9"/>
    <w:rsid w:val="006D66ED"/>
    <w:rsid w:val="006E786B"/>
    <w:rsid w:val="007002B1"/>
    <w:rsid w:val="00700D9A"/>
    <w:rsid w:val="00704EB7"/>
    <w:rsid w:val="00705742"/>
    <w:rsid w:val="007104FE"/>
    <w:rsid w:val="00711B0C"/>
    <w:rsid w:val="007121A2"/>
    <w:rsid w:val="00713981"/>
    <w:rsid w:val="007176D6"/>
    <w:rsid w:val="00717D76"/>
    <w:rsid w:val="00727D54"/>
    <w:rsid w:val="007344C5"/>
    <w:rsid w:val="00734959"/>
    <w:rsid w:val="00735137"/>
    <w:rsid w:val="0073520D"/>
    <w:rsid w:val="00780226"/>
    <w:rsid w:val="00781AB4"/>
    <w:rsid w:val="00787295"/>
    <w:rsid w:val="007923B7"/>
    <w:rsid w:val="00792616"/>
    <w:rsid w:val="007926BB"/>
    <w:rsid w:val="0079344C"/>
    <w:rsid w:val="007968AE"/>
    <w:rsid w:val="007A0283"/>
    <w:rsid w:val="007B5053"/>
    <w:rsid w:val="007C02C7"/>
    <w:rsid w:val="007C21EE"/>
    <w:rsid w:val="007D3A2E"/>
    <w:rsid w:val="007D6652"/>
    <w:rsid w:val="007E343D"/>
    <w:rsid w:val="007F4383"/>
    <w:rsid w:val="00801601"/>
    <w:rsid w:val="00810991"/>
    <w:rsid w:val="00814A9B"/>
    <w:rsid w:val="00814F66"/>
    <w:rsid w:val="00817C9E"/>
    <w:rsid w:val="008205AF"/>
    <w:rsid w:val="008225E5"/>
    <w:rsid w:val="00831053"/>
    <w:rsid w:val="008314D2"/>
    <w:rsid w:val="0083254D"/>
    <w:rsid w:val="00836249"/>
    <w:rsid w:val="00836F00"/>
    <w:rsid w:val="00846192"/>
    <w:rsid w:val="00850806"/>
    <w:rsid w:val="00856A1B"/>
    <w:rsid w:val="008621C3"/>
    <w:rsid w:val="008632EF"/>
    <w:rsid w:val="00865486"/>
    <w:rsid w:val="00876275"/>
    <w:rsid w:val="00882B99"/>
    <w:rsid w:val="00886121"/>
    <w:rsid w:val="008A295B"/>
    <w:rsid w:val="008A6604"/>
    <w:rsid w:val="008B5482"/>
    <w:rsid w:val="008C11F4"/>
    <w:rsid w:val="008C2BEC"/>
    <w:rsid w:val="008C6523"/>
    <w:rsid w:val="008C6D0E"/>
    <w:rsid w:val="008C6FF5"/>
    <w:rsid w:val="008D09D2"/>
    <w:rsid w:val="008D39C5"/>
    <w:rsid w:val="008E1D89"/>
    <w:rsid w:val="008E3E3E"/>
    <w:rsid w:val="008F5F87"/>
    <w:rsid w:val="00900A34"/>
    <w:rsid w:val="00907073"/>
    <w:rsid w:val="009208F5"/>
    <w:rsid w:val="00927D51"/>
    <w:rsid w:val="00932272"/>
    <w:rsid w:val="00932862"/>
    <w:rsid w:val="00935D60"/>
    <w:rsid w:val="009447BB"/>
    <w:rsid w:val="00944C48"/>
    <w:rsid w:val="00946335"/>
    <w:rsid w:val="009513C4"/>
    <w:rsid w:val="00955E55"/>
    <w:rsid w:val="00962200"/>
    <w:rsid w:val="00966F54"/>
    <w:rsid w:val="00975E61"/>
    <w:rsid w:val="00976E31"/>
    <w:rsid w:val="00977C63"/>
    <w:rsid w:val="00980087"/>
    <w:rsid w:val="00980C0B"/>
    <w:rsid w:val="0098524F"/>
    <w:rsid w:val="00987ABE"/>
    <w:rsid w:val="009906C7"/>
    <w:rsid w:val="009963CD"/>
    <w:rsid w:val="009B266D"/>
    <w:rsid w:val="009B5CBF"/>
    <w:rsid w:val="009C184A"/>
    <w:rsid w:val="009C2CA5"/>
    <w:rsid w:val="009D3E45"/>
    <w:rsid w:val="009E3112"/>
    <w:rsid w:val="009F351F"/>
    <w:rsid w:val="009F3F89"/>
    <w:rsid w:val="009F480E"/>
    <w:rsid w:val="009F48B1"/>
    <w:rsid w:val="00A022A2"/>
    <w:rsid w:val="00A02D15"/>
    <w:rsid w:val="00A11403"/>
    <w:rsid w:val="00A17CA8"/>
    <w:rsid w:val="00A23E74"/>
    <w:rsid w:val="00A25F0F"/>
    <w:rsid w:val="00A26B0D"/>
    <w:rsid w:val="00A3735A"/>
    <w:rsid w:val="00A42F1B"/>
    <w:rsid w:val="00A546BC"/>
    <w:rsid w:val="00A55989"/>
    <w:rsid w:val="00A5694A"/>
    <w:rsid w:val="00A63DA4"/>
    <w:rsid w:val="00A75CD5"/>
    <w:rsid w:val="00A83DF3"/>
    <w:rsid w:val="00A85915"/>
    <w:rsid w:val="00A952AB"/>
    <w:rsid w:val="00A9783D"/>
    <w:rsid w:val="00AA45E6"/>
    <w:rsid w:val="00AA5A37"/>
    <w:rsid w:val="00AB489C"/>
    <w:rsid w:val="00AB50C1"/>
    <w:rsid w:val="00AB6936"/>
    <w:rsid w:val="00AC0C3B"/>
    <w:rsid w:val="00AC2D63"/>
    <w:rsid w:val="00AD03D8"/>
    <w:rsid w:val="00AD0711"/>
    <w:rsid w:val="00AD704E"/>
    <w:rsid w:val="00AE5FE0"/>
    <w:rsid w:val="00AE60B7"/>
    <w:rsid w:val="00AE6166"/>
    <w:rsid w:val="00AF2AB7"/>
    <w:rsid w:val="00AF2B1C"/>
    <w:rsid w:val="00AF4D3F"/>
    <w:rsid w:val="00AF58A6"/>
    <w:rsid w:val="00AF5A06"/>
    <w:rsid w:val="00B0300B"/>
    <w:rsid w:val="00B05457"/>
    <w:rsid w:val="00B128A0"/>
    <w:rsid w:val="00B13241"/>
    <w:rsid w:val="00B20240"/>
    <w:rsid w:val="00B20FAF"/>
    <w:rsid w:val="00B23281"/>
    <w:rsid w:val="00B27571"/>
    <w:rsid w:val="00B36077"/>
    <w:rsid w:val="00B4164B"/>
    <w:rsid w:val="00B5409A"/>
    <w:rsid w:val="00B55574"/>
    <w:rsid w:val="00B62248"/>
    <w:rsid w:val="00B6525D"/>
    <w:rsid w:val="00B65ABA"/>
    <w:rsid w:val="00B6790F"/>
    <w:rsid w:val="00B71B3B"/>
    <w:rsid w:val="00B72025"/>
    <w:rsid w:val="00B84E9B"/>
    <w:rsid w:val="00B8606A"/>
    <w:rsid w:val="00B87D61"/>
    <w:rsid w:val="00B93948"/>
    <w:rsid w:val="00B96DAD"/>
    <w:rsid w:val="00BA42A3"/>
    <w:rsid w:val="00BA4BC7"/>
    <w:rsid w:val="00BA55B7"/>
    <w:rsid w:val="00BA5E47"/>
    <w:rsid w:val="00BA7D57"/>
    <w:rsid w:val="00BB156E"/>
    <w:rsid w:val="00BB3330"/>
    <w:rsid w:val="00BB47D7"/>
    <w:rsid w:val="00BB4A62"/>
    <w:rsid w:val="00BC01C1"/>
    <w:rsid w:val="00BC5A34"/>
    <w:rsid w:val="00BC7FD5"/>
    <w:rsid w:val="00BD17F5"/>
    <w:rsid w:val="00BD6E05"/>
    <w:rsid w:val="00BE54D0"/>
    <w:rsid w:val="00BF6B6C"/>
    <w:rsid w:val="00BF7251"/>
    <w:rsid w:val="00BF7F28"/>
    <w:rsid w:val="00C01909"/>
    <w:rsid w:val="00C05787"/>
    <w:rsid w:val="00C13059"/>
    <w:rsid w:val="00C156D4"/>
    <w:rsid w:val="00C167A3"/>
    <w:rsid w:val="00C2181C"/>
    <w:rsid w:val="00C2657D"/>
    <w:rsid w:val="00C3447A"/>
    <w:rsid w:val="00C416E1"/>
    <w:rsid w:val="00C47BF8"/>
    <w:rsid w:val="00C51B1C"/>
    <w:rsid w:val="00C53DCE"/>
    <w:rsid w:val="00C655F2"/>
    <w:rsid w:val="00C65B4C"/>
    <w:rsid w:val="00C65B61"/>
    <w:rsid w:val="00C70E53"/>
    <w:rsid w:val="00C72979"/>
    <w:rsid w:val="00C75604"/>
    <w:rsid w:val="00C81529"/>
    <w:rsid w:val="00C81BA6"/>
    <w:rsid w:val="00C8377C"/>
    <w:rsid w:val="00C877CD"/>
    <w:rsid w:val="00C902E9"/>
    <w:rsid w:val="00C908B7"/>
    <w:rsid w:val="00C91D81"/>
    <w:rsid w:val="00C92A42"/>
    <w:rsid w:val="00CA18F2"/>
    <w:rsid w:val="00CA4871"/>
    <w:rsid w:val="00CA6722"/>
    <w:rsid w:val="00CA6D4E"/>
    <w:rsid w:val="00CA7B4B"/>
    <w:rsid w:val="00CB36A8"/>
    <w:rsid w:val="00CC139A"/>
    <w:rsid w:val="00CC1E7A"/>
    <w:rsid w:val="00CC4F64"/>
    <w:rsid w:val="00CD058C"/>
    <w:rsid w:val="00CD3B98"/>
    <w:rsid w:val="00CD4216"/>
    <w:rsid w:val="00CD518C"/>
    <w:rsid w:val="00CD733F"/>
    <w:rsid w:val="00CE0942"/>
    <w:rsid w:val="00CE2089"/>
    <w:rsid w:val="00CE307C"/>
    <w:rsid w:val="00CE7CA5"/>
    <w:rsid w:val="00CF1D81"/>
    <w:rsid w:val="00CF2DC9"/>
    <w:rsid w:val="00CF7CB6"/>
    <w:rsid w:val="00D311AB"/>
    <w:rsid w:val="00D325A8"/>
    <w:rsid w:val="00D442AD"/>
    <w:rsid w:val="00D5618A"/>
    <w:rsid w:val="00D5784B"/>
    <w:rsid w:val="00D63EFB"/>
    <w:rsid w:val="00D658AF"/>
    <w:rsid w:val="00D73006"/>
    <w:rsid w:val="00D83DE9"/>
    <w:rsid w:val="00D8450D"/>
    <w:rsid w:val="00D95AF9"/>
    <w:rsid w:val="00DA09C9"/>
    <w:rsid w:val="00DA1822"/>
    <w:rsid w:val="00DA3663"/>
    <w:rsid w:val="00DB5E1F"/>
    <w:rsid w:val="00DC19D8"/>
    <w:rsid w:val="00DC2613"/>
    <w:rsid w:val="00DC4512"/>
    <w:rsid w:val="00DD3691"/>
    <w:rsid w:val="00DD4B55"/>
    <w:rsid w:val="00DE1E90"/>
    <w:rsid w:val="00DE24E6"/>
    <w:rsid w:val="00DE624F"/>
    <w:rsid w:val="00DE74E9"/>
    <w:rsid w:val="00DE7FAE"/>
    <w:rsid w:val="00DF07AD"/>
    <w:rsid w:val="00DF1374"/>
    <w:rsid w:val="00DF3364"/>
    <w:rsid w:val="00E055BB"/>
    <w:rsid w:val="00E11988"/>
    <w:rsid w:val="00E15DA9"/>
    <w:rsid w:val="00E2095D"/>
    <w:rsid w:val="00E30414"/>
    <w:rsid w:val="00E40769"/>
    <w:rsid w:val="00E42E8B"/>
    <w:rsid w:val="00E60F12"/>
    <w:rsid w:val="00E63097"/>
    <w:rsid w:val="00E652FB"/>
    <w:rsid w:val="00E66C20"/>
    <w:rsid w:val="00E71C46"/>
    <w:rsid w:val="00E75ED2"/>
    <w:rsid w:val="00E8280C"/>
    <w:rsid w:val="00E83E4C"/>
    <w:rsid w:val="00E91933"/>
    <w:rsid w:val="00E92A81"/>
    <w:rsid w:val="00E969B1"/>
    <w:rsid w:val="00EB6552"/>
    <w:rsid w:val="00EC18E6"/>
    <w:rsid w:val="00EC1984"/>
    <w:rsid w:val="00EC234C"/>
    <w:rsid w:val="00ED06C6"/>
    <w:rsid w:val="00ED3529"/>
    <w:rsid w:val="00ED4D17"/>
    <w:rsid w:val="00EE6CD3"/>
    <w:rsid w:val="00EF20D7"/>
    <w:rsid w:val="00EF3419"/>
    <w:rsid w:val="00F0119C"/>
    <w:rsid w:val="00F02BDB"/>
    <w:rsid w:val="00F0441B"/>
    <w:rsid w:val="00F048C5"/>
    <w:rsid w:val="00F07623"/>
    <w:rsid w:val="00F3136B"/>
    <w:rsid w:val="00F314F1"/>
    <w:rsid w:val="00F327EA"/>
    <w:rsid w:val="00F33641"/>
    <w:rsid w:val="00F42842"/>
    <w:rsid w:val="00F4590A"/>
    <w:rsid w:val="00F46E40"/>
    <w:rsid w:val="00F4760A"/>
    <w:rsid w:val="00F52B8E"/>
    <w:rsid w:val="00F53CFD"/>
    <w:rsid w:val="00F54AF5"/>
    <w:rsid w:val="00F557E3"/>
    <w:rsid w:val="00F61E78"/>
    <w:rsid w:val="00F635C5"/>
    <w:rsid w:val="00F736E3"/>
    <w:rsid w:val="00F767E8"/>
    <w:rsid w:val="00F773EA"/>
    <w:rsid w:val="00F85EA6"/>
    <w:rsid w:val="00F86A3F"/>
    <w:rsid w:val="00F91297"/>
    <w:rsid w:val="00F9133B"/>
    <w:rsid w:val="00F97730"/>
    <w:rsid w:val="00FB32A4"/>
    <w:rsid w:val="00FB594D"/>
    <w:rsid w:val="00FC3A52"/>
    <w:rsid w:val="00FC49BB"/>
    <w:rsid w:val="00FD616B"/>
    <w:rsid w:val="00FE367F"/>
    <w:rsid w:val="00FE7544"/>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FF3C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71"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B13241"/>
    <w:pPr>
      <w:keepNext/>
      <w:keepLines/>
      <w:spacing w:before="520" w:after="440" w:line="440" w:lineRule="atLeast"/>
      <w:outlineLvl w:val="0"/>
    </w:pPr>
    <w:rPr>
      <w:rFonts w:ascii="Arial" w:hAnsi="Arial"/>
      <w:bCs/>
      <w:color w:val="004EA8"/>
      <w:sz w:val="44"/>
      <w:szCs w:val="44"/>
      <w:lang w:eastAsia="en-US"/>
    </w:rPr>
  </w:style>
  <w:style w:type="paragraph" w:styleId="Heading2">
    <w:name w:val="heading 2"/>
    <w:next w:val="DHHSbody"/>
    <w:link w:val="Heading2Char"/>
    <w:uiPriority w:val="1"/>
    <w:qFormat/>
    <w:rsid w:val="00636934"/>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B13241"/>
    <w:rPr>
      <w:rFonts w:ascii="Arial" w:hAnsi="Arial"/>
      <w:bCs/>
      <w:color w:val="004EA8"/>
      <w:sz w:val="44"/>
      <w:szCs w:val="44"/>
      <w:lang w:eastAsia="en-US"/>
    </w:rPr>
  </w:style>
  <w:style w:type="character" w:customStyle="1" w:styleId="Heading2Char">
    <w:name w:val="Heading 2 Char"/>
    <w:link w:val="Heading2"/>
    <w:uiPriority w:val="1"/>
    <w:rsid w:val="00636934"/>
    <w:rPr>
      <w:rFonts w:ascii="Arial" w:hAnsi="Arial"/>
      <w:b/>
      <w:color w:val="004EA8"/>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636934"/>
    <w:pPr>
      <w:keepLines/>
      <w:spacing w:after="240" w:line="580" w:lineRule="atLeast"/>
    </w:pPr>
    <w:rPr>
      <w:rFonts w:ascii="Arial" w:hAnsi="Arial"/>
      <w:color w:val="004EA8"/>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B13241"/>
    <w:pPr>
      <w:spacing w:before="80" w:after="60"/>
    </w:pPr>
    <w:rPr>
      <w:rFonts w:ascii="Arial" w:hAnsi="Arial"/>
      <w:b/>
      <w:color w:val="004EA8"/>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636934"/>
    <w:pPr>
      <w:spacing w:before="0"/>
      <w:outlineLvl w:val="9"/>
    </w:pPr>
  </w:style>
  <w:style w:type="character" w:customStyle="1" w:styleId="DHHSTOCheadingreportChar">
    <w:name w:val="DHHS TOC heading report Char"/>
    <w:link w:val="DHHSTOCheadingreport"/>
    <w:uiPriority w:val="5"/>
    <w:rsid w:val="00636934"/>
    <w:rPr>
      <w:rFonts w:ascii="Arial" w:hAnsi="Arial"/>
      <w:bCs/>
      <w:color w:val="004EA8"/>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4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table" w:styleId="ColorfulGrid-Accent1">
    <w:name w:val="Colorful Grid Accent 1"/>
    <w:basedOn w:val="TableNormal"/>
    <w:uiPriority w:val="29"/>
    <w:qFormat/>
    <w:rsid w:val="00F048C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5">
    <w:name w:val="Medium Grid 3 Accent 5"/>
    <w:basedOn w:val="TableNormal"/>
    <w:uiPriority w:val="60"/>
    <w:rsid w:val="00F048C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2">
    <w:name w:val="Medium Grid 3 Accent 2"/>
    <w:basedOn w:val="TableNormal"/>
    <w:uiPriority w:val="60"/>
    <w:rsid w:val="00F048C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olorfulGrid-Accent4">
    <w:name w:val="Colorful Grid Accent 4"/>
    <w:basedOn w:val="TableNormal"/>
    <w:uiPriority w:val="64"/>
    <w:rsid w:val="00F048C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1">
    <w:name w:val="Medium Grid 1 Accent 1"/>
    <w:basedOn w:val="TableNormal"/>
    <w:uiPriority w:val="62"/>
    <w:rsid w:val="00F048C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Shading1-Accent1">
    <w:name w:val="Medium Shading 1 Accent 1"/>
    <w:basedOn w:val="TableNormal"/>
    <w:uiPriority w:val="68"/>
    <w:rsid w:val="00F048C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F048C5"/>
    <w:rPr>
      <w:rFonts w:ascii="Tahoma" w:hAnsi="Tahoma" w:cs="Tahoma"/>
      <w:sz w:val="16"/>
      <w:szCs w:val="16"/>
    </w:rPr>
  </w:style>
  <w:style w:type="character" w:customStyle="1" w:styleId="BalloonTextChar">
    <w:name w:val="Balloon Text Char"/>
    <w:basedOn w:val="DefaultParagraphFont"/>
    <w:link w:val="BalloonText"/>
    <w:uiPriority w:val="99"/>
    <w:semiHidden/>
    <w:rsid w:val="00F048C5"/>
    <w:rPr>
      <w:rFonts w:ascii="Tahoma" w:hAnsi="Tahoma" w:cs="Tahoma"/>
      <w:sz w:val="16"/>
      <w:szCs w:val="16"/>
      <w:lang w:eastAsia="en-US"/>
    </w:rPr>
  </w:style>
  <w:style w:type="character" w:styleId="CommentReference">
    <w:name w:val="annotation reference"/>
    <w:basedOn w:val="DefaultParagraphFont"/>
    <w:uiPriority w:val="99"/>
    <w:semiHidden/>
    <w:unhideWhenUsed/>
    <w:rsid w:val="003A49C8"/>
    <w:rPr>
      <w:sz w:val="16"/>
      <w:szCs w:val="16"/>
    </w:rPr>
  </w:style>
  <w:style w:type="paragraph" w:styleId="CommentText">
    <w:name w:val="annotation text"/>
    <w:basedOn w:val="Normal"/>
    <w:link w:val="CommentTextChar"/>
    <w:uiPriority w:val="99"/>
    <w:semiHidden/>
    <w:unhideWhenUsed/>
    <w:rsid w:val="003A49C8"/>
  </w:style>
  <w:style w:type="character" w:customStyle="1" w:styleId="CommentTextChar">
    <w:name w:val="Comment Text Char"/>
    <w:basedOn w:val="DefaultParagraphFont"/>
    <w:link w:val="CommentText"/>
    <w:uiPriority w:val="99"/>
    <w:semiHidden/>
    <w:rsid w:val="003A49C8"/>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3A49C8"/>
    <w:rPr>
      <w:b/>
      <w:bCs/>
    </w:rPr>
  </w:style>
  <w:style w:type="character" w:customStyle="1" w:styleId="CommentSubjectChar">
    <w:name w:val="Comment Subject Char"/>
    <w:basedOn w:val="CommentTextChar"/>
    <w:link w:val="CommentSubject"/>
    <w:uiPriority w:val="99"/>
    <w:semiHidden/>
    <w:rsid w:val="003A49C8"/>
    <w:rPr>
      <w:rFonts w:ascii="Cambria" w:hAnsi="Cambria"/>
      <w:b/>
      <w:bCs/>
      <w:lang w:eastAsia="en-US"/>
    </w:rPr>
  </w:style>
  <w:style w:type="paragraph" w:styleId="Revision">
    <w:name w:val="Revision"/>
    <w:hidden/>
    <w:uiPriority w:val="71"/>
    <w:rsid w:val="00A17CA8"/>
    <w:rPr>
      <w:rFonts w:ascii="Cambria" w:hAnsi="Cambri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71"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B13241"/>
    <w:pPr>
      <w:keepNext/>
      <w:keepLines/>
      <w:spacing w:before="520" w:after="440" w:line="440" w:lineRule="atLeast"/>
      <w:outlineLvl w:val="0"/>
    </w:pPr>
    <w:rPr>
      <w:rFonts w:ascii="Arial" w:hAnsi="Arial"/>
      <w:bCs/>
      <w:color w:val="004EA8"/>
      <w:sz w:val="44"/>
      <w:szCs w:val="44"/>
      <w:lang w:eastAsia="en-US"/>
    </w:rPr>
  </w:style>
  <w:style w:type="paragraph" w:styleId="Heading2">
    <w:name w:val="heading 2"/>
    <w:next w:val="DHHSbody"/>
    <w:link w:val="Heading2Char"/>
    <w:uiPriority w:val="1"/>
    <w:qFormat/>
    <w:rsid w:val="00636934"/>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B13241"/>
    <w:rPr>
      <w:rFonts w:ascii="Arial" w:hAnsi="Arial"/>
      <w:bCs/>
      <w:color w:val="004EA8"/>
      <w:sz w:val="44"/>
      <w:szCs w:val="44"/>
      <w:lang w:eastAsia="en-US"/>
    </w:rPr>
  </w:style>
  <w:style w:type="character" w:customStyle="1" w:styleId="Heading2Char">
    <w:name w:val="Heading 2 Char"/>
    <w:link w:val="Heading2"/>
    <w:uiPriority w:val="1"/>
    <w:rsid w:val="00636934"/>
    <w:rPr>
      <w:rFonts w:ascii="Arial" w:hAnsi="Arial"/>
      <w:b/>
      <w:color w:val="004EA8"/>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636934"/>
    <w:pPr>
      <w:keepLines/>
      <w:spacing w:after="240" w:line="580" w:lineRule="atLeast"/>
    </w:pPr>
    <w:rPr>
      <w:rFonts w:ascii="Arial" w:hAnsi="Arial"/>
      <w:color w:val="004EA8"/>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B13241"/>
    <w:pPr>
      <w:spacing w:before="80" w:after="60"/>
    </w:pPr>
    <w:rPr>
      <w:rFonts w:ascii="Arial" w:hAnsi="Arial"/>
      <w:b/>
      <w:color w:val="004EA8"/>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636934"/>
    <w:pPr>
      <w:spacing w:before="0"/>
      <w:outlineLvl w:val="9"/>
    </w:pPr>
  </w:style>
  <w:style w:type="character" w:customStyle="1" w:styleId="DHHSTOCheadingreportChar">
    <w:name w:val="DHHS TOC heading report Char"/>
    <w:link w:val="DHHSTOCheadingreport"/>
    <w:uiPriority w:val="5"/>
    <w:rsid w:val="00636934"/>
    <w:rPr>
      <w:rFonts w:ascii="Arial" w:hAnsi="Arial"/>
      <w:bCs/>
      <w:color w:val="004EA8"/>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4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table" w:styleId="ColorfulGrid-Accent1">
    <w:name w:val="Colorful Grid Accent 1"/>
    <w:basedOn w:val="TableNormal"/>
    <w:uiPriority w:val="29"/>
    <w:qFormat/>
    <w:rsid w:val="00F048C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5">
    <w:name w:val="Medium Grid 3 Accent 5"/>
    <w:basedOn w:val="TableNormal"/>
    <w:uiPriority w:val="60"/>
    <w:rsid w:val="00F048C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2">
    <w:name w:val="Medium Grid 3 Accent 2"/>
    <w:basedOn w:val="TableNormal"/>
    <w:uiPriority w:val="60"/>
    <w:rsid w:val="00F048C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olorfulGrid-Accent4">
    <w:name w:val="Colorful Grid Accent 4"/>
    <w:basedOn w:val="TableNormal"/>
    <w:uiPriority w:val="64"/>
    <w:rsid w:val="00F048C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1">
    <w:name w:val="Medium Grid 1 Accent 1"/>
    <w:basedOn w:val="TableNormal"/>
    <w:uiPriority w:val="62"/>
    <w:rsid w:val="00F048C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Shading1-Accent1">
    <w:name w:val="Medium Shading 1 Accent 1"/>
    <w:basedOn w:val="TableNormal"/>
    <w:uiPriority w:val="68"/>
    <w:rsid w:val="00F048C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F048C5"/>
    <w:rPr>
      <w:rFonts w:ascii="Tahoma" w:hAnsi="Tahoma" w:cs="Tahoma"/>
      <w:sz w:val="16"/>
      <w:szCs w:val="16"/>
    </w:rPr>
  </w:style>
  <w:style w:type="character" w:customStyle="1" w:styleId="BalloonTextChar">
    <w:name w:val="Balloon Text Char"/>
    <w:basedOn w:val="DefaultParagraphFont"/>
    <w:link w:val="BalloonText"/>
    <w:uiPriority w:val="99"/>
    <w:semiHidden/>
    <w:rsid w:val="00F048C5"/>
    <w:rPr>
      <w:rFonts w:ascii="Tahoma" w:hAnsi="Tahoma" w:cs="Tahoma"/>
      <w:sz w:val="16"/>
      <w:szCs w:val="16"/>
      <w:lang w:eastAsia="en-US"/>
    </w:rPr>
  </w:style>
  <w:style w:type="character" w:styleId="CommentReference">
    <w:name w:val="annotation reference"/>
    <w:basedOn w:val="DefaultParagraphFont"/>
    <w:uiPriority w:val="99"/>
    <w:semiHidden/>
    <w:unhideWhenUsed/>
    <w:rsid w:val="003A49C8"/>
    <w:rPr>
      <w:sz w:val="16"/>
      <w:szCs w:val="16"/>
    </w:rPr>
  </w:style>
  <w:style w:type="paragraph" w:styleId="CommentText">
    <w:name w:val="annotation text"/>
    <w:basedOn w:val="Normal"/>
    <w:link w:val="CommentTextChar"/>
    <w:uiPriority w:val="99"/>
    <w:semiHidden/>
    <w:unhideWhenUsed/>
    <w:rsid w:val="003A49C8"/>
  </w:style>
  <w:style w:type="character" w:customStyle="1" w:styleId="CommentTextChar">
    <w:name w:val="Comment Text Char"/>
    <w:basedOn w:val="DefaultParagraphFont"/>
    <w:link w:val="CommentText"/>
    <w:uiPriority w:val="99"/>
    <w:semiHidden/>
    <w:rsid w:val="003A49C8"/>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3A49C8"/>
    <w:rPr>
      <w:b/>
      <w:bCs/>
    </w:rPr>
  </w:style>
  <w:style w:type="character" w:customStyle="1" w:styleId="CommentSubjectChar">
    <w:name w:val="Comment Subject Char"/>
    <w:basedOn w:val="CommentTextChar"/>
    <w:link w:val="CommentSubject"/>
    <w:uiPriority w:val="99"/>
    <w:semiHidden/>
    <w:rsid w:val="003A49C8"/>
    <w:rPr>
      <w:rFonts w:ascii="Cambria" w:hAnsi="Cambria"/>
      <w:b/>
      <w:bCs/>
      <w:lang w:eastAsia="en-US"/>
    </w:rPr>
  </w:style>
  <w:style w:type="paragraph" w:styleId="Revision">
    <w:name w:val="Revision"/>
    <w:hidden/>
    <w:uiPriority w:val="71"/>
    <w:rsid w:val="00A17CA8"/>
    <w:rPr>
      <w:rFonts w:ascii="Cambria" w:hAnsi="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afety.gov.au/education-resources/iparen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ocp@dhhs.vic.gov.au"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Operations\Office%20Chief%20Psychiatrist\Administration\1.%20OCP%20document%20templates\DHHS%20OCP%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9D7AB-A7AE-4AB0-BF17-E26A7380F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OCP Report Template.dot</Template>
  <TotalTime>4</TotalTime>
  <Pages>20</Pages>
  <Words>4612</Words>
  <Characters>27147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Victorian Chief Psychiatrist guideline 2018/09: Electronic communication and privacy in designated mental health services</vt:lpstr>
    </vt:vector>
  </TitlesOfParts>
  <Company>Department of Health and Human Services</Company>
  <LinksUpToDate>false</LinksUpToDate>
  <CharactersWithSpaces>31696</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1638453</vt:i4>
      </vt:variant>
      <vt:variant>
        <vt:i4>44</vt:i4>
      </vt:variant>
      <vt:variant>
        <vt:i4>0</vt:i4>
      </vt:variant>
      <vt:variant>
        <vt:i4>5</vt:i4>
      </vt:variant>
      <vt:variant>
        <vt:lpwstr/>
      </vt:variant>
      <vt:variant>
        <vt:lpwstr>_Toc442704393</vt:lpwstr>
      </vt:variant>
      <vt:variant>
        <vt:i4>1638453</vt:i4>
      </vt:variant>
      <vt:variant>
        <vt:i4>38</vt:i4>
      </vt:variant>
      <vt:variant>
        <vt:i4>0</vt:i4>
      </vt:variant>
      <vt:variant>
        <vt:i4>5</vt:i4>
      </vt:variant>
      <vt:variant>
        <vt:lpwstr/>
      </vt:variant>
      <vt:variant>
        <vt:lpwstr>_Toc442704392</vt:lpwstr>
      </vt:variant>
      <vt:variant>
        <vt:i4>1638453</vt:i4>
      </vt:variant>
      <vt:variant>
        <vt:i4>32</vt:i4>
      </vt:variant>
      <vt:variant>
        <vt:i4>0</vt:i4>
      </vt:variant>
      <vt:variant>
        <vt:i4>5</vt:i4>
      </vt:variant>
      <vt:variant>
        <vt:lpwstr/>
      </vt:variant>
      <vt:variant>
        <vt:lpwstr>_Toc442704391</vt:lpwstr>
      </vt:variant>
      <vt:variant>
        <vt:i4>1638453</vt:i4>
      </vt:variant>
      <vt:variant>
        <vt:i4>26</vt:i4>
      </vt:variant>
      <vt:variant>
        <vt:i4>0</vt:i4>
      </vt:variant>
      <vt:variant>
        <vt:i4>5</vt:i4>
      </vt:variant>
      <vt:variant>
        <vt:lpwstr/>
      </vt:variant>
      <vt:variant>
        <vt:lpwstr>_Toc442704390</vt:lpwstr>
      </vt:variant>
      <vt:variant>
        <vt:i4>1572917</vt:i4>
      </vt:variant>
      <vt:variant>
        <vt:i4>20</vt:i4>
      </vt:variant>
      <vt:variant>
        <vt:i4>0</vt:i4>
      </vt:variant>
      <vt:variant>
        <vt:i4>5</vt:i4>
      </vt:variant>
      <vt:variant>
        <vt:lpwstr/>
      </vt:variant>
      <vt:variant>
        <vt:lpwstr>_Toc442704389</vt:lpwstr>
      </vt:variant>
      <vt:variant>
        <vt:i4>1572917</vt:i4>
      </vt:variant>
      <vt:variant>
        <vt:i4>14</vt:i4>
      </vt:variant>
      <vt:variant>
        <vt:i4>0</vt:i4>
      </vt:variant>
      <vt:variant>
        <vt:i4>5</vt:i4>
      </vt:variant>
      <vt:variant>
        <vt:lpwstr/>
      </vt:variant>
      <vt:variant>
        <vt:lpwstr>_Toc442704388</vt:lpwstr>
      </vt:variant>
      <vt:variant>
        <vt:i4>1572917</vt:i4>
      </vt:variant>
      <vt:variant>
        <vt:i4>8</vt:i4>
      </vt:variant>
      <vt:variant>
        <vt:i4>0</vt:i4>
      </vt:variant>
      <vt:variant>
        <vt:i4>5</vt:i4>
      </vt:variant>
      <vt:variant>
        <vt:lpwstr/>
      </vt:variant>
      <vt:variant>
        <vt:lpwstr>_Toc442704387</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Chief Psychiatrist guideline 2018/09: Electronic communication and privacy in designated mental health services</dc:title>
  <dc:subject>Victorian Chief Psychiatrist guideline 2018/09: Electronic communication and privacy in designated mental health services</dc:subject>
  <dc:creator>Office of the Chief Psychiatrist</dc:creator>
  <cp:keywords>Chief Psychiatrist, guideline, electronic communication, privacy, designated mental health services</cp:keywords>
  <cp:lastModifiedBy>Helen Lowy</cp:lastModifiedBy>
  <cp:revision>4</cp:revision>
  <cp:lastPrinted>2018-09-06T02:50:00Z</cp:lastPrinted>
  <dcterms:created xsi:type="dcterms:W3CDTF">2018-09-14T06:41:00Z</dcterms:created>
  <dcterms:modified xsi:type="dcterms:W3CDTF">2018-09-14T06:44:00Z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