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81" w:tblpY="-1535"/>
        <w:tblW w:w="9781" w:type="dxa"/>
        <w:tblCellMar>
          <w:left w:w="0" w:type="dxa"/>
          <w:right w:w="0" w:type="dxa"/>
        </w:tblCellMar>
        <w:tblLook w:val="04A0" w:firstRow="1" w:lastRow="0" w:firstColumn="1" w:lastColumn="0" w:noHBand="0" w:noVBand="1"/>
      </w:tblPr>
      <w:tblGrid>
        <w:gridCol w:w="7938"/>
        <w:gridCol w:w="1843"/>
      </w:tblGrid>
      <w:tr w:rsidR="00CC5348" w:rsidRPr="00A62195" w14:paraId="1C98E754" w14:textId="77777777" w:rsidTr="004D375B">
        <w:trPr>
          <w:gridAfter w:val="1"/>
          <w:wAfter w:w="1843" w:type="dxa"/>
          <w:trHeight w:val="3988"/>
        </w:trPr>
        <w:tc>
          <w:tcPr>
            <w:tcW w:w="7938" w:type="dxa"/>
            <w:shd w:val="clear" w:color="auto" w:fill="auto"/>
          </w:tcPr>
          <w:p w14:paraId="7B47294A" w14:textId="77777777" w:rsidR="00CC5348" w:rsidRDefault="00CC5348" w:rsidP="00CC5348">
            <w:pPr>
              <w:pStyle w:val="DHHSreportmaintitlewhite"/>
              <w:rPr>
                <w:sz w:val="30"/>
                <w:szCs w:val="30"/>
              </w:rPr>
            </w:pPr>
          </w:p>
          <w:p w14:paraId="7407FB2F" w14:textId="77777777" w:rsidR="00CC5348" w:rsidRDefault="00CC5348" w:rsidP="00CC5348">
            <w:pPr>
              <w:pStyle w:val="DHHSreportmaintitlewhite"/>
              <w:rPr>
                <w:sz w:val="30"/>
                <w:szCs w:val="30"/>
              </w:rPr>
            </w:pPr>
          </w:p>
          <w:p w14:paraId="713C2B4A" w14:textId="77777777" w:rsidR="00CC5348" w:rsidRDefault="00CC5348" w:rsidP="00CC5348">
            <w:pPr>
              <w:pStyle w:val="DHHSreportmaintitlewhite"/>
              <w:rPr>
                <w:sz w:val="30"/>
                <w:szCs w:val="30"/>
              </w:rPr>
            </w:pPr>
          </w:p>
          <w:p w14:paraId="1DC82628" w14:textId="77777777" w:rsidR="00CC5348" w:rsidRDefault="00CC5348" w:rsidP="00CC5348">
            <w:pPr>
              <w:pStyle w:val="DHHSreportmaintitlewhite"/>
              <w:rPr>
                <w:sz w:val="30"/>
                <w:szCs w:val="30"/>
              </w:rPr>
            </w:pPr>
            <w:r>
              <w:rPr>
                <w:sz w:val="30"/>
                <w:szCs w:val="30"/>
              </w:rPr>
              <w:t xml:space="preserve">     </w:t>
            </w:r>
          </w:p>
          <w:p w14:paraId="0369832D" w14:textId="245D9AA7" w:rsidR="00D334A2" w:rsidRDefault="00CC5348" w:rsidP="00D334A2">
            <w:pPr>
              <w:pStyle w:val="DHHSreportmaintitlewhite"/>
            </w:pPr>
            <w:r>
              <w:t xml:space="preserve">     </w:t>
            </w:r>
            <w:r w:rsidR="00D334A2" w:rsidRPr="00D334A2">
              <w:t xml:space="preserve"> Patient Administration System</w:t>
            </w:r>
          </w:p>
          <w:p w14:paraId="01DA077B" w14:textId="24DFB314" w:rsidR="00D334A2" w:rsidRPr="00D334A2" w:rsidRDefault="00D334A2" w:rsidP="00D334A2">
            <w:pPr>
              <w:pStyle w:val="DHHSreportmaintitlewhite"/>
            </w:pPr>
            <w:r w:rsidRPr="00D334A2">
              <w:t xml:space="preserve"> </w:t>
            </w:r>
            <w:r>
              <w:t xml:space="preserve">     </w:t>
            </w:r>
            <w:r w:rsidRPr="00D334A2">
              <w:t xml:space="preserve">and Interoperability </w:t>
            </w:r>
          </w:p>
          <w:p w14:paraId="6C5B5C76" w14:textId="77777777" w:rsidR="00D334A2" w:rsidRDefault="00D334A2" w:rsidP="00CC5348">
            <w:pPr>
              <w:pStyle w:val="DHHSreportmaintitlewhite"/>
              <w:rPr>
                <w:sz w:val="30"/>
                <w:szCs w:val="30"/>
              </w:rPr>
            </w:pPr>
          </w:p>
          <w:p w14:paraId="29D42188" w14:textId="0917AD55" w:rsidR="00D334A2" w:rsidRDefault="00D334A2" w:rsidP="00CC5348">
            <w:pPr>
              <w:pStyle w:val="DHHSreportmaintitlewhite"/>
              <w:rPr>
                <w:sz w:val="30"/>
                <w:szCs w:val="30"/>
              </w:rPr>
            </w:pPr>
          </w:p>
          <w:p w14:paraId="6C613A11" w14:textId="77777777" w:rsidR="005E043B" w:rsidRDefault="005E043B" w:rsidP="00CC5348">
            <w:pPr>
              <w:pStyle w:val="DHHSreportmaintitlewhite"/>
              <w:rPr>
                <w:sz w:val="30"/>
                <w:szCs w:val="30"/>
              </w:rPr>
            </w:pPr>
          </w:p>
          <w:p w14:paraId="761DCE58" w14:textId="77777777" w:rsidR="00D334A2" w:rsidRDefault="00D334A2" w:rsidP="00CC5348">
            <w:pPr>
              <w:pStyle w:val="DHHSreportmaintitlewhite"/>
              <w:rPr>
                <w:sz w:val="30"/>
                <w:szCs w:val="30"/>
              </w:rPr>
            </w:pPr>
          </w:p>
          <w:p w14:paraId="45FE42C1" w14:textId="49A60818" w:rsidR="00CC5348" w:rsidRPr="00D334A2" w:rsidRDefault="00D334A2" w:rsidP="00CC5348">
            <w:pPr>
              <w:pStyle w:val="DHHSreportmaintitlewhite"/>
              <w:rPr>
                <w:sz w:val="30"/>
                <w:szCs w:val="30"/>
              </w:rPr>
            </w:pPr>
            <w:r>
              <w:rPr>
                <w:sz w:val="30"/>
                <w:szCs w:val="30"/>
              </w:rPr>
              <w:t xml:space="preserve">         </w:t>
            </w:r>
            <w:r w:rsidR="00CC5348" w:rsidRPr="00D334A2">
              <w:rPr>
                <w:sz w:val="30"/>
                <w:szCs w:val="30"/>
              </w:rPr>
              <w:t>Digital Health Standard</w:t>
            </w:r>
          </w:p>
          <w:p w14:paraId="30734514" w14:textId="4D60E955" w:rsidR="00CC5348" w:rsidRDefault="00CC5348" w:rsidP="00CC5348">
            <w:pPr>
              <w:pStyle w:val="DHHSreportmaintitlewhite"/>
              <w:rPr>
                <w:sz w:val="30"/>
                <w:szCs w:val="30"/>
              </w:rPr>
            </w:pPr>
            <w:r>
              <w:rPr>
                <w:sz w:val="30"/>
                <w:szCs w:val="30"/>
              </w:rPr>
              <w:t xml:space="preserve">  </w:t>
            </w:r>
            <w:r w:rsidR="00DD5076">
              <w:rPr>
                <w:sz w:val="30"/>
                <w:szCs w:val="30"/>
              </w:rPr>
              <w:t xml:space="preserve">    </w:t>
            </w:r>
            <w:r w:rsidRPr="00B32BF6">
              <w:rPr>
                <w:noProof/>
                <w:sz w:val="30"/>
                <w:szCs w:val="30"/>
                <w:lang w:eastAsia="en-AU"/>
              </w:rPr>
              <w:drawing>
                <wp:anchor distT="0" distB="0" distL="114300" distR="114300" simplePos="0" relativeHeight="251659264" behindDoc="1" locked="1" layoutInCell="0" allowOverlap="1" wp14:anchorId="35510C7D" wp14:editId="0B5A691E">
                  <wp:simplePos x="0" y="0"/>
                  <wp:positionH relativeFrom="page">
                    <wp:posOffset>-95250</wp:posOffset>
                  </wp:positionH>
                  <wp:positionV relativeFrom="page">
                    <wp:posOffset>-86360</wp:posOffset>
                  </wp:positionV>
                  <wp:extent cx="7515225" cy="10700385"/>
                  <wp:effectExtent l="0" t="0" r="9525" b="5715"/>
                  <wp:wrapNone/>
                  <wp:docPr id="4" name="Picture 100"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Victoria State Government Department of Health and Human Serv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15225" cy="107003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0"/>
                <w:szCs w:val="30"/>
              </w:rPr>
              <w:t xml:space="preserve">     </w:t>
            </w:r>
          </w:p>
          <w:p w14:paraId="75F5486A" w14:textId="39C1DB27" w:rsidR="00816A09" w:rsidRDefault="00816A09" w:rsidP="00CC5348">
            <w:pPr>
              <w:pStyle w:val="DHHSreportmaintitlewhite"/>
              <w:rPr>
                <w:sz w:val="30"/>
                <w:szCs w:val="30"/>
              </w:rPr>
            </w:pPr>
          </w:p>
          <w:p w14:paraId="55C39040" w14:textId="77777777" w:rsidR="00D334A2" w:rsidRDefault="00D334A2" w:rsidP="009E6FEF">
            <w:pPr>
              <w:pStyle w:val="DHHSreportmaintitlewhite"/>
              <w:rPr>
                <w:sz w:val="30"/>
                <w:szCs w:val="30"/>
              </w:rPr>
            </w:pPr>
          </w:p>
          <w:p w14:paraId="728DF659" w14:textId="77777777" w:rsidR="00D334A2" w:rsidRDefault="00D334A2" w:rsidP="009E6FEF">
            <w:pPr>
              <w:pStyle w:val="DHHSreportmaintitlewhite"/>
              <w:rPr>
                <w:sz w:val="30"/>
                <w:szCs w:val="30"/>
              </w:rPr>
            </w:pPr>
          </w:p>
          <w:p w14:paraId="084F3859" w14:textId="68FD941C" w:rsidR="00CC5348" w:rsidRDefault="00100425" w:rsidP="009E6FEF">
            <w:pPr>
              <w:pStyle w:val="DHHSreportmaintitlewhite"/>
              <w:rPr>
                <w:sz w:val="40"/>
                <w:szCs w:val="40"/>
              </w:rPr>
            </w:pPr>
            <w:r>
              <w:rPr>
                <w:sz w:val="30"/>
                <w:szCs w:val="30"/>
              </w:rPr>
              <w:t xml:space="preserve">      </w:t>
            </w:r>
            <w:r w:rsidR="00D334A2">
              <w:rPr>
                <w:sz w:val="30"/>
                <w:szCs w:val="30"/>
              </w:rPr>
              <w:t xml:space="preserve"> </w:t>
            </w:r>
            <w:r w:rsidR="005E043B">
              <w:rPr>
                <w:sz w:val="30"/>
                <w:szCs w:val="30"/>
              </w:rPr>
              <w:t xml:space="preserve"> </w:t>
            </w:r>
            <w:r>
              <w:rPr>
                <w:sz w:val="30"/>
                <w:szCs w:val="30"/>
              </w:rPr>
              <w:t xml:space="preserve"> </w:t>
            </w:r>
            <w:r w:rsidR="00F86519">
              <w:rPr>
                <w:sz w:val="30"/>
                <w:szCs w:val="30"/>
              </w:rPr>
              <w:t xml:space="preserve">April </w:t>
            </w:r>
            <w:r w:rsidR="00CC5348">
              <w:rPr>
                <w:sz w:val="30"/>
                <w:szCs w:val="30"/>
              </w:rPr>
              <w:t>2019</w:t>
            </w:r>
          </w:p>
          <w:p w14:paraId="62316913" w14:textId="77777777" w:rsidR="00CC5348" w:rsidRPr="00AE0283" w:rsidRDefault="00CC5348" w:rsidP="00CC5348">
            <w:pPr>
              <w:pStyle w:val="DHHSreportsubtitlewhite"/>
              <w:rPr>
                <w:sz w:val="40"/>
                <w:szCs w:val="40"/>
              </w:rPr>
            </w:pPr>
          </w:p>
        </w:tc>
      </w:tr>
      <w:tr w:rsidR="00CC5348" w:rsidRPr="00A62195" w14:paraId="6715404F" w14:textId="77777777" w:rsidTr="004D375B">
        <w:trPr>
          <w:trHeight w:val="4664"/>
        </w:trPr>
        <w:tc>
          <w:tcPr>
            <w:tcW w:w="9781" w:type="dxa"/>
            <w:gridSpan w:val="2"/>
            <w:shd w:val="clear" w:color="auto" w:fill="auto"/>
          </w:tcPr>
          <w:p w14:paraId="27A0292E" w14:textId="46589949" w:rsidR="00404C59" w:rsidRDefault="00404C59"/>
          <w:p w14:paraId="4FFD5B9D" w14:textId="77777777" w:rsidR="00404C59" w:rsidRDefault="00404C59"/>
          <w:tbl>
            <w:tblPr>
              <w:tblpPr w:leftFromText="180" w:rightFromText="180" w:vertAnchor="text" w:horzAnchor="page" w:tblpX="496" w:tblpY="273"/>
              <w:tblW w:w="0" w:type="auto"/>
              <w:tblCellMar>
                <w:left w:w="0" w:type="dxa"/>
                <w:right w:w="0" w:type="dxa"/>
              </w:tblCellMar>
              <w:tblLook w:val="04A0" w:firstRow="1" w:lastRow="0" w:firstColumn="1" w:lastColumn="0" w:noHBand="0" w:noVBand="1"/>
            </w:tblPr>
            <w:tblGrid>
              <w:gridCol w:w="7512"/>
            </w:tblGrid>
            <w:tr w:rsidR="00816A09" w:rsidRPr="00A62195" w14:paraId="5BF6B760" w14:textId="77777777" w:rsidTr="00816A09">
              <w:trPr>
                <w:trHeight w:val="7402"/>
              </w:trPr>
              <w:tc>
                <w:tcPr>
                  <w:tcW w:w="7512" w:type="dxa"/>
                  <w:shd w:val="clear" w:color="auto" w:fill="auto"/>
                  <w:vAlign w:val="center"/>
                </w:tcPr>
                <w:p w14:paraId="75CF3780" w14:textId="77777777" w:rsidR="00D334A2" w:rsidRPr="00D334A2" w:rsidRDefault="00D334A2" w:rsidP="00D334A2">
                  <w:pPr>
                    <w:pStyle w:val="DHHSreportmaintitle"/>
                    <w:rPr>
                      <w:color w:val="auto"/>
                      <w:szCs w:val="50"/>
                    </w:rPr>
                  </w:pPr>
                  <w:r w:rsidRPr="00D334A2">
                    <w:rPr>
                      <w:color w:val="auto"/>
                      <w:szCs w:val="50"/>
                    </w:rPr>
                    <w:t xml:space="preserve">Patient Administration System and Interoperability </w:t>
                  </w:r>
                </w:p>
                <w:p w14:paraId="3CC0E0C4" w14:textId="453766CA" w:rsidR="00D334A2" w:rsidRDefault="00D334A2" w:rsidP="00D334A2">
                  <w:pPr>
                    <w:pStyle w:val="DHHSreportmaintitle"/>
                    <w:rPr>
                      <w:color w:val="auto"/>
                      <w:sz w:val="30"/>
                      <w:szCs w:val="30"/>
                    </w:rPr>
                  </w:pPr>
                </w:p>
                <w:p w14:paraId="796F2DBE" w14:textId="77777777" w:rsidR="00D334A2" w:rsidRDefault="00D334A2" w:rsidP="00D334A2">
                  <w:pPr>
                    <w:pStyle w:val="DHHSreportmaintitle"/>
                    <w:rPr>
                      <w:color w:val="auto"/>
                      <w:sz w:val="30"/>
                      <w:szCs w:val="30"/>
                    </w:rPr>
                  </w:pPr>
                </w:p>
                <w:p w14:paraId="742449C3" w14:textId="77777777" w:rsidR="00D334A2" w:rsidRDefault="00D334A2" w:rsidP="00D334A2">
                  <w:pPr>
                    <w:pStyle w:val="DHHSreportmaintitle"/>
                    <w:rPr>
                      <w:color w:val="auto"/>
                      <w:sz w:val="30"/>
                      <w:szCs w:val="30"/>
                    </w:rPr>
                  </w:pPr>
                </w:p>
                <w:p w14:paraId="30265332" w14:textId="77777777" w:rsidR="00D334A2" w:rsidRDefault="00D334A2" w:rsidP="00D334A2">
                  <w:pPr>
                    <w:pStyle w:val="DHHSreportmaintitle"/>
                    <w:rPr>
                      <w:color w:val="auto"/>
                      <w:sz w:val="30"/>
                      <w:szCs w:val="30"/>
                    </w:rPr>
                  </w:pPr>
                </w:p>
                <w:p w14:paraId="56EB1D73" w14:textId="2F2EC41D" w:rsidR="00816A09" w:rsidRPr="00D334A2" w:rsidRDefault="00816A09" w:rsidP="00D334A2">
                  <w:pPr>
                    <w:pStyle w:val="DHHSreportmaintitle"/>
                    <w:rPr>
                      <w:color w:val="auto"/>
                      <w:sz w:val="30"/>
                      <w:szCs w:val="30"/>
                    </w:rPr>
                  </w:pPr>
                  <w:r w:rsidRPr="00D334A2">
                    <w:rPr>
                      <w:color w:val="auto"/>
                      <w:sz w:val="30"/>
                      <w:szCs w:val="30"/>
                    </w:rPr>
                    <w:t>Digital Health Standard</w:t>
                  </w:r>
                </w:p>
                <w:p w14:paraId="5B169DCC" w14:textId="0DB07B65" w:rsidR="00404C59" w:rsidRDefault="00404C59" w:rsidP="00D334A2">
                  <w:pPr>
                    <w:pStyle w:val="DHHSreportmaintitle"/>
                    <w:rPr>
                      <w:color w:val="auto"/>
                    </w:rPr>
                  </w:pPr>
                </w:p>
                <w:p w14:paraId="20F608F1" w14:textId="77777777" w:rsidR="00D334A2" w:rsidRDefault="00D334A2" w:rsidP="00D334A2">
                  <w:pPr>
                    <w:pStyle w:val="DHHSreportmaintitle"/>
                    <w:rPr>
                      <w:color w:val="auto"/>
                      <w:sz w:val="30"/>
                      <w:szCs w:val="30"/>
                    </w:rPr>
                  </w:pPr>
                </w:p>
                <w:p w14:paraId="23007F9D" w14:textId="652C7782" w:rsidR="00100425" w:rsidRDefault="00100425" w:rsidP="00D334A2">
                  <w:pPr>
                    <w:pStyle w:val="DHHSreportmaintitle"/>
                  </w:pPr>
                </w:p>
                <w:p w14:paraId="75F1AF62" w14:textId="77777777" w:rsidR="00100425" w:rsidRDefault="00100425" w:rsidP="00D334A2">
                  <w:pPr>
                    <w:pStyle w:val="DHHSreportmaintitle"/>
                  </w:pPr>
                </w:p>
                <w:p w14:paraId="11DABB40" w14:textId="207DEFEA" w:rsidR="00404C59" w:rsidRDefault="00F86519" w:rsidP="00D334A2">
                  <w:pPr>
                    <w:pStyle w:val="DHHSreportmaintitle"/>
                  </w:pPr>
                  <w:r>
                    <w:rPr>
                      <w:color w:val="auto"/>
                      <w:sz w:val="30"/>
                      <w:szCs w:val="30"/>
                    </w:rPr>
                    <w:t xml:space="preserve">April </w:t>
                  </w:r>
                  <w:r w:rsidR="00404C59">
                    <w:rPr>
                      <w:color w:val="auto"/>
                      <w:sz w:val="30"/>
                      <w:szCs w:val="30"/>
                    </w:rPr>
                    <w:t>2019</w:t>
                  </w:r>
                </w:p>
                <w:p w14:paraId="30F256BF" w14:textId="72DED8A9" w:rsidR="00816A09" w:rsidRPr="00B03577" w:rsidRDefault="00816A09" w:rsidP="00D334A2">
                  <w:pPr>
                    <w:pStyle w:val="DHHSreportmaintitle"/>
                    <w:rPr>
                      <w:sz w:val="28"/>
                      <w:szCs w:val="28"/>
                    </w:rPr>
                  </w:pPr>
                </w:p>
              </w:tc>
            </w:tr>
          </w:tbl>
          <w:p w14:paraId="30EF4ACC" w14:textId="77777777" w:rsidR="00CC5348" w:rsidRPr="00A62195" w:rsidRDefault="00CC5348" w:rsidP="00CC5348">
            <w:pPr>
              <w:pStyle w:val="Coverinstructions"/>
              <w:spacing w:before="800"/>
            </w:pPr>
          </w:p>
        </w:tc>
      </w:tr>
    </w:tbl>
    <w:p w14:paraId="29A4CA41" w14:textId="60C39A9C" w:rsidR="00702EED" w:rsidRPr="00A62195" w:rsidRDefault="00192F7A" w:rsidP="00100425">
      <w:pPr>
        <w:pStyle w:val="Heading1"/>
        <w:pageBreakBefore/>
        <w:numPr>
          <w:ilvl w:val="0"/>
          <w:numId w:val="0"/>
        </w:numPr>
      </w:pPr>
      <w:bookmarkStart w:id="0" w:name="_Toc19269390"/>
      <w:r>
        <w:rPr>
          <w:noProof/>
          <w:lang w:eastAsia="en-AU"/>
        </w:rPr>
        <w:lastRenderedPageBreak/>
        <mc:AlternateContent>
          <mc:Choice Requires="wps">
            <w:drawing>
              <wp:anchor distT="0" distB="0" distL="114300" distR="114300" simplePos="0" relativeHeight="251612160" behindDoc="0" locked="0" layoutInCell="1" allowOverlap="1" wp14:anchorId="16809CE2" wp14:editId="5F0F3868">
                <wp:simplePos x="0" y="0"/>
                <wp:positionH relativeFrom="column">
                  <wp:posOffset>4572000</wp:posOffset>
                </wp:positionH>
                <wp:positionV relativeFrom="paragraph">
                  <wp:posOffset>10172700</wp:posOffset>
                </wp:positionV>
                <wp:extent cx="2514600" cy="342900"/>
                <wp:effectExtent l="0" t="0" r="0" b="0"/>
                <wp:wrapNone/>
                <wp:docPr id="9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B5E89" w14:textId="77777777" w:rsidR="0047077A" w:rsidRDefault="0047077A" w:rsidP="007A1A1D">
                            <w:r w:rsidRPr="000147AF">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09CE2" id="_x0000_t202" coordsize="21600,21600" o:spt="202" path="m,l,21600r21600,l21600,xe">
                <v:stroke joinstyle="miter"/>
                <v:path gradientshapeok="t" o:connecttype="rect"/>
              </v:shapetype>
              <v:shape id="Text Box 43" o:spid="_x0000_s1026" type="#_x0000_t202" style="position:absolute;margin-left:5in;margin-top:801pt;width:198pt;height: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iOtQIAALw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" filled="f" stroked="f">
                <v:textbox>
                  <w:txbxContent>
                    <w:p w14:paraId="206B5E89" w14:textId="77777777" w:rsidR="0047077A" w:rsidRDefault="0047077A" w:rsidP="007A1A1D">
                      <w:r w:rsidRPr="000147AF">
                        <w:t>Department of Health</w:t>
                      </w:r>
                    </w:p>
                  </w:txbxContent>
                </v:textbox>
              </v:shape>
            </w:pict>
          </mc:Fallback>
        </mc:AlternateContent>
      </w:r>
      <w:bookmarkStart w:id="1" w:name="_Toc499826894"/>
      <w:r w:rsidR="00702EED" w:rsidRPr="00A62195">
        <w:t>Copyright and</w:t>
      </w:r>
      <w:r w:rsidR="004D375B">
        <w:t xml:space="preserve"> </w:t>
      </w:r>
      <w:r w:rsidR="00702EED" w:rsidRPr="00A62195">
        <w:t>confidentiality statement</w:t>
      </w:r>
      <w:bookmarkEnd w:id="0"/>
      <w:bookmarkEnd w:id="1"/>
    </w:p>
    <w:p w14:paraId="31EFFBED" w14:textId="77777777" w:rsidR="00702EED" w:rsidRPr="00A62195" w:rsidRDefault="00702EED" w:rsidP="00702EED">
      <w:pPr>
        <w:pStyle w:val="DHHSbody"/>
      </w:pPr>
      <w:r w:rsidRPr="00A62195">
        <w:t>This work is Copyright © Department of Health and Human Services. Other than as permitted by law, no part of this document may be reproduced, stored in a retrieval system or transmitted in any form or by any other process without prior written permission.</w:t>
      </w:r>
    </w:p>
    <w:p w14:paraId="5EA0848B" w14:textId="77777777" w:rsidR="00702EED" w:rsidRPr="00A62195" w:rsidRDefault="00702EED" w:rsidP="00702EED">
      <w:pPr>
        <w:pStyle w:val="DHHSbody"/>
      </w:pPr>
      <w:r w:rsidRPr="00A62195">
        <w:t>Department of Health and Human Services reserves all rights to the information and intellectual property contained herein. This document may contain information relating to the business, commercial, financial, clinical and technical activities of Department of Health and Human Services. This information is intended for the sole use of the recipient as the disclosure of this information to a third party may expose Department of Health and Human Services to a considerable disadvantage. Except for the purpose of its intention, no part of this document may be reproduced, stored in a retrieval system or transmitted in any form by any process without prior written permission</w:t>
      </w:r>
    </w:p>
    <w:p w14:paraId="4F09B358" w14:textId="77777777" w:rsidR="00ED4D17" w:rsidRPr="00A62195" w:rsidRDefault="00ED4D17" w:rsidP="003072C6">
      <w:pPr>
        <w:pStyle w:val="DHHSbody"/>
      </w:pPr>
    </w:p>
    <w:p w14:paraId="4232118F" w14:textId="77777777" w:rsidR="00AC0C3B" w:rsidRPr="00A62195" w:rsidRDefault="006E50B3" w:rsidP="00FE2CCA">
      <w:pPr>
        <w:pStyle w:val="Heading1"/>
        <w:pageBreakBefore/>
        <w:numPr>
          <w:ilvl w:val="0"/>
          <w:numId w:val="0"/>
        </w:numPr>
        <w:ind w:left="357" w:hanging="357"/>
      </w:pPr>
      <w:bookmarkStart w:id="2" w:name="_Toc499826895"/>
      <w:bookmarkStart w:id="3" w:name="_Toc19269391"/>
      <w:r w:rsidRPr="00D97EFC">
        <w:lastRenderedPageBreak/>
        <w:t>Table</w:t>
      </w:r>
      <w:r w:rsidRPr="00A62195">
        <w:t xml:space="preserve"> of </w:t>
      </w:r>
      <w:r w:rsidR="00AC0C3B" w:rsidRPr="00A62195">
        <w:t>Contents</w:t>
      </w:r>
      <w:bookmarkEnd w:id="2"/>
      <w:bookmarkEnd w:id="3"/>
    </w:p>
    <w:p w14:paraId="47333761" w14:textId="5B1C7118" w:rsidR="00DB6E86" w:rsidRDefault="00E15DA9">
      <w:pPr>
        <w:pStyle w:val="TOC1"/>
        <w:rPr>
          <w:rFonts w:asciiTheme="minorHAnsi" w:eastAsiaTheme="minorEastAsia" w:hAnsiTheme="minorHAnsi" w:cstheme="minorBidi"/>
          <w:b w:val="0"/>
          <w:sz w:val="22"/>
          <w:szCs w:val="22"/>
          <w:lang w:eastAsia="en-AU"/>
        </w:rPr>
      </w:pPr>
      <w:r w:rsidRPr="00A62195">
        <w:rPr>
          <w:noProof w:val="0"/>
        </w:rPr>
        <w:fldChar w:fldCharType="begin"/>
      </w:r>
      <w:r w:rsidRPr="00A62195">
        <w:rPr>
          <w:noProof w:val="0"/>
        </w:rPr>
        <w:instrText xml:space="preserve"> TOC \h \z \t "Heading 1,1,Heading 2,2" </w:instrText>
      </w:r>
      <w:r w:rsidRPr="00A62195">
        <w:rPr>
          <w:noProof w:val="0"/>
        </w:rPr>
        <w:fldChar w:fldCharType="separate"/>
      </w:r>
      <w:hyperlink w:anchor="_Toc19269390" w:history="1">
        <w:r w:rsidR="00DB6E86" w:rsidRPr="00B70294">
          <w:rPr>
            <w:rStyle w:val="Hyperlink"/>
          </w:rPr>
          <w:t>Copyright and confidentiality statement</w:t>
        </w:r>
        <w:r w:rsidR="00DB6E86">
          <w:rPr>
            <w:webHidden/>
          </w:rPr>
          <w:tab/>
        </w:r>
        <w:r w:rsidR="00DB6E86">
          <w:rPr>
            <w:webHidden/>
          </w:rPr>
          <w:fldChar w:fldCharType="begin"/>
        </w:r>
        <w:r w:rsidR="00DB6E86">
          <w:rPr>
            <w:webHidden/>
          </w:rPr>
          <w:instrText xml:space="preserve"> PAGEREF _Toc19269390 \h </w:instrText>
        </w:r>
        <w:r w:rsidR="00DB6E86">
          <w:rPr>
            <w:webHidden/>
          </w:rPr>
        </w:r>
        <w:r w:rsidR="00DB6E86">
          <w:rPr>
            <w:webHidden/>
          </w:rPr>
          <w:fldChar w:fldCharType="separate"/>
        </w:r>
        <w:r w:rsidR="00DB6E86">
          <w:rPr>
            <w:webHidden/>
          </w:rPr>
          <w:t>3</w:t>
        </w:r>
        <w:r w:rsidR="00DB6E86">
          <w:rPr>
            <w:webHidden/>
          </w:rPr>
          <w:fldChar w:fldCharType="end"/>
        </w:r>
      </w:hyperlink>
    </w:p>
    <w:p w14:paraId="12E06F8A" w14:textId="13AD8F73" w:rsidR="00DB6E86" w:rsidRDefault="00DB6E86">
      <w:pPr>
        <w:pStyle w:val="TOC1"/>
        <w:rPr>
          <w:rFonts w:asciiTheme="minorHAnsi" w:eastAsiaTheme="minorEastAsia" w:hAnsiTheme="minorHAnsi" w:cstheme="minorBidi"/>
          <w:b w:val="0"/>
          <w:sz w:val="22"/>
          <w:szCs w:val="22"/>
          <w:lang w:eastAsia="en-AU"/>
        </w:rPr>
      </w:pPr>
      <w:hyperlink w:anchor="_Toc19269391" w:history="1">
        <w:r w:rsidRPr="00B70294">
          <w:rPr>
            <w:rStyle w:val="Hyperlink"/>
          </w:rPr>
          <w:t>Table of Contents</w:t>
        </w:r>
        <w:r>
          <w:rPr>
            <w:webHidden/>
          </w:rPr>
          <w:tab/>
        </w:r>
        <w:r>
          <w:rPr>
            <w:webHidden/>
          </w:rPr>
          <w:fldChar w:fldCharType="begin"/>
        </w:r>
        <w:r>
          <w:rPr>
            <w:webHidden/>
          </w:rPr>
          <w:instrText xml:space="preserve"> PAGEREF _Toc19269391 \h </w:instrText>
        </w:r>
        <w:r>
          <w:rPr>
            <w:webHidden/>
          </w:rPr>
        </w:r>
        <w:r>
          <w:rPr>
            <w:webHidden/>
          </w:rPr>
          <w:fldChar w:fldCharType="separate"/>
        </w:r>
        <w:r>
          <w:rPr>
            <w:webHidden/>
          </w:rPr>
          <w:t>4</w:t>
        </w:r>
        <w:r>
          <w:rPr>
            <w:webHidden/>
          </w:rPr>
          <w:fldChar w:fldCharType="end"/>
        </w:r>
      </w:hyperlink>
    </w:p>
    <w:p w14:paraId="4723B8CE" w14:textId="673D51A7" w:rsidR="00DB6E86" w:rsidRDefault="00DB6E86">
      <w:pPr>
        <w:pStyle w:val="TOC1"/>
        <w:rPr>
          <w:rFonts w:asciiTheme="minorHAnsi" w:eastAsiaTheme="minorEastAsia" w:hAnsiTheme="minorHAnsi" w:cstheme="minorBidi"/>
          <w:b w:val="0"/>
          <w:sz w:val="22"/>
          <w:szCs w:val="22"/>
          <w:lang w:eastAsia="en-AU"/>
        </w:rPr>
      </w:pPr>
      <w:hyperlink w:anchor="_Toc19269392" w:history="1">
        <w:r w:rsidRPr="00B70294">
          <w:rPr>
            <w:rStyle w:val="Hyperlink"/>
          </w:rPr>
          <w:t>Version control and reviews</w:t>
        </w:r>
        <w:r>
          <w:rPr>
            <w:webHidden/>
          </w:rPr>
          <w:tab/>
        </w:r>
        <w:r>
          <w:rPr>
            <w:webHidden/>
          </w:rPr>
          <w:fldChar w:fldCharType="begin"/>
        </w:r>
        <w:r>
          <w:rPr>
            <w:webHidden/>
          </w:rPr>
          <w:instrText xml:space="preserve"> PAGEREF _Toc19269392 \h </w:instrText>
        </w:r>
        <w:r>
          <w:rPr>
            <w:webHidden/>
          </w:rPr>
        </w:r>
        <w:r>
          <w:rPr>
            <w:webHidden/>
          </w:rPr>
          <w:fldChar w:fldCharType="separate"/>
        </w:r>
        <w:r>
          <w:rPr>
            <w:webHidden/>
          </w:rPr>
          <w:t>5</w:t>
        </w:r>
        <w:r>
          <w:rPr>
            <w:webHidden/>
          </w:rPr>
          <w:fldChar w:fldCharType="end"/>
        </w:r>
      </w:hyperlink>
    </w:p>
    <w:p w14:paraId="40758F1A" w14:textId="74CE18EB" w:rsidR="00DB6E86" w:rsidRDefault="00DB6E86">
      <w:pPr>
        <w:pStyle w:val="TOC1"/>
        <w:tabs>
          <w:tab w:val="left" w:pos="567"/>
        </w:tabs>
        <w:rPr>
          <w:rFonts w:asciiTheme="minorHAnsi" w:eastAsiaTheme="minorEastAsia" w:hAnsiTheme="minorHAnsi" w:cstheme="minorBidi"/>
          <w:b w:val="0"/>
          <w:sz w:val="22"/>
          <w:szCs w:val="22"/>
          <w:lang w:eastAsia="en-AU"/>
        </w:rPr>
      </w:pPr>
      <w:hyperlink w:anchor="_Toc19269393" w:history="1">
        <w:r w:rsidRPr="00B70294">
          <w:rPr>
            <w:rStyle w:val="Hyperlink"/>
          </w:rPr>
          <w:t>1</w:t>
        </w:r>
        <w:r>
          <w:rPr>
            <w:rFonts w:asciiTheme="minorHAnsi" w:eastAsiaTheme="minorEastAsia" w:hAnsiTheme="minorHAnsi" w:cstheme="minorBidi"/>
            <w:b w:val="0"/>
            <w:sz w:val="22"/>
            <w:szCs w:val="22"/>
            <w:lang w:eastAsia="en-AU"/>
          </w:rPr>
          <w:tab/>
        </w:r>
        <w:r w:rsidRPr="00B70294">
          <w:rPr>
            <w:rStyle w:val="Hyperlink"/>
          </w:rPr>
          <w:t>Standards overview</w:t>
        </w:r>
        <w:r>
          <w:rPr>
            <w:webHidden/>
          </w:rPr>
          <w:tab/>
        </w:r>
        <w:r>
          <w:rPr>
            <w:webHidden/>
          </w:rPr>
          <w:fldChar w:fldCharType="begin"/>
        </w:r>
        <w:r>
          <w:rPr>
            <w:webHidden/>
          </w:rPr>
          <w:instrText xml:space="preserve"> PAGEREF _Toc19269393 \h </w:instrText>
        </w:r>
        <w:r>
          <w:rPr>
            <w:webHidden/>
          </w:rPr>
        </w:r>
        <w:r>
          <w:rPr>
            <w:webHidden/>
          </w:rPr>
          <w:fldChar w:fldCharType="separate"/>
        </w:r>
        <w:r>
          <w:rPr>
            <w:webHidden/>
          </w:rPr>
          <w:t>6</w:t>
        </w:r>
        <w:r>
          <w:rPr>
            <w:webHidden/>
          </w:rPr>
          <w:fldChar w:fldCharType="end"/>
        </w:r>
      </w:hyperlink>
    </w:p>
    <w:p w14:paraId="78FFB13B" w14:textId="17044DE3" w:rsidR="00DB6E86" w:rsidRDefault="00DB6E86">
      <w:pPr>
        <w:pStyle w:val="TOC1"/>
        <w:tabs>
          <w:tab w:val="left" w:pos="567"/>
        </w:tabs>
        <w:rPr>
          <w:rFonts w:asciiTheme="minorHAnsi" w:eastAsiaTheme="minorEastAsia" w:hAnsiTheme="minorHAnsi" w:cstheme="minorBidi"/>
          <w:b w:val="0"/>
          <w:sz w:val="22"/>
          <w:szCs w:val="22"/>
          <w:lang w:eastAsia="en-AU"/>
        </w:rPr>
      </w:pPr>
      <w:hyperlink w:anchor="_Toc19269394" w:history="1">
        <w:r w:rsidRPr="00B70294">
          <w:rPr>
            <w:rStyle w:val="Hyperlink"/>
          </w:rPr>
          <w:t>2</w:t>
        </w:r>
        <w:r>
          <w:rPr>
            <w:rFonts w:asciiTheme="minorHAnsi" w:eastAsiaTheme="minorEastAsia" w:hAnsiTheme="minorHAnsi" w:cstheme="minorBidi"/>
            <w:b w:val="0"/>
            <w:sz w:val="22"/>
            <w:szCs w:val="22"/>
            <w:lang w:eastAsia="en-AU"/>
          </w:rPr>
          <w:tab/>
        </w:r>
        <w:r w:rsidRPr="00B70294">
          <w:rPr>
            <w:rStyle w:val="Hyperlink"/>
          </w:rPr>
          <w:t>Introduction</w:t>
        </w:r>
        <w:r>
          <w:rPr>
            <w:webHidden/>
          </w:rPr>
          <w:tab/>
        </w:r>
        <w:r>
          <w:rPr>
            <w:webHidden/>
          </w:rPr>
          <w:fldChar w:fldCharType="begin"/>
        </w:r>
        <w:r>
          <w:rPr>
            <w:webHidden/>
          </w:rPr>
          <w:instrText xml:space="preserve"> PAGEREF _Toc19269394 \h </w:instrText>
        </w:r>
        <w:r>
          <w:rPr>
            <w:webHidden/>
          </w:rPr>
        </w:r>
        <w:r>
          <w:rPr>
            <w:webHidden/>
          </w:rPr>
          <w:fldChar w:fldCharType="separate"/>
        </w:r>
        <w:r>
          <w:rPr>
            <w:webHidden/>
          </w:rPr>
          <w:t>7</w:t>
        </w:r>
        <w:r>
          <w:rPr>
            <w:webHidden/>
          </w:rPr>
          <w:fldChar w:fldCharType="end"/>
        </w:r>
      </w:hyperlink>
    </w:p>
    <w:p w14:paraId="043F2E02" w14:textId="1FEB831A" w:rsidR="00DB6E86" w:rsidRDefault="00DB6E86">
      <w:pPr>
        <w:pStyle w:val="TOC2"/>
        <w:tabs>
          <w:tab w:val="left" w:pos="567"/>
        </w:tabs>
        <w:rPr>
          <w:rFonts w:asciiTheme="minorHAnsi" w:eastAsiaTheme="minorEastAsia" w:hAnsiTheme="minorHAnsi" w:cstheme="minorBidi"/>
          <w:sz w:val="22"/>
          <w:szCs w:val="22"/>
          <w:lang w:eastAsia="en-AU"/>
        </w:rPr>
      </w:pPr>
      <w:hyperlink w:anchor="_Toc19269395" w:history="1">
        <w:r w:rsidRPr="00B70294">
          <w:rPr>
            <w:rStyle w:val="Hyperlink"/>
          </w:rPr>
          <w:t>2.1</w:t>
        </w:r>
        <w:r>
          <w:rPr>
            <w:rFonts w:asciiTheme="minorHAnsi" w:eastAsiaTheme="minorEastAsia" w:hAnsiTheme="minorHAnsi" w:cstheme="minorBidi"/>
            <w:sz w:val="22"/>
            <w:szCs w:val="22"/>
            <w:lang w:eastAsia="en-AU"/>
          </w:rPr>
          <w:tab/>
        </w:r>
        <w:r w:rsidRPr="00B70294">
          <w:rPr>
            <w:rStyle w:val="Hyperlink"/>
          </w:rPr>
          <w:t>Digital Health Branch</w:t>
        </w:r>
        <w:r>
          <w:rPr>
            <w:webHidden/>
          </w:rPr>
          <w:tab/>
        </w:r>
        <w:r>
          <w:rPr>
            <w:webHidden/>
          </w:rPr>
          <w:fldChar w:fldCharType="begin"/>
        </w:r>
        <w:r>
          <w:rPr>
            <w:webHidden/>
          </w:rPr>
          <w:instrText xml:space="preserve"> PAGEREF _Toc19269395 \h </w:instrText>
        </w:r>
        <w:r>
          <w:rPr>
            <w:webHidden/>
          </w:rPr>
        </w:r>
        <w:r>
          <w:rPr>
            <w:webHidden/>
          </w:rPr>
          <w:fldChar w:fldCharType="separate"/>
        </w:r>
        <w:r>
          <w:rPr>
            <w:webHidden/>
          </w:rPr>
          <w:t>7</w:t>
        </w:r>
        <w:r>
          <w:rPr>
            <w:webHidden/>
          </w:rPr>
          <w:fldChar w:fldCharType="end"/>
        </w:r>
      </w:hyperlink>
    </w:p>
    <w:p w14:paraId="06D4A2BA" w14:textId="634CC414" w:rsidR="00DB6E86" w:rsidRDefault="00DB6E86">
      <w:pPr>
        <w:pStyle w:val="TOC2"/>
        <w:tabs>
          <w:tab w:val="left" w:pos="567"/>
        </w:tabs>
        <w:rPr>
          <w:rFonts w:asciiTheme="minorHAnsi" w:eastAsiaTheme="minorEastAsia" w:hAnsiTheme="minorHAnsi" w:cstheme="minorBidi"/>
          <w:sz w:val="22"/>
          <w:szCs w:val="22"/>
          <w:lang w:eastAsia="en-AU"/>
        </w:rPr>
      </w:pPr>
      <w:hyperlink w:anchor="_Toc19269396" w:history="1">
        <w:r w:rsidRPr="00B70294">
          <w:rPr>
            <w:rStyle w:val="Hyperlink"/>
          </w:rPr>
          <w:t>2.2</w:t>
        </w:r>
        <w:r>
          <w:rPr>
            <w:rFonts w:asciiTheme="minorHAnsi" w:eastAsiaTheme="minorEastAsia" w:hAnsiTheme="minorHAnsi" w:cstheme="minorBidi"/>
            <w:sz w:val="22"/>
            <w:szCs w:val="22"/>
            <w:lang w:eastAsia="en-AU"/>
          </w:rPr>
          <w:tab/>
        </w:r>
        <w:r w:rsidRPr="00B70294">
          <w:rPr>
            <w:rStyle w:val="Hyperlink"/>
          </w:rPr>
          <w:t>Background</w:t>
        </w:r>
        <w:r>
          <w:rPr>
            <w:webHidden/>
          </w:rPr>
          <w:tab/>
        </w:r>
        <w:r>
          <w:rPr>
            <w:webHidden/>
          </w:rPr>
          <w:fldChar w:fldCharType="begin"/>
        </w:r>
        <w:r>
          <w:rPr>
            <w:webHidden/>
          </w:rPr>
          <w:instrText xml:space="preserve"> PAGEREF _Toc19269396 \h </w:instrText>
        </w:r>
        <w:r>
          <w:rPr>
            <w:webHidden/>
          </w:rPr>
        </w:r>
        <w:r>
          <w:rPr>
            <w:webHidden/>
          </w:rPr>
          <w:fldChar w:fldCharType="separate"/>
        </w:r>
        <w:r>
          <w:rPr>
            <w:webHidden/>
          </w:rPr>
          <w:t>9</w:t>
        </w:r>
        <w:r>
          <w:rPr>
            <w:webHidden/>
          </w:rPr>
          <w:fldChar w:fldCharType="end"/>
        </w:r>
      </w:hyperlink>
    </w:p>
    <w:p w14:paraId="26735C30" w14:textId="355131BB" w:rsidR="00DB6E86" w:rsidRDefault="00DB6E86">
      <w:pPr>
        <w:pStyle w:val="TOC2"/>
        <w:tabs>
          <w:tab w:val="left" w:pos="567"/>
        </w:tabs>
        <w:rPr>
          <w:rFonts w:asciiTheme="minorHAnsi" w:eastAsiaTheme="minorEastAsia" w:hAnsiTheme="minorHAnsi" w:cstheme="minorBidi"/>
          <w:sz w:val="22"/>
          <w:szCs w:val="22"/>
          <w:lang w:eastAsia="en-AU"/>
        </w:rPr>
      </w:pPr>
      <w:hyperlink w:anchor="_Toc19269397" w:history="1">
        <w:r w:rsidRPr="00B70294">
          <w:rPr>
            <w:rStyle w:val="Hyperlink"/>
          </w:rPr>
          <w:t>2.3</w:t>
        </w:r>
        <w:r>
          <w:rPr>
            <w:rFonts w:asciiTheme="minorHAnsi" w:eastAsiaTheme="minorEastAsia" w:hAnsiTheme="minorHAnsi" w:cstheme="minorBidi"/>
            <w:sz w:val="22"/>
            <w:szCs w:val="22"/>
            <w:lang w:eastAsia="en-AU"/>
          </w:rPr>
          <w:tab/>
        </w:r>
        <w:r w:rsidRPr="00B70294">
          <w:rPr>
            <w:rStyle w:val="Hyperlink"/>
          </w:rPr>
          <w:t>Purpose</w:t>
        </w:r>
        <w:r>
          <w:rPr>
            <w:webHidden/>
          </w:rPr>
          <w:tab/>
        </w:r>
        <w:r>
          <w:rPr>
            <w:webHidden/>
          </w:rPr>
          <w:fldChar w:fldCharType="begin"/>
        </w:r>
        <w:r>
          <w:rPr>
            <w:webHidden/>
          </w:rPr>
          <w:instrText xml:space="preserve"> PAGEREF _Toc19269397 \h </w:instrText>
        </w:r>
        <w:r>
          <w:rPr>
            <w:webHidden/>
          </w:rPr>
        </w:r>
        <w:r>
          <w:rPr>
            <w:webHidden/>
          </w:rPr>
          <w:fldChar w:fldCharType="separate"/>
        </w:r>
        <w:r>
          <w:rPr>
            <w:webHidden/>
          </w:rPr>
          <w:t>10</w:t>
        </w:r>
        <w:r>
          <w:rPr>
            <w:webHidden/>
          </w:rPr>
          <w:fldChar w:fldCharType="end"/>
        </w:r>
      </w:hyperlink>
    </w:p>
    <w:p w14:paraId="32A47421" w14:textId="6FA067B6" w:rsidR="00DB6E86" w:rsidRDefault="00DB6E86">
      <w:pPr>
        <w:pStyle w:val="TOC2"/>
        <w:tabs>
          <w:tab w:val="left" w:pos="567"/>
        </w:tabs>
        <w:rPr>
          <w:rFonts w:asciiTheme="minorHAnsi" w:eastAsiaTheme="minorEastAsia" w:hAnsiTheme="minorHAnsi" w:cstheme="minorBidi"/>
          <w:sz w:val="22"/>
          <w:szCs w:val="22"/>
          <w:lang w:eastAsia="en-AU"/>
        </w:rPr>
      </w:pPr>
      <w:hyperlink w:anchor="_Toc19269398" w:history="1">
        <w:r w:rsidRPr="00B70294">
          <w:rPr>
            <w:rStyle w:val="Hyperlink"/>
          </w:rPr>
          <w:t>2.4</w:t>
        </w:r>
        <w:r>
          <w:rPr>
            <w:rFonts w:asciiTheme="minorHAnsi" w:eastAsiaTheme="minorEastAsia" w:hAnsiTheme="minorHAnsi" w:cstheme="minorBidi"/>
            <w:sz w:val="22"/>
            <w:szCs w:val="22"/>
            <w:lang w:eastAsia="en-AU"/>
          </w:rPr>
          <w:tab/>
        </w:r>
        <w:r w:rsidRPr="00B70294">
          <w:rPr>
            <w:rStyle w:val="Hyperlink"/>
          </w:rPr>
          <w:t>Assumptions</w:t>
        </w:r>
        <w:r>
          <w:rPr>
            <w:webHidden/>
          </w:rPr>
          <w:tab/>
        </w:r>
        <w:r>
          <w:rPr>
            <w:webHidden/>
          </w:rPr>
          <w:fldChar w:fldCharType="begin"/>
        </w:r>
        <w:r>
          <w:rPr>
            <w:webHidden/>
          </w:rPr>
          <w:instrText xml:space="preserve"> PAGEREF _Toc19269398 \h </w:instrText>
        </w:r>
        <w:r>
          <w:rPr>
            <w:webHidden/>
          </w:rPr>
        </w:r>
        <w:r>
          <w:rPr>
            <w:webHidden/>
          </w:rPr>
          <w:fldChar w:fldCharType="separate"/>
        </w:r>
        <w:r>
          <w:rPr>
            <w:webHidden/>
          </w:rPr>
          <w:t>10</w:t>
        </w:r>
        <w:r>
          <w:rPr>
            <w:webHidden/>
          </w:rPr>
          <w:fldChar w:fldCharType="end"/>
        </w:r>
      </w:hyperlink>
    </w:p>
    <w:p w14:paraId="6A07F5E5" w14:textId="5E768462" w:rsidR="00DB6E86" w:rsidRDefault="00DB6E86">
      <w:pPr>
        <w:pStyle w:val="TOC2"/>
        <w:tabs>
          <w:tab w:val="left" w:pos="567"/>
        </w:tabs>
        <w:rPr>
          <w:rFonts w:asciiTheme="minorHAnsi" w:eastAsiaTheme="minorEastAsia" w:hAnsiTheme="minorHAnsi" w:cstheme="minorBidi"/>
          <w:sz w:val="22"/>
          <w:szCs w:val="22"/>
          <w:lang w:eastAsia="en-AU"/>
        </w:rPr>
      </w:pPr>
      <w:hyperlink w:anchor="_Toc19269399" w:history="1">
        <w:r w:rsidRPr="00B70294">
          <w:rPr>
            <w:rStyle w:val="Hyperlink"/>
          </w:rPr>
          <w:t>2.5</w:t>
        </w:r>
        <w:r>
          <w:rPr>
            <w:rFonts w:asciiTheme="minorHAnsi" w:eastAsiaTheme="minorEastAsia" w:hAnsiTheme="minorHAnsi" w:cstheme="minorBidi"/>
            <w:sz w:val="22"/>
            <w:szCs w:val="22"/>
            <w:lang w:eastAsia="en-AU"/>
          </w:rPr>
          <w:tab/>
        </w:r>
        <w:r w:rsidRPr="00B70294">
          <w:rPr>
            <w:rStyle w:val="Hyperlink"/>
          </w:rPr>
          <w:t>Scope</w:t>
        </w:r>
        <w:r>
          <w:rPr>
            <w:webHidden/>
          </w:rPr>
          <w:tab/>
        </w:r>
        <w:r>
          <w:rPr>
            <w:webHidden/>
          </w:rPr>
          <w:fldChar w:fldCharType="begin"/>
        </w:r>
        <w:r>
          <w:rPr>
            <w:webHidden/>
          </w:rPr>
          <w:instrText xml:space="preserve"> PAGEREF _Toc19269399 \h </w:instrText>
        </w:r>
        <w:r>
          <w:rPr>
            <w:webHidden/>
          </w:rPr>
        </w:r>
        <w:r>
          <w:rPr>
            <w:webHidden/>
          </w:rPr>
          <w:fldChar w:fldCharType="separate"/>
        </w:r>
        <w:r>
          <w:rPr>
            <w:webHidden/>
          </w:rPr>
          <w:t>10</w:t>
        </w:r>
        <w:r>
          <w:rPr>
            <w:webHidden/>
          </w:rPr>
          <w:fldChar w:fldCharType="end"/>
        </w:r>
      </w:hyperlink>
    </w:p>
    <w:p w14:paraId="4E713F36" w14:textId="2166BD0A" w:rsidR="00DB6E86" w:rsidRDefault="00DB6E86">
      <w:pPr>
        <w:pStyle w:val="TOC2"/>
        <w:tabs>
          <w:tab w:val="left" w:pos="567"/>
        </w:tabs>
        <w:rPr>
          <w:rFonts w:asciiTheme="minorHAnsi" w:eastAsiaTheme="minorEastAsia" w:hAnsiTheme="minorHAnsi" w:cstheme="minorBidi"/>
          <w:sz w:val="22"/>
          <w:szCs w:val="22"/>
          <w:lang w:eastAsia="en-AU"/>
        </w:rPr>
      </w:pPr>
      <w:hyperlink w:anchor="_Toc19269400" w:history="1">
        <w:r w:rsidRPr="00B70294">
          <w:rPr>
            <w:rStyle w:val="Hyperlink"/>
          </w:rPr>
          <w:t>2.6</w:t>
        </w:r>
        <w:r>
          <w:rPr>
            <w:rFonts w:asciiTheme="minorHAnsi" w:eastAsiaTheme="minorEastAsia" w:hAnsiTheme="minorHAnsi" w:cstheme="minorBidi"/>
            <w:sz w:val="22"/>
            <w:szCs w:val="22"/>
            <w:lang w:eastAsia="en-AU"/>
          </w:rPr>
          <w:tab/>
        </w:r>
        <w:r w:rsidRPr="00B70294">
          <w:rPr>
            <w:rStyle w:val="Hyperlink"/>
          </w:rPr>
          <w:t>Audience/Stakeholders</w:t>
        </w:r>
        <w:r>
          <w:rPr>
            <w:webHidden/>
          </w:rPr>
          <w:tab/>
        </w:r>
        <w:r>
          <w:rPr>
            <w:webHidden/>
          </w:rPr>
          <w:fldChar w:fldCharType="begin"/>
        </w:r>
        <w:r>
          <w:rPr>
            <w:webHidden/>
          </w:rPr>
          <w:instrText xml:space="preserve"> PAGEREF _Toc19269400 \h </w:instrText>
        </w:r>
        <w:r>
          <w:rPr>
            <w:webHidden/>
          </w:rPr>
        </w:r>
        <w:r>
          <w:rPr>
            <w:webHidden/>
          </w:rPr>
          <w:fldChar w:fldCharType="separate"/>
        </w:r>
        <w:r>
          <w:rPr>
            <w:webHidden/>
          </w:rPr>
          <w:t>10</w:t>
        </w:r>
        <w:r>
          <w:rPr>
            <w:webHidden/>
          </w:rPr>
          <w:fldChar w:fldCharType="end"/>
        </w:r>
      </w:hyperlink>
    </w:p>
    <w:p w14:paraId="6992DF78" w14:textId="7D2E8C24" w:rsidR="00DB6E86" w:rsidRDefault="00DB6E86">
      <w:pPr>
        <w:pStyle w:val="TOC1"/>
        <w:tabs>
          <w:tab w:val="left" w:pos="567"/>
        </w:tabs>
        <w:rPr>
          <w:rFonts w:asciiTheme="minorHAnsi" w:eastAsiaTheme="minorEastAsia" w:hAnsiTheme="minorHAnsi" w:cstheme="minorBidi"/>
          <w:b w:val="0"/>
          <w:sz w:val="22"/>
          <w:szCs w:val="22"/>
          <w:lang w:eastAsia="en-AU"/>
        </w:rPr>
      </w:pPr>
      <w:hyperlink w:anchor="_Toc19269401" w:history="1">
        <w:r w:rsidRPr="00B70294">
          <w:rPr>
            <w:rStyle w:val="Hyperlink"/>
          </w:rPr>
          <w:t>3</w:t>
        </w:r>
        <w:r>
          <w:rPr>
            <w:rFonts w:asciiTheme="minorHAnsi" w:eastAsiaTheme="minorEastAsia" w:hAnsiTheme="minorHAnsi" w:cstheme="minorBidi"/>
            <w:b w:val="0"/>
            <w:sz w:val="22"/>
            <w:szCs w:val="22"/>
            <w:lang w:eastAsia="en-AU"/>
          </w:rPr>
          <w:tab/>
        </w:r>
        <w:r w:rsidRPr="00B70294">
          <w:rPr>
            <w:rStyle w:val="Hyperlink"/>
          </w:rPr>
          <w:t>Principle and Standards</w:t>
        </w:r>
        <w:r>
          <w:rPr>
            <w:webHidden/>
          </w:rPr>
          <w:tab/>
        </w:r>
        <w:r>
          <w:rPr>
            <w:webHidden/>
          </w:rPr>
          <w:fldChar w:fldCharType="begin"/>
        </w:r>
        <w:r>
          <w:rPr>
            <w:webHidden/>
          </w:rPr>
          <w:instrText xml:space="preserve"> PAGEREF _Toc19269401 \h </w:instrText>
        </w:r>
        <w:r>
          <w:rPr>
            <w:webHidden/>
          </w:rPr>
        </w:r>
        <w:r>
          <w:rPr>
            <w:webHidden/>
          </w:rPr>
          <w:fldChar w:fldCharType="separate"/>
        </w:r>
        <w:r>
          <w:rPr>
            <w:webHidden/>
          </w:rPr>
          <w:t>11</w:t>
        </w:r>
        <w:r>
          <w:rPr>
            <w:webHidden/>
          </w:rPr>
          <w:fldChar w:fldCharType="end"/>
        </w:r>
      </w:hyperlink>
    </w:p>
    <w:p w14:paraId="4293EB2A" w14:textId="737A20D7" w:rsidR="00DB6E86" w:rsidRDefault="00DB6E86">
      <w:pPr>
        <w:pStyle w:val="TOC2"/>
        <w:tabs>
          <w:tab w:val="left" w:pos="567"/>
        </w:tabs>
        <w:rPr>
          <w:rFonts w:asciiTheme="minorHAnsi" w:eastAsiaTheme="minorEastAsia" w:hAnsiTheme="minorHAnsi" w:cstheme="minorBidi"/>
          <w:sz w:val="22"/>
          <w:szCs w:val="22"/>
          <w:lang w:eastAsia="en-AU"/>
        </w:rPr>
      </w:pPr>
      <w:hyperlink w:anchor="_Toc19269402" w:history="1">
        <w:r w:rsidRPr="00B70294">
          <w:rPr>
            <w:rStyle w:val="Hyperlink"/>
          </w:rPr>
          <w:t>3.1</w:t>
        </w:r>
        <w:r>
          <w:rPr>
            <w:rFonts w:asciiTheme="minorHAnsi" w:eastAsiaTheme="minorEastAsia" w:hAnsiTheme="minorHAnsi" w:cstheme="minorBidi"/>
            <w:sz w:val="22"/>
            <w:szCs w:val="22"/>
            <w:lang w:eastAsia="en-AU"/>
          </w:rPr>
          <w:tab/>
        </w:r>
        <w:r w:rsidRPr="00B70294">
          <w:rPr>
            <w:rStyle w:val="Hyperlink"/>
          </w:rPr>
          <w:t>Mandatory</w:t>
        </w:r>
        <w:r>
          <w:rPr>
            <w:webHidden/>
          </w:rPr>
          <w:tab/>
        </w:r>
        <w:r>
          <w:rPr>
            <w:webHidden/>
          </w:rPr>
          <w:fldChar w:fldCharType="begin"/>
        </w:r>
        <w:r>
          <w:rPr>
            <w:webHidden/>
          </w:rPr>
          <w:instrText xml:space="preserve"> PAGEREF _Toc19269402 \h </w:instrText>
        </w:r>
        <w:r>
          <w:rPr>
            <w:webHidden/>
          </w:rPr>
        </w:r>
        <w:r>
          <w:rPr>
            <w:webHidden/>
          </w:rPr>
          <w:fldChar w:fldCharType="separate"/>
        </w:r>
        <w:r>
          <w:rPr>
            <w:webHidden/>
          </w:rPr>
          <w:t>12</w:t>
        </w:r>
        <w:r>
          <w:rPr>
            <w:webHidden/>
          </w:rPr>
          <w:fldChar w:fldCharType="end"/>
        </w:r>
      </w:hyperlink>
    </w:p>
    <w:p w14:paraId="3FB18BAA" w14:textId="13CEB90F" w:rsidR="00DB6E86" w:rsidRDefault="00DB6E86">
      <w:pPr>
        <w:pStyle w:val="TOC2"/>
        <w:tabs>
          <w:tab w:val="left" w:pos="567"/>
        </w:tabs>
        <w:rPr>
          <w:rFonts w:asciiTheme="minorHAnsi" w:eastAsiaTheme="minorEastAsia" w:hAnsiTheme="minorHAnsi" w:cstheme="minorBidi"/>
          <w:sz w:val="22"/>
          <w:szCs w:val="22"/>
          <w:lang w:eastAsia="en-AU"/>
        </w:rPr>
      </w:pPr>
      <w:hyperlink w:anchor="_Toc19269403" w:history="1">
        <w:r w:rsidRPr="00B70294">
          <w:rPr>
            <w:rStyle w:val="Hyperlink"/>
          </w:rPr>
          <w:t>3.2</w:t>
        </w:r>
        <w:r>
          <w:rPr>
            <w:rFonts w:asciiTheme="minorHAnsi" w:eastAsiaTheme="minorEastAsia" w:hAnsiTheme="minorHAnsi" w:cstheme="minorBidi"/>
            <w:sz w:val="22"/>
            <w:szCs w:val="22"/>
            <w:lang w:eastAsia="en-AU"/>
          </w:rPr>
          <w:tab/>
        </w:r>
        <w:r w:rsidRPr="00B70294">
          <w:rPr>
            <w:rStyle w:val="Hyperlink"/>
          </w:rPr>
          <w:t>Currently optional / future capability for alignment</w:t>
        </w:r>
        <w:r>
          <w:rPr>
            <w:webHidden/>
          </w:rPr>
          <w:tab/>
        </w:r>
        <w:r>
          <w:rPr>
            <w:webHidden/>
          </w:rPr>
          <w:fldChar w:fldCharType="begin"/>
        </w:r>
        <w:r>
          <w:rPr>
            <w:webHidden/>
          </w:rPr>
          <w:instrText xml:space="preserve"> PAGEREF _Toc19269403 \h </w:instrText>
        </w:r>
        <w:r>
          <w:rPr>
            <w:webHidden/>
          </w:rPr>
        </w:r>
        <w:r>
          <w:rPr>
            <w:webHidden/>
          </w:rPr>
          <w:fldChar w:fldCharType="separate"/>
        </w:r>
        <w:r>
          <w:rPr>
            <w:webHidden/>
          </w:rPr>
          <w:t>14</w:t>
        </w:r>
        <w:r>
          <w:rPr>
            <w:webHidden/>
          </w:rPr>
          <w:fldChar w:fldCharType="end"/>
        </w:r>
      </w:hyperlink>
    </w:p>
    <w:p w14:paraId="1947D7B2" w14:textId="2825DDA1" w:rsidR="00DB6E86" w:rsidRDefault="00DB6E86">
      <w:pPr>
        <w:pStyle w:val="TOC2"/>
        <w:tabs>
          <w:tab w:val="left" w:pos="567"/>
        </w:tabs>
        <w:rPr>
          <w:rFonts w:asciiTheme="minorHAnsi" w:eastAsiaTheme="minorEastAsia" w:hAnsiTheme="minorHAnsi" w:cstheme="minorBidi"/>
          <w:sz w:val="22"/>
          <w:szCs w:val="22"/>
          <w:lang w:eastAsia="en-AU"/>
        </w:rPr>
      </w:pPr>
      <w:hyperlink w:anchor="_Toc19269404" w:history="1">
        <w:r w:rsidRPr="00B70294">
          <w:rPr>
            <w:rStyle w:val="Hyperlink"/>
          </w:rPr>
          <w:t>3.3</w:t>
        </w:r>
        <w:r>
          <w:rPr>
            <w:rFonts w:asciiTheme="minorHAnsi" w:eastAsiaTheme="minorEastAsia" w:hAnsiTheme="minorHAnsi" w:cstheme="minorBidi"/>
            <w:sz w:val="22"/>
            <w:szCs w:val="22"/>
            <w:lang w:eastAsia="en-AU"/>
          </w:rPr>
          <w:tab/>
        </w:r>
        <w:r w:rsidRPr="00B70294">
          <w:rPr>
            <w:rStyle w:val="Hyperlink"/>
          </w:rPr>
          <w:t>References</w:t>
        </w:r>
        <w:r>
          <w:rPr>
            <w:webHidden/>
          </w:rPr>
          <w:tab/>
        </w:r>
        <w:r>
          <w:rPr>
            <w:webHidden/>
          </w:rPr>
          <w:fldChar w:fldCharType="begin"/>
        </w:r>
        <w:r>
          <w:rPr>
            <w:webHidden/>
          </w:rPr>
          <w:instrText xml:space="preserve"> PAGEREF _Toc19269404 \h </w:instrText>
        </w:r>
        <w:r>
          <w:rPr>
            <w:webHidden/>
          </w:rPr>
        </w:r>
        <w:r>
          <w:rPr>
            <w:webHidden/>
          </w:rPr>
          <w:fldChar w:fldCharType="separate"/>
        </w:r>
        <w:r>
          <w:rPr>
            <w:webHidden/>
          </w:rPr>
          <w:t>16</w:t>
        </w:r>
        <w:r>
          <w:rPr>
            <w:webHidden/>
          </w:rPr>
          <w:fldChar w:fldCharType="end"/>
        </w:r>
      </w:hyperlink>
    </w:p>
    <w:p w14:paraId="742A8075" w14:textId="0F4EB7CE" w:rsidR="00DB6E86" w:rsidRDefault="00DB6E86">
      <w:pPr>
        <w:pStyle w:val="TOC2"/>
        <w:tabs>
          <w:tab w:val="left" w:pos="567"/>
        </w:tabs>
        <w:rPr>
          <w:rFonts w:asciiTheme="minorHAnsi" w:eastAsiaTheme="minorEastAsia" w:hAnsiTheme="minorHAnsi" w:cstheme="minorBidi"/>
          <w:sz w:val="22"/>
          <w:szCs w:val="22"/>
          <w:lang w:eastAsia="en-AU"/>
        </w:rPr>
      </w:pPr>
      <w:hyperlink w:anchor="_Toc19269405" w:history="1">
        <w:r w:rsidRPr="00B70294">
          <w:rPr>
            <w:rStyle w:val="Hyperlink"/>
          </w:rPr>
          <w:t>3.4</w:t>
        </w:r>
        <w:r>
          <w:rPr>
            <w:rFonts w:asciiTheme="minorHAnsi" w:eastAsiaTheme="minorEastAsia" w:hAnsiTheme="minorHAnsi" w:cstheme="minorBidi"/>
            <w:sz w:val="22"/>
            <w:szCs w:val="22"/>
            <w:lang w:eastAsia="en-AU"/>
          </w:rPr>
          <w:tab/>
        </w:r>
        <w:r w:rsidRPr="00B70294">
          <w:rPr>
            <w:rStyle w:val="Hyperlink"/>
          </w:rPr>
          <w:t>Benefits</w:t>
        </w:r>
        <w:r>
          <w:rPr>
            <w:webHidden/>
          </w:rPr>
          <w:tab/>
        </w:r>
        <w:r>
          <w:rPr>
            <w:webHidden/>
          </w:rPr>
          <w:fldChar w:fldCharType="begin"/>
        </w:r>
        <w:r>
          <w:rPr>
            <w:webHidden/>
          </w:rPr>
          <w:instrText xml:space="preserve"> PAGEREF _Toc19269405 \h </w:instrText>
        </w:r>
        <w:r>
          <w:rPr>
            <w:webHidden/>
          </w:rPr>
        </w:r>
        <w:r>
          <w:rPr>
            <w:webHidden/>
          </w:rPr>
          <w:fldChar w:fldCharType="separate"/>
        </w:r>
        <w:r>
          <w:rPr>
            <w:webHidden/>
          </w:rPr>
          <w:t>16</w:t>
        </w:r>
        <w:r>
          <w:rPr>
            <w:webHidden/>
          </w:rPr>
          <w:fldChar w:fldCharType="end"/>
        </w:r>
      </w:hyperlink>
    </w:p>
    <w:p w14:paraId="1D8EFC92" w14:textId="339C6DF5" w:rsidR="00DB6E86" w:rsidRDefault="00DB6E86">
      <w:pPr>
        <w:pStyle w:val="TOC1"/>
        <w:rPr>
          <w:rFonts w:asciiTheme="minorHAnsi" w:eastAsiaTheme="minorEastAsia" w:hAnsiTheme="minorHAnsi" w:cstheme="minorBidi"/>
          <w:b w:val="0"/>
          <w:sz w:val="22"/>
          <w:szCs w:val="22"/>
          <w:lang w:eastAsia="en-AU"/>
        </w:rPr>
      </w:pPr>
      <w:hyperlink w:anchor="_Toc19269406" w:history="1">
        <w:r w:rsidRPr="00B70294">
          <w:rPr>
            <w:rStyle w:val="Hyperlink"/>
          </w:rPr>
          <w:t>Appendix A – Terms and Definitions</w:t>
        </w:r>
        <w:r>
          <w:rPr>
            <w:webHidden/>
          </w:rPr>
          <w:tab/>
        </w:r>
        <w:r>
          <w:rPr>
            <w:webHidden/>
          </w:rPr>
          <w:fldChar w:fldCharType="begin"/>
        </w:r>
        <w:r>
          <w:rPr>
            <w:webHidden/>
          </w:rPr>
          <w:instrText xml:space="preserve"> PAGEREF _Toc19269406 \h </w:instrText>
        </w:r>
        <w:r>
          <w:rPr>
            <w:webHidden/>
          </w:rPr>
        </w:r>
        <w:r>
          <w:rPr>
            <w:webHidden/>
          </w:rPr>
          <w:fldChar w:fldCharType="separate"/>
        </w:r>
        <w:r>
          <w:rPr>
            <w:webHidden/>
          </w:rPr>
          <w:t>17</w:t>
        </w:r>
        <w:r>
          <w:rPr>
            <w:webHidden/>
          </w:rPr>
          <w:fldChar w:fldCharType="end"/>
        </w:r>
      </w:hyperlink>
    </w:p>
    <w:p w14:paraId="01246BD9" w14:textId="77777777" w:rsidR="006E50B3" w:rsidRPr="00A62195" w:rsidRDefault="00E15DA9" w:rsidP="005878F6">
      <w:pPr>
        <w:pStyle w:val="Heading3"/>
        <w:numPr>
          <w:ilvl w:val="0"/>
          <w:numId w:val="0"/>
        </w:numPr>
      </w:pPr>
      <w:r w:rsidRPr="00A62195">
        <w:fldChar w:fldCharType="end"/>
      </w:r>
      <w:r w:rsidR="006E50B3" w:rsidRPr="00A62195">
        <w:t xml:space="preserve">List of </w:t>
      </w:r>
      <w:r w:rsidR="000216D8">
        <w:t>F</w:t>
      </w:r>
      <w:r w:rsidR="006E50B3" w:rsidRPr="00A62195">
        <w:t>igures</w:t>
      </w:r>
    </w:p>
    <w:p w14:paraId="78E30EDC" w14:textId="4E4CE192" w:rsidR="00DB6E86" w:rsidRDefault="00616C5B">
      <w:pPr>
        <w:pStyle w:val="TableofFigures"/>
        <w:tabs>
          <w:tab w:val="right" w:leader="dot" w:pos="9288"/>
        </w:tabs>
        <w:rPr>
          <w:rFonts w:asciiTheme="minorHAnsi" w:eastAsiaTheme="minorEastAsia" w:hAnsiTheme="minorHAnsi" w:cstheme="minorBidi"/>
          <w:sz w:val="22"/>
          <w:szCs w:val="22"/>
          <w:lang w:eastAsia="en-AU"/>
        </w:rPr>
      </w:pPr>
      <w:r w:rsidRPr="00A62195">
        <w:rPr>
          <w:rFonts w:cs="Arial"/>
        </w:rPr>
        <w:fldChar w:fldCharType="begin"/>
      </w:r>
      <w:r w:rsidRPr="00A62195">
        <w:rPr>
          <w:rFonts w:cs="Arial"/>
        </w:rPr>
        <w:instrText xml:space="preserve"> TOC \h \z \c "Figure" </w:instrText>
      </w:r>
      <w:r w:rsidRPr="00A62195">
        <w:rPr>
          <w:rFonts w:cs="Arial"/>
        </w:rPr>
        <w:fldChar w:fldCharType="separate"/>
      </w:r>
      <w:hyperlink w:anchor="_Toc19269407" w:history="1">
        <w:r w:rsidR="00DB6E86" w:rsidRPr="009122EC">
          <w:rPr>
            <w:rStyle w:val="Hyperlink"/>
            <w:b/>
          </w:rPr>
          <w:t>Figure 1: VPHS Reference Architecture - Patient Management</w:t>
        </w:r>
        <w:r w:rsidR="00DB6E86">
          <w:rPr>
            <w:webHidden/>
          </w:rPr>
          <w:tab/>
        </w:r>
        <w:r w:rsidR="00DB6E86">
          <w:rPr>
            <w:webHidden/>
          </w:rPr>
          <w:fldChar w:fldCharType="begin"/>
        </w:r>
        <w:r w:rsidR="00DB6E86">
          <w:rPr>
            <w:webHidden/>
          </w:rPr>
          <w:instrText xml:space="preserve"> PAGEREF _Toc19269407 \h </w:instrText>
        </w:r>
        <w:r w:rsidR="00DB6E86">
          <w:rPr>
            <w:webHidden/>
          </w:rPr>
        </w:r>
        <w:r w:rsidR="00DB6E86">
          <w:rPr>
            <w:webHidden/>
          </w:rPr>
          <w:fldChar w:fldCharType="separate"/>
        </w:r>
        <w:r w:rsidR="00DB6E86">
          <w:rPr>
            <w:webHidden/>
          </w:rPr>
          <w:t>11</w:t>
        </w:r>
        <w:r w:rsidR="00DB6E86">
          <w:rPr>
            <w:webHidden/>
          </w:rPr>
          <w:fldChar w:fldCharType="end"/>
        </w:r>
      </w:hyperlink>
    </w:p>
    <w:bookmarkStart w:id="4" w:name="_GoBack"/>
    <w:bookmarkEnd w:id="4"/>
    <w:p w14:paraId="4D7E6E1B" w14:textId="77777777" w:rsidR="00AC0C3B" w:rsidRPr="00A62195" w:rsidRDefault="00616C5B" w:rsidP="00E91933">
      <w:pPr>
        <w:pStyle w:val="DHHSbody"/>
        <w:sectPr w:rsidR="00AC0C3B" w:rsidRPr="00A62195" w:rsidSect="00BB1AE7">
          <w:pgSz w:w="11906" w:h="16838"/>
          <w:pgMar w:top="1701" w:right="1304" w:bottom="1134" w:left="1304" w:header="454" w:footer="567" w:gutter="0"/>
          <w:cols w:space="720"/>
          <w:docGrid w:linePitch="360"/>
        </w:sectPr>
      </w:pPr>
      <w:r w:rsidRPr="00A62195">
        <w:rPr>
          <w:rFonts w:eastAsia="Times New Roman" w:cs="Arial"/>
        </w:rPr>
        <w:fldChar w:fldCharType="end"/>
      </w:r>
    </w:p>
    <w:p w14:paraId="0652E398" w14:textId="77777777" w:rsidR="00635D99" w:rsidRDefault="00635D99" w:rsidP="00D97EFC">
      <w:pPr>
        <w:pStyle w:val="Heading1"/>
        <w:numPr>
          <w:ilvl w:val="0"/>
          <w:numId w:val="0"/>
        </w:numPr>
        <w:ind w:left="360" w:hanging="360"/>
      </w:pPr>
      <w:bookmarkStart w:id="5" w:name="_Toc495564657"/>
      <w:bookmarkStart w:id="6" w:name="_Toc499826896"/>
      <w:bookmarkStart w:id="7" w:name="_Toc19269392"/>
      <w:r>
        <w:lastRenderedPageBreak/>
        <w:t>Version control and reviews</w:t>
      </w:r>
      <w:bookmarkEnd w:id="5"/>
      <w:bookmarkEnd w:id="6"/>
      <w:bookmarkEnd w:id="7"/>
    </w:p>
    <w:p w14:paraId="34F1F345" w14:textId="77777777" w:rsidR="00635D99" w:rsidRPr="00203D4E" w:rsidRDefault="00635D99" w:rsidP="00D97EFC">
      <w:pPr>
        <w:pStyle w:val="Heading3"/>
        <w:numPr>
          <w:ilvl w:val="0"/>
          <w:numId w:val="0"/>
        </w:numPr>
        <w:ind w:left="720" w:hanging="720"/>
      </w:pPr>
      <w:r w:rsidRPr="009C21AD">
        <w:t>Version</w:t>
      </w:r>
      <w:r>
        <w:t xml:space="preserve"> control</w:t>
      </w:r>
    </w:p>
    <w:p w14:paraId="410E689F" w14:textId="77777777" w:rsidR="00635D99" w:rsidRPr="00034BD3" w:rsidRDefault="00635D99" w:rsidP="00635D99">
      <w:pPr>
        <w:rPr>
          <w:rFonts w:cs="Arial"/>
        </w:rPr>
      </w:pPr>
      <w:r w:rsidRPr="00034BD3">
        <w:rPr>
          <w:rFonts w:cs="Arial"/>
        </w:rPr>
        <w:t>The following tab</w:t>
      </w:r>
      <w:r w:rsidR="004A2DC1">
        <w:rPr>
          <w:rFonts w:cs="Arial"/>
        </w:rPr>
        <w:t xml:space="preserve">le identifies some basic information about this </w:t>
      </w:r>
      <w:r w:rsidRPr="00034BD3">
        <w:rPr>
          <w:rFonts w:cs="Arial"/>
        </w:rPr>
        <w:t>document:</w:t>
      </w:r>
    </w:p>
    <w:tbl>
      <w:tblPr>
        <w:tblW w:w="52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620" w:firstRow="1" w:lastRow="0" w:firstColumn="0" w:lastColumn="0" w:noHBand="1" w:noVBand="1"/>
      </w:tblPr>
      <w:tblGrid>
        <w:gridCol w:w="981"/>
        <w:gridCol w:w="1273"/>
        <w:gridCol w:w="3412"/>
        <w:gridCol w:w="4110"/>
      </w:tblGrid>
      <w:tr w:rsidR="004C54E5" w:rsidRPr="00E57777" w14:paraId="6E0205F2" w14:textId="77777777" w:rsidTr="00E16FFC">
        <w:trPr>
          <w:trHeight w:val="451"/>
        </w:trPr>
        <w:tc>
          <w:tcPr>
            <w:tcW w:w="502" w:type="pct"/>
            <w:shd w:val="clear" w:color="auto" w:fill="auto"/>
          </w:tcPr>
          <w:p w14:paraId="60D06B55" w14:textId="77777777" w:rsidR="004C54E5" w:rsidRPr="00E57777" w:rsidRDefault="004C54E5" w:rsidP="00E57777">
            <w:pPr>
              <w:pStyle w:val="DHHStablecolhead"/>
              <w:rPr>
                <w:rFonts w:eastAsia="Calibri"/>
              </w:rPr>
            </w:pPr>
            <w:r w:rsidRPr="00E57777">
              <w:rPr>
                <w:rFonts w:eastAsia="Calibri"/>
              </w:rPr>
              <w:t>Version</w:t>
            </w:r>
          </w:p>
        </w:tc>
        <w:tc>
          <w:tcPr>
            <w:tcW w:w="651" w:type="pct"/>
            <w:shd w:val="clear" w:color="auto" w:fill="auto"/>
          </w:tcPr>
          <w:p w14:paraId="36B29856" w14:textId="77777777" w:rsidR="004C54E5" w:rsidRPr="00E57777" w:rsidRDefault="004C54E5" w:rsidP="00E57777">
            <w:pPr>
              <w:pStyle w:val="DHHStablecolhead"/>
              <w:rPr>
                <w:rFonts w:eastAsia="Calibri"/>
              </w:rPr>
            </w:pPr>
            <w:r w:rsidRPr="00E57777">
              <w:rPr>
                <w:rFonts w:eastAsia="Calibri"/>
              </w:rPr>
              <w:t>Issue Date</w:t>
            </w:r>
          </w:p>
        </w:tc>
        <w:tc>
          <w:tcPr>
            <w:tcW w:w="1745" w:type="pct"/>
            <w:shd w:val="clear" w:color="auto" w:fill="auto"/>
          </w:tcPr>
          <w:p w14:paraId="7C8AE9C3" w14:textId="77777777" w:rsidR="004C54E5" w:rsidRPr="00E57777" w:rsidRDefault="004C54E5" w:rsidP="00E57777">
            <w:pPr>
              <w:pStyle w:val="DHHStablecolhead"/>
              <w:rPr>
                <w:rFonts w:eastAsia="Calibri"/>
              </w:rPr>
            </w:pPr>
            <w:r w:rsidRPr="00E57777">
              <w:rPr>
                <w:rFonts w:eastAsia="Calibri"/>
              </w:rPr>
              <w:t>Author</w:t>
            </w:r>
          </w:p>
        </w:tc>
        <w:tc>
          <w:tcPr>
            <w:tcW w:w="2103" w:type="pct"/>
            <w:shd w:val="clear" w:color="auto" w:fill="auto"/>
          </w:tcPr>
          <w:p w14:paraId="7836EBD3" w14:textId="77777777" w:rsidR="004C54E5" w:rsidRPr="00E57777" w:rsidRDefault="004C54E5" w:rsidP="00E57777">
            <w:pPr>
              <w:pStyle w:val="DHHStablecolhead"/>
              <w:rPr>
                <w:rFonts w:eastAsia="Calibri"/>
              </w:rPr>
            </w:pPr>
            <w:r w:rsidRPr="00E57777">
              <w:rPr>
                <w:rFonts w:eastAsia="Calibri"/>
              </w:rPr>
              <w:t xml:space="preserve">Comments </w:t>
            </w:r>
          </w:p>
        </w:tc>
      </w:tr>
      <w:tr w:rsidR="004C54E5" w:rsidRPr="00C7117E" w14:paraId="668C2E37" w14:textId="77777777" w:rsidTr="00E16FFC">
        <w:trPr>
          <w:trHeight w:val="451"/>
        </w:trPr>
        <w:tc>
          <w:tcPr>
            <w:tcW w:w="502" w:type="pct"/>
            <w:shd w:val="clear" w:color="auto" w:fill="auto"/>
          </w:tcPr>
          <w:p w14:paraId="5EAAFE56" w14:textId="77777777" w:rsidR="004C54E5" w:rsidRPr="00E57777" w:rsidRDefault="00425B81" w:rsidP="00E57777">
            <w:pPr>
              <w:pStyle w:val="DHHStabletext"/>
              <w:rPr>
                <w:rFonts w:eastAsia="Calibri"/>
              </w:rPr>
            </w:pPr>
            <w:r>
              <w:rPr>
                <w:rFonts w:eastAsia="Calibri"/>
              </w:rPr>
              <w:t>0.2</w:t>
            </w:r>
          </w:p>
        </w:tc>
        <w:tc>
          <w:tcPr>
            <w:tcW w:w="651" w:type="pct"/>
            <w:shd w:val="clear" w:color="auto" w:fill="auto"/>
          </w:tcPr>
          <w:p w14:paraId="60EC18F5" w14:textId="77777777" w:rsidR="004C54E5" w:rsidRPr="00E57777" w:rsidRDefault="00E653C7" w:rsidP="00E653C7">
            <w:pPr>
              <w:pStyle w:val="DHHStabletext"/>
              <w:rPr>
                <w:rFonts w:eastAsia="Calibri"/>
              </w:rPr>
            </w:pPr>
            <w:r>
              <w:rPr>
                <w:rFonts w:eastAsia="Calibri"/>
              </w:rPr>
              <w:t>13</w:t>
            </w:r>
            <w:r w:rsidR="00300AFE">
              <w:rPr>
                <w:rFonts w:eastAsia="Calibri"/>
              </w:rPr>
              <w:t>/0</w:t>
            </w:r>
            <w:r w:rsidR="00F57C32">
              <w:rPr>
                <w:rFonts w:eastAsia="Calibri"/>
              </w:rPr>
              <w:t>8</w:t>
            </w:r>
            <w:r w:rsidR="00300AFE">
              <w:rPr>
                <w:rFonts w:eastAsia="Calibri"/>
              </w:rPr>
              <w:t>/18</w:t>
            </w:r>
          </w:p>
        </w:tc>
        <w:tc>
          <w:tcPr>
            <w:tcW w:w="1745" w:type="pct"/>
            <w:shd w:val="clear" w:color="auto" w:fill="auto"/>
          </w:tcPr>
          <w:p w14:paraId="5C866889" w14:textId="77777777" w:rsidR="004C54E5" w:rsidRPr="00E57777" w:rsidRDefault="00436DFD" w:rsidP="00E57777">
            <w:pPr>
              <w:pStyle w:val="DHHStabletext"/>
              <w:rPr>
                <w:rFonts w:eastAsia="Calibri"/>
              </w:rPr>
            </w:pPr>
            <w:r>
              <w:rPr>
                <w:rFonts w:eastAsia="Calibri"/>
              </w:rPr>
              <w:t>Health Sector Standards and Advisory (Formerly Health Design Authority)</w:t>
            </w:r>
          </w:p>
        </w:tc>
        <w:tc>
          <w:tcPr>
            <w:tcW w:w="2103" w:type="pct"/>
            <w:shd w:val="clear" w:color="auto" w:fill="auto"/>
          </w:tcPr>
          <w:p w14:paraId="2B654170" w14:textId="53B70918" w:rsidR="004C54E5" w:rsidRPr="00E57777" w:rsidRDefault="00723AA6" w:rsidP="00F211F5">
            <w:pPr>
              <w:pStyle w:val="DHHStabletext"/>
              <w:rPr>
                <w:rFonts w:eastAsia="Calibri"/>
              </w:rPr>
            </w:pPr>
            <w:r>
              <w:rPr>
                <w:rFonts w:eastAsia="Calibri"/>
              </w:rPr>
              <w:t>Re-design &amp; redevelopment of contents into a new template, with new sections and general updates.</w:t>
            </w:r>
          </w:p>
        </w:tc>
      </w:tr>
      <w:tr w:rsidR="004C54E5" w:rsidRPr="00C7117E" w14:paraId="6C586977" w14:textId="77777777" w:rsidTr="00E16FFC">
        <w:trPr>
          <w:trHeight w:val="440"/>
        </w:trPr>
        <w:tc>
          <w:tcPr>
            <w:tcW w:w="502" w:type="pct"/>
            <w:shd w:val="clear" w:color="auto" w:fill="auto"/>
          </w:tcPr>
          <w:p w14:paraId="2AD5ED97" w14:textId="77777777" w:rsidR="004C54E5" w:rsidRPr="00E57777" w:rsidRDefault="004C54E5" w:rsidP="00E57777">
            <w:pPr>
              <w:pStyle w:val="DHHStabletext"/>
              <w:rPr>
                <w:rFonts w:eastAsia="Calibri"/>
              </w:rPr>
            </w:pPr>
            <w:r>
              <w:rPr>
                <w:rFonts w:eastAsia="Calibri"/>
              </w:rPr>
              <w:t>0.1</w:t>
            </w:r>
          </w:p>
        </w:tc>
        <w:tc>
          <w:tcPr>
            <w:tcW w:w="651" w:type="pct"/>
            <w:shd w:val="clear" w:color="auto" w:fill="auto"/>
          </w:tcPr>
          <w:p w14:paraId="6C088C20" w14:textId="77777777" w:rsidR="004C54E5" w:rsidRPr="00E57777" w:rsidRDefault="00300AFE" w:rsidP="00300AFE">
            <w:pPr>
              <w:pStyle w:val="DHHStabletext"/>
              <w:rPr>
                <w:rFonts w:eastAsia="Calibri"/>
              </w:rPr>
            </w:pPr>
            <w:r>
              <w:rPr>
                <w:rFonts w:eastAsia="Calibri"/>
              </w:rPr>
              <w:t>10/12/13</w:t>
            </w:r>
          </w:p>
        </w:tc>
        <w:tc>
          <w:tcPr>
            <w:tcW w:w="1745" w:type="pct"/>
            <w:shd w:val="clear" w:color="auto" w:fill="auto"/>
          </w:tcPr>
          <w:p w14:paraId="1EF49266" w14:textId="41F56BDA" w:rsidR="004C54E5" w:rsidRPr="00E57777" w:rsidRDefault="00300AFE" w:rsidP="00E57777">
            <w:pPr>
              <w:pStyle w:val="DHHStabletext"/>
              <w:rPr>
                <w:rFonts w:eastAsia="Calibri"/>
              </w:rPr>
            </w:pPr>
            <w:r>
              <w:rPr>
                <w:rFonts w:eastAsia="Calibri"/>
              </w:rPr>
              <w:t xml:space="preserve">Health Sector Standards and Advisory </w:t>
            </w:r>
          </w:p>
        </w:tc>
        <w:tc>
          <w:tcPr>
            <w:tcW w:w="2103" w:type="pct"/>
            <w:shd w:val="clear" w:color="auto" w:fill="auto"/>
          </w:tcPr>
          <w:p w14:paraId="27A126C0" w14:textId="77777777" w:rsidR="004C54E5" w:rsidRPr="00E57777" w:rsidRDefault="004C54E5" w:rsidP="00E57777">
            <w:pPr>
              <w:pStyle w:val="DHHStabletext"/>
              <w:rPr>
                <w:rFonts w:eastAsia="Calibri"/>
              </w:rPr>
            </w:pPr>
            <w:r>
              <w:rPr>
                <w:rFonts w:eastAsia="Calibri"/>
              </w:rPr>
              <w:t>Initial Draft</w:t>
            </w:r>
          </w:p>
        </w:tc>
      </w:tr>
    </w:tbl>
    <w:p w14:paraId="16D2F2A5" w14:textId="77777777" w:rsidR="00635D99" w:rsidRPr="00C7117E" w:rsidRDefault="00635D99" w:rsidP="00D97EFC">
      <w:pPr>
        <w:pStyle w:val="Heading3"/>
        <w:numPr>
          <w:ilvl w:val="0"/>
          <w:numId w:val="0"/>
        </w:numPr>
        <w:ind w:left="720" w:hanging="720"/>
      </w:pPr>
      <w:r w:rsidRPr="00C7117E">
        <w:t>Quality reviews</w:t>
      </w:r>
    </w:p>
    <w:p w14:paraId="35B35386" w14:textId="2DB46A37" w:rsidR="00635D99" w:rsidRDefault="00635D99" w:rsidP="00635D99">
      <w:pPr>
        <w:rPr>
          <w:rFonts w:cs="Arial"/>
        </w:rPr>
      </w:pPr>
      <w:r w:rsidRPr="00034BD3">
        <w:rPr>
          <w:rFonts w:cs="Arial"/>
        </w:rPr>
        <w:t>The following table identifies the reviews conducted prior to the release of this document:</w:t>
      </w:r>
    </w:p>
    <w:tbl>
      <w:tblPr>
        <w:tblW w:w="52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20" w:firstRow="1" w:lastRow="0" w:firstColumn="0" w:lastColumn="0" w:noHBand="1" w:noVBand="1"/>
      </w:tblPr>
      <w:tblGrid>
        <w:gridCol w:w="977"/>
        <w:gridCol w:w="1287"/>
        <w:gridCol w:w="4677"/>
        <w:gridCol w:w="2835"/>
      </w:tblGrid>
      <w:tr w:rsidR="00347E92" w:rsidRPr="00E57777" w14:paraId="668EE587" w14:textId="77777777" w:rsidTr="00C63C84">
        <w:trPr>
          <w:trHeight w:val="588"/>
          <w:tblHeader/>
        </w:trPr>
        <w:tc>
          <w:tcPr>
            <w:tcW w:w="500" w:type="pct"/>
          </w:tcPr>
          <w:p w14:paraId="41814A74" w14:textId="77777777" w:rsidR="00347E92" w:rsidRPr="00E57777" w:rsidRDefault="00347E92" w:rsidP="00F83A7C">
            <w:pPr>
              <w:pStyle w:val="DHHStablecolhead"/>
              <w:rPr>
                <w:rFonts w:eastAsia="Calibri"/>
              </w:rPr>
            </w:pPr>
            <w:r w:rsidRPr="00E57777">
              <w:rPr>
                <w:rFonts w:eastAsia="Calibri"/>
              </w:rPr>
              <w:t>Version</w:t>
            </w:r>
          </w:p>
        </w:tc>
        <w:tc>
          <w:tcPr>
            <w:tcW w:w="658" w:type="pct"/>
          </w:tcPr>
          <w:p w14:paraId="18121298" w14:textId="77777777" w:rsidR="00347E92" w:rsidRPr="00E57777" w:rsidRDefault="00347E92" w:rsidP="00F83A7C">
            <w:pPr>
              <w:pStyle w:val="DHHStablecolhead"/>
              <w:rPr>
                <w:rFonts w:eastAsia="Calibri"/>
              </w:rPr>
            </w:pPr>
            <w:r w:rsidRPr="00E57777">
              <w:rPr>
                <w:rFonts w:eastAsia="Calibri"/>
              </w:rPr>
              <w:t>Date</w:t>
            </w:r>
          </w:p>
        </w:tc>
        <w:tc>
          <w:tcPr>
            <w:tcW w:w="2392" w:type="pct"/>
          </w:tcPr>
          <w:p w14:paraId="08600B84" w14:textId="77777777" w:rsidR="00347E92" w:rsidRPr="00E57777" w:rsidRDefault="00347E92" w:rsidP="00F83A7C">
            <w:pPr>
              <w:pStyle w:val="DHHStablecolhead"/>
              <w:rPr>
                <w:rFonts w:eastAsia="Calibri"/>
              </w:rPr>
            </w:pPr>
            <w:r>
              <w:rPr>
                <w:rFonts w:eastAsia="Calibri"/>
              </w:rPr>
              <w:t>Name</w:t>
            </w:r>
          </w:p>
        </w:tc>
        <w:tc>
          <w:tcPr>
            <w:tcW w:w="1450" w:type="pct"/>
            <w:shd w:val="clear" w:color="auto" w:fill="auto"/>
          </w:tcPr>
          <w:p w14:paraId="67A68691" w14:textId="77777777" w:rsidR="00347E92" w:rsidRPr="00E57777" w:rsidRDefault="00347E92" w:rsidP="00F83A7C">
            <w:pPr>
              <w:pStyle w:val="DHHStablecolhead"/>
              <w:rPr>
                <w:rFonts w:eastAsia="Calibri"/>
              </w:rPr>
            </w:pPr>
            <w:r>
              <w:rPr>
                <w:rFonts w:eastAsia="Calibri"/>
              </w:rPr>
              <w:t>Action</w:t>
            </w:r>
          </w:p>
        </w:tc>
      </w:tr>
      <w:tr w:rsidR="00277191" w:rsidRPr="00034BD3" w14:paraId="74FED6F2" w14:textId="77777777" w:rsidTr="00C63C84">
        <w:trPr>
          <w:trHeight w:val="823"/>
        </w:trPr>
        <w:tc>
          <w:tcPr>
            <w:tcW w:w="500" w:type="pct"/>
            <w:vAlign w:val="center"/>
          </w:tcPr>
          <w:p w14:paraId="6FE787CC" w14:textId="085CAD6F" w:rsidR="00277191" w:rsidRDefault="00277191" w:rsidP="00F83A7C">
            <w:pPr>
              <w:pStyle w:val="DHHStabletext"/>
              <w:rPr>
                <w:rFonts w:eastAsia="Calibri"/>
              </w:rPr>
            </w:pPr>
            <w:r>
              <w:rPr>
                <w:rFonts w:eastAsia="Calibri"/>
              </w:rPr>
              <w:t>0.2</w:t>
            </w:r>
          </w:p>
        </w:tc>
        <w:tc>
          <w:tcPr>
            <w:tcW w:w="658" w:type="pct"/>
            <w:vAlign w:val="center"/>
          </w:tcPr>
          <w:p w14:paraId="20519107" w14:textId="43D5056E" w:rsidR="00277191" w:rsidRDefault="00277191" w:rsidP="00F83A7C">
            <w:pPr>
              <w:pStyle w:val="DHHStabletext"/>
              <w:rPr>
                <w:rFonts w:eastAsia="Calibri"/>
              </w:rPr>
            </w:pPr>
            <w:r>
              <w:rPr>
                <w:rFonts w:eastAsia="Calibri"/>
              </w:rPr>
              <w:t>Oct. 2018</w:t>
            </w:r>
          </w:p>
        </w:tc>
        <w:tc>
          <w:tcPr>
            <w:tcW w:w="2392" w:type="pct"/>
            <w:vAlign w:val="center"/>
          </w:tcPr>
          <w:p w14:paraId="74356D04" w14:textId="2FAD389B" w:rsidR="00277191" w:rsidRDefault="00277191" w:rsidP="00F83A7C">
            <w:pPr>
              <w:pStyle w:val="DHHStabletext"/>
              <w:rPr>
                <w:rFonts w:eastAsia="Calibri"/>
              </w:rPr>
            </w:pPr>
            <w:r>
              <w:rPr>
                <w:rFonts w:eastAsia="Calibri"/>
              </w:rPr>
              <w:t>Sector Design Standards Reference Groups (SDSRG)</w:t>
            </w:r>
          </w:p>
        </w:tc>
        <w:tc>
          <w:tcPr>
            <w:tcW w:w="1450" w:type="pct"/>
            <w:shd w:val="clear" w:color="auto" w:fill="auto"/>
          </w:tcPr>
          <w:p w14:paraId="40A42A7D" w14:textId="66A75E25" w:rsidR="00277191" w:rsidRDefault="00277191" w:rsidP="00F83A7C">
            <w:pPr>
              <w:pStyle w:val="DHHStabletext"/>
            </w:pPr>
            <w:r>
              <w:t>Review and feedback</w:t>
            </w:r>
          </w:p>
        </w:tc>
      </w:tr>
      <w:tr w:rsidR="00347E92" w:rsidRPr="00034BD3" w14:paraId="2A7841C3" w14:textId="77777777" w:rsidTr="00C63C84">
        <w:trPr>
          <w:trHeight w:val="823"/>
        </w:trPr>
        <w:tc>
          <w:tcPr>
            <w:tcW w:w="500" w:type="pct"/>
            <w:vAlign w:val="center"/>
          </w:tcPr>
          <w:p w14:paraId="130850AD" w14:textId="23E00496" w:rsidR="00347E92" w:rsidRDefault="00347E92" w:rsidP="00F83A7C">
            <w:pPr>
              <w:pStyle w:val="DHHStabletext"/>
              <w:rPr>
                <w:rFonts w:eastAsia="Calibri"/>
              </w:rPr>
            </w:pPr>
            <w:r>
              <w:rPr>
                <w:rFonts w:eastAsia="Calibri"/>
              </w:rPr>
              <w:t>0.2</w:t>
            </w:r>
          </w:p>
        </w:tc>
        <w:tc>
          <w:tcPr>
            <w:tcW w:w="658" w:type="pct"/>
            <w:vAlign w:val="center"/>
          </w:tcPr>
          <w:p w14:paraId="410BAE27" w14:textId="7C8FFC3C" w:rsidR="00347E92" w:rsidRDefault="00347E92" w:rsidP="00F83A7C">
            <w:pPr>
              <w:pStyle w:val="DHHStabletext"/>
              <w:rPr>
                <w:rFonts w:eastAsia="Calibri"/>
              </w:rPr>
            </w:pPr>
            <w:r>
              <w:rPr>
                <w:rFonts w:eastAsia="Calibri"/>
              </w:rPr>
              <w:t>Aug.2018</w:t>
            </w:r>
          </w:p>
        </w:tc>
        <w:tc>
          <w:tcPr>
            <w:tcW w:w="2392" w:type="pct"/>
            <w:vAlign w:val="center"/>
          </w:tcPr>
          <w:p w14:paraId="7824D592" w14:textId="4242889C" w:rsidR="00347E92" w:rsidRDefault="00347E92" w:rsidP="00F83A7C">
            <w:pPr>
              <w:pStyle w:val="DHHStabletext"/>
              <w:rPr>
                <w:rFonts w:eastAsia="Calibri"/>
              </w:rPr>
            </w:pPr>
            <w:r>
              <w:rPr>
                <w:rFonts w:eastAsia="Calibri"/>
              </w:rPr>
              <w:t>Health Sector Standards and Advisory</w:t>
            </w:r>
          </w:p>
        </w:tc>
        <w:tc>
          <w:tcPr>
            <w:tcW w:w="1450" w:type="pct"/>
            <w:shd w:val="clear" w:color="auto" w:fill="auto"/>
          </w:tcPr>
          <w:p w14:paraId="38224637" w14:textId="22EEF48B" w:rsidR="00347E92" w:rsidRDefault="00347E92" w:rsidP="00F83A7C">
            <w:pPr>
              <w:pStyle w:val="DHHStabletext"/>
            </w:pPr>
            <w:r>
              <w:t>Re</w:t>
            </w:r>
            <w:r w:rsidR="00E16FFC">
              <w:t>view and update</w:t>
            </w:r>
          </w:p>
        </w:tc>
      </w:tr>
    </w:tbl>
    <w:p w14:paraId="4B98D71D" w14:textId="77777777" w:rsidR="00723AA6" w:rsidRPr="00034BD3" w:rsidRDefault="00723AA6" w:rsidP="00635D99">
      <w:pPr>
        <w:rPr>
          <w:rFonts w:cs="Arial"/>
        </w:rPr>
      </w:pPr>
    </w:p>
    <w:p w14:paraId="4CB79B84" w14:textId="77777777" w:rsidR="00635D99" w:rsidRPr="00034BD3" w:rsidRDefault="00635D99" w:rsidP="00D97EFC">
      <w:pPr>
        <w:pStyle w:val="Heading3"/>
        <w:numPr>
          <w:ilvl w:val="0"/>
          <w:numId w:val="0"/>
        </w:numPr>
        <w:ind w:left="720" w:hanging="720"/>
      </w:pPr>
      <w:r w:rsidRPr="00265C4D">
        <w:t>Referenced artefacts / publications</w:t>
      </w:r>
    </w:p>
    <w:p w14:paraId="3AD5F2BE" w14:textId="77777777" w:rsidR="00F84EE8" w:rsidRDefault="00635D99" w:rsidP="00635D99">
      <w:pPr>
        <w:rPr>
          <w:rFonts w:cs="Arial"/>
        </w:rPr>
      </w:pPr>
      <w:r w:rsidRPr="00034BD3">
        <w:rPr>
          <w:rFonts w:cs="Arial"/>
        </w:rPr>
        <w:t xml:space="preserve">The following table identifies the various </w:t>
      </w:r>
      <w:r w:rsidRPr="003F133B">
        <w:rPr>
          <w:rFonts w:cs="Arial"/>
        </w:rPr>
        <w:t>artefacts/publications</w:t>
      </w:r>
      <w:r w:rsidRPr="00034BD3">
        <w:rPr>
          <w:rFonts w:cs="Arial"/>
        </w:rPr>
        <w:t xml:space="preserve"> referenced or considered in this</w:t>
      </w:r>
    </w:p>
    <w:p w14:paraId="3CCE2A0E" w14:textId="77777777" w:rsidR="007D1115" w:rsidRPr="00034BD3" w:rsidRDefault="00635D99" w:rsidP="00635D99">
      <w:pPr>
        <w:rPr>
          <w:rFonts w:cs="Arial"/>
        </w:rPr>
      </w:pPr>
      <w:r w:rsidRPr="00034BD3">
        <w:rPr>
          <w:rFonts w:cs="Arial"/>
        </w:rPr>
        <w:t>document:</w:t>
      </w:r>
    </w:p>
    <w:tbl>
      <w:tblPr>
        <w:tblW w:w="52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20" w:firstRow="1" w:lastRow="0" w:firstColumn="0" w:lastColumn="0" w:noHBand="1" w:noVBand="1"/>
      </w:tblPr>
      <w:tblGrid>
        <w:gridCol w:w="3564"/>
        <w:gridCol w:w="1662"/>
        <w:gridCol w:w="4550"/>
      </w:tblGrid>
      <w:tr w:rsidR="00635D99" w:rsidRPr="00815099" w14:paraId="019DC096" w14:textId="77777777" w:rsidTr="000441FE">
        <w:trPr>
          <w:trHeight w:val="96"/>
          <w:tblHeader/>
        </w:trPr>
        <w:tc>
          <w:tcPr>
            <w:tcW w:w="1823" w:type="pct"/>
            <w:shd w:val="clear" w:color="auto" w:fill="auto"/>
            <w:vAlign w:val="center"/>
            <w:hideMark/>
          </w:tcPr>
          <w:p w14:paraId="4C303C6B" w14:textId="77777777" w:rsidR="00635D99" w:rsidRPr="00815099" w:rsidRDefault="00635D99" w:rsidP="00815099">
            <w:pPr>
              <w:pStyle w:val="DHHStablecolhead"/>
              <w:rPr>
                <w:rFonts w:eastAsia="Calibri"/>
              </w:rPr>
            </w:pPr>
            <w:r w:rsidRPr="00815099">
              <w:rPr>
                <w:rFonts w:eastAsia="Calibri"/>
              </w:rPr>
              <w:t>Document Name</w:t>
            </w:r>
          </w:p>
        </w:tc>
        <w:tc>
          <w:tcPr>
            <w:tcW w:w="850" w:type="pct"/>
            <w:shd w:val="clear" w:color="auto" w:fill="auto"/>
            <w:vAlign w:val="center"/>
            <w:hideMark/>
          </w:tcPr>
          <w:p w14:paraId="718AACD6" w14:textId="77777777" w:rsidR="00635D99" w:rsidRPr="00815099" w:rsidRDefault="00635D99" w:rsidP="00815099">
            <w:pPr>
              <w:pStyle w:val="DHHStablecolhead"/>
              <w:rPr>
                <w:rFonts w:eastAsia="Calibri"/>
              </w:rPr>
            </w:pPr>
            <w:r w:rsidRPr="00815099">
              <w:rPr>
                <w:rFonts w:eastAsia="Calibri"/>
              </w:rPr>
              <w:t>Owner /Author</w:t>
            </w:r>
          </w:p>
        </w:tc>
        <w:tc>
          <w:tcPr>
            <w:tcW w:w="2327" w:type="pct"/>
            <w:shd w:val="clear" w:color="auto" w:fill="auto"/>
            <w:vAlign w:val="center"/>
            <w:hideMark/>
          </w:tcPr>
          <w:p w14:paraId="70157105" w14:textId="77777777" w:rsidR="00635D99" w:rsidRPr="00815099" w:rsidRDefault="00635D99" w:rsidP="00815099">
            <w:pPr>
              <w:pStyle w:val="DHHStablecolhead"/>
              <w:rPr>
                <w:rFonts w:eastAsia="Calibri"/>
              </w:rPr>
            </w:pPr>
            <w:r w:rsidRPr="00815099">
              <w:rPr>
                <w:rFonts w:eastAsia="Calibri"/>
              </w:rPr>
              <w:t>Comments</w:t>
            </w:r>
          </w:p>
        </w:tc>
      </w:tr>
      <w:tr w:rsidR="005F70B4" w:rsidRPr="00034BD3" w14:paraId="437F97E1" w14:textId="77777777" w:rsidTr="000441FE">
        <w:trPr>
          <w:trHeight w:val="155"/>
        </w:trPr>
        <w:tc>
          <w:tcPr>
            <w:tcW w:w="1823" w:type="pct"/>
            <w:shd w:val="clear" w:color="auto" w:fill="auto"/>
          </w:tcPr>
          <w:p w14:paraId="1BF1E009" w14:textId="77777777" w:rsidR="005F70B4" w:rsidRPr="00815099" w:rsidRDefault="005F70B4" w:rsidP="00815099">
            <w:pPr>
              <w:pStyle w:val="DHHStabletext"/>
              <w:rPr>
                <w:rFonts w:eastAsia="Calibri"/>
              </w:rPr>
            </w:pPr>
          </w:p>
        </w:tc>
        <w:tc>
          <w:tcPr>
            <w:tcW w:w="850" w:type="pct"/>
            <w:shd w:val="clear" w:color="auto" w:fill="auto"/>
          </w:tcPr>
          <w:p w14:paraId="292C6CD3" w14:textId="77777777" w:rsidR="005F70B4" w:rsidRPr="00815099" w:rsidRDefault="005F70B4" w:rsidP="00815099">
            <w:pPr>
              <w:pStyle w:val="DHHStabletext"/>
              <w:rPr>
                <w:rFonts w:eastAsia="Calibri"/>
              </w:rPr>
            </w:pPr>
          </w:p>
        </w:tc>
        <w:tc>
          <w:tcPr>
            <w:tcW w:w="2327" w:type="pct"/>
            <w:shd w:val="clear" w:color="auto" w:fill="auto"/>
          </w:tcPr>
          <w:p w14:paraId="2857986F" w14:textId="77777777" w:rsidR="005F70B4" w:rsidRPr="00815099" w:rsidRDefault="005F70B4" w:rsidP="00815099">
            <w:pPr>
              <w:pStyle w:val="DHHStabletext"/>
              <w:rPr>
                <w:rFonts w:eastAsia="Calibri"/>
              </w:rPr>
            </w:pPr>
          </w:p>
        </w:tc>
      </w:tr>
    </w:tbl>
    <w:p w14:paraId="404B16CF" w14:textId="77777777" w:rsidR="00B64DB2" w:rsidRDefault="00B64DB2" w:rsidP="00B64DB2">
      <w:pPr>
        <w:pStyle w:val="DHHSbody"/>
      </w:pPr>
    </w:p>
    <w:p w14:paraId="1BB6D1BA" w14:textId="77777777" w:rsidR="00635D99" w:rsidRPr="00034BD3" w:rsidRDefault="00635D99" w:rsidP="00D97EFC">
      <w:pPr>
        <w:pStyle w:val="Heading3"/>
        <w:numPr>
          <w:ilvl w:val="0"/>
          <w:numId w:val="0"/>
        </w:numPr>
        <w:ind w:left="720" w:hanging="720"/>
      </w:pPr>
      <w:r w:rsidRPr="00034BD3">
        <w:t>Endorsements and approvals</w:t>
      </w:r>
    </w:p>
    <w:p w14:paraId="3F91650C" w14:textId="77777777" w:rsidR="00BF2CA1" w:rsidRDefault="00BF2CA1" w:rsidP="00BF2CA1">
      <w:pPr>
        <w:pStyle w:val="DHHSbody"/>
      </w:pPr>
      <w:r w:rsidRPr="00034BD3">
        <w:t xml:space="preserve">This document has been endorsed and approved for publication by the </w:t>
      </w:r>
      <w:r>
        <w:t>Standards and Advisory, Digital Health, Department of Health and Human Services</w:t>
      </w:r>
    </w:p>
    <w:p w14:paraId="247DB351" w14:textId="77777777" w:rsidR="0030083D" w:rsidRDefault="0098513A" w:rsidP="0098513A">
      <w:pPr>
        <w:pStyle w:val="Heading1"/>
        <w:pageBreakBefore/>
        <w:ind w:left="431" w:hanging="431"/>
      </w:pPr>
      <w:bookmarkStart w:id="8" w:name="_Toc499826897"/>
      <w:bookmarkStart w:id="9" w:name="_Toc19269393"/>
      <w:r>
        <w:lastRenderedPageBreak/>
        <w:t>Standards overview</w:t>
      </w:r>
      <w:bookmarkEnd w:id="9"/>
    </w:p>
    <w:p w14:paraId="0554FCED" w14:textId="77777777" w:rsidR="0083552D" w:rsidRDefault="0083552D" w:rsidP="007F5F16">
      <w:pPr>
        <w:pStyle w:val="DHHSbody"/>
        <w:rPr>
          <w:lang w:eastAsia="en-AU"/>
        </w:rPr>
      </w:pPr>
      <w:r>
        <w:rPr>
          <w:lang w:eastAsia="en-AU"/>
        </w:rPr>
        <w:t>This Standard defines the minimum set of functional requirements for an implementation of Patient Administration System by health services in the Victoria Public Health Sector. They are a base set of interface, terminology and regulatory requirements that enable interoperability within and external to a health service.</w:t>
      </w:r>
    </w:p>
    <w:p w14:paraId="2877C30D" w14:textId="77777777" w:rsidR="0083552D" w:rsidRDefault="0083552D" w:rsidP="007F5F16">
      <w:pPr>
        <w:pStyle w:val="DHHSbody"/>
        <w:rPr>
          <w:lang w:eastAsia="en-AU"/>
        </w:rPr>
      </w:pPr>
      <w:r>
        <w:rPr>
          <w:lang w:eastAsia="en-AU"/>
        </w:rPr>
        <w:t>The standard will enable integration with national digital health services such as My Health Record, the HI service, national electronic transfer of prescriptions.</w:t>
      </w:r>
    </w:p>
    <w:p w14:paraId="158290FB" w14:textId="77777777" w:rsidR="0083552D" w:rsidRDefault="0083552D" w:rsidP="007F5F16">
      <w:pPr>
        <w:pStyle w:val="DHHSbody"/>
        <w:rPr>
          <w:lang w:eastAsia="en-AU"/>
        </w:rPr>
      </w:pPr>
      <w:r>
        <w:rPr>
          <w:lang w:eastAsia="en-AU"/>
        </w:rPr>
        <w:t>Prior to this standard, the department (i.e. DHHS) has spent many years delivering standard and guides to the Victorian Public Health Sector (VPHS) which not only supports interoperability within the state in the current environment, but positions health services to better receive and implement national initiatives, like the My Health Record.</w:t>
      </w:r>
    </w:p>
    <w:p w14:paraId="4D00BD0F" w14:textId="77777777" w:rsidR="0083552D" w:rsidRDefault="0083552D" w:rsidP="007F5F16">
      <w:pPr>
        <w:pStyle w:val="DHHSbody"/>
        <w:rPr>
          <w:lang w:eastAsia="en-AU"/>
        </w:rPr>
      </w:pPr>
      <w:r>
        <w:rPr>
          <w:lang w:eastAsia="en-AU"/>
        </w:rPr>
        <w:t>The standard includes both mandatory and optional requirements.</w:t>
      </w:r>
    </w:p>
    <w:p w14:paraId="3061B40E" w14:textId="595DF2EE" w:rsidR="0083552D" w:rsidRDefault="0083552D" w:rsidP="007F5F16">
      <w:pPr>
        <w:pStyle w:val="DHHSbody"/>
        <w:rPr>
          <w:lang w:eastAsia="en-AU"/>
        </w:rPr>
      </w:pPr>
      <w:r>
        <w:rPr>
          <w:lang w:eastAsia="en-AU"/>
        </w:rPr>
        <w:t xml:space="preserve">The mandatory requirements </w:t>
      </w:r>
      <w:r w:rsidR="006E070E">
        <w:rPr>
          <w:lang w:eastAsia="en-AU"/>
        </w:rPr>
        <w:t>cover</w:t>
      </w:r>
      <w:r>
        <w:rPr>
          <w:lang w:eastAsia="en-AU"/>
        </w:rPr>
        <w:t xml:space="preserve"> the categories of Terminology, Interfacing, A</w:t>
      </w:r>
      <w:r w:rsidR="006931DC">
        <w:rPr>
          <w:lang w:eastAsia="en-AU"/>
        </w:rPr>
        <w:t>ustralian Digital Health Agency (A</w:t>
      </w:r>
      <w:r>
        <w:rPr>
          <w:lang w:eastAsia="en-AU"/>
        </w:rPr>
        <w:t>DHA</w:t>
      </w:r>
      <w:r w:rsidR="006931DC">
        <w:rPr>
          <w:lang w:eastAsia="en-AU"/>
        </w:rPr>
        <w:t>)</w:t>
      </w:r>
      <w:r>
        <w:rPr>
          <w:lang w:eastAsia="en-AU"/>
        </w:rPr>
        <w:t xml:space="preserve">, Localisation to Australian and Victorian requirements and Regulatory requirements, while the optional/future requirements </w:t>
      </w:r>
      <w:r w:rsidR="00C01B8F">
        <w:rPr>
          <w:lang w:eastAsia="en-AU"/>
        </w:rPr>
        <w:t>cover</w:t>
      </w:r>
      <w:r>
        <w:rPr>
          <w:lang w:eastAsia="en-AU"/>
        </w:rPr>
        <w:t xml:space="preserve"> the categories of ADHA, Terminology, ADHA and Episode management.</w:t>
      </w:r>
    </w:p>
    <w:p w14:paraId="2F453B21" w14:textId="0ED770F2" w:rsidR="00622B70" w:rsidRPr="00B64DB2" w:rsidRDefault="007B11F0" w:rsidP="0030083D">
      <w:pPr>
        <w:pStyle w:val="Heading1"/>
        <w:pageBreakBefore/>
        <w:ind w:left="431" w:hanging="431"/>
      </w:pPr>
      <w:bookmarkStart w:id="10" w:name="_Toc19269394"/>
      <w:r w:rsidRPr="00A62195">
        <w:lastRenderedPageBreak/>
        <w:t>Introduction</w:t>
      </w:r>
      <w:bookmarkEnd w:id="8"/>
      <w:bookmarkEnd w:id="10"/>
    </w:p>
    <w:p w14:paraId="0DFA23C1" w14:textId="77777777" w:rsidR="00494136" w:rsidRDefault="00494136" w:rsidP="003838B0">
      <w:pPr>
        <w:pStyle w:val="Heading2"/>
      </w:pPr>
      <w:bookmarkStart w:id="11" w:name="_Toc492985752"/>
      <w:bookmarkStart w:id="12" w:name="_Toc19269395"/>
      <w:r>
        <w:t>Digital Health</w:t>
      </w:r>
      <w:r w:rsidR="006E3432">
        <w:t xml:space="preserve"> Branch</w:t>
      </w:r>
      <w:bookmarkEnd w:id="12"/>
    </w:p>
    <w:p w14:paraId="41591ED5" w14:textId="77777777" w:rsidR="00DD6160" w:rsidRPr="00A04EB8" w:rsidRDefault="00DD6160" w:rsidP="00DD6160">
      <w:pPr>
        <w:pStyle w:val="DHHSbody"/>
      </w:pPr>
      <w:bookmarkStart w:id="13" w:name="_Hlk5707685"/>
      <w:r w:rsidRPr="00A04EB8">
        <w:t>The Digital Health branch led by the Chief Digital Health Officer reports to the Deputy Secretary of Health and Wellbeing. As a branch in the Health and Wellbeing division, Digital Health collaborates closely with a wide range of stakeholders across the department, sector agencies and other jurisdictions to perform the following functions:</w:t>
      </w:r>
    </w:p>
    <w:p w14:paraId="1300B676" w14:textId="77777777" w:rsidR="00DD6160" w:rsidRPr="00A04EB8" w:rsidRDefault="00DD6160" w:rsidP="00DD6160">
      <w:pPr>
        <w:pStyle w:val="DHHSbody"/>
        <w:numPr>
          <w:ilvl w:val="0"/>
          <w:numId w:val="56"/>
        </w:numPr>
      </w:pPr>
      <w:r w:rsidRPr="00A04EB8">
        <w:t>Provides engagement, standards, policy advice, planning and assurance functions across the health sector in the areas of digital health</w:t>
      </w:r>
    </w:p>
    <w:p w14:paraId="1D64819F" w14:textId="77777777" w:rsidR="00DD6160" w:rsidRPr="00A04EB8" w:rsidRDefault="00DD6160" w:rsidP="00DD6160">
      <w:pPr>
        <w:pStyle w:val="DHHSbody"/>
        <w:numPr>
          <w:ilvl w:val="0"/>
          <w:numId w:val="56"/>
        </w:numPr>
      </w:pPr>
      <w:r w:rsidRPr="00A04EB8">
        <w:t>Is responsible for the system management required to operationalise health sector reform</w:t>
      </w:r>
    </w:p>
    <w:p w14:paraId="33CD5F71" w14:textId="77777777" w:rsidR="00DD6160" w:rsidRPr="00A04EB8" w:rsidRDefault="00DD6160" w:rsidP="00DD6160">
      <w:pPr>
        <w:pStyle w:val="DHHSbody"/>
        <w:numPr>
          <w:ilvl w:val="0"/>
          <w:numId w:val="56"/>
        </w:numPr>
      </w:pPr>
      <w:r w:rsidRPr="00A04EB8">
        <w:t>Provides outward-facing whole of health sector leadership in digital health enablement as well as commissioning of digital health and ICT functions</w:t>
      </w:r>
    </w:p>
    <w:p w14:paraId="68D3521B" w14:textId="77777777" w:rsidR="00DD6160" w:rsidRPr="00A04EB8" w:rsidRDefault="00DD6160" w:rsidP="00DD6160">
      <w:pPr>
        <w:pStyle w:val="DHHSbody"/>
        <w:numPr>
          <w:ilvl w:val="0"/>
          <w:numId w:val="56"/>
        </w:numPr>
      </w:pPr>
      <w:r w:rsidRPr="00A04EB8">
        <w:t>Maintain a close working relationship with other branches of the division which has the levers, relationships and responsibilities across the health system to ensure digital projects are properly governed, resourced, and ensure all risks are well managed</w:t>
      </w:r>
    </w:p>
    <w:p w14:paraId="0E01D0C5" w14:textId="77777777" w:rsidR="00DD6160" w:rsidRPr="00FA4D48" w:rsidRDefault="00DD6160" w:rsidP="00DD6160">
      <w:pPr>
        <w:pStyle w:val="DHHSbody"/>
        <w:numPr>
          <w:ilvl w:val="0"/>
          <w:numId w:val="56"/>
        </w:numPr>
      </w:pPr>
      <w:r>
        <w:t>Guides</w:t>
      </w:r>
      <w:r w:rsidRPr="00FA4D48">
        <w:t xml:space="preserve"> health ICT initiatives towards an interoperable future e</w:t>
      </w:r>
      <w:r>
        <w:t>H</w:t>
      </w:r>
      <w:r w:rsidRPr="00FA4D48">
        <w:t>ealth environment using well</w:t>
      </w:r>
      <w:r>
        <w:t>-</w:t>
      </w:r>
      <w:r w:rsidRPr="00FA4D48">
        <w:t>established standards, best practice guides, methodologies and principles</w:t>
      </w:r>
    </w:p>
    <w:p w14:paraId="76B2CBD0" w14:textId="77777777" w:rsidR="00DD6160" w:rsidRPr="00A04EB8" w:rsidRDefault="00DD6160" w:rsidP="00DD6160">
      <w:pPr>
        <w:pStyle w:val="DHHSbody"/>
      </w:pPr>
      <w:r w:rsidRPr="00A04EB8">
        <w:t>Digital Health utilises the people, process and technology components, with a strong emphasis on transformational change elements when implanting new health systems and workflow processes.</w:t>
      </w:r>
    </w:p>
    <w:p w14:paraId="4441D7E2" w14:textId="77777777" w:rsidR="00DD6160" w:rsidRPr="00A04EB8" w:rsidRDefault="00DD6160" w:rsidP="00DD6160">
      <w:pPr>
        <w:pStyle w:val="DHHSbody"/>
      </w:pPr>
      <w:r w:rsidRPr="00A04EB8">
        <w:t>Digital Health focus on four areas:</w:t>
      </w:r>
    </w:p>
    <w:p w14:paraId="2D03D38B" w14:textId="77777777" w:rsidR="00DD6160" w:rsidRPr="00A04EB8" w:rsidRDefault="00DD6160" w:rsidP="00DD6160">
      <w:pPr>
        <w:pStyle w:val="DHHSbody"/>
        <w:numPr>
          <w:ilvl w:val="0"/>
          <w:numId w:val="57"/>
        </w:numPr>
      </w:pPr>
      <w:r w:rsidRPr="00A04EB8">
        <w:t>Digital Health strategy, policy and architecture standards for the Victorian health sector</w:t>
      </w:r>
      <w:r>
        <w:t>.</w:t>
      </w:r>
    </w:p>
    <w:p w14:paraId="06D73831" w14:textId="77777777" w:rsidR="00DD6160" w:rsidRPr="00A04EB8" w:rsidRDefault="00DD6160" w:rsidP="00DD6160">
      <w:pPr>
        <w:pStyle w:val="DHHSbody"/>
        <w:numPr>
          <w:ilvl w:val="0"/>
          <w:numId w:val="57"/>
        </w:numPr>
      </w:pPr>
      <w:r w:rsidRPr="00A04EB8">
        <w:t>Commissioning of digital health functions within Victorian public health services</w:t>
      </w:r>
      <w:r>
        <w:t>.</w:t>
      </w:r>
    </w:p>
    <w:p w14:paraId="0993683A" w14:textId="77777777" w:rsidR="00DD6160" w:rsidRPr="00A04EB8" w:rsidRDefault="00DD6160" w:rsidP="00DD6160">
      <w:pPr>
        <w:pStyle w:val="DHHSbody"/>
        <w:numPr>
          <w:ilvl w:val="0"/>
          <w:numId w:val="57"/>
        </w:numPr>
      </w:pPr>
      <w:r w:rsidRPr="00A04EB8">
        <w:t>Sponsoring digital health programs to implement sector-wide health information sharing platforms including those at a national level (to which Victoria contributes) as well as sector-enabling capabilities sponsored by DHHS.</w:t>
      </w:r>
    </w:p>
    <w:p w14:paraId="771223ED" w14:textId="77777777" w:rsidR="00DD6160" w:rsidRPr="00A04EB8" w:rsidRDefault="00DD6160" w:rsidP="00DD6160">
      <w:pPr>
        <w:pStyle w:val="DHHSbody"/>
        <w:numPr>
          <w:ilvl w:val="0"/>
          <w:numId w:val="57"/>
        </w:numPr>
      </w:pPr>
      <w:r w:rsidRPr="00A04EB8">
        <w:t>Health service system management function including sector assurance (e.g. major program, operations and cybersecurity).</w:t>
      </w:r>
    </w:p>
    <w:p w14:paraId="0DF93768" w14:textId="77777777" w:rsidR="00DD6160" w:rsidRPr="00A04EB8" w:rsidRDefault="00DD6160" w:rsidP="00DD6160">
      <w:pPr>
        <w:pStyle w:val="DHHSbody"/>
      </w:pPr>
      <w:r w:rsidRPr="00A04EB8">
        <w:t xml:space="preserve">Digital health program areas include: </w:t>
      </w:r>
    </w:p>
    <w:p w14:paraId="2CCF5172" w14:textId="77777777" w:rsidR="00DD6160" w:rsidRPr="00A04EB8" w:rsidRDefault="00DD6160" w:rsidP="00DD6160">
      <w:pPr>
        <w:pStyle w:val="DHHSbody"/>
        <w:numPr>
          <w:ilvl w:val="0"/>
          <w:numId w:val="56"/>
        </w:numPr>
      </w:pPr>
      <w:r w:rsidRPr="00A04EB8">
        <w:t>Health Sector Standards and Advisory which provide information on emerging health technologies, feasibility, architecture, design and integration.</w:t>
      </w:r>
    </w:p>
    <w:p w14:paraId="287452E4" w14:textId="77777777" w:rsidR="00DD6160" w:rsidRPr="00A04EB8" w:rsidRDefault="00DD6160" w:rsidP="00DD6160">
      <w:pPr>
        <w:pStyle w:val="DHHSbody"/>
        <w:numPr>
          <w:ilvl w:val="0"/>
          <w:numId w:val="56"/>
        </w:numPr>
      </w:pPr>
      <w:r w:rsidRPr="00A04EB8">
        <w:t>Sector Assurance which provides assurance on all approved health service projects funded or co-funded by the government to ensure health services operate safely, securely and cost-effectively.</w:t>
      </w:r>
    </w:p>
    <w:p w14:paraId="119CAB74" w14:textId="77777777" w:rsidR="00DD6160" w:rsidRPr="00A04EB8" w:rsidRDefault="00DD6160" w:rsidP="00DD6160">
      <w:pPr>
        <w:pStyle w:val="DHHSbody"/>
        <w:numPr>
          <w:ilvl w:val="0"/>
          <w:numId w:val="56"/>
        </w:numPr>
      </w:pPr>
      <w:r w:rsidRPr="00A04EB8">
        <w:t>Sector Governance and Reporting which provides governance and reporting on the system manager function and the overall digital health branch function</w:t>
      </w:r>
      <w:r>
        <w:t>.</w:t>
      </w:r>
    </w:p>
    <w:p w14:paraId="426A4494" w14:textId="77777777" w:rsidR="00DD6160" w:rsidRPr="00A04EB8" w:rsidRDefault="00DD6160" w:rsidP="00DD6160">
      <w:pPr>
        <w:pStyle w:val="DHHSbody"/>
        <w:numPr>
          <w:ilvl w:val="0"/>
          <w:numId w:val="56"/>
        </w:numPr>
      </w:pPr>
      <w:r w:rsidRPr="00A04EB8">
        <w:t>Health Sector Planning which provide planning and pipeline management for the health sector, managing concept proposals, business bases, funding bids and subsequently funding allocation and funding agreements.</w:t>
      </w:r>
    </w:p>
    <w:p w14:paraId="01D5A787" w14:textId="77777777" w:rsidR="00DD6160" w:rsidRDefault="00DD6160" w:rsidP="00DD6160">
      <w:pPr>
        <w:pStyle w:val="DHHSbody"/>
      </w:pPr>
      <w:r>
        <w:t>Health Sector Standards and Advisory (HSSA) is committed to open, independent and best practice view of healthcare Information and Communication Technology (ICT), application solution principles. HSSA can provide recommendations to the overarching enterprise application design and associated services to integrate healthcare applications. For this guide, HSSA will:</w:t>
      </w:r>
    </w:p>
    <w:p w14:paraId="7C889DA3" w14:textId="77777777" w:rsidR="00DD6160" w:rsidRDefault="00DD6160" w:rsidP="00DD6160">
      <w:pPr>
        <w:pStyle w:val="DHHSbody"/>
        <w:numPr>
          <w:ilvl w:val="0"/>
          <w:numId w:val="56"/>
        </w:numPr>
      </w:pPr>
      <w:r>
        <w:lastRenderedPageBreak/>
        <w:t>Deliver guides and advice around interoperability across healthcare applications</w:t>
      </w:r>
    </w:p>
    <w:p w14:paraId="20146DE1" w14:textId="77777777" w:rsidR="00DD6160" w:rsidRDefault="00DD6160" w:rsidP="00DD6160">
      <w:pPr>
        <w:pStyle w:val="DHHSbody"/>
        <w:numPr>
          <w:ilvl w:val="0"/>
          <w:numId w:val="56"/>
        </w:numPr>
      </w:pPr>
      <w:r>
        <w:t>Define messaging standards for Victorian health applications</w:t>
      </w:r>
    </w:p>
    <w:p w14:paraId="4AC81E4A" w14:textId="77777777" w:rsidR="00DD6160" w:rsidRDefault="00DD6160" w:rsidP="00DD6160">
      <w:pPr>
        <w:pStyle w:val="DHHSbody"/>
        <w:numPr>
          <w:ilvl w:val="0"/>
          <w:numId w:val="56"/>
        </w:numPr>
      </w:pPr>
      <w:r>
        <w:t>Facilitate a higher level of integration knowledge and associated quality processes in the Victorian health sector</w:t>
      </w:r>
    </w:p>
    <w:p w14:paraId="7A3ED6A5" w14:textId="77777777" w:rsidR="00DD6160" w:rsidRDefault="00DD6160" w:rsidP="00DD6160">
      <w:pPr>
        <w:pStyle w:val="DHHSbody"/>
        <w:numPr>
          <w:ilvl w:val="0"/>
          <w:numId w:val="56"/>
        </w:numPr>
      </w:pPr>
      <w:r>
        <w:t>Align innovation, efficiencies and effective use of ICT within health to encourage and drive standards-based approaches that encourage a high level of interoperability</w:t>
      </w:r>
      <w:bookmarkEnd w:id="13"/>
    </w:p>
    <w:p w14:paraId="591A0FEB" w14:textId="77777777" w:rsidR="00494136" w:rsidRPr="00494136" w:rsidRDefault="00494136" w:rsidP="00494136">
      <w:pPr>
        <w:pStyle w:val="DHHSbody"/>
        <w:rPr>
          <w:lang w:eastAsia="en-AU"/>
        </w:rPr>
      </w:pPr>
    </w:p>
    <w:p w14:paraId="57E19B10" w14:textId="77777777" w:rsidR="00395C0B" w:rsidRPr="00A62195" w:rsidRDefault="00E56870" w:rsidP="00FE2CCA">
      <w:pPr>
        <w:pStyle w:val="Heading2"/>
        <w:pageBreakBefore/>
        <w:ind w:left="578" w:hanging="578"/>
      </w:pPr>
      <w:bookmarkStart w:id="14" w:name="_Toc19269396"/>
      <w:r>
        <w:lastRenderedPageBreak/>
        <w:t>Background</w:t>
      </w:r>
      <w:bookmarkEnd w:id="14"/>
    </w:p>
    <w:p w14:paraId="050695D9" w14:textId="3B0836C7" w:rsidR="005B6C63" w:rsidRDefault="005B6C63" w:rsidP="004A5B2B">
      <w:pPr>
        <w:pStyle w:val="DHHSbody"/>
      </w:pPr>
      <w:r w:rsidRPr="00AD607C">
        <w:t xml:space="preserve">This document </w:t>
      </w:r>
      <w:r w:rsidR="00FA7C7C" w:rsidRPr="00AD607C">
        <w:t>includes</w:t>
      </w:r>
      <w:r w:rsidRPr="00AD607C">
        <w:t xml:space="preserve"> a list of </w:t>
      </w:r>
      <w:r w:rsidR="009674FE" w:rsidRPr="00AD607C">
        <w:t>high-level</w:t>
      </w:r>
      <w:r w:rsidRPr="00AD607C">
        <w:t xml:space="preserve"> principles and representative requirements that should be included in any tender for a PAS</w:t>
      </w:r>
      <w:r>
        <w:t>,</w:t>
      </w:r>
      <w:r w:rsidRPr="00AD607C">
        <w:t xml:space="preserve"> whether the solution is integrated or interfaced with an</w:t>
      </w:r>
      <w:r>
        <w:t xml:space="preserve"> EMR, Emergency Department System, Queuing System</w:t>
      </w:r>
      <w:r w:rsidRPr="00AD607C">
        <w:t xml:space="preserve"> or similar.</w:t>
      </w:r>
    </w:p>
    <w:p w14:paraId="68AF61EC" w14:textId="4A4022ED" w:rsidR="00F872BA" w:rsidRPr="008A6092" w:rsidRDefault="00F872BA" w:rsidP="004A5B2B">
      <w:pPr>
        <w:pStyle w:val="DHHSbody"/>
      </w:pPr>
      <w:r w:rsidRPr="008A6092">
        <w:t xml:space="preserve">The department has also spent many years delivering standards and guides to the Victorian Public Health Sector (VPHS) which not only supports interoperability within the state in the current environment, but positions health services to better receive and implement national initiatives, like My Health Record. It has been well noted by ADHA that the work that Victoria has undertaken over the past five years through the Digital Health branch (Formerly Office of the Chief Information Officer (OCIO)) has provided an excellent foundation for better national interoperability. </w:t>
      </w:r>
    </w:p>
    <w:p w14:paraId="2B4C8E80" w14:textId="77777777" w:rsidR="0086183E" w:rsidRDefault="0086183E" w:rsidP="004A5B2B">
      <w:pPr>
        <w:pStyle w:val="DHHSbody"/>
        <w:rPr>
          <w:lang w:eastAsia="en-AU"/>
        </w:rPr>
      </w:pPr>
      <w:r>
        <w:rPr>
          <w:lang w:eastAsia="en-AU"/>
        </w:rPr>
        <w:t>Some of these standards and guides include:</w:t>
      </w:r>
    </w:p>
    <w:p w14:paraId="33039054" w14:textId="77777777" w:rsidR="0086183E" w:rsidRDefault="0038293B" w:rsidP="004A5B2B">
      <w:pPr>
        <w:pStyle w:val="DHHSbullet1"/>
        <w:rPr>
          <w:lang w:eastAsia="en-AU"/>
        </w:rPr>
      </w:pPr>
      <w:r>
        <w:rPr>
          <w:lang w:eastAsia="en-AU"/>
        </w:rPr>
        <w:t>Digital Health Unified Standard</w:t>
      </w:r>
      <w:r>
        <w:rPr>
          <w:rStyle w:val="FootnoteReference"/>
          <w:lang w:eastAsia="en-AU"/>
        </w:rPr>
        <w:footnoteReference w:id="2"/>
      </w:r>
    </w:p>
    <w:p w14:paraId="2AC4B976" w14:textId="77777777" w:rsidR="004A5B2B" w:rsidRDefault="0086183E" w:rsidP="004A5B2B">
      <w:pPr>
        <w:pStyle w:val="DHHSbullet1"/>
        <w:rPr>
          <w:lang w:eastAsia="en-AU"/>
        </w:rPr>
      </w:pPr>
      <w:r>
        <w:rPr>
          <w:lang w:eastAsia="en-AU"/>
        </w:rPr>
        <w:t>Solution design architecture documentation</w:t>
      </w:r>
    </w:p>
    <w:p w14:paraId="580BC0A1" w14:textId="77777777" w:rsidR="004A5B2B" w:rsidRPr="004A5B2B" w:rsidRDefault="004A5B2B" w:rsidP="004A5B2B">
      <w:pPr>
        <w:pStyle w:val="DHHSbullet1"/>
        <w:rPr>
          <w:rFonts w:eastAsia="Times New Roman"/>
          <w:lang w:eastAsia="en-AU"/>
        </w:rPr>
      </w:pPr>
      <w:r w:rsidRPr="004A5B2B">
        <w:rPr>
          <w:rFonts w:eastAsia="Times New Roman"/>
          <w:lang w:eastAsia="en-AU"/>
        </w:rPr>
        <w:t xml:space="preserve">CIS and EMR Application and Interoperability Standard </w:t>
      </w:r>
    </w:p>
    <w:p w14:paraId="55E9B562" w14:textId="77777777" w:rsidR="0086183E" w:rsidRDefault="0086183E" w:rsidP="004A5B2B">
      <w:pPr>
        <w:pStyle w:val="DHHSbody"/>
        <w:rPr>
          <w:lang w:eastAsia="en-AU"/>
        </w:rPr>
      </w:pPr>
      <w:r>
        <w:rPr>
          <w:lang w:eastAsia="en-AU"/>
        </w:rPr>
        <w:t xml:space="preserve">More information on </w:t>
      </w:r>
      <w:r w:rsidR="007F7BDC">
        <w:rPr>
          <w:lang w:eastAsia="en-AU"/>
        </w:rPr>
        <w:t xml:space="preserve">ADHA </w:t>
      </w:r>
      <w:r>
        <w:rPr>
          <w:lang w:eastAsia="en-AU"/>
        </w:rPr>
        <w:t xml:space="preserve">and Victorian </w:t>
      </w:r>
      <w:r w:rsidR="00F872BA">
        <w:rPr>
          <w:lang w:eastAsia="en-AU"/>
        </w:rPr>
        <w:t xml:space="preserve">digital health </w:t>
      </w:r>
      <w:r>
        <w:rPr>
          <w:lang w:eastAsia="en-AU"/>
        </w:rPr>
        <w:t xml:space="preserve">standards can be found at: </w:t>
      </w:r>
    </w:p>
    <w:p w14:paraId="01E042BA" w14:textId="77777777" w:rsidR="007F7BDC" w:rsidRDefault="00373477" w:rsidP="004A5B2B">
      <w:pPr>
        <w:pStyle w:val="DHHSbullet1"/>
        <w:rPr>
          <w:lang w:eastAsia="en-AU"/>
        </w:rPr>
      </w:pPr>
      <w:hyperlink r:id="rId12" w:history="1">
        <w:r w:rsidR="007F7BDC" w:rsidRPr="007B013E">
          <w:rPr>
            <w:rStyle w:val="Hyperlink"/>
            <w:lang w:eastAsia="en-AU"/>
          </w:rPr>
          <w:t>https://www2.health.vic.gov.au/about/publications/policiesandguidelines/digital-design-unified-standard</w:t>
        </w:r>
      </w:hyperlink>
    </w:p>
    <w:p w14:paraId="136C900C" w14:textId="77777777" w:rsidR="007F7BDC" w:rsidRDefault="00373477" w:rsidP="004A5B2B">
      <w:pPr>
        <w:pStyle w:val="DHHSbullet1"/>
        <w:rPr>
          <w:lang w:eastAsia="en-AU"/>
        </w:rPr>
      </w:pPr>
      <w:hyperlink r:id="rId13" w:history="1">
        <w:r w:rsidR="007F7BDC" w:rsidRPr="004515A5">
          <w:rPr>
            <w:rStyle w:val="Hyperlink"/>
            <w:lang w:eastAsia="en-AU"/>
          </w:rPr>
          <w:t>www.standards.org.au</w:t>
        </w:r>
      </w:hyperlink>
    </w:p>
    <w:p w14:paraId="46DED1DC" w14:textId="77777777" w:rsidR="007F7BDC" w:rsidRDefault="00373477" w:rsidP="004A5B2B">
      <w:pPr>
        <w:pStyle w:val="DHHSbullet1"/>
        <w:rPr>
          <w:lang w:eastAsia="en-AU"/>
        </w:rPr>
      </w:pPr>
      <w:hyperlink r:id="rId14" w:history="1">
        <w:r w:rsidR="004A5B2B" w:rsidRPr="00DF6D81">
          <w:rPr>
            <w:rStyle w:val="Hyperlink"/>
            <w:lang w:eastAsia="en-AU"/>
          </w:rPr>
          <w:t>https://www2.health.vic.gov.au/hospitals-and-health-services/data-reporting/health-data-standards-systems</w:t>
        </w:r>
      </w:hyperlink>
    </w:p>
    <w:p w14:paraId="6D25C9EC" w14:textId="77777777" w:rsidR="007F7BDC" w:rsidRDefault="00373477" w:rsidP="004A5B2B">
      <w:pPr>
        <w:pStyle w:val="DHHSbullet1"/>
      </w:pPr>
      <w:hyperlink r:id="rId15" w:history="1">
        <w:r w:rsidR="004A5B2B" w:rsidRPr="00DF6D81">
          <w:rPr>
            <w:rStyle w:val="Hyperlink"/>
          </w:rPr>
          <w:t>https://www2.health.vic.gov.au/hospitals-and-health-services/planning-infrastructure/health-design-authority</w:t>
        </w:r>
      </w:hyperlink>
    </w:p>
    <w:p w14:paraId="5DC05D3E" w14:textId="01C3807F" w:rsidR="0086183E" w:rsidRPr="00AD607C" w:rsidRDefault="0086183E" w:rsidP="004A5B2B">
      <w:pPr>
        <w:pStyle w:val="DHHSbody"/>
      </w:pPr>
      <w:r w:rsidRPr="00906F1D">
        <w:t xml:space="preserve">Health </w:t>
      </w:r>
      <w:r w:rsidR="006132CC">
        <w:t>Sector Standards and Advisory (HSSA)</w:t>
      </w:r>
      <w:r>
        <w:t xml:space="preserve"> is currently engaged to </w:t>
      </w:r>
      <w:r w:rsidR="00FA7E2A">
        <w:t>help</w:t>
      </w:r>
      <w:r>
        <w:t xml:space="preserve"> </w:t>
      </w:r>
      <w:proofErr w:type="gramStart"/>
      <w:r>
        <w:t>a number of</w:t>
      </w:r>
      <w:proofErr w:type="gramEnd"/>
      <w:r>
        <w:t xml:space="preserve"> Victorian public health services looking to implement a new Patient Administration System (PAS), as part of an overall enterprise </w:t>
      </w:r>
      <w:r w:rsidRPr="00AD607C">
        <w:t>Electronic Medical Records (EMR) solution</w:t>
      </w:r>
      <w:r>
        <w:t>,</w:t>
      </w:r>
      <w:r w:rsidRPr="00AD607C">
        <w:t xml:space="preserve"> or as a</w:t>
      </w:r>
      <w:r w:rsidR="00F872BA">
        <w:t xml:space="preserve"> standalone yet</w:t>
      </w:r>
      <w:r w:rsidRPr="00AD607C">
        <w:t xml:space="preserve"> interfaced system </w:t>
      </w:r>
      <w:r w:rsidR="00F872BA">
        <w:t>to a</w:t>
      </w:r>
      <w:r w:rsidRPr="00AD607C">
        <w:t xml:space="preserve"> separate EMR. </w:t>
      </w:r>
      <w:r w:rsidR="006132CC">
        <w:t>HSSA</w:t>
      </w:r>
      <w:r w:rsidR="006132CC" w:rsidRPr="00AD607C">
        <w:t xml:space="preserve"> </w:t>
      </w:r>
      <w:r w:rsidR="00B021C1">
        <w:t xml:space="preserve">mandate is to </w:t>
      </w:r>
      <w:r w:rsidRPr="00AD607C">
        <w:t xml:space="preserve">guide health ICT initiatives towards an interoperable future </w:t>
      </w:r>
      <w:r w:rsidR="00B021C1" w:rsidRPr="00AD607C">
        <w:t>eHealth</w:t>
      </w:r>
      <w:r w:rsidRPr="00AD607C">
        <w:t xml:space="preserve"> environment </w:t>
      </w:r>
      <w:r w:rsidR="00FA7E2A" w:rsidRPr="00AD607C">
        <w:t>using</w:t>
      </w:r>
      <w:r w:rsidRPr="00AD607C">
        <w:t xml:space="preserve"> </w:t>
      </w:r>
      <w:r w:rsidR="00B021C1" w:rsidRPr="00AD607C">
        <w:t>well-established</w:t>
      </w:r>
      <w:r w:rsidRPr="00AD607C">
        <w:t xml:space="preserve"> standards, best practice guides, methodologies and principles. </w:t>
      </w:r>
    </w:p>
    <w:p w14:paraId="37C5ECC4" w14:textId="0D73BC2E" w:rsidR="0086183E" w:rsidRPr="00AD607C" w:rsidRDefault="0086183E" w:rsidP="004A5B2B">
      <w:pPr>
        <w:pStyle w:val="DHHSbody"/>
      </w:pPr>
      <w:r w:rsidRPr="00AD607C">
        <w:t xml:space="preserve">While health services are </w:t>
      </w:r>
      <w:r>
        <w:t xml:space="preserve">highly </w:t>
      </w:r>
      <w:r w:rsidRPr="00AD607C">
        <w:t>capable of determining functional requirements for their future PAS solution, they may have</w:t>
      </w:r>
      <w:r>
        <w:t xml:space="preserve"> had</w:t>
      </w:r>
      <w:r w:rsidRPr="00AD607C">
        <w:t xml:space="preserve"> less exposure to the new and future </w:t>
      </w:r>
      <w:r w:rsidR="00FA7C7C">
        <w:t>state-wide</w:t>
      </w:r>
      <w:r w:rsidR="00B021C1">
        <w:t xml:space="preserve"> and </w:t>
      </w:r>
      <w:r w:rsidRPr="00AD607C">
        <w:t xml:space="preserve">national </w:t>
      </w:r>
      <w:r w:rsidR="00B021C1">
        <w:t xml:space="preserve">eHealth </w:t>
      </w:r>
      <w:r w:rsidRPr="00AD607C">
        <w:t xml:space="preserve">requirements. </w:t>
      </w:r>
      <w:r w:rsidR="006132CC">
        <w:t>HSSA</w:t>
      </w:r>
      <w:r w:rsidR="006132CC" w:rsidRPr="00AD607C">
        <w:t xml:space="preserve"> </w:t>
      </w:r>
      <w:r w:rsidRPr="00AD607C">
        <w:t xml:space="preserve">can assist with identifying these requirements for the </w:t>
      </w:r>
      <w:r w:rsidR="007F5F16" w:rsidRPr="00AD607C">
        <w:t>PAS that will enable integration with national eHealth capabilities such as My Health Record</w:t>
      </w:r>
      <w:r w:rsidR="00B021C1">
        <w:t xml:space="preserve"> and</w:t>
      </w:r>
      <w:r w:rsidRPr="00AD607C">
        <w:t xml:space="preserve"> the HI Service</w:t>
      </w:r>
      <w:r w:rsidR="005F22D9">
        <w:t xml:space="preserve"> </w:t>
      </w:r>
      <w:r w:rsidR="00B021C1">
        <w:t>along with support to interface with the health services preferred EMR or clinical information system</w:t>
      </w:r>
      <w:r w:rsidR="007F5F16">
        <w:t>.</w:t>
      </w:r>
      <w:r w:rsidRPr="00AD607C">
        <w:t xml:space="preserve"> </w:t>
      </w:r>
    </w:p>
    <w:p w14:paraId="3F18DB7E" w14:textId="2C06DA99" w:rsidR="0086183E" w:rsidRPr="00AD607C" w:rsidRDefault="0086183E" w:rsidP="004A5B2B">
      <w:pPr>
        <w:pStyle w:val="DHHSbody"/>
      </w:pPr>
      <w:r w:rsidRPr="00AD607C">
        <w:t>In conjunction with national requirements, this document also provides a minimum set of principles and interoperability standards for the Victorian Public Health Sector (VPHS). This will ensure continued interoperability of data applications across the state</w:t>
      </w:r>
      <w:r>
        <w:t xml:space="preserve"> </w:t>
      </w:r>
      <w:r w:rsidRPr="00AD607C">
        <w:t xml:space="preserve">and position health services for </w:t>
      </w:r>
      <w:r w:rsidR="00B021C1">
        <w:t xml:space="preserve">both current and </w:t>
      </w:r>
      <w:r w:rsidRPr="00AD607C">
        <w:t>future</w:t>
      </w:r>
      <w:r>
        <w:t xml:space="preserve"> </w:t>
      </w:r>
      <w:r w:rsidR="00FA7C7C">
        <w:t>state-wide</w:t>
      </w:r>
      <w:r w:rsidR="00B021C1">
        <w:t xml:space="preserve"> and national eHealth </w:t>
      </w:r>
      <w:r w:rsidRPr="00AD607C">
        <w:t xml:space="preserve">directions. </w:t>
      </w:r>
    </w:p>
    <w:p w14:paraId="37A944C5" w14:textId="77777777" w:rsidR="0086183E" w:rsidRDefault="0086183E" w:rsidP="0086183E">
      <w:pPr>
        <w:pStyle w:val="DHHSbody"/>
      </w:pPr>
    </w:p>
    <w:p w14:paraId="73C004CB" w14:textId="77777777" w:rsidR="00F84578" w:rsidRPr="00A62195" w:rsidRDefault="00F84578" w:rsidP="00EB575F">
      <w:pPr>
        <w:pStyle w:val="Heading2"/>
        <w:pageBreakBefore/>
        <w:ind w:left="578" w:hanging="578"/>
      </w:pPr>
      <w:bookmarkStart w:id="15" w:name="_Toc19269397"/>
      <w:r>
        <w:lastRenderedPageBreak/>
        <w:t>Purpose</w:t>
      </w:r>
      <w:bookmarkEnd w:id="15"/>
    </w:p>
    <w:p w14:paraId="2884C7AC" w14:textId="63AC04DD" w:rsidR="00026081" w:rsidRPr="004A5B2B" w:rsidRDefault="00026081" w:rsidP="004A5B2B">
      <w:pPr>
        <w:pStyle w:val="DHHSbody"/>
      </w:pPr>
      <w:r w:rsidRPr="004A5B2B">
        <w:t xml:space="preserve">The purpose of this standard </w:t>
      </w:r>
      <w:r w:rsidR="00B021C1" w:rsidRPr="004A5B2B">
        <w:t>is</w:t>
      </w:r>
      <w:r w:rsidR="00516131" w:rsidRPr="004A5B2B">
        <w:t xml:space="preserve"> to</w:t>
      </w:r>
      <w:r w:rsidR="004D2B21" w:rsidRPr="004A5B2B">
        <w:t xml:space="preserve"> </w:t>
      </w:r>
      <w:r w:rsidR="00470EB8" w:rsidRPr="004A5B2B">
        <w:t>s</w:t>
      </w:r>
      <w:r w:rsidRPr="004A5B2B">
        <w:t xml:space="preserve">pecify the </w:t>
      </w:r>
      <w:r w:rsidR="00B021C1" w:rsidRPr="004A5B2B">
        <w:t>current and emerging Victorian and</w:t>
      </w:r>
      <w:r w:rsidR="00516131" w:rsidRPr="004A5B2B">
        <w:t xml:space="preserve"> national </w:t>
      </w:r>
      <w:r w:rsidRPr="004A5B2B">
        <w:t xml:space="preserve">requirements for the implementation of </w:t>
      </w:r>
      <w:r w:rsidR="00516131" w:rsidRPr="004A5B2B">
        <w:t>PAS</w:t>
      </w:r>
      <w:r w:rsidRPr="004A5B2B">
        <w:t xml:space="preserve"> by health services, </w:t>
      </w:r>
      <w:r w:rsidR="00FA7E2A" w:rsidRPr="004A5B2B">
        <w:t>to</w:t>
      </w:r>
      <w:r w:rsidRPr="004A5B2B">
        <w:t xml:space="preserve"> enable integration with national e</w:t>
      </w:r>
      <w:r w:rsidR="00516131" w:rsidRPr="004A5B2B">
        <w:t>H</w:t>
      </w:r>
      <w:r w:rsidRPr="004A5B2B">
        <w:t xml:space="preserve">ealth </w:t>
      </w:r>
      <w:r w:rsidR="00516131" w:rsidRPr="004A5B2B">
        <w:t>capabilities</w:t>
      </w:r>
      <w:r w:rsidRPr="004A5B2B">
        <w:t xml:space="preserve"> such as My Health Record, the HI service</w:t>
      </w:r>
      <w:r w:rsidR="00516131" w:rsidRPr="004A5B2B">
        <w:t xml:space="preserve"> and</w:t>
      </w:r>
      <w:r w:rsidRPr="004A5B2B">
        <w:t xml:space="preserve"> other state solutions</w:t>
      </w:r>
      <w:r w:rsidR="00B021C1" w:rsidRPr="004A5B2B">
        <w:t xml:space="preserve"> such as the State</w:t>
      </w:r>
      <w:r w:rsidR="005F22D9" w:rsidRPr="004A5B2B">
        <w:t>-</w:t>
      </w:r>
      <w:r w:rsidR="00B021C1" w:rsidRPr="004A5B2B">
        <w:t>wide UPI</w:t>
      </w:r>
      <w:r w:rsidRPr="004A5B2B">
        <w:t>.</w:t>
      </w:r>
    </w:p>
    <w:p w14:paraId="08ECE8EE" w14:textId="77777777" w:rsidR="00026081" w:rsidRPr="004A5B2B" w:rsidRDefault="00026081" w:rsidP="004A5B2B">
      <w:pPr>
        <w:pStyle w:val="DHHSbody"/>
      </w:pPr>
      <w:r w:rsidRPr="004A5B2B">
        <w:t xml:space="preserve">Health services should use this standard as a guide and include it as part of their initial requirements to acquire </w:t>
      </w:r>
      <w:r w:rsidR="004D2B21" w:rsidRPr="004A5B2B">
        <w:t xml:space="preserve">a </w:t>
      </w:r>
      <w:r w:rsidR="00516131" w:rsidRPr="004A5B2B">
        <w:t>PAS</w:t>
      </w:r>
      <w:r w:rsidR="00EF7923" w:rsidRPr="004A5B2B">
        <w:t xml:space="preserve"> </w:t>
      </w:r>
      <w:r w:rsidRPr="004A5B2B">
        <w:t>solution.</w:t>
      </w:r>
    </w:p>
    <w:p w14:paraId="03B0A4F7" w14:textId="77777777" w:rsidR="00C3284C" w:rsidRPr="00A62195" w:rsidRDefault="00C3284C" w:rsidP="00C3284C">
      <w:pPr>
        <w:pStyle w:val="Heading2"/>
      </w:pPr>
      <w:bookmarkStart w:id="16" w:name="_Toc19269398"/>
      <w:r>
        <w:t>Assumptions</w:t>
      </w:r>
      <w:bookmarkEnd w:id="16"/>
    </w:p>
    <w:p w14:paraId="2AB55B8B" w14:textId="77777777" w:rsidR="004D2B21" w:rsidRPr="008A6092" w:rsidRDefault="004D2B21" w:rsidP="004D2B21">
      <w:pPr>
        <w:pStyle w:val="DHHSbody"/>
      </w:pPr>
      <w:r w:rsidRPr="008A6092">
        <w:t>The assumptions for this standard are:</w:t>
      </w:r>
    </w:p>
    <w:p w14:paraId="0A85A5BC" w14:textId="1DFCF32B" w:rsidR="004D2B21" w:rsidRPr="00B00373" w:rsidRDefault="004D2B21" w:rsidP="004A5B2B">
      <w:pPr>
        <w:pStyle w:val="DHHSbullet1"/>
      </w:pPr>
      <w:r w:rsidRPr="00B00373">
        <w:t xml:space="preserve">Health services use the most recent and approved versions related to </w:t>
      </w:r>
      <w:r w:rsidR="00FA7C7C" w:rsidRPr="00B00373">
        <w:t>categories</w:t>
      </w:r>
      <w:r w:rsidRPr="00B00373">
        <w:t xml:space="preserve"> i.e. </w:t>
      </w:r>
      <w:r>
        <w:t>ICD-10-AM.</w:t>
      </w:r>
    </w:p>
    <w:p w14:paraId="4433E6A7" w14:textId="77777777" w:rsidR="004D2B21" w:rsidRDefault="004D2B21" w:rsidP="004A5B2B">
      <w:pPr>
        <w:pStyle w:val="DHHSbullet1"/>
      </w:pPr>
      <w:r w:rsidRPr="00B00373">
        <w:t xml:space="preserve">Where Health services are unable to comply with the standard, they will have roadmap for their </w:t>
      </w:r>
      <w:r>
        <w:t>PAS</w:t>
      </w:r>
      <w:r w:rsidRPr="00B00373">
        <w:t xml:space="preserve"> application to work towards </w:t>
      </w:r>
      <w:r>
        <w:t>compliance with this standard.</w:t>
      </w:r>
    </w:p>
    <w:p w14:paraId="162467D7" w14:textId="0C0970B5" w:rsidR="004D2B21" w:rsidRPr="00B00373" w:rsidRDefault="004D2B21" w:rsidP="004A5B2B">
      <w:pPr>
        <w:pStyle w:val="DHHSbullet1"/>
      </w:pPr>
      <w:r>
        <w:t xml:space="preserve">Applications provided by the department’s Health Technology Solutions i.e. </w:t>
      </w:r>
      <w:r w:rsidR="00FA7C7C">
        <w:t>state-wide</w:t>
      </w:r>
      <w:r>
        <w:t xml:space="preserve"> platforms such as iPM, comply with this standard. </w:t>
      </w:r>
    </w:p>
    <w:p w14:paraId="0DB06E69" w14:textId="77777777" w:rsidR="00214A41" w:rsidRPr="00A62195" w:rsidRDefault="00214A41" w:rsidP="00214A41">
      <w:pPr>
        <w:pStyle w:val="Heading2"/>
      </w:pPr>
      <w:bookmarkStart w:id="17" w:name="_Toc19269399"/>
      <w:r>
        <w:t>Scope</w:t>
      </w:r>
      <w:bookmarkEnd w:id="17"/>
    </w:p>
    <w:p w14:paraId="44887AAD" w14:textId="77777777" w:rsidR="00214A41" w:rsidRPr="00A62195" w:rsidRDefault="00214A41" w:rsidP="00214A41">
      <w:pPr>
        <w:pStyle w:val="Heading3"/>
      </w:pPr>
      <w:r w:rsidRPr="00A62195">
        <w:t xml:space="preserve">In </w:t>
      </w:r>
      <w:r>
        <w:t>S</w:t>
      </w:r>
      <w:r w:rsidRPr="00A62195">
        <w:t>cope</w:t>
      </w:r>
    </w:p>
    <w:p w14:paraId="42D71218" w14:textId="77777777" w:rsidR="00026081" w:rsidRPr="00B16303" w:rsidRDefault="00026081" w:rsidP="004D2B21">
      <w:pPr>
        <w:pStyle w:val="DHHSbody"/>
      </w:pPr>
      <w:r w:rsidRPr="00EF7923">
        <w:t>This standard include</w:t>
      </w:r>
      <w:r w:rsidR="00B16303">
        <w:t>s</w:t>
      </w:r>
      <w:r w:rsidRPr="00EF7923">
        <w:t xml:space="preserve"> a base set of</w:t>
      </w:r>
      <w:r w:rsidR="00B16303">
        <w:t xml:space="preserve"> specifications for</w:t>
      </w:r>
      <w:r w:rsidRPr="00B16303">
        <w:t>:</w:t>
      </w:r>
    </w:p>
    <w:p w14:paraId="4FDDF4FD" w14:textId="77777777" w:rsidR="00026081" w:rsidRPr="004A5B2B" w:rsidRDefault="00026081" w:rsidP="004A5B2B">
      <w:pPr>
        <w:pStyle w:val="DHHSbullet1"/>
      </w:pPr>
      <w:r w:rsidRPr="004A5B2B">
        <w:t>Interfac</w:t>
      </w:r>
      <w:r w:rsidR="00B16303" w:rsidRPr="004A5B2B">
        <w:t>es</w:t>
      </w:r>
    </w:p>
    <w:p w14:paraId="110C78B0" w14:textId="77777777" w:rsidR="00026081" w:rsidRPr="004A5B2B" w:rsidRDefault="00B16303" w:rsidP="004A5B2B">
      <w:pPr>
        <w:pStyle w:val="DHHSbullet1"/>
      </w:pPr>
      <w:r w:rsidRPr="004A5B2B">
        <w:t>Clinical t</w:t>
      </w:r>
      <w:r w:rsidR="00026081" w:rsidRPr="004A5B2B">
        <w:t>erminologies</w:t>
      </w:r>
    </w:p>
    <w:p w14:paraId="267EA532" w14:textId="77777777" w:rsidR="00026081" w:rsidRPr="004A5B2B" w:rsidRDefault="00026081" w:rsidP="004A5B2B">
      <w:pPr>
        <w:pStyle w:val="DHHSbullet1"/>
      </w:pPr>
      <w:r w:rsidRPr="004A5B2B">
        <w:t xml:space="preserve">EMR functionality </w:t>
      </w:r>
      <w:r w:rsidR="00E67DCD" w:rsidRPr="004A5B2B">
        <w:t xml:space="preserve">that </w:t>
      </w:r>
      <w:r w:rsidRPr="004A5B2B">
        <w:t>enable interoperability within and external to a health service.</w:t>
      </w:r>
    </w:p>
    <w:p w14:paraId="63943DE9" w14:textId="25DC0338" w:rsidR="007B11F0" w:rsidRPr="00A62195" w:rsidRDefault="007B11F0" w:rsidP="003838B0">
      <w:pPr>
        <w:pStyle w:val="Heading2"/>
      </w:pPr>
      <w:bookmarkStart w:id="18" w:name="_Toc19269400"/>
      <w:r w:rsidRPr="00A62195">
        <w:t>Audience</w:t>
      </w:r>
      <w:bookmarkEnd w:id="11"/>
      <w:r w:rsidR="00FE2865">
        <w:t>/Stakeholders</w:t>
      </w:r>
      <w:bookmarkEnd w:id="18"/>
    </w:p>
    <w:p w14:paraId="4918102D" w14:textId="77777777" w:rsidR="00B16303" w:rsidRDefault="00B16303" w:rsidP="00B16303">
      <w:pPr>
        <w:pStyle w:val="DHHSbullet1lastline"/>
        <w:numPr>
          <w:ilvl w:val="0"/>
          <w:numId w:val="0"/>
        </w:numPr>
      </w:pPr>
      <w:r>
        <w:t>This includes:</w:t>
      </w:r>
    </w:p>
    <w:p w14:paraId="3B3163D7" w14:textId="77777777" w:rsidR="00B16303" w:rsidRDefault="00B16303" w:rsidP="00B16303">
      <w:pPr>
        <w:pStyle w:val="DHHSbullet1"/>
      </w:pPr>
      <w:r>
        <w:t>Victoria Public Health Services</w:t>
      </w:r>
    </w:p>
    <w:p w14:paraId="70D0129C" w14:textId="77777777" w:rsidR="00B16303" w:rsidRDefault="00B16303" w:rsidP="00B16303">
      <w:pPr>
        <w:pStyle w:val="DHHSbullet1"/>
      </w:pPr>
      <w:r>
        <w:t>Digital Health branch</w:t>
      </w:r>
    </w:p>
    <w:p w14:paraId="7966CCE6" w14:textId="1173DAF7" w:rsidR="00B16303" w:rsidRDefault="00B16303" w:rsidP="00B16303">
      <w:pPr>
        <w:pStyle w:val="DHHSbullet1"/>
      </w:pPr>
      <w:r>
        <w:t>DHHS Health Sector Projects</w:t>
      </w:r>
    </w:p>
    <w:p w14:paraId="77CF98D9" w14:textId="77777777" w:rsidR="00B16303" w:rsidRDefault="00B16303" w:rsidP="00B16303">
      <w:pPr>
        <w:pStyle w:val="DHHSbullet1"/>
      </w:pPr>
      <w:r>
        <w:t>DHHS Health Technology Solutions</w:t>
      </w:r>
    </w:p>
    <w:p w14:paraId="7227C26D" w14:textId="77777777" w:rsidR="00E104CB" w:rsidRDefault="00E104CB" w:rsidP="00EC4C73"/>
    <w:p w14:paraId="081F4604" w14:textId="39CABDB7" w:rsidR="001F2313" w:rsidRPr="00A62195" w:rsidRDefault="001F2313" w:rsidP="008B7CB3">
      <w:pPr>
        <w:pStyle w:val="Heading1"/>
        <w:pageBreakBefore/>
        <w:spacing w:before="0" w:after="0" w:line="360" w:lineRule="auto"/>
        <w:ind w:left="0" w:firstLine="0"/>
      </w:pPr>
      <w:bookmarkStart w:id="19" w:name="_Toc19269401"/>
      <w:r>
        <w:lastRenderedPageBreak/>
        <w:t>Principle</w:t>
      </w:r>
      <w:r w:rsidR="00EB575F">
        <w:t xml:space="preserve"> and </w:t>
      </w:r>
      <w:r w:rsidR="002D33E5">
        <w:t>Standard</w:t>
      </w:r>
      <w:r w:rsidR="00EB575F">
        <w:t>s</w:t>
      </w:r>
      <w:bookmarkEnd w:id="19"/>
    </w:p>
    <w:p w14:paraId="32CDCD36" w14:textId="3B7D4A1A" w:rsidR="001A5AEA" w:rsidRDefault="00586EA9" w:rsidP="004A5B2B">
      <w:pPr>
        <w:pStyle w:val="DHHSbody"/>
      </w:pPr>
      <w:r w:rsidRPr="004A5B2B">
        <w:t>The following material defines the minimum set of standards that are to be adopted for a PAS</w:t>
      </w:r>
      <w:r w:rsidR="004A5B2B">
        <w:t xml:space="preserve"> </w:t>
      </w:r>
      <w:r w:rsidRPr="004A5B2B">
        <w:t>implementation. They are a base set of interface, terminology and functions that enable interoperability within and external to a health service. This is a minimum set of functional requirements for any implementation.</w:t>
      </w:r>
      <w:r w:rsidR="00D46273" w:rsidRPr="004A5B2B">
        <w:t xml:space="preserve"> </w:t>
      </w:r>
      <w:r w:rsidRPr="004A5B2B">
        <w:t xml:space="preserve">This standard supports the implementation of the VPHS Reference Architecture in the category of </w:t>
      </w:r>
      <w:r w:rsidR="007E78A3" w:rsidRPr="004A5B2B">
        <w:t>Patient Management – see below:</w:t>
      </w:r>
    </w:p>
    <w:p w14:paraId="509099CA" w14:textId="77777777" w:rsidR="004648BD" w:rsidRDefault="004648BD" w:rsidP="004A5B2B">
      <w:pPr>
        <w:pStyle w:val="DHHSbody"/>
      </w:pPr>
    </w:p>
    <w:p w14:paraId="19BE00F0" w14:textId="00E54B27" w:rsidR="00277191" w:rsidRPr="00596609" w:rsidRDefault="00277191" w:rsidP="00277191">
      <w:pPr>
        <w:pStyle w:val="Caption"/>
        <w:keepNext/>
        <w:jc w:val="left"/>
        <w:rPr>
          <w:b/>
          <w:i w:val="0"/>
        </w:rPr>
      </w:pPr>
      <w:bookmarkStart w:id="20" w:name="_Toc19269407"/>
      <w:r w:rsidRPr="00596609">
        <w:rPr>
          <w:b/>
          <w:i w:val="0"/>
        </w:rPr>
        <w:t xml:space="preserve">Figure </w:t>
      </w:r>
      <w:r w:rsidRPr="00596609">
        <w:rPr>
          <w:b/>
          <w:i w:val="0"/>
        </w:rPr>
        <w:fldChar w:fldCharType="begin"/>
      </w:r>
      <w:r w:rsidRPr="00596609">
        <w:rPr>
          <w:b/>
          <w:i w:val="0"/>
        </w:rPr>
        <w:instrText xml:space="preserve"> SEQ Figure \* ARABIC </w:instrText>
      </w:r>
      <w:r w:rsidRPr="00596609">
        <w:rPr>
          <w:b/>
          <w:i w:val="0"/>
        </w:rPr>
        <w:fldChar w:fldCharType="separate"/>
      </w:r>
      <w:r w:rsidR="00C6443F">
        <w:rPr>
          <w:b/>
          <w:i w:val="0"/>
        </w:rPr>
        <w:t>1</w:t>
      </w:r>
      <w:r w:rsidRPr="00596609">
        <w:rPr>
          <w:b/>
          <w:i w:val="0"/>
        </w:rPr>
        <w:fldChar w:fldCharType="end"/>
      </w:r>
      <w:r w:rsidRPr="00596609">
        <w:rPr>
          <w:b/>
          <w:i w:val="0"/>
        </w:rPr>
        <w:t>: VPHS Reference Architecture - Patient Management</w:t>
      </w:r>
      <w:bookmarkEnd w:id="20"/>
    </w:p>
    <w:p w14:paraId="2D89786A" w14:textId="28D0627C" w:rsidR="00492382" w:rsidRDefault="00492382" w:rsidP="004A5B2B">
      <w:pPr>
        <w:pStyle w:val="DHHSbody"/>
      </w:pPr>
      <w:r>
        <w:rPr>
          <w:noProof/>
        </w:rPr>
        <w:drawing>
          <wp:inline distT="0" distB="0" distL="0" distR="0" wp14:anchorId="5D5F02F7" wp14:editId="61BB6EDF">
            <wp:extent cx="5904865" cy="35991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04865" cy="3599180"/>
                    </a:xfrm>
                    <a:prstGeom prst="rect">
                      <a:avLst/>
                    </a:prstGeom>
                  </pic:spPr>
                </pic:pic>
              </a:graphicData>
            </a:graphic>
          </wp:inline>
        </w:drawing>
      </w:r>
    </w:p>
    <w:p w14:paraId="7AC69C5E" w14:textId="77777777" w:rsidR="00492382" w:rsidRDefault="00492382" w:rsidP="004A5B2B">
      <w:pPr>
        <w:pStyle w:val="DHHSbody"/>
      </w:pPr>
    </w:p>
    <w:p w14:paraId="6E7BFE47" w14:textId="15862DE4" w:rsidR="00E24ED8" w:rsidRDefault="00E24ED8" w:rsidP="004A5B2B">
      <w:pPr>
        <w:pStyle w:val="DHHSbody"/>
      </w:pPr>
    </w:p>
    <w:p w14:paraId="0C0D3581" w14:textId="77777777" w:rsidR="00673A95" w:rsidRPr="004A5B2B" w:rsidRDefault="00673A95" w:rsidP="004A5B2B">
      <w:pPr>
        <w:pStyle w:val="DHHSbody"/>
      </w:pPr>
    </w:p>
    <w:p w14:paraId="6D2243B9" w14:textId="77777777" w:rsidR="00EB575F" w:rsidRDefault="00EB575F" w:rsidP="00EB575F">
      <w:pPr>
        <w:pStyle w:val="BodyText"/>
        <w:rPr>
          <w:lang w:eastAsia="en-AU"/>
        </w:rPr>
      </w:pPr>
    </w:p>
    <w:p w14:paraId="568CF309" w14:textId="77777777" w:rsidR="00D46273" w:rsidRDefault="00D46273" w:rsidP="003A30B5">
      <w:pPr>
        <w:pStyle w:val="Heading2"/>
        <w:ind w:left="578" w:hanging="578"/>
        <w:sectPr w:rsidR="00D46273" w:rsidSect="0037468D">
          <w:headerReference w:type="even" r:id="rId17"/>
          <w:headerReference w:type="default" r:id="rId18"/>
          <w:footerReference w:type="even" r:id="rId19"/>
          <w:footerReference w:type="default" r:id="rId20"/>
          <w:footerReference w:type="first" r:id="rId21"/>
          <w:pgSz w:w="11907" w:h="16839" w:code="9"/>
          <w:pgMar w:top="1701" w:right="1304" w:bottom="1134" w:left="1304" w:header="454" w:footer="510" w:gutter="0"/>
          <w:cols w:space="720"/>
          <w:docGrid w:linePitch="360"/>
        </w:sectPr>
      </w:pPr>
      <w:bookmarkStart w:id="21" w:name="_Toc374517045"/>
    </w:p>
    <w:p w14:paraId="78549095" w14:textId="77777777" w:rsidR="00EB575F" w:rsidRDefault="00EB575F" w:rsidP="003A30B5">
      <w:pPr>
        <w:pStyle w:val="Heading2"/>
        <w:ind w:left="578" w:hanging="578"/>
      </w:pPr>
      <w:bookmarkStart w:id="22" w:name="_Toc19269402"/>
      <w:r>
        <w:lastRenderedPageBreak/>
        <w:t>Mandatory</w:t>
      </w:r>
      <w:bookmarkEnd w:id="21"/>
      <w:bookmarkEnd w:id="22"/>
    </w:p>
    <w:p w14:paraId="5F3BAF0B" w14:textId="77777777" w:rsidR="00EB575F" w:rsidRDefault="00586EA9" w:rsidP="004A5B2B">
      <w:pPr>
        <w:pStyle w:val="DHHSbody"/>
        <w:rPr>
          <w:lang w:eastAsia="en-AU"/>
        </w:rPr>
      </w:pPr>
      <w:r>
        <w:rPr>
          <w:lang w:eastAsia="en-AU"/>
        </w:rPr>
        <w:t>The following have been identified as mandatory requirements when implementing a</w:t>
      </w:r>
      <w:r w:rsidR="00BC357B">
        <w:rPr>
          <w:lang w:eastAsia="en-AU"/>
        </w:rPr>
        <w:t xml:space="preserve"> </w:t>
      </w:r>
      <w:r w:rsidR="001C4C78">
        <w:rPr>
          <w:lang w:eastAsia="en-AU"/>
        </w:rPr>
        <w:t>PAS.</w:t>
      </w:r>
    </w:p>
    <w:p w14:paraId="0FB73036" w14:textId="139A30A9" w:rsidR="001C4C78" w:rsidRDefault="001C4C78" w:rsidP="004A5B2B">
      <w:pPr>
        <w:pStyle w:val="DHHSbody"/>
        <w:rPr>
          <w:lang w:eastAsia="en-AU"/>
        </w:rPr>
      </w:pPr>
      <w:r>
        <w:rPr>
          <w:lang w:eastAsia="en-AU"/>
        </w:rPr>
        <w:t xml:space="preserve">It also </w:t>
      </w:r>
      <w:r w:rsidR="009674FE">
        <w:rPr>
          <w:lang w:eastAsia="en-AU"/>
        </w:rPr>
        <w:t>includes</w:t>
      </w:r>
      <w:r>
        <w:rPr>
          <w:lang w:eastAsia="en-AU"/>
        </w:rPr>
        <w:t xml:space="preserve"> a column, to indicate level of compliance by each agency. Level of compliance is based on agency’s own judgement and not a universal rating. A guide to the compliance rating </w:t>
      </w:r>
      <w:r w:rsidR="003512D1">
        <w:rPr>
          <w:lang w:eastAsia="en-AU"/>
        </w:rPr>
        <w:t>is as follows</w:t>
      </w:r>
      <w:r>
        <w:rPr>
          <w:lang w:eastAsia="en-AU"/>
        </w:rPr>
        <w:t>:</w:t>
      </w:r>
    </w:p>
    <w:p w14:paraId="01C13AB9" w14:textId="1112FC44" w:rsidR="001C4C78" w:rsidRPr="00C93B83" w:rsidRDefault="001C4C78" w:rsidP="00C93B83">
      <w:pPr>
        <w:pStyle w:val="DHHSbody"/>
        <w:rPr>
          <w:b/>
          <w:lang w:eastAsia="en-AU"/>
        </w:rPr>
      </w:pPr>
      <w:r w:rsidRPr="00F43F87">
        <w:rPr>
          <w:b/>
          <w:lang w:eastAsia="en-AU"/>
        </w:rPr>
        <w:t>1: None or Low compliance</w:t>
      </w:r>
      <w:r w:rsidRPr="00F43F87">
        <w:rPr>
          <w:b/>
          <w:lang w:eastAsia="en-AU"/>
        </w:rPr>
        <w:tab/>
      </w:r>
      <w:r w:rsidRPr="00F43F87">
        <w:rPr>
          <w:b/>
          <w:lang w:eastAsia="en-AU"/>
        </w:rPr>
        <w:tab/>
        <w:t>2: Partial compliance</w:t>
      </w:r>
      <w:r w:rsidRPr="00F43F87">
        <w:rPr>
          <w:b/>
          <w:lang w:eastAsia="en-AU"/>
        </w:rPr>
        <w:tab/>
      </w:r>
      <w:r w:rsidRPr="00F43F87">
        <w:rPr>
          <w:b/>
          <w:lang w:eastAsia="en-AU"/>
        </w:rPr>
        <w:tab/>
      </w:r>
      <w:r w:rsidRPr="00F43F87">
        <w:rPr>
          <w:b/>
          <w:lang w:eastAsia="en-AU"/>
        </w:rPr>
        <w:tab/>
        <w:t xml:space="preserve">3: Compliant </w:t>
      </w:r>
    </w:p>
    <w:tbl>
      <w:tblPr>
        <w:tblW w:w="5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415"/>
        <w:gridCol w:w="1559"/>
        <w:gridCol w:w="3791"/>
        <w:gridCol w:w="1453"/>
        <w:gridCol w:w="1558"/>
      </w:tblGrid>
      <w:tr w:rsidR="009674FE" w:rsidRPr="004046B8" w14:paraId="26FD30B7" w14:textId="77777777" w:rsidTr="009674FE">
        <w:tc>
          <w:tcPr>
            <w:tcW w:w="723" w:type="pct"/>
            <w:shd w:val="clear" w:color="auto" w:fill="auto"/>
          </w:tcPr>
          <w:p w14:paraId="6CF67A09" w14:textId="77777777" w:rsidR="00DF094F" w:rsidRPr="004046B8" w:rsidRDefault="00DF094F" w:rsidP="00FB2BC7">
            <w:pPr>
              <w:pStyle w:val="BodyText"/>
              <w:spacing w:beforeLines="40" w:before="96"/>
              <w:rPr>
                <w:b/>
                <w:lang w:eastAsia="en-AU"/>
              </w:rPr>
            </w:pPr>
            <w:r w:rsidRPr="004046B8">
              <w:rPr>
                <w:b/>
                <w:lang w:eastAsia="en-AU"/>
              </w:rPr>
              <w:t>Category</w:t>
            </w:r>
          </w:p>
        </w:tc>
        <w:tc>
          <w:tcPr>
            <w:tcW w:w="797" w:type="pct"/>
            <w:shd w:val="clear" w:color="auto" w:fill="auto"/>
          </w:tcPr>
          <w:p w14:paraId="46B49944" w14:textId="77777777" w:rsidR="00DF094F" w:rsidRPr="004046B8" w:rsidRDefault="00DF094F" w:rsidP="00FB2BC7">
            <w:pPr>
              <w:pStyle w:val="BodyText"/>
              <w:spacing w:beforeLines="40" w:before="96"/>
              <w:rPr>
                <w:b/>
                <w:lang w:eastAsia="en-AU"/>
              </w:rPr>
            </w:pPr>
            <w:r w:rsidRPr="004046B8">
              <w:rPr>
                <w:b/>
                <w:lang w:eastAsia="en-AU"/>
              </w:rPr>
              <w:t>Sub Category</w:t>
            </w:r>
          </w:p>
        </w:tc>
        <w:tc>
          <w:tcPr>
            <w:tcW w:w="1939" w:type="pct"/>
            <w:shd w:val="clear" w:color="auto" w:fill="auto"/>
          </w:tcPr>
          <w:p w14:paraId="1968A923" w14:textId="77777777" w:rsidR="00DF094F" w:rsidRPr="004046B8" w:rsidRDefault="00DF094F" w:rsidP="00FB2BC7">
            <w:pPr>
              <w:pStyle w:val="BodyText"/>
              <w:spacing w:beforeLines="40" w:before="96"/>
              <w:rPr>
                <w:b/>
                <w:lang w:eastAsia="en-AU"/>
              </w:rPr>
            </w:pPr>
            <w:r w:rsidRPr="004046B8">
              <w:rPr>
                <w:b/>
                <w:lang w:eastAsia="en-AU"/>
              </w:rPr>
              <w:t>Description</w:t>
            </w:r>
          </w:p>
        </w:tc>
        <w:tc>
          <w:tcPr>
            <w:tcW w:w="743" w:type="pct"/>
            <w:shd w:val="clear" w:color="auto" w:fill="auto"/>
          </w:tcPr>
          <w:p w14:paraId="5F2D589D" w14:textId="77777777" w:rsidR="00DF094F" w:rsidRPr="004046B8" w:rsidRDefault="00DF094F" w:rsidP="00FB2BC7">
            <w:pPr>
              <w:pStyle w:val="BodyText"/>
              <w:spacing w:beforeLines="40" w:before="96"/>
              <w:rPr>
                <w:b/>
                <w:lang w:eastAsia="en-AU"/>
              </w:rPr>
            </w:pPr>
            <w:r w:rsidRPr="004046B8">
              <w:rPr>
                <w:b/>
                <w:lang w:eastAsia="en-AU"/>
              </w:rPr>
              <w:t>Notes</w:t>
            </w:r>
          </w:p>
        </w:tc>
        <w:tc>
          <w:tcPr>
            <w:tcW w:w="797" w:type="pct"/>
          </w:tcPr>
          <w:p w14:paraId="69AD6203" w14:textId="77777777" w:rsidR="00DF094F" w:rsidRPr="004046B8" w:rsidRDefault="00DF094F" w:rsidP="00FB2BC7">
            <w:pPr>
              <w:pStyle w:val="BodyText"/>
              <w:spacing w:beforeLines="40" w:before="96"/>
              <w:rPr>
                <w:b/>
                <w:lang w:eastAsia="en-AU"/>
              </w:rPr>
            </w:pPr>
            <w:r w:rsidRPr="004046B8">
              <w:rPr>
                <w:b/>
                <w:lang w:eastAsia="en-AU"/>
              </w:rPr>
              <w:t>Agency</w:t>
            </w:r>
          </w:p>
          <w:p w14:paraId="3B960B45" w14:textId="77777777" w:rsidR="00DF094F" w:rsidRPr="004046B8" w:rsidRDefault="00DF094F" w:rsidP="00FB2BC7">
            <w:pPr>
              <w:pStyle w:val="BodyText"/>
              <w:spacing w:beforeLines="40" w:before="96"/>
              <w:rPr>
                <w:b/>
                <w:lang w:eastAsia="en-AU"/>
              </w:rPr>
            </w:pPr>
            <w:r w:rsidRPr="004046B8">
              <w:rPr>
                <w:b/>
                <w:lang w:eastAsia="en-AU"/>
              </w:rPr>
              <w:t>Compliance Rating</w:t>
            </w:r>
          </w:p>
          <w:p w14:paraId="063B2B6A" w14:textId="77777777" w:rsidR="00DF094F" w:rsidRPr="004046B8" w:rsidRDefault="00DF094F" w:rsidP="00FB2BC7">
            <w:pPr>
              <w:pStyle w:val="BodyText"/>
              <w:spacing w:beforeLines="40" w:before="96"/>
              <w:rPr>
                <w:b/>
                <w:lang w:eastAsia="en-AU"/>
              </w:rPr>
            </w:pPr>
            <w:r w:rsidRPr="004046B8">
              <w:rPr>
                <w:b/>
                <w:lang w:eastAsia="en-AU"/>
              </w:rPr>
              <w:t>(1 – 3)</w:t>
            </w:r>
          </w:p>
        </w:tc>
      </w:tr>
      <w:tr w:rsidR="009674FE" w14:paraId="24E72C0E" w14:textId="77777777" w:rsidTr="009674FE">
        <w:tc>
          <w:tcPr>
            <w:tcW w:w="723" w:type="pct"/>
            <w:shd w:val="clear" w:color="auto" w:fill="auto"/>
          </w:tcPr>
          <w:p w14:paraId="5A42A097" w14:textId="77777777" w:rsidR="00DF094F" w:rsidRDefault="00DF094F" w:rsidP="00FB2BC7">
            <w:pPr>
              <w:pStyle w:val="DHHStabletext"/>
            </w:pPr>
            <w:r>
              <w:t>Terminology</w:t>
            </w:r>
          </w:p>
        </w:tc>
        <w:tc>
          <w:tcPr>
            <w:tcW w:w="797" w:type="pct"/>
            <w:shd w:val="clear" w:color="auto" w:fill="auto"/>
          </w:tcPr>
          <w:p w14:paraId="49179EF7" w14:textId="77777777" w:rsidR="00DF094F" w:rsidRDefault="00DF094F" w:rsidP="00FB2BC7">
            <w:pPr>
              <w:pStyle w:val="DHHStabletext"/>
            </w:pPr>
            <w:r>
              <w:t>ICD-10-AM</w:t>
            </w:r>
          </w:p>
        </w:tc>
        <w:tc>
          <w:tcPr>
            <w:tcW w:w="1939" w:type="pct"/>
            <w:shd w:val="clear" w:color="auto" w:fill="auto"/>
          </w:tcPr>
          <w:p w14:paraId="2A3A48F7" w14:textId="77777777" w:rsidR="00DF094F" w:rsidRDefault="00DF094F" w:rsidP="00FB2BC7">
            <w:pPr>
              <w:pStyle w:val="DHHStabletext"/>
            </w:pPr>
            <w:r>
              <w:t>Must support ICD-10-AM (with incorporated ACHI procedure information) and future ICD versions that are endorsed for use in Victoria. Victoria has a specific adaptation of the Australian Standards ICD-10-AM terminology. Support for the Australian Standard and the Victorian modification is required.</w:t>
            </w:r>
          </w:p>
        </w:tc>
        <w:tc>
          <w:tcPr>
            <w:tcW w:w="743" w:type="pct"/>
            <w:shd w:val="clear" w:color="auto" w:fill="auto"/>
          </w:tcPr>
          <w:p w14:paraId="190E0067" w14:textId="77777777" w:rsidR="00DF094F" w:rsidRDefault="00DF094F" w:rsidP="00FB2BC7">
            <w:pPr>
              <w:pStyle w:val="DHHStabletext"/>
            </w:pPr>
            <w:r>
              <w:t>Current Requirement</w:t>
            </w:r>
          </w:p>
        </w:tc>
        <w:tc>
          <w:tcPr>
            <w:tcW w:w="797" w:type="pct"/>
          </w:tcPr>
          <w:p w14:paraId="49322CA2" w14:textId="77777777" w:rsidR="00DF094F" w:rsidRDefault="00DF094F" w:rsidP="00FB2BC7">
            <w:pPr>
              <w:pStyle w:val="DHHStabletext"/>
            </w:pPr>
          </w:p>
        </w:tc>
      </w:tr>
      <w:tr w:rsidR="009674FE" w14:paraId="11478533" w14:textId="77777777" w:rsidTr="009674FE">
        <w:tc>
          <w:tcPr>
            <w:tcW w:w="723" w:type="pct"/>
            <w:shd w:val="clear" w:color="auto" w:fill="auto"/>
          </w:tcPr>
          <w:p w14:paraId="5391C976" w14:textId="77777777" w:rsidR="00DF094F" w:rsidRDefault="00DF094F" w:rsidP="00FB2BC7">
            <w:pPr>
              <w:pStyle w:val="DHHStabletext"/>
            </w:pPr>
          </w:p>
        </w:tc>
        <w:tc>
          <w:tcPr>
            <w:tcW w:w="797" w:type="pct"/>
            <w:shd w:val="clear" w:color="auto" w:fill="auto"/>
          </w:tcPr>
          <w:p w14:paraId="1AEA8C6F" w14:textId="77777777" w:rsidR="00DF094F" w:rsidRDefault="00DF094F" w:rsidP="00FB2BC7">
            <w:pPr>
              <w:pStyle w:val="DHHStabletext"/>
            </w:pPr>
            <w:r>
              <w:t>Diagnosis and Procedure codes</w:t>
            </w:r>
          </w:p>
        </w:tc>
        <w:tc>
          <w:tcPr>
            <w:tcW w:w="1939" w:type="pct"/>
            <w:shd w:val="clear" w:color="auto" w:fill="auto"/>
          </w:tcPr>
          <w:p w14:paraId="331A4CA0" w14:textId="77777777" w:rsidR="00DF094F" w:rsidRDefault="00DF094F" w:rsidP="00FB3285">
            <w:pPr>
              <w:pStyle w:val="DHHStabletext"/>
            </w:pPr>
            <w:r>
              <w:t>A common national set of diagnosis and procedure terminology is to be used for clinical diagnosis and procedure codification. The accepted national and Victorian standard is ICD10.</w:t>
            </w:r>
          </w:p>
        </w:tc>
        <w:tc>
          <w:tcPr>
            <w:tcW w:w="743" w:type="pct"/>
            <w:shd w:val="clear" w:color="auto" w:fill="auto"/>
          </w:tcPr>
          <w:p w14:paraId="12FA68D9" w14:textId="77777777" w:rsidR="00DF094F" w:rsidRDefault="00DF094F" w:rsidP="00FB2BC7">
            <w:pPr>
              <w:pStyle w:val="DHHStabletext"/>
            </w:pPr>
            <w:r>
              <w:t>Current Requirement</w:t>
            </w:r>
          </w:p>
        </w:tc>
        <w:tc>
          <w:tcPr>
            <w:tcW w:w="797" w:type="pct"/>
          </w:tcPr>
          <w:p w14:paraId="2B9514B1" w14:textId="77777777" w:rsidR="00DF094F" w:rsidRDefault="00DF094F" w:rsidP="00FB2BC7">
            <w:pPr>
              <w:pStyle w:val="DHHStabletext"/>
            </w:pPr>
          </w:p>
        </w:tc>
      </w:tr>
      <w:tr w:rsidR="009674FE" w14:paraId="1E2DC71F" w14:textId="77777777" w:rsidTr="009674FE">
        <w:tc>
          <w:tcPr>
            <w:tcW w:w="723" w:type="pct"/>
            <w:shd w:val="clear" w:color="auto" w:fill="auto"/>
          </w:tcPr>
          <w:p w14:paraId="7FCDA028" w14:textId="77777777" w:rsidR="00DF094F" w:rsidRDefault="00DF094F" w:rsidP="003004BD">
            <w:pPr>
              <w:pStyle w:val="DHHStabletext"/>
            </w:pPr>
            <w:r>
              <w:t>Provider Management</w:t>
            </w:r>
          </w:p>
        </w:tc>
        <w:tc>
          <w:tcPr>
            <w:tcW w:w="797" w:type="pct"/>
            <w:shd w:val="clear" w:color="auto" w:fill="auto"/>
          </w:tcPr>
          <w:p w14:paraId="0E862C4D" w14:textId="77777777" w:rsidR="00DF094F" w:rsidRDefault="00DF094F" w:rsidP="003004BD">
            <w:pPr>
              <w:pStyle w:val="DHHStabletext"/>
            </w:pPr>
            <w:r>
              <w:t>NHSD</w:t>
            </w:r>
          </w:p>
        </w:tc>
        <w:tc>
          <w:tcPr>
            <w:tcW w:w="1939" w:type="pct"/>
            <w:shd w:val="clear" w:color="auto" w:fill="auto"/>
          </w:tcPr>
          <w:p w14:paraId="4C5E2C8F" w14:textId="77777777" w:rsidR="00DF094F" w:rsidRDefault="00DF094F" w:rsidP="003004BD">
            <w:pPr>
              <w:pStyle w:val="DHHStabletext"/>
            </w:pPr>
            <w:r>
              <w:t>National Health Services Directory (previously the Victorian Human Services Directory). The product must use the content from the NHSD for external general practitioner and specialist information.</w:t>
            </w:r>
          </w:p>
          <w:p w14:paraId="53E058B1" w14:textId="77777777" w:rsidR="00DF094F" w:rsidRDefault="00DF094F" w:rsidP="003004BD">
            <w:pPr>
              <w:pStyle w:val="DHHStabletext"/>
            </w:pPr>
            <w:r>
              <w:t>Process HL7 messaging for automated updates of NHSD information into the PAS, as per HSSA HL7 standards.</w:t>
            </w:r>
          </w:p>
        </w:tc>
        <w:tc>
          <w:tcPr>
            <w:tcW w:w="743" w:type="pct"/>
            <w:shd w:val="clear" w:color="auto" w:fill="auto"/>
          </w:tcPr>
          <w:p w14:paraId="60B769F9" w14:textId="77777777" w:rsidR="00DF094F" w:rsidRDefault="00DF094F" w:rsidP="003004BD">
            <w:pPr>
              <w:pStyle w:val="DHHStabletext"/>
            </w:pPr>
            <w:r>
              <w:t>Current Requirement</w:t>
            </w:r>
          </w:p>
        </w:tc>
        <w:tc>
          <w:tcPr>
            <w:tcW w:w="797" w:type="pct"/>
          </w:tcPr>
          <w:p w14:paraId="77694FF8" w14:textId="77777777" w:rsidR="00DF094F" w:rsidRDefault="00DF094F" w:rsidP="003004BD">
            <w:pPr>
              <w:pStyle w:val="DHHStabletext"/>
            </w:pPr>
          </w:p>
        </w:tc>
      </w:tr>
      <w:tr w:rsidR="009674FE" w14:paraId="1392B4A1" w14:textId="77777777" w:rsidTr="009674FE">
        <w:tc>
          <w:tcPr>
            <w:tcW w:w="723" w:type="pct"/>
            <w:shd w:val="clear" w:color="auto" w:fill="auto"/>
          </w:tcPr>
          <w:p w14:paraId="5D3CA4A3" w14:textId="77777777" w:rsidR="00DF094F" w:rsidRDefault="00DF094F" w:rsidP="003004BD">
            <w:pPr>
              <w:pStyle w:val="DHHStabletext"/>
            </w:pPr>
            <w:r>
              <w:t>Interfacing</w:t>
            </w:r>
          </w:p>
        </w:tc>
        <w:tc>
          <w:tcPr>
            <w:tcW w:w="797" w:type="pct"/>
            <w:shd w:val="clear" w:color="auto" w:fill="auto"/>
          </w:tcPr>
          <w:p w14:paraId="7A84D9C7" w14:textId="77777777" w:rsidR="00DF094F" w:rsidRDefault="00DF094F" w:rsidP="003004BD">
            <w:pPr>
              <w:pStyle w:val="DHHStabletext"/>
            </w:pPr>
            <w:r>
              <w:t>HL7 Standards for application to application interfacing</w:t>
            </w:r>
          </w:p>
        </w:tc>
        <w:tc>
          <w:tcPr>
            <w:tcW w:w="1939" w:type="pct"/>
            <w:shd w:val="clear" w:color="auto" w:fill="auto"/>
          </w:tcPr>
          <w:p w14:paraId="55A39BF5" w14:textId="77777777" w:rsidR="00DF094F" w:rsidRDefault="00DF094F" w:rsidP="003004BD">
            <w:pPr>
              <w:pStyle w:val="DHHStabletext"/>
            </w:pPr>
            <w:r>
              <w:t>Alignment and adoption with the Digital Health HL7 Guidelines and code sets: “Digital Health Unified Implementation Guide”.</w:t>
            </w:r>
          </w:p>
          <w:p w14:paraId="00A2D8CE" w14:textId="77777777" w:rsidR="00DF094F" w:rsidRDefault="00373477" w:rsidP="003004BD">
            <w:pPr>
              <w:pStyle w:val="DHHStabletext"/>
            </w:pPr>
            <w:hyperlink r:id="rId22" w:history="1">
              <w:r w:rsidR="00DF094F" w:rsidRPr="0035087F">
                <w:rPr>
                  <w:rStyle w:val="Hyperlink"/>
                </w:rPr>
                <w:t>http://www.health.vic.gov.au/designauthority/catalogues.htm</w:t>
              </w:r>
            </w:hyperlink>
          </w:p>
          <w:p w14:paraId="0263FF4D" w14:textId="77777777" w:rsidR="00DF094F" w:rsidRDefault="00DF094F" w:rsidP="003004BD">
            <w:pPr>
              <w:pStyle w:val="DHHStabletext"/>
            </w:pPr>
            <w:r>
              <w:t>Where the HSSA Guidelines do not apply, adherence at a minimum to HL7 v2.4 Australian Standards.</w:t>
            </w:r>
          </w:p>
          <w:p w14:paraId="5145E3BF" w14:textId="77777777" w:rsidR="00DF094F" w:rsidRDefault="00DF094F" w:rsidP="003004BD">
            <w:pPr>
              <w:pStyle w:val="DHHStabletext"/>
            </w:pPr>
            <w:r>
              <w:t>This information also provides standard codes and details on Medication Order interfaces and Orders interfaces.</w:t>
            </w:r>
          </w:p>
        </w:tc>
        <w:tc>
          <w:tcPr>
            <w:tcW w:w="743" w:type="pct"/>
            <w:shd w:val="clear" w:color="auto" w:fill="auto"/>
          </w:tcPr>
          <w:p w14:paraId="013EF343" w14:textId="77777777" w:rsidR="00DF094F" w:rsidRPr="00835892" w:rsidRDefault="00DF094F" w:rsidP="003004BD">
            <w:pPr>
              <w:pStyle w:val="DHHStabletext"/>
            </w:pPr>
            <w:r>
              <w:t>Current Requirement</w:t>
            </w:r>
          </w:p>
        </w:tc>
        <w:tc>
          <w:tcPr>
            <w:tcW w:w="797" w:type="pct"/>
          </w:tcPr>
          <w:p w14:paraId="67070689" w14:textId="77777777" w:rsidR="00DF094F" w:rsidRDefault="00DF094F" w:rsidP="003004BD">
            <w:pPr>
              <w:pStyle w:val="DHHStabletext"/>
            </w:pPr>
          </w:p>
        </w:tc>
      </w:tr>
      <w:tr w:rsidR="009674FE" w14:paraId="60EDA0D9" w14:textId="77777777" w:rsidTr="009674FE">
        <w:tc>
          <w:tcPr>
            <w:tcW w:w="723" w:type="pct"/>
            <w:shd w:val="clear" w:color="auto" w:fill="auto"/>
          </w:tcPr>
          <w:p w14:paraId="7E2830EB" w14:textId="77777777" w:rsidR="00DF094F" w:rsidRDefault="00DF094F" w:rsidP="00FF10F7">
            <w:pPr>
              <w:pStyle w:val="DHHStabletext"/>
            </w:pPr>
          </w:p>
        </w:tc>
        <w:tc>
          <w:tcPr>
            <w:tcW w:w="797" w:type="pct"/>
            <w:shd w:val="clear" w:color="auto" w:fill="auto"/>
          </w:tcPr>
          <w:p w14:paraId="66E99C8F" w14:textId="77777777" w:rsidR="00DF094F" w:rsidRDefault="00DF094F" w:rsidP="00FF10F7">
            <w:pPr>
              <w:pStyle w:val="DHHStabletext"/>
            </w:pPr>
            <w:r>
              <w:t>Outpatient Queue Management</w:t>
            </w:r>
          </w:p>
        </w:tc>
        <w:tc>
          <w:tcPr>
            <w:tcW w:w="1939" w:type="pct"/>
            <w:shd w:val="clear" w:color="auto" w:fill="auto"/>
          </w:tcPr>
          <w:p w14:paraId="2B27F716" w14:textId="77777777" w:rsidR="00DF094F" w:rsidRDefault="00DF094F" w:rsidP="00FF10F7">
            <w:pPr>
              <w:pStyle w:val="DHHStabletext"/>
            </w:pPr>
            <w:r>
              <w:t xml:space="preserve">Where the PAS also includes an outpatient booking module, the PAS outpatient module must be capable of receiving inbound HL7 messaging to process a minimal set of standard fields, </w:t>
            </w:r>
            <w:r>
              <w:lastRenderedPageBreak/>
              <w:t xml:space="preserve">as defined by the HSSA HL7 standard for queue systems (e.g. attendance status update from the queue management software). In this case, the outpatient system is still the master system for the management of appointment details and the associated distribution of HL7 details. </w:t>
            </w:r>
          </w:p>
          <w:p w14:paraId="373ED85D" w14:textId="77777777" w:rsidR="00DF094F" w:rsidRDefault="00DF094F" w:rsidP="00FF10F7">
            <w:pPr>
              <w:pStyle w:val="DHHStabletext"/>
            </w:pPr>
            <w:r>
              <w:rPr>
                <w:rFonts w:cs="Arial"/>
              </w:rPr>
              <w:t>Please contact the HSSA for information on the queuing system specification.</w:t>
            </w:r>
          </w:p>
        </w:tc>
        <w:tc>
          <w:tcPr>
            <w:tcW w:w="743" w:type="pct"/>
            <w:shd w:val="clear" w:color="auto" w:fill="auto"/>
          </w:tcPr>
          <w:p w14:paraId="00FF4BAB" w14:textId="77777777" w:rsidR="00DF094F" w:rsidRDefault="00DF094F" w:rsidP="00FF10F7">
            <w:pPr>
              <w:pStyle w:val="DHHStabletext"/>
            </w:pPr>
            <w:r>
              <w:lastRenderedPageBreak/>
              <w:t>Current Requirement</w:t>
            </w:r>
          </w:p>
        </w:tc>
        <w:tc>
          <w:tcPr>
            <w:tcW w:w="797" w:type="pct"/>
          </w:tcPr>
          <w:p w14:paraId="5D069777" w14:textId="77777777" w:rsidR="00DF094F" w:rsidRDefault="00DF094F" w:rsidP="00FF10F7">
            <w:pPr>
              <w:pStyle w:val="DHHStabletext"/>
            </w:pPr>
          </w:p>
        </w:tc>
      </w:tr>
      <w:tr w:rsidR="009674FE" w14:paraId="380C3F23" w14:textId="77777777" w:rsidTr="009674FE">
        <w:tc>
          <w:tcPr>
            <w:tcW w:w="723" w:type="pct"/>
            <w:shd w:val="clear" w:color="auto" w:fill="auto"/>
          </w:tcPr>
          <w:p w14:paraId="17408A5D" w14:textId="77777777" w:rsidR="00DF094F" w:rsidRDefault="00DF094F" w:rsidP="00FF10F7">
            <w:pPr>
              <w:pStyle w:val="DHHStabletext"/>
            </w:pPr>
          </w:p>
        </w:tc>
        <w:tc>
          <w:tcPr>
            <w:tcW w:w="797" w:type="pct"/>
            <w:shd w:val="clear" w:color="auto" w:fill="auto"/>
          </w:tcPr>
          <w:p w14:paraId="2208C9FC" w14:textId="77777777" w:rsidR="00DF094F" w:rsidRDefault="00DF094F" w:rsidP="00FF10F7">
            <w:pPr>
              <w:pStyle w:val="DHHStabletext"/>
            </w:pPr>
            <w:r>
              <w:t>Patient Registration and details updates</w:t>
            </w:r>
          </w:p>
        </w:tc>
        <w:tc>
          <w:tcPr>
            <w:tcW w:w="1939" w:type="pct"/>
            <w:shd w:val="clear" w:color="auto" w:fill="auto"/>
          </w:tcPr>
          <w:p w14:paraId="463984DD" w14:textId="77777777" w:rsidR="00DF094F" w:rsidRDefault="00DF094F" w:rsidP="00FF10F7">
            <w:pPr>
              <w:pStyle w:val="DHHStabletext"/>
            </w:pPr>
            <w:r>
              <w:t xml:space="preserve">Patient registration details and identifiers are allocated by the PAS system, as the master and recognized authoritative source. Ongoing, bi-directional patient detail updates across applications is not an endorsed practice.  </w:t>
            </w:r>
          </w:p>
          <w:p w14:paraId="27AAF498" w14:textId="77777777" w:rsidR="00DF094F" w:rsidRDefault="00DF094F" w:rsidP="00FF10F7">
            <w:pPr>
              <w:pStyle w:val="DHHStabletext"/>
            </w:pPr>
            <w:r>
              <w:t>The Systems Integration Advisory Committee (SIAC) for Victoria has endorsed emergency department system as a special case for this standard (e.g. for a quick registration process), however, even in this case, the above principle still applies.</w:t>
            </w:r>
          </w:p>
        </w:tc>
        <w:tc>
          <w:tcPr>
            <w:tcW w:w="743" w:type="pct"/>
            <w:shd w:val="clear" w:color="auto" w:fill="auto"/>
          </w:tcPr>
          <w:p w14:paraId="64762AAE" w14:textId="77777777" w:rsidR="00DF094F" w:rsidRDefault="00DF094F" w:rsidP="00FF10F7">
            <w:pPr>
              <w:pStyle w:val="DHHStabletext"/>
            </w:pPr>
            <w:r>
              <w:t>Current Requirement</w:t>
            </w:r>
          </w:p>
        </w:tc>
        <w:tc>
          <w:tcPr>
            <w:tcW w:w="797" w:type="pct"/>
          </w:tcPr>
          <w:p w14:paraId="24504FA5" w14:textId="77777777" w:rsidR="00DF094F" w:rsidRDefault="00DF094F" w:rsidP="00FF10F7">
            <w:pPr>
              <w:pStyle w:val="DHHStabletext"/>
            </w:pPr>
          </w:p>
        </w:tc>
      </w:tr>
      <w:tr w:rsidR="009674FE" w14:paraId="2B4CC908" w14:textId="77777777" w:rsidTr="009674FE">
        <w:tc>
          <w:tcPr>
            <w:tcW w:w="723" w:type="pct"/>
            <w:shd w:val="clear" w:color="auto" w:fill="auto"/>
          </w:tcPr>
          <w:p w14:paraId="48DF0585" w14:textId="77777777" w:rsidR="00DF094F" w:rsidRDefault="00DF094F" w:rsidP="0007749E">
            <w:pPr>
              <w:pStyle w:val="DHHStabletext"/>
            </w:pPr>
            <w:r>
              <w:t>ADHA</w:t>
            </w:r>
          </w:p>
        </w:tc>
        <w:tc>
          <w:tcPr>
            <w:tcW w:w="797" w:type="pct"/>
            <w:shd w:val="clear" w:color="auto" w:fill="auto"/>
          </w:tcPr>
          <w:p w14:paraId="2EE3970F" w14:textId="77777777" w:rsidR="00DF094F" w:rsidRDefault="00DF094F" w:rsidP="0007749E">
            <w:pPr>
              <w:pStyle w:val="DHHStabletext"/>
            </w:pPr>
            <w:r>
              <w:t>IHI</w:t>
            </w:r>
          </w:p>
        </w:tc>
        <w:tc>
          <w:tcPr>
            <w:tcW w:w="1939" w:type="pct"/>
            <w:shd w:val="clear" w:color="auto" w:fill="auto"/>
          </w:tcPr>
          <w:p w14:paraId="6C26E8D2" w14:textId="2BB20DBB" w:rsidR="00DF094F" w:rsidRDefault="00DF094F" w:rsidP="0007749E">
            <w:pPr>
              <w:pStyle w:val="DHHStabletext"/>
            </w:pPr>
            <w:r>
              <w:t>Individual Healthcare Identifiers specifications. Capability to validate and store the national IHI. An Australian resident that is enrolled with Medicare or holds a Department of Veterans Affairs (DVA) treatment card is automatically allocated an IHI</w:t>
            </w:r>
            <w:r>
              <w:rPr>
                <w:rStyle w:val="FootnoteReference"/>
              </w:rPr>
              <w:footnoteReference w:id="3"/>
            </w:r>
            <w:r>
              <w:t xml:space="preserve">. General capability to link and </w:t>
            </w:r>
            <w:r w:rsidR="007F5F16">
              <w:t xml:space="preserve">store </w:t>
            </w:r>
            <w:r w:rsidR="002E0E0E">
              <w:t>several</w:t>
            </w:r>
            <w:r>
              <w:t xml:space="preserve"> national and local patient identifiers.</w:t>
            </w:r>
          </w:p>
          <w:p w14:paraId="2BBEC058" w14:textId="5E784DBD" w:rsidR="00DF094F" w:rsidRDefault="00DF094F" w:rsidP="0007749E">
            <w:pPr>
              <w:pStyle w:val="DHHStabletext"/>
            </w:pPr>
            <w:r>
              <w:t>Eclipse Medicare Number validation processes</w:t>
            </w:r>
            <w:r w:rsidR="00531658">
              <w:t xml:space="preserve"> when a patient first presents</w:t>
            </w:r>
            <w:r>
              <w:t xml:space="preserve"> </w:t>
            </w:r>
            <w:r w:rsidR="00A71C8E">
              <w:t>to</w:t>
            </w:r>
            <w:r>
              <w:t xml:space="preserve"> assist in IHI matching accuracy into the future.</w:t>
            </w:r>
          </w:p>
          <w:p w14:paraId="4FE5B3C7" w14:textId="77777777" w:rsidR="00DF094F" w:rsidRDefault="00DF094F" w:rsidP="0007749E">
            <w:pPr>
              <w:pStyle w:val="DHHStabletext"/>
            </w:pPr>
            <w:r>
              <w:t xml:space="preserve">Where IHI management functionality is available within the </w:t>
            </w:r>
            <w:r w:rsidR="007F5F16">
              <w:t>PAS,</w:t>
            </w:r>
            <w:r>
              <w:t xml:space="preserve"> this must be utilised.</w:t>
            </w:r>
          </w:p>
        </w:tc>
        <w:tc>
          <w:tcPr>
            <w:tcW w:w="743" w:type="pct"/>
            <w:shd w:val="clear" w:color="auto" w:fill="auto"/>
          </w:tcPr>
          <w:p w14:paraId="3A2EC1E5" w14:textId="77777777" w:rsidR="00DF094F" w:rsidRDefault="00DF094F" w:rsidP="0007749E">
            <w:pPr>
              <w:pStyle w:val="DHHStabletext"/>
            </w:pPr>
            <w:r>
              <w:t>Current Requirement</w:t>
            </w:r>
          </w:p>
        </w:tc>
        <w:tc>
          <w:tcPr>
            <w:tcW w:w="797" w:type="pct"/>
          </w:tcPr>
          <w:p w14:paraId="2ED1378C" w14:textId="77777777" w:rsidR="00DF094F" w:rsidRDefault="00DF094F" w:rsidP="0007749E">
            <w:pPr>
              <w:pStyle w:val="DHHStabletext"/>
            </w:pPr>
          </w:p>
        </w:tc>
      </w:tr>
      <w:tr w:rsidR="009674FE" w14:paraId="076255F0" w14:textId="77777777" w:rsidTr="009674FE">
        <w:tc>
          <w:tcPr>
            <w:tcW w:w="723" w:type="pct"/>
            <w:shd w:val="clear" w:color="auto" w:fill="auto"/>
          </w:tcPr>
          <w:p w14:paraId="3BC90336" w14:textId="77777777" w:rsidR="00DF094F" w:rsidRDefault="00DF094F" w:rsidP="0007749E">
            <w:pPr>
              <w:pStyle w:val="DHHStabletext"/>
            </w:pPr>
            <w:r>
              <w:t>Localisation to Australian and Victorian requirements</w:t>
            </w:r>
          </w:p>
        </w:tc>
        <w:tc>
          <w:tcPr>
            <w:tcW w:w="797" w:type="pct"/>
            <w:shd w:val="clear" w:color="auto" w:fill="auto"/>
          </w:tcPr>
          <w:p w14:paraId="298CF726" w14:textId="77777777" w:rsidR="00DF094F" w:rsidRDefault="00DF094F" w:rsidP="0007749E">
            <w:pPr>
              <w:pStyle w:val="DHHStabletext"/>
            </w:pPr>
            <w:r>
              <w:t>Reporting</w:t>
            </w:r>
          </w:p>
        </w:tc>
        <w:tc>
          <w:tcPr>
            <w:tcW w:w="1939" w:type="pct"/>
            <w:shd w:val="clear" w:color="auto" w:fill="auto"/>
          </w:tcPr>
          <w:p w14:paraId="1FF2400D" w14:textId="77777777" w:rsidR="00DF094F" w:rsidRDefault="00DF094F" w:rsidP="0007749E">
            <w:pPr>
              <w:pStyle w:val="DHHStabletext"/>
            </w:pPr>
            <w:r>
              <w:t>Victorian regulatory and statutory reporting requirements, where relevant (e.g. VEMD, VAED, VINAH, ESIS)</w:t>
            </w:r>
          </w:p>
          <w:p w14:paraId="2B9004FF" w14:textId="77777777" w:rsidR="00DF094F" w:rsidRPr="00CC0331" w:rsidRDefault="00DF094F" w:rsidP="0007749E">
            <w:pPr>
              <w:pStyle w:val="DHHStabletext"/>
            </w:pPr>
          </w:p>
        </w:tc>
        <w:tc>
          <w:tcPr>
            <w:tcW w:w="743" w:type="pct"/>
            <w:shd w:val="clear" w:color="auto" w:fill="auto"/>
          </w:tcPr>
          <w:p w14:paraId="4F1C6F0C" w14:textId="77777777" w:rsidR="00DF094F" w:rsidRDefault="00DF094F" w:rsidP="0007749E">
            <w:pPr>
              <w:pStyle w:val="DHHStabletext"/>
            </w:pPr>
            <w:r>
              <w:t>Current Requirement</w:t>
            </w:r>
          </w:p>
        </w:tc>
        <w:tc>
          <w:tcPr>
            <w:tcW w:w="797" w:type="pct"/>
          </w:tcPr>
          <w:p w14:paraId="10DCF2FC" w14:textId="77777777" w:rsidR="00DF094F" w:rsidRDefault="00DF094F" w:rsidP="0007749E">
            <w:pPr>
              <w:pStyle w:val="DHHStabletext"/>
            </w:pPr>
          </w:p>
        </w:tc>
      </w:tr>
      <w:tr w:rsidR="009674FE" w14:paraId="5B624AF8" w14:textId="77777777" w:rsidTr="009674FE">
        <w:tc>
          <w:tcPr>
            <w:tcW w:w="723" w:type="pct"/>
            <w:shd w:val="clear" w:color="auto" w:fill="auto"/>
          </w:tcPr>
          <w:p w14:paraId="628787FD" w14:textId="77777777" w:rsidR="00DF094F" w:rsidRDefault="00DF094F" w:rsidP="0007749E">
            <w:pPr>
              <w:pStyle w:val="DHHStabletext"/>
            </w:pPr>
            <w:r>
              <w:t>Regulatory</w:t>
            </w:r>
          </w:p>
        </w:tc>
        <w:tc>
          <w:tcPr>
            <w:tcW w:w="797" w:type="pct"/>
            <w:shd w:val="clear" w:color="auto" w:fill="auto"/>
          </w:tcPr>
          <w:p w14:paraId="0478F0C5" w14:textId="77777777" w:rsidR="00DF094F" w:rsidRDefault="00DF094F" w:rsidP="0007749E">
            <w:pPr>
              <w:pStyle w:val="DHHStabletext"/>
            </w:pPr>
            <w:r>
              <w:t>PBS</w:t>
            </w:r>
          </w:p>
        </w:tc>
        <w:tc>
          <w:tcPr>
            <w:tcW w:w="1939" w:type="pct"/>
            <w:shd w:val="clear" w:color="auto" w:fill="auto"/>
          </w:tcPr>
          <w:p w14:paraId="2EB972B6" w14:textId="77777777" w:rsidR="00DF094F" w:rsidRDefault="00DF094F" w:rsidP="0007749E">
            <w:pPr>
              <w:pStyle w:val="DHHStabletext"/>
            </w:pPr>
            <w:r>
              <w:t>Must support the capture of information to support Australian PBS regulatory requirements</w:t>
            </w:r>
          </w:p>
        </w:tc>
        <w:tc>
          <w:tcPr>
            <w:tcW w:w="743" w:type="pct"/>
            <w:shd w:val="clear" w:color="auto" w:fill="auto"/>
          </w:tcPr>
          <w:p w14:paraId="1B726BFD" w14:textId="77777777" w:rsidR="00DF094F" w:rsidRDefault="00DF094F" w:rsidP="0007749E">
            <w:pPr>
              <w:pStyle w:val="DHHStabletext"/>
            </w:pPr>
            <w:r>
              <w:t>Current Requirement</w:t>
            </w:r>
          </w:p>
        </w:tc>
        <w:tc>
          <w:tcPr>
            <w:tcW w:w="797" w:type="pct"/>
          </w:tcPr>
          <w:p w14:paraId="0FA58169" w14:textId="77777777" w:rsidR="00DF094F" w:rsidRDefault="00DF094F" w:rsidP="0007749E">
            <w:pPr>
              <w:pStyle w:val="DHHStabletext"/>
            </w:pPr>
          </w:p>
        </w:tc>
      </w:tr>
    </w:tbl>
    <w:p w14:paraId="64E30447" w14:textId="3D002015" w:rsidR="00EB575F" w:rsidRDefault="00EB575F" w:rsidP="00A14738">
      <w:pPr>
        <w:pStyle w:val="Heading2"/>
        <w:pageBreakBefore/>
        <w:ind w:left="578" w:hanging="578"/>
      </w:pPr>
      <w:bookmarkStart w:id="23" w:name="_Toc374517046"/>
      <w:bookmarkStart w:id="24" w:name="_Toc19269403"/>
      <w:r>
        <w:lastRenderedPageBreak/>
        <w:t xml:space="preserve">Currently optional / </w:t>
      </w:r>
      <w:r w:rsidR="00A71C8E">
        <w:t>f</w:t>
      </w:r>
      <w:r>
        <w:t>uture capability for alignment</w:t>
      </w:r>
      <w:bookmarkEnd w:id="23"/>
      <w:bookmarkEnd w:id="24"/>
    </w:p>
    <w:p w14:paraId="7427FF1E" w14:textId="77777777" w:rsidR="00EF2D02" w:rsidRPr="004A5B2B" w:rsidRDefault="00EF2D02" w:rsidP="004A5B2B">
      <w:pPr>
        <w:pStyle w:val="DHHSbody"/>
      </w:pPr>
      <w:r w:rsidRPr="004A5B2B">
        <w:t xml:space="preserve">The following key minimum requirements have been identified for a PAS as additional capabilities to support enhanced interoperability. </w:t>
      </w: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898"/>
        <w:gridCol w:w="3085"/>
        <w:gridCol w:w="1673"/>
        <w:gridCol w:w="1350"/>
      </w:tblGrid>
      <w:tr w:rsidR="00835BDB" w:rsidRPr="00DA1F66" w14:paraId="5A5BAD79" w14:textId="77777777" w:rsidTr="00492382">
        <w:tc>
          <w:tcPr>
            <w:tcW w:w="737" w:type="pct"/>
            <w:shd w:val="clear" w:color="auto" w:fill="auto"/>
          </w:tcPr>
          <w:p w14:paraId="3D730E3F" w14:textId="77777777" w:rsidR="00835BDB" w:rsidRPr="00DA1F66" w:rsidRDefault="00835BDB" w:rsidP="00F872BA">
            <w:pPr>
              <w:pStyle w:val="BodyText"/>
              <w:spacing w:beforeLines="40" w:before="96"/>
              <w:rPr>
                <w:b/>
                <w:lang w:eastAsia="en-AU"/>
              </w:rPr>
            </w:pPr>
            <w:r w:rsidRPr="00DA1F66">
              <w:rPr>
                <w:b/>
                <w:lang w:eastAsia="en-AU"/>
              </w:rPr>
              <w:t>Category</w:t>
            </w:r>
          </w:p>
        </w:tc>
        <w:tc>
          <w:tcPr>
            <w:tcW w:w="1011" w:type="pct"/>
            <w:shd w:val="clear" w:color="auto" w:fill="auto"/>
          </w:tcPr>
          <w:p w14:paraId="01F6538B" w14:textId="77777777" w:rsidR="00835BDB" w:rsidRPr="00DA1F66" w:rsidRDefault="00835BDB" w:rsidP="00F872BA">
            <w:pPr>
              <w:pStyle w:val="BodyText"/>
              <w:spacing w:beforeLines="40" w:before="96"/>
              <w:rPr>
                <w:b/>
                <w:lang w:eastAsia="en-AU"/>
              </w:rPr>
            </w:pPr>
            <w:r w:rsidRPr="00DA1F66">
              <w:rPr>
                <w:b/>
                <w:lang w:eastAsia="en-AU"/>
              </w:rPr>
              <w:t>Sub Category</w:t>
            </w:r>
          </w:p>
        </w:tc>
        <w:tc>
          <w:tcPr>
            <w:tcW w:w="1643" w:type="pct"/>
            <w:shd w:val="clear" w:color="auto" w:fill="auto"/>
          </w:tcPr>
          <w:p w14:paraId="61EFA800" w14:textId="77777777" w:rsidR="00835BDB" w:rsidRPr="00DA1F66" w:rsidRDefault="00835BDB" w:rsidP="00F872BA">
            <w:pPr>
              <w:pStyle w:val="BodyText"/>
              <w:spacing w:beforeLines="40" w:before="96"/>
              <w:rPr>
                <w:b/>
                <w:lang w:eastAsia="en-AU"/>
              </w:rPr>
            </w:pPr>
            <w:r w:rsidRPr="00DA1F66">
              <w:rPr>
                <w:b/>
                <w:lang w:eastAsia="en-AU"/>
              </w:rPr>
              <w:t>Description</w:t>
            </w:r>
          </w:p>
        </w:tc>
        <w:tc>
          <w:tcPr>
            <w:tcW w:w="891" w:type="pct"/>
            <w:shd w:val="clear" w:color="auto" w:fill="auto"/>
          </w:tcPr>
          <w:p w14:paraId="420D0429" w14:textId="77777777" w:rsidR="00835BDB" w:rsidRPr="00DA1F66" w:rsidRDefault="00835BDB" w:rsidP="00F872BA">
            <w:pPr>
              <w:pStyle w:val="BodyText"/>
              <w:spacing w:beforeLines="40" w:before="96"/>
              <w:rPr>
                <w:b/>
                <w:lang w:eastAsia="en-AU"/>
              </w:rPr>
            </w:pPr>
            <w:r w:rsidRPr="00DA1F66">
              <w:rPr>
                <w:b/>
                <w:lang w:eastAsia="en-AU"/>
              </w:rPr>
              <w:t>Mandatory/Non</w:t>
            </w:r>
          </w:p>
        </w:tc>
        <w:tc>
          <w:tcPr>
            <w:tcW w:w="719" w:type="pct"/>
          </w:tcPr>
          <w:p w14:paraId="0865628E" w14:textId="77777777" w:rsidR="00835BDB" w:rsidRPr="004046B8" w:rsidRDefault="00835BDB" w:rsidP="00835BDB">
            <w:pPr>
              <w:pStyle w:val="BodyText"/>
              <w:spacing w:beforeLines="40" w:before="96"/>
              <w:rPr>
                <w:b/>
                <w:lang w:eastAsia="en-AU"/>
              </w:rPr>
            </w:pPr>
            <w:r w:rsidRPr="004046B8">
              <w:rPr>
                <w:b/>
                <w:lang w:eastAsia="en-AU"/>
              </w:rPr>
              <w:t>Agency</w:t>
            </w:r>
          </w:p>
          <w:p w14:paraId="348283E7" w14:textId="77777777" w:rsidR="00835BDB" w:rsidRPr="004046B8" w:rsidRDefault="00835BDB" w:rsidP="00835BDB">
            <w:pPr>
              <w:pStyle w:val="BodyText"/>
              <w:spacing w:beforeLines="40" w:before="96"/>
              <w:rPr>
                <w:b/>
                <w:lang w:eastAsia="en-AU"/>
              </w:rPr>
            </w:pPr>
            <w:r w:rsidRPr="004046B8">
              <w:rPr>
                <w:b/>
                <w:lang w:eastAsia="en-AU"/>
              </w:rPr>
              <w:t>Compliance Rating</w:t>
            </w:r>
          </w:p>
          <w:p w14:paraId="0E0B161A" w14:textId="77777777" w:rsidR="00835BDB" w:rsidRPr="00DA1F66" w:rsidRDefault="00835BDB" w:rsidP="00835BDB">
            <w:pPr>
              <w:pStyle w:val="BodyText"/>
              <w:spacing w:beforeLines="40" w:before="96"/>
              <w:rPr>
                <w:b/>
                <w:lang w:eastAsia="en-AU"/>
              </w:rPr>
            </w:pPr>
            <w:r w:rsidRPr="004046B8">
              <w:rPr>
                <w:b/>
                <w:lang w:eastAsia="en-AU"/>
              </w:rPr>
              <w:t>(1 – 3)</w:t>
            </w:r>
          </w:p>
        </w:tc>
      </w:tr>
      <w:tr w:rsidR="007F5F16" w14:paraId="288869E3" w14:textId="77777777" w:rsidTr="00492382">
        <w:tc>
          <w:tcPr>
            <w:tcW w:w="737" w:type="pct"/>
            <w:vMerge w:val="restart"/>
            <w:shd w:val="clear" w:color="auto" w:fill="auto"/>
          </w:tcPr>
          <w:p w14:paraId="0A1AE67C" w14:textId="77777777" w:rsidR="007F5F16" w:rsidRDefault="007F5F16" w:rsidP="00F872BA">
            <w:pPr>
              <w:pStyle w:val="BodyText"/>
              <w:spacing w:beforeLines="40" w:before="96"/>
              <w:rPr>
                <w:lang w:eastAsia="en-AU"/>
              </w:rPr>
            </w:pPr>
            <w:r>
              <w:rPr>
                <w:lang w:eastAsia="en-AU"/>
              </w:rPr>
              <w:t>Australian Digital Health Agency</w:t>
            </w:r>
          </w:p>
        </w:tc>
        <w:tc>
          <w:tcPr>
            <w:tcW w:w="1011" w:type="pct"/>
            <w:shd w:val="clear" w:color="auto" w:fill="auto"/>
          </w:tcPr>
          <w:p w14:paraId="4508C943" w14:textId="77777777" w:rsidR="007F5F16" w:rsidRDefault="007F5F16" w:rsidP="00F872BA">
            <w:pPr>
              <w:pStyle w:val="BodyText"/>
              <w:spacing w:beforeLines="40" w:before="96"/>
              <w:rPr>
                <w:lang w:eastAsia="en-AU"/>
              </w:rPr>
            </w:pPr>
            <w:r>
              <w:rPr>
                <w:lang w:eastAsia="en-AU"/>
              </w:rPr>
              <w:t>eReferral</w:t>
            </w:r>
          </w:p>
        </w:tc>
        <w:tc>
          <w:tcPr>
            <w:tcW w:w="1643" w:type="pct"/>
            <w:shd w:val="clear" w:color="auto" w:fill="auto"/>
          </w:tcPr>
          <w:p w14:paraId="7D1DDB3D" w14:textId="77777777" w:rsidR="007F5F16" w:rsidRDefault="007F5F16" w:rsidP="00F872BA">
            <w:pPr>
              <w:pStyle w:val="BodyText"/>
              <w:spacing w:beforeLines="40" w:before="96"/>
              <w:rPr>
                <w:lang w:eastAsia="en-AU"/>
              </w:rPr>
            </w:pPr>
            <w:r>
              <w:rPr>
                <w:lang w:eastAsia="en-AU"/>
              </w:rPr>
              <w:t>Ability to send and receive ADHA conformant CDA eReferral</w:t>
            </w:r>
          </w:p>
          <w:p w14:paraId="7D70B36F" w14:textId="77777777" w:rsidR="007F5F16" w:rsidRDefault="007F5F16" w:rsidP="00F872BA">
            <w:pPr>
              <w:pStyle w:val="BodyText"/>
              <w:spacing w:beforeLines="40" w:before="96"/>
              <w:rPr>
                <w:lang w:eastAsia="en-AU"/>
              </w:rPr>
            </w:pPr>
            <w:r w:rsidRPr="00504DD1">
              <w:rPr>
                <w:lang w:eastAsia="en-AU"/>
              </w:rPr>
              <w:t>https://www.digitalhealth.gov.au/</w:t>
            </w:r>
          </w:p>
        </w:tc>
        <w:tc>
          <w:tcPr>
            <w:tcW w:w="891" w:type="pct"/>
            <w:shd w:val="clear" w:color="auto" w:fill="auto"/>
          </w:tcPr>
          <w:p w14:paraId="67A0A853" w14:textId="77777777" w:rsidR="007F5F16" w:rsidRDefault="007F5F16" w:rsidP="00F872BA">
            <w:pPr>
              <w:pStyle w:val="BodyText"/>
              <w:spacing w:beforeLines="40" w:before="96"/>
              <w:rPr>
                <w:lang w:eastAsia="en-AU"/>
              </w:rPr>
            </w:pPr>
            <w:r>
              <w:rPr>
                <w:lang w:eastAsia="en-AU"/>
              </w:rPr>
              <w:t>Mandatory future requirement</w:t>
            </w:r>
          </w:p>
          <w:p w14:paraId="196673DD" w14:textId="77777777" w:rsidR="007F5F16" w:rsidRDefault="007F5F16" w:rsidP="00F872BA">
            <w:pPr>
              <w:pStyle w:val="BodyText"/>
              <w:spacing w:beforeLines="40" w:before="96"/>
              <w:rPr>
                <w:lang w:eastAsia="en-AU"/>
              </w:rPr>
            </w:pPr>
            <w:proofErr w:type="gramStart"/>
            <w:r>
              <w:rPr>
                <w:lang w:eastAsia="en-AU"/>
              </w:rPr>
              <w:t>3-4 year</w:t>
            </w:r>
            <w:proofErr w:type="gramEnd"/>
            <w:r>
              <w:rPr>
                <w:lang w:eastAsia="en-AU"/>
              </w:rPr>
              <w:t xml:space="preserve"> adoption timeframe</w:t>
            </w:r>
          </w:p>
        </w:tc>
        <w:tc>
          <w:tcPr>
            <w:tcW w:w="719" w:type="pct"/>
          </w:tcPr>
          <w:p w14:paraId="0A77947E" w14:textId="77777777" w:rsidR="007F5F16" w:rsidRDefault="007F5F16" w:rsidP="00F872BA">
            <w:pPr>
              <w:pStyle w:val="BodyText"/>
              <w:spacing w:beforeLines="40" w:before="96"/>
              <w:rPr>
                <w:lang w:eastAsia="en-AU"/>
              </w:rPr>
            </w:pPr>
          </w:p>
        </w:tc>
      </w:tr>
      <w:tr w:rsidR="007F5F16" w14:paraId="25CED574" w14:textId="77777777" w:rsidTr="00492382">
        <w:tc>
          <w:tcPr>
            <w:tcW w:w="737" w:type="pct"/>
            <w:vMerge/>
            <w:shd w:val="clear" w:color="auto" w:fill="auto"/>
          </w:tcPr>
          <w:p w14:paraId="1452E137" w14:textId="77777777" w:rsidR="007F5F16" w:rsidRDefault="007F5F16" w:rsidP="00F872BA">
            <w:pPr>
              <w:pStyle w:val="BodyText"/>
              <w:spacing w:beforeLines="40" w:before="96"/>
              <w:rPr>
                <w:lang w:eastAsia="en-AU"/>
              </w:rPr>
            </w:pPr>
          </w:p>
        </w:tc>
        <w:tc>
          <w:tcPr>
            <w:tcW w:w="1011" w:type="pct"/>
            <w:shd w:val="clear" w:color="auto" w:fill="auto"/>
          </w:tcPr>
          <w:p w14:paraId="4A96B3DA" w14:textId="77777777" w:rsidR="007F5F16" w:rsidRDefault="007F5F16" w:rsidP="00F872BA">
            <w:pPr>
              <w:pStyle w:val="BodyText"/>
              <w:spacing w:beforeLines="40" w:before="96"/>
              <w:rPr>
                <w:lang w:eastAsia="en-AU"/>
              </w:rPr>
            </w:pPr>
            <w:r>
              <w:rPr>
                <w:lang w:eastAsia="en-AU"/>
              </w:rPr>
              <w:t>Discharge Summary</w:t>
            </w:r>
          </w:p>
        </w:tc>
        <w:tc>
          <w:tcPr>
            <w:tcW w:w="1643" w:type="pct"/>
            <w:shd w:val="clear" w:color="auto" w:fill="auto"/>
          </w:tcPr>
          <w:p w14:paraId="127E86DE" w14:textId="77777777" w:rsidR="007F5F16" w:rsidRDefault="007F5F16" w:rsidP="00F872BA">
            <w:pPr>
              <w:pStyle w:val="BodyText"/>
              <w:spacing w:beforeLines="40" w:before="96"/>
              <w:rPr>
                <w:lang w:eastAsia="en-AU"/>
              </w:rPr>
            </w:pPr>
            <w:r>
              <w:rPr>
                <w:lang w:eastAsia="en-AU"/>
              </w:rPr>
              <w:t>Discharge summaries are typically generated from an EMR. In the instance where the future direction is to send this information to an external organisation from the PAS, then the following requirement applies:</w:t>
            </w:r>
          </w:p>
          <w:p w14:paraId="1B08AFDE" w14:textId="77777777" w:rsidR="007F5F16" w:rsidRDefault="007F5F16" w:rsidP="00F872BA">
            <w:pPr>
              <w:pStyle w:val="BodyText"/>
              <w:spacing w:beforeLines="40" w:before="96"/>
              <w:rPr>
                <w:lang w:eastAsia="en-AU"/>
              </w:rPr>
            </w:pPr>
            <w:r>
              <w:rPr>
                <w:lang w:eastAsia="en-AU"/>
              </w:rPr>
              <w:t xml:space="preserve">Ability to send and receive ADHA conformant CDA Discharge Summary where the PAS is generating a Discharge Summary. </w:t>
            </w:r>
          </w:p>
          <w:p w14:paraId="374F9A7C" w14:textId="77777777" w:rsidR="007F5F16" w:rsidRDefault="007F5F16" w:rsidP="00F872BA">
            <w:pPr>
              <w:pStyle w:val="BodyText"/>
              <w:spacing w:beforeLines="40" w:before="96"/>
              <w:rPr>
                <w:lang w:eastAsia="en-AU"/>
              </w:rPr>
            </w:pPr>
            <w:r w:rsidRPr="00504DD1">
              <w:rPr>
                <w:lang w:eastAsia="en-AU"/>
              </w:rPr>
              <w:t>https://www.digitalhealth.gov.au/</w:t>
            </w:r>
          </w:p>
        </w:tc>
        <w:tc>
          <w:tcPr>
            <w:tcW w:w="891" w:type="pct"/>
            <w:shd w:val="clear" w:color="auto" w:fill="auto"/>
          </w:tcPr>
          <w:p w14:paraId="03E661CA" w14:textId="77777777" w:rsidR="007F5F16" w:rsidRDefault="007F5F16" w:rsidP="00F872BA">
            <w:pPr>
              <w:pStyle w:val="BodyText"/>
              <w:spacing w:beforeLines="40" w:before="96"/>
              <w:rPr>
                <w:lang w:eastAsia="en-AU"/>
              </w:rPr>
            </w:pPr>
            <w:r>
              <w:rPr>
                <w:lang w:eastAsia="en-AU"/>
              </w:rPr>
              <w:t>Mandatory future requirement</w:t>
            </w:r>
          </w:p>
          <w:p w14:paraId="38423496" w14:textId="77777777" w:rsidR="007F5F16" w:rsidRDefault="007F5F16" w:rsidP="00F872BA">
            <w:pPr>
              <w:pStyle w:val="BodyText"/>
              <w:spacing w:beforeLines="40" w:before="96"/>
              <w:rPr>
                <w:lang w:eastAsia="en-AU"/>
              </w:rPr>
            </w:pPr>
            <w:proofErr w:type="gramStart"/>
            <w:r>
              <w:rPr>
                <w:lang w:eastAsia="en-AU"/>
              </w:rPr>
              <w:t>3-4 year</w:t>
            </w:r>
            <w:proofErr w:type="gramEnd"/>
            <w:r>
              <w:rPr>
                <w:lang w:eastAsia="en-AU"/>
              </w:rPr>
              <w:t xml:space="preserve"> adoption timeframe</w:t>
            </w:r>
          </w:p>
          <w:p w14:paraId="5EE82CCA" w14:textId="77777777" w:rsidR="007F5F16" w:rsidRDefault="007F5F16" w:rsidP="00F872BA">
            <w:pPr>
              <w:pStyle w:val="BodyText"/>
              <w:spacing w:beforeLines="40" w:before="96"/>
              <w:rPr>
                <w:lang w:eastAsia="en-AU"/>
              </w:rPr>
            </w:pPr>
          </w:p>
        </w:tc>
        <w:tc>
          <w:tcPr>
            <w:tcW w:w="719" w:type="pct"/>
          </w:tcPr>
          <w:p w14:paraId="0C0B3A78" w14:textId="77777777" w:rsidR="007F5F16" w:rsidRDefault="007F5F16" w:rsidP="00F872BA">
            <w:pPr>
              <w:pStyle w:val="BodyText"/>
              <w:spacing w:beforeLines="40" w:before="96"/>
              <w:rPr>
                <w:lang w:eastAsia="en-AU"/>
              </w:rPr>
            </w:pPr>
          </w:p>
        </w:tc>
      </w:tr>
      <w:tr w:rsidR="007F5F16" w14:paraId="6D224D0A" w14:textId="77777777" w:rsidTr="00492382">
        <w:tc>
          <w:tcPr>
            <w:tcW w:w="737" w:type="pct"/>
            <w:vMerge/>
            <w:shd w:val="clear" w:color="auto" w:fill="auto"/>
          </w:tcPr>
          <w:p w14:paraId="0ADF7E0A" w14:textId="77777777" w:rsidR="007F5F16" w:rsidRDefault="007F5F16" w:rsidP="00F872BA">
            <w:pPr>
              <w:pStyle w:val="BodyText"/>
              <w:spacing w:beforeLines="40" w:before="96"/>
              <w:rPr>
                <w:lang w:eastAsia="en-AU"/>
              </w:rPr>
            </w:pPr>
          </w:p>
        </w:tc>
        <w:tc>
          <w:tcPr>
            <w:tcW w:w="1011" w:type="pct"/>
            <w:shd w:val="clear" w:color="auto" w:fill="auto"/>
          </w:tcPr>
          <w:p w14:paraId="3AF2F045" w14:textId="77777777" w:rsidR="007F5F16" w:rsidRDefault="007F5F16" w:rsidP="00F872BA">
            <w:pPr>
              <w:pStyle w:val="BodyText"/>
              <w:spacing w:beforeLines="40" w:before="96"/>
              <w:rPr>
                <w:lang w:eastAsia="en-AU"/>
              </w:rPr>
            </w:pPr>
            <w:r>
              <w:rPr>
                <w:lang w:eastAsia="en-AU"/>
              </w:rPr>
              <w:t>IHI</w:t>
            </w:r>
          </w:p>
        </w:tc>
        <w:tc>
          <w:tcPr>
            <w:tcW w:w="1643" w:type="pct"/>
            <w:shd w:val="clear" w:color="auto" w:fill="auto"/>
          </w:tcPr>
          <w:p w14:paraId="14F8481B" w14:textId="77777777" w:rsidR="007F5F16" w:rsidRDefault="007F5F16" w:rsidP="00F872BA">
            <w:pPr>
              <w:pStyle w:val="BodyText"/>
              <w:spacing w:beforeLines="40" w:before="96"/>
              <w:rPr>
                <w:lang w:eastAsia="en-AU"/>
              </w:rPr>
            </w:pPr>
            <w:r>
              <w:rPr>
                <w:lang w:eastAsia="en-AU"/>
              </w:rPr>
              <w:t>Management of IHI from within the master patient administration application.</w:t>
            </w:r>
          </w:p>
        </w:tc>
        <w:tc>
          <w:tcPr>
            <w:tcW w:w="891" w:type="pct"/>
            <w:shd w:val="clear" w:color="auto" w:fill="auto"/>
          </w:tcPr>
          <w:p w14:paraId="13F300C3" w14:textId="77777777" w:rsidR="007F5F16" w:rsidRDefault="007F5F16" w:rsidP="00F872BA">
            <w:pPr>
              <w:pStyle w:val="BodyText"/>
              <w:spacing w:beforeLines="40" w:before="96"/>
              <w:rPr>
                <w:lang w:eastAsia="en-AU"/>
              </w:rPr>
            </w:pPr>
            <w:r>
              <w:rPr>
                <w:lang w:eastAsia="en-AU"/>
              </w:rPr>
              <w:t>Mandatory future requirement</w:t>
            </w:r>
          </w:p>
          <w:p w14:paraId="6C710138" w14:textId="77777777" w:rsidR="007F5F16" w:rsidRDefault="007F5F16" w:rsidP="00F872BA">
            <w:pPr>
              <w:pStyle w:val="BodyText"/>
              <w:spacing w:beforeLines="40" w:before="96"/>
              <w:rPr>
                <w:lang w:eastAsia="en-AU"/>
              </w:rPr>
            </w:pPr>
            <w:proofErr w:type="gramStart"/>
            <w:r>
              <w:rPr>
                <w:lang w:eastAsia="en-AU"/>
              </w:rPr>
              <w:t>1-2 year</w:t>
            </w:r>
            <w:proofErr w:type="gramEnd"/>
            <w:r>
              <w:rPr>
                <w:lang w:eastAsia="en-AU"/>
              </w:rPr>
              <w:t xml:space="preserve"> adoption timeframe</w:t>
            </w:r>
          </w:p>
        </w:tc>
        <w:tc>
          <w:tcPr>
            <w:tcW w:w="719" w:type="pct"/>
          </w:tcPr>
          <w:p w14:paraId="4648AD04" w14:textId="77777777" w:rsidR="007F5F16" w:rsidRDefault="007F5F16" w:rsidP="00F872BA">
            <w:pPr>
              <w:pStyle w:val="BodyText"/>
              <w:spacing w:beforeLines="40" w:before="96"/>
              <w:rPr>
                <w:lang w:eastAsia="en-AU"/>
              </w:rPr>
            </w:pPr>
          </w:p>
        </w:tc>
      </w:tr>
      <w:tr w:rsidR="007F5F16" w14:paraId="67EFED1D" w14:textId="77777777" w:rsidTr="00492382">
        <w:tc>
          <w:tcPr>
            <w:tcW w:w="737" w:type="pct"/>
            <w:vMerge/>
            <w:shd w:val="clear" w:color="auto" w:fill="auto"/>
          </w:tcPr>
          <w:p w14:paraId="57F269A0" w14:textId="77777777" w:rsidR="007F5F16" w:rsidRDefault="007F5F16" w:rsidP="00F872BA">
            <w:pPr>
              <w:pStyle w:val="BodyText"/>
              <w:spacing w:beforeLines="40" w:before="96"/>
              <w:rPr>
                <w:lang w:eastAsia="en-AU"/>
              </w:rPr>
            </w:pPr>
          </w:p>
        </w:tc>
        <w:tc>
          <w:tcPr>
            <w:tcW w:w="1011" w:type="pct"/>
            <w:shd w:val="clear" w:color="auto" w:fill="auto"/>
          </w:tcPr>
          <w:p w14:paraId="09CAF5AC" w14:textId="77777777" w:rsidR="007F5F16" w:rsidRDefault="007F5F16" w:rsidP="00F872BA">
            <w:pPr>
              <w:pStyle w:val="BodyText"/>
              <w:spacing w:beforeLines="40" w:before="96"/>
              <w:rPr>
                <w:lang w:eastAsia="en-AU"/>
              </w:rPr>
            </w:pPr>
            <w:r>
              <w:rPr>
                <w:lang w:eastAsia="en-AU"/>
              </w:rPr>
              <w:t>HPIs</w:t>
            </w:r>
          </w:p>
        </w:tc>
        <w:tc>
          <w:tcPr>
            <w:tcW w:w="1643" w:type="pct"/>
            <w:shd w:val="clear" w:color="auto" w:fill="auto"/>
          </w:tcPr>
          <w:p w14:paraId="4A3F7318" w14:textId="77777777" w:rsidR="007F5F16" w:rsidRDefault="007F5F16" w:rsidP="00F872BA">
            <w:pPr>
              <w:pStyle w:val="BodyText"/>
              <w:spacing w:beforeLines="40" w:before="96"/>
              <w:rPr>
                <w:lang w:eastAsia="en-AU"/>
              </w:rPr>
            </w:pPr>
            <w:r>
              <w:rPr>
                <w:lang w:eastAsia="en-AU"/>
              </w:rPr>
              <w:t>Ability to support the acquisition and management of HPI/Is and HPI/</w:t>
            </w:r>
            <w:proofErr w:type="spellStart"/>
            <w:r>
              <w:rPr>
                <w:lang w:eastAsia="en-AU"/>
              </w:rPr>
              <w:t>Os</w:t>
            </w:r>
            <w:proofErr w:type="spellEnd"/>
            <w:r>
              <w:rPr>
                <w:lang w:eastAsia="en-AU"/>
              </w:rPr>
              <w:t>.</w:t>
            </w:r>
          </w:p>
        </w:tc>
        <w:tc>
          <w:tcPr>
            <w:tcW w:w="891" w:type="pct"/>
            <w:shd w:val="clear" w:color="auto" w:fill="auto"/>
          </w:tcPr>
          <w:p w14:paraId="7F2F2E9D" w14:textId="77777777" w:rsidR="007F5F16" w:rsidRDefault="007F5F16" w:rsidP="00F872BA">
            <w:pPr>
              <w:pStyle w:val="BodyText"/>
              <w:spacing w:beforeLines="40" w:before="96"/>
              <w:rPr>
                <w:lang w:eastAsia="en-AU"/>
              </w:rPr>
            </w:pPr>
            <w:r>
              <w:rPr>
                <w:lang w:eastAsia="en-AU"/>
              </w:rPr>
              <w:t>Future requirement</w:t>
            </w:r>
          </w:p>
        </w:tc>
        <w:tc>
          <w:tcPr>
            <w:tcW w:w="719" w:type="pct"/>
          </w:tcPr>
          <w:p w14:paraId="501C4781" w14:textId="77777777" w:rsidR="007F5F16" w:rsidRDefault="007F5F16" w:rsidP="00F872BA">
            <w:pPr>
              <w:pStyle w:val="BodyText"/>
              <w:spacing w:beforeLines="40" w:before="96"/>
              <w:rPr>
                <w:lang w:eastAsia="en-AU"/>
              </w:rPr>
            </w:pPr>
          </w:p>
        </w:tc>
      </w:tr>
      <w:tr w:rsidR="00835BDB" w14:paraId="61059175" w14:textId="77777777" w:rsidTr="00492382">
        <w:tc>
          <w:tcPr>
            <w:tcW w:w="737" w:type="pct"/>
            <w:shd w:val="clear" w:color="auto" w:fill="auto"/>
          </w:tcPr>
          <w:p w14:paraId="7A6855C9" w14:textId="77777777" w:rsidR="00835BDB" w:rsidRDefault="00835BDB" w:rsidP="00F872BA">
            <w:pPr>
              <w:pStyle w:val="BodyText"/>
              <w:spacing w:beforeLines="40" w:before="96"/>
              <w:rPr>
                <w:lang w:eastAsia="en-AU"/>
              </w:rPr>
            </w:pPr>
            <w:r>
              <w:rPr>
                <w:lang w:eastAsia="en-AU"/>
              </w:rPr>
              <w:t>Terminology</w:t>
            </w:r>
          </w:p>
        </w:tc>
        <w:tc>
          <w:tcPr>
            <w:tcW w:w="1011" w:type="pct"/>
            <w:shd w:val="clear" w:color="auto" w:fill="auto"/>
          </w:tcPr>
          <w:p w14:paraId="0FB00193" w14:textId="77777777" w:rsidR="00835BDB" w:rsidRDefault="00835BDB" w:rsidP="00F872BA">
            <w:pPr>
              <w:pStyle w:val="BodyText"/>
              <w:spacing w:beforeLines="40" w:before="96"/>
              <w:rPr>
                <w:lang w:eastAsia="en-AU"/>
              </w:rPr>
            </w:pPr>
            <w:r>
              <w:rPr>
                <w:lang w:eastAsia="en-AU"/>
              </w:rPr>
              <w:t>Alerts and Allergies</w:t>
            </w:r>
          </w:p>
        </w:tc>
        <w:tc>
          <w:tcPr>
            <w:tcW w:w="1643" w:type="pct"/>
            <w:shd w:val="clear" w:color="auto" w:fill="auto"/>
          </w:tcPr>
          <w:p w14:paraId="6E391A20" w14:textId="612358D3" w:rsidR="00835BDB" w:rsidRDefault="00835BDB" w:rsidP="00F872BA">
            <w:pPr>
              <w:pStyle w:val="BodyText"/>
              <w:spacing w:beforeLines="40" w:before="96"/>
              <w:rPr>
                <w:lang w:eastAsia="en-AU"/>
              </w:rPr>
            </w:pPr>
            <w:r>
              <w:rPr>
                <w:lang w:eastAsia="en-AU"/>
              </w:rPr>
              <w:t>The EMR (where present in a health service) must be the designated master for capturing Clinical Alert and Allergy details. Information can be interfaced from the EMR to other applications. The PAS (where an EMR is present) must be the master for administrative alerts details. The PAS, in this case, may reference and display clinical alert and allergy information that has been received from an EMR,</w:t>
            </w:r>
            <w:r w:rsidR="00F83A7C">
              <w:rPr>
                <w:lang w:eastAsia="en-AU"/>
              </w:rPr>
              <w:t xml:space="preserve"> e.g. </w:t>
            </w:r>
            <w:r w:rsidR="00984136">
              <w:rPr>
                <w:lang w:eastAsia="en-AU"/>
              </w:rPr>
              <w:lastRenderedPageBreak/>
              <w:t>Advanced Care Directives and Senior Decision Makers</w:t>
            </w:r>
            <w:r>
              <w:rPr>
                <w:lang w:eastAsia="en-AU"/>
              </w:rPr>
              <w:t xml:space="preserve"> via HL7.</w:t>
            </w:r>
          </w:p>
        </w:tc>
        <w:tc>
          <w:tcPr>
            <w:tcW w:w="891" w:type="pct"/>
            <w:shd w:val="clear" w:color="auto" w:fill="auto"/>
          </w:tcPr>
          <w:p w14:paraId="1FAC2088" w14:textId="77777777" w:rsidR="00835BDB" w:rsidRDefault="00835BDB" w:rsidP="00F872BA">
            <w:pPr>
              <w:pStyle w:val="BodyText"/>
              <w:spacing w:beforeLines="40" w:before="96"/>
              <w:rPr>
                <w:lang w:eastAsia="en-AU"/>
              </w:rPr>
            </w:pPr>
            <w:r>
              <w:rPr>
                <w:lang w:eastAsia="en-AU"/>
              </w:rPr>
              <w:lastRenderedPageBreak/>
              <w:t>Mandatory future requirement</w:t>
            </w:r>
          </w:p>
          <w:p w14:paraId="2968D241" w14:textId="77777777" w:rsidR="00835BDB" w:rsidRDefault="00835BDB" w:rsidP="00F872BA">
            <w:pPr>
              <w:pStyle w:val="BodyText"/>
              <w:spacing w:beforeLines="40" w:before="96"/>
              <w:rPr>
                <w:lang w:eastAsia="en-AU"/>
              </w:rPr>
            </w:pPr>
          </w:p>
        </w:tc>
        <w:tc>
          <w:tcPr>
            <w:tcW w:w="719" w:type="pct"/>
          </w:tcPr>
          <w:p w14:paraId="3556E114" w14:textId="77777777" w:rsidR="00835BDB" w:rsidRDefault="00835BDB" w:rsidP="00F872BA">
            <w:pPr>
              <w:pStyle w:val="BodyText"/>
              <w:spacing w:beforeLines="40" w:before="96"/>
              <w:rPr>
                <w:lang w:eastAsia="en-AU"/>
              </w:rPr>
            </w:pPr>
          </w:p>
        </w:tc>
      </w:tr>
      <w:tr w:rsidR="00835BDB" w14:paraId="3CE1EB16" w14:textId="77777777" w:rsidTr="00492382">
        <w:tc>
          <w:tcPr>
            <w:tcW w:w="737" w:type="pct"/>
            <w:shd w:val="clear" w:color="auto" w:fill="auto"/>
          </w:tcPr>
          <w:p w14:paraId="2DAA2380" w14:textId="77777777" w:rsidR="00835BDB" w:rsidRDefault="00835BDB" w:rsidP="00F872BA">
            <w:pPr>
              <w:pStyle w:val="BodyText"/>
              <w:spacing w:beforeLines="40" w:before="96"/>
              <w:rPr>
                <w:lang w:eastAsia="en-AU"/>
              </w:rPr>
            </w:pPr>
            <w:r>
              <w:rPr>
                <w:lang w:eastAsia="en-AU"/>
              </w:rPr>
              <w:t>Episode Management</w:t>
            </w:r>
          </w:p>
        </w:tc>
        <w:tc>
          <w:tcPr>
            <w:tcW w:w="1011" w:type="pct"/>
            <w:shd w:val="clear" w:color="auto" w:fill="auto"/>
          </w:tcPr>
          <w:p w14:paraId="7320B1D9" w14:textId="77777777" w:rsidR="00835BDB" w:rsidRDefault="00835BDB" w:rsidP="00F872BA">
            <w:pPr>
              <w:pStyle w:val="BodyText"/>
              <w:spacing w:beforeLines="40" w:before="96"/>
              <w:rPr>
                <w:lang w:eastAsia="en-AU"/>
              </w:rPr>
            </w:pPr>
            <w:r>
              <w:rPr>
                <w:lang w:eastAsia="en-AU"/>
              </w:rPr>
              <w:t>Episodes of Care</w:t>
            </w:r>
          </w:p>
        </w:tc>
        <w:tc>
          <w:tcPr>
            <w:tcW w:w="1643" w:type="pct"/>
            <w:shd w:val="clear" w:color="auto" w:fill="auto"/>
          </w:tcPr>
          <w:p w14:paraId="4853D58E" w14:textId="5999384E" w:rsidR="00835BDB" w:rsidRDefault="00835BDB" w:rsidP="00504DD1">
            <w:pPr>
              <w:pStyle w:val="BodyText"/>
              <w:spacing w:beforeLines="40" w:before="96"/>
              <w:rPr>
                <w:lang w:eastAsia="en-AU"/>
              </w:rPr>
            </w:pPr>
            <w:r>
              <w:rPr>
                <w:rFonts w:cs="Arial"/>
                <w:lang w:eastAsia="en-AU"/>
              </w:rPr>
              <w:t>The H</w:t>
            </w:r>
            <w:r w:rsidR="00CB197A">
              <w:rPr>
                <w:rFonts w:cs="Arial"/>
                <w:lang w:eastAsia="en-AU"/>
              </w:rPr>
              <w:t>SSA</w:t>
            </w:r>
            <w:r>
              <w:rPr>
                <w:rFonts w:cs="Arial"/>
                <w:lang w:eastAsia="en-AU"/>
              </w:rPr>
              <w:t xml:space="preserve"> is currently assessing </w:t>
            </w:r>
            <w:proofErr w:type="gramStart"/>
            <w:r>
              <w:rPr>
                <w:rFonts w:cs="Arial"/>
                <w:lang w:eastAsia="en-AU"/>
              </w:rPr>
              <w:t>a number of</w:t>
            </w:r>
            <w:proofErr w:type="gramEnd"/>
            <w:r>
              <w:rPr>
                <w:rFonts w:cs="Arial"/>
                <w:lang w:eastAsia="en-AU"/>
              </w:rPr>
              <w:t xml:space="preserve"> options associated with multiple episodes of care. </w:t>
            </w:r>
            <w:proofErr w:type="gramStart"/>
            <w:r>
              <w:rPr>
                <w:rFonts w:cs="Arial"/>
                <w:lang w:eastAsia="en-AU"/>
              </w:rPr>
              <w:t>In particular, when</w:t>
            </w:r>
            <w:proofErr w:type="gramEnd"/>
            <w:r>
              <w:rPr>
                <w:rFonts w:cs="Arial"/>
                <w:lang w:eastAsia="en-AU"/>
              </w:rPr>
              <w:t xml:space="preserve"> emergency patients transition from their current location to an inpatient service, multiple episodes are created. Clinicians view these episodes as one elongated episode of care, whilst the PAS and the government reporting systems view these as individual episodes. The PAS system remains the master of patient information and therefore formulates one of the options to bridge the gap between multiple episodes of care and continuity of care associated with medications management. Please contact the HSSA for information on the </w:t>
            </w:r>
            <w:r w:rsidR="0074209F">
              <w:rPr>
                <w:rFonts w:cs="Arial"/>
                <w:lang w:eastAsia="en-AU"/>
              </w:rPr>
              <w:t>cross-encounter</w:t>
            </w:r>
            <w:r>
              <w:rPr>
                <w:rFonts w:cs="Arial"/>
                <w:lang w:eastAsia="en-AU"/>
              </w:rPr>
              <w:t xml:space="preserve"> options paper.</w:t>
            </w:r>
          </w:p>
        </w:tc>
        <w:tc>
          <w:tcPr>
            <w:tcW w:w="891" w:type="pct"/>
            <w:shd w:val="clear" w:color="auto" w:fill="auto"/>
          </w:tcPr>
          <w:p w14:paraId="53348F03" w14:textId="66015ADA" w:rsidR="00835BDB" w:rsidRDefault="00835BDB" w:rsidP="00F872BA">
            <w:pPr>
              <w:pStyle w:val="BodyText"/>
              <w:spacing w:beforeLines="40" w:before="96"/>
              <w:rPr>
                <w:lang w:eastAsia="en-AU"/>
              </w:rPr>
            </w:pPr>
            <w:proofErr w:type="gramStart"/>
            <w:r>
              <w:rPr>
                <w:lang w:eastAsia="en-AU"/>
              </w:rPr>
              <w:t>A number of</w:t>
            </w:r>
            <w:proofErr w:type="gramEnd"/>
            <w:r>
              <w:rPr>
                <w:lang w:eastAsia="en-AU"/>
              </w:rPr>
              <w:t xml:space="preserve"> options are available to agencies. Please contact H</w:t>
            </w:r>
            <w:r w:rsidR="00CB197A">
              <w:rPr>
                <w:lang w:eastAsia="en-AU"/>
              </w:rPr>
              <w:t>SS</w:t>
            </w:r>
            <w:r>
              <w:rPr>
                <w:lang w:eastAsia="en-AU"/>
              </w:rPr>
              <w:t>A for further information.</w:t>
            </w:r>
          </w:p>
        </w:tc>
        <w:tc>
          <w:tcPr>
            <w:tcW w:w="719" w:type="pct"/>
          </w:tcPr>
          <w:p w14:paraId="225F4B8B" w14:textId="77777777" w:rsidR="00835BDB" w:rsidRDefault="00835BDB" w:rsidP="00F872BA">
            <w:pPr>
              <w:pStyle w:val="BodyText"/>
              <w:spacing w:beforeLines="40" w:before="96"/>
              <w:rPr>
                <w:lang w:eastAsia="en-AU"/>
              </w:rPr>
            </w:pPr>
          </w:p>
        </w:tc>
      </w:tr>
      <w:tr w:rsidR="00984136" w14:paraId="2F2BA751" w14:textId="77777777" w:rsidTr="00984136">
        <w:tc>
          <w:tcPr>
            <w:tcW w:w="737" w:type="pct"/>
            <w:shd w:val="clear" w:color="auto" w:fill="auto"/>
          </w:tcPr>
          <w:p w14:paraId="52B1268A" w14:textId="77777777" w:rsidR="00984136" w:rsidRDefault="00984136" w:rsidP="00492382">
            <w:pPr>
              <w:pStyle w:val="BodyText"/>
              <w:spacing w:beforeLines="40" w:before="96"/>
              <w:rPr>
                <w:lang w:eastAsia="en-AU"/>
              </w:rPr>
            </w:pPr>
            <w:r>
              <w:rPr>
                <w:lang w:eastAsia="en-AU"/>
              </w:rPr>
              <w:t>Interfacing</w:t>
            </w:r>
          </w:p>
        </w:tc>
        <w:tc>
          <w:tcPr>
            <w:tcW w:w="1011" w:type="pct"/>
            <w:shd w:val="clear" w:color="auto" w:fill="auto"/>
          </w:tcPr>
          <w:p w14:paraId="71204D21" w14:textId="3027F269" w:rsidR="00984136" w:rsidRDefault="00984136" w:rsidP="00492382">
            <w:pPr>
              <w:pStyle w:val="BodyText"/>
              <w:spacing w:beforeLines="40" w:before="96"/>
              <w:rPr>
                <w:lang w:eastAsia="en-AU"/>
              </w:rPr>
            </w:pPr>
            <w:r>
              <w:rPr>
                <w:lang w:eastAsia="en-AU"/>
              </w:rPr>
              <w:t>Admission, Discharge and Notice of Death notifications to GP’s</w:t>
            </w:r>
          </w:p>
        </w:tc>
        <w:tc>
          <w:tcPr>
            <w:tcW w:w="1643" w:type="pct"/>
            <w:shd w:val="clear" w:color="auto" w:fill="auto"/>
          </w:tcPr>
          <w:p w14:paraId="5BEE7B8A" w14:textId="54D949F9" w:rsidR="00984136" w:rsidRDefault="00984136" w:rsidP="00492382">
            <w:pPr>
              <w:pStyle w:val="DHHStabletext"/>
              <w:rPr>
                <w:rFonts w:cs="Arial"/>
              </w:rPr>
            </w:pPr>
            <w:r>
              <w:rPr>
                <w:rFonts w:cs="Arial"/>
              </w:rPr>
              <w:t xml:space="preserve">Move toward implementing automated secure messaging for these notifications. </w:t>
            </w:r>
          </w:p>
        </w:tc>
        <w:tc>
          <w:tcPr>
            <w:tcW w:w="891" w:type="pct"/>
            <w:shd w:val="clear" w:color="auto" w:fill="auto"/>
          </w:tcPr>
          <w:p w14:paraId="67063446" w14:textId="77777777" w:rsidR="00984136" w:rsidRDefault="00984136" w:rsidP="00492382">
            <w:pPr>
              <w:pStyle w:val="BodyText"/>
              <w:spacing w:beforeLines="40" w:before="96"/>
              <w:rPr>
                <w:lang w:eastAsia="en-AU"/>
              </w:rPr>
            </w:pPr>
            <w:r>
              <w:t>Future requirement for new system implementations and datasets.</w:t>
            </w:r>
          </w:p>
        </w:tc>
        <w:tc>
          <w:tcPr>
            <w:tcW w:w="719" w:type="pct"/>
          </w:tcPr>
          <w:p w14:paraId="741044C8" w14:textId="77777777" w:rsidR="00984136" w:rsidRDefault="00984136" w:rsidP="00492382">
            <w:pPr>
              <w:pStyle w:val="BodyText"/>
              <w:spacing w:beforeLines="40" w:before="96"/>
              <w:rPr>
                <w:lang w:eastAsia="en-AU"/>
              </w:rPr>
            </w:pPr>
          </w:p>
        </w:tc>
      </w:tr>
      <w:tr w:rsidR="001F40D1" w14:paraId="59BF1B43" w14:textId="77777777" w:rsidTr="00492382">
        <w:tc>
          <w:tcPr>
            <w:tcW w:w="737" w:type="pct"/>
            <w:shd w:val="clear" w:color="auto" w:fill="auto"/>
          </w:tcPr>
          <w:p w14:paraId="420491CB" w14:textId="77777777" w:rsidR="001F40D1" w:rsidRDefault="001F40D1" w:rsidP="00F872BA">
            <w:pPr>
              <w:pStyle w:val="BodyText"/>
              <w:spacing w:beforeLines="40" w:before="96"/>
              <w:rPr>
                <w:lang w:eastAsia="en-AU"/>
              </w:rPr>
            </w:pPr>
            <w:r>
              <w:rPr>
                <w:lang w:eastAsia="en-AU"/>
              </w:rPr>
              <w:t>Interfacing</w:t>
            </w:r>
          </w:p>
        </w:tc>
        <w:tc>
          <w:tcPr>
            <w:tcW w:w="1011" w:type="pct"/>
            <w:shd w:val="clear" w:color="auto" w:fill="auto"/>
          </w:tcPr>
          <w:p w14:paraId="4459FAAD" w14:textId="77777777" w:rsidR="001F40D1" w:rsidRDefault="001F40D1" w:rsidP="00F872BA">
            <w:pPr>
              <w:pStyle w:val="BodyText"/>
              <w:spacing w:beforeLines="40" w:before="96"/>
              <w:rPr>
                <w:lang w:eastAsia="en-AU"/>
              </w:rPr>
            </w:pPr>
            <w:r>
              <w:rPr>
                <w:lang w:eastAsia="en-AU"/>
              </w:rPr>
              <w:t>Address Standard</w:t>
            </w:r>
          </w:p>
        </w:tc>
        <w:tc>
          <w:tcPr>
            <w:tcW w:w="1643" w:type="pct"/>
            <w:shd w:val="clear" w:color="auto" w:fill="auto"/>
          </w:tcPr>
          <w:p w14:paraId="4AF2A832" w14:textId="6611ED1D" w:rsidR="001F40D1" w:rsidRDefault="001F40D1" w:rsidP="001F40D1">
            <w:pPr>
              <w:pStyle w:val="DHHStabletext"/>
            </w:pPr>
            <w:r>
              <w:t xml:space="preserve">The address standard </w:t>
            </w:r>
            <w:r w:rsidR="0074209F">
              <w:t>defines</w:t>
            </w:r>
            <w:r>
              <w:t xml:space="preserve"> a common approach to the management and use of address data within Victorian Government departments and agencies, and sharing between government and external parties, as follows:</w:t>
            </w:r>
          </w:p>
          <w:p w14:paraId="5A2B6ED6" w14:textId="77777777" w:rsidR="001F40D1" w:rsidRDefault="001F40D1" w:rsidP="001F40D1">
            <w:pPr>
              <w:pStyle w:val="DHHStabletext"/>
              <w:numPr>
                <w:ilvl w:val="0"/>
                <w:numId w:val="53"/>
              </w:numPr>
            </w:pPr>
            <w:r>
              <w:t>For interchange of address data between systems, storage and release of address data, use Section 5 ‘address details’ of Australian Standard AS 4590</w:t>
            </w:r>
            <w:r>
              <w:rPr>
                <w:rStyle w:val="FootnoteReference"/>
              </w:rPr>
              <w:footnoteReference w:id="4"/>
            </w:r>
            <w:r>
              <w:t>: Interchange of client information (AS 4590)</w:t>
            </w:r>
          </w:p>
          <w:p w14:paraId="4F47FE6E" w14:textId="06CF9938" w:rsidR="001F40D1" w:rsidRDefault="001F40D1" w:rsidP="001F40D1">
            <w:pPr>
              <w:pStyle w:val="DHHStabletext"/>
              <w:numPr>
                <w:ilvl w:val="0"/>
                <w:numId w:val="53"/>
              </w:numPr>
            </w:pPr>
            <w:r>
              <w:t xml:space="preserve">For physical or street address (e.g. place of </w:t>
            </w:r>
            <w:r>
              <w:lastRenderedPageBreak/>
              <w:t>residence, business, asset or incident) us</w:t>
            </w:r>
            <w:r w:rsidR="00F86519">
              <w:t>e</w:t>
            </w:r>
            <w:r>
              <w:t>:</w:t>
            </w:r>
          </w:p>
          <w:p w14:paraId="17F89103" w14:textId="77777777" w:rsidR="001F40D1" w:rsidRDefault="001F40D1" w:rsidP="001F40D1">
            <w:pPr>
              <w:pStyle w:val="DHHStabletext"/>
              <w:numPr>
                <w:ilvl w:val="1"/>
                <w:numId w:val="53"/>
              </w:numPr>
            </w:pPr>
            <w:r>
              <w:t>Geocoded National Address File (G-NAF</w:t>
            </w:r>
            <w:r>
              <w:rPr>
                <w:rStyle w:val="FootnoteReference"/>
              </w:rPr>
              <w:footnoteReference w:id="5"/>
            </w:r>
            <w:r>
              <w:t>), or</w:t>
            </w:r>
          </w:p>
          <w:p w14:paraId="35DFEBC5" w14:textId="77777777" w:rsidR="001F40D1" w:rsidRDefault="001F40D1" w:rsidP="001F40D1">
            <w:pPr>
              <w:pStyle w:val="DHHStabletext"/>
              <w:numPr>
                <w:ilvl w:val="1"/>
                <w:numId w:val="53"/>
              </w:numPr>
            </w:pPr>
            <w:proofErr w:type="spellStart"/>
            <w:r>
              <w:t>Vicmap</w:t>
            </w:r>
            <w:proofErr w:type="spellEnd"/>
            <w:r>
              <w:t xml:space="preserve"> Address</w:t>
            </w:r>
            <w:r>
              <w:rPr>
                <w:rStyle w:val="FootnoteReference"/>
              </w:rPr>
              <w:footnoteReference w:id="6"/>
            </w:r>
          </w:p>
          <w:p w14:paraId="6A64A993" w14:textId="77777777" w:rsidR="001F40D1" w:rsidRDefault="001F40D1" w:rsidP="001F40D1">
            <w:pPr>
              <w:pStyle w:val="DHHStabletext"/>
              <w:numPr>
                <w:ilvl w:val="0"/>
                <w:numId w:val="53"/>
              </w:numPr>
              <w:rPr>
                <w:rFonts w:cs="Arial"/>
              </w:rPr>
            </w:pPr>
            <w:r>
              <w:t>For postal address (i.e. mailing or correspondence) use Postal Address (PAF</w:t>
            </w:r>
            <w:r>
              <w:rPr>
                <w:rStyle w:val="FootnoteReference"/>
              </w:rPr>
              <w:footnoteReference w:id="7"/>
            </w:r>
            <w:r>
              <w:t>)</w:t>
            </w:r>
          </w:p>
        </w:tc>
        <w:tc>
          <w:tcPr>
            <w:tcW w:w="891" w:type="pct"/>
            <w:shd w:val="clear" w:color="auto" w:fill="auto"/>
          </w:tcPr>
          <w:p w14:paraId="32CA5168" w14:textId="77777777" w:rsidR="001F40D1" w:rsidRDefault="001F40D1" w:rsidP="00F872BA">
            <w:pPr>
              <w:pStyle w:val="BodyText"/>
              <w:spacing w:beforeLines="40" w:before="96"/>
              <w:rPr>
                <w:lang w:eastAsia="en-AU"/>
              </w:rPr>
            </w:pPr>
            <w:r>
              <w:lastRenderedPageBreak/>
              <w:t>Future requirement for new system implementations and datasets.</w:t>
            </w:r>
          </w:p>
        </w:tc>
        <w:tc>
          <w:tcPr>
            <w:tcW w:w="719" w:type="pct"/>
          </w:tcPr>
          <w:p w14:paraId="16A1D6EE" w14:textId="77777777" w:rsidR="001F40D1" w:rsidRDefault="001F40D1" w:rsidP="00F872BA">
            <w:pPr>
              <w:pStyle w:val="BodyText"/>
              <w:spacing w:beforeLines="40" w:before="96"/>
              <w:rPr>
                <w:lang w:eastAsia="en-AU"/>
              </w:rPr>
            </w:pPr>
          </w:p>
        </w:tc>
      </w:tr>
    </w:tbl>
    <w:p w14:paraId="1385B907" w14:textId="77777777" w:rsidR="00A05489" w:rsidRPr="00EB575F" w:rsidRDefault="00A05489" w:rsidP="00EB575F">
      <w:pPr>
        <w:pStyle w:val="BodyText"/>
        <w:rPr>
          <w:lang w:eastAsia="en-AU"/>
        </w:rPr>
      </w:pPr>
    </w:p>
    <w:p w14:paraId="0C17F34D" w14:textId="77777777" w:rsidR="004D65D6" w:rsidRDefault="0043530E" w:rsidP="004D65D6">
      <w:pPr>
        <w:pStyle w:val="Heading2"/>
      </w:pPr>
      <w:bookmarkStart w:id="25" w:name="_Toc19269404"/>
      <w:r>
        <w:t>References</w:t>
      </w:r>
      <w:bookmarkEnd w:id="25"/>
    </w:p>
    <w:p w14:paraId="0DDD7577" w14:textId="77777777" w:rsidR="004D65D6" w:rsidRDefault="004D65D6" w:rsidP="004D65D6">
      <w:pPr>
        <w:pStyle w:val="DHHSbody"/>
        <w:rPr>
          <w:lang w:eastAsia="en-AU"/>
        </w:rPr>
      </w:pPr>
      <w:r>
        <w:rPr>
          <w:lang w:eastAsia="en-AU"/>
        </w:rPr>
        <w:t>Other related standards to this standard include:</w:t>
      </w:r>
    </w:p>
    <w:p w14:paraId="03F01B51" w14:textId="77777777" w:rsidR="004D65D6" w:rsidRDefault="004D65D6" w:rsidP="007F5F16">
      <w:pPr>
        <w:pStyle w:val="DHHSbullet1"/>
        <w:rPr>
          <w:lang w:eastAsia="en-AU"/>
        </w:rPr>
      </w:pPr>
      <w:r>
        <w:rPr>
          <w:lang w:eastAsia="en-AU"/>
        </w:rPr>
        <w:t>SNOMED-CT</w:t>
      </w:r>
      <w:r w:rsidR="0043530E">
        <w:rPr>
          <w:lang w:eastAsia="en-AU"/>
        </w:rPr>
        <w:t>-AU</w:t>
      </w:r>
    </w:p>
    <w:p w14:paraId="2D54B809" w14:textId="77777777" w:rsidR="004D65D6" w:rsidRDefault="00390587" w:rsidP="007F5F16">
      <w:pPr>
        <w:pStyle w:val="DHHSbullet1"/>
        <w:rPr>
          <w:lang w:eastAsia="en-AU"/>
        </w:rPr>
      </w:pPr>
      <w:r w:rsidRPr="00390587">
        <w:rPr>
          <w:lang w:eastAsia="en-AU"/>
        </w:rPr>
        <w:t>National</w:t>
      </w:r>
      <w:r>
        <w:rPr>
          <w:lang w:eastAsia="en-AU"/>
        </w:rPr>
        <w:t xml:space="preserve"> </w:t>
      </w:r>
      <w:r w:rsidR="004D65D6">
        <w:rPr>
          <w:lang w:eastAsia="en-AU"/>
        </w:rPr>
        <w:t xml:space="preserve">Human </w:t>
      </w:r>
      <w:r w:rsidR="001F48BA">
        <w:rPr>
          <w:lang w:eastAsia="en-AU"/>
        </w:rPr>
        <w:t>Services</w:t>
      </w:r>
      <w:r w:rsidR="004D65D6">
        <w:rPr>
          <w:lang w:eastAsia="en-AU"/>
        </w:rPr>
        <w:t xml:space="preserve"> Directory</w:t>
      </w:r>
      <w:r w:rsidR="007F5F16">
        <w:rPr>
          <w:lang w:eastAsia="en-AU"/>
        </w:rPr>
        <w:t xml:space="preserve"> (NHSD – Healthdirect Australia)</w:t>
      </w:r>
    </w:p>
    <w:p w14:paraId="2625014B" w14:textId="77777777" w:rsidR="004D65D6" w:rsidRDefault="004D65D6" w:rsidP="007F5F16">
      <w:pPr>
        <w:pStyle w:val="DHHSbullet1"/>
        <w:rPr>
          <w:lang w:eastAsia="en-AU"/>
        </w:rPr>
      </w:pPr>
      <w:r>
        <w:rPr>
          <w:lang w:eastAsia="en-AU"/>
        </w:rPr>
        <w:t>HL7</w:t>
      </w:r>
      <w:r w:rsidR="0043530E">
        <w:rPr>
          <w:lang w:eastAsia="en-AU"/>
        </w:rPr>
        <w:t xml:space="preserve"> 2.4</w:t>
      </w:r>
    </w:p>
    <w:p w14:paraId="74AF73C8" w14:textId="77777777" w:rsidR="004D65D6" w:rsidRDefault="004D65D6" w:rsidP="004D65D6">
      <w:pPr>
        <w:pStyle w:val="Heading2"/>
      </w:pPr>
      <w:bookmarkStart w:id="26" w:name="_Toc517084502"/>
      <w:bookmarkStart w:id="27" w:name="_Toc19269405"/>
      <w:r>
        <w:t>Benefits</w:t>
      </w:r>
      <w:bookmarkEnd w:id="26"/>
      <w:bookmarkEnd w:id="27"/>
    </w:p>
    <w:p w14:paraId="09F9C22F" w14:textId="77777777" w:rsidR="0043530E" w:rsidRPr="007F5F16" w:rsidRDefault="00C1258D" w:rsidP="007F5F16">
      <w:pPr>
        <w:pStyle w:val="DHHSbody"/>
      </w:pPr>
      <w:r w:rsidRPr="007F5F16">
        <w:t xml:space="preserve">Application of this standard to the implementation of PAS </w:t>
      </w:r>
      <w:r w:rsidR="0043530E" w:rsidRPr="007F5F16">
        <w:t>by health agencies will ensure continued interoperability of data applications across the state, now, and position health services to exchange data in line with future Victorian initiatives such as state-wide unique patient identification and sector wide shared clinical information whilst enabling connectivity to the national eHealth infrastructure.</w:t>
      </w:r>
    </w:p>
    <w:p w14:paraId="5B1064F6" w14:textId="77777777" w:rsidR="00570693" w:rsidRDefault="00570693" w:rsidP="001E01EA">
      <w:pPr>
        <w:pStyle w:val="DHHSbody"/>
        <w:rPr>
          <w:lang w:eastAsia="en-AU"/>
        </w:rPr>
      </w:pPr>
    </w:p>
    <w:p w14:paraId="1EFE2A27" w14:textId="77777777" w:rsidR="002B77A8" w:rsidRDefault="002B77A8" w:rsidP="003E193B">
      <w:pPr>
        <w:pStyle w:val="Heading1"/>
        <w:pageBreakBefore/>
        <w:numPr>
          <w:ilvl w:val="0"/>
          <w:numId w:val="0"/>
        </w:numPr>
      </w:pPr>
      <w:bookmarkStart w:id="28" w:name="_Ref494982794"/>
      <w:bookmarkStart w:id="29" w:name="_Toc499826923"/>
      <w:bookmarkStart w:id="30" w:name="_Toc19269406"/>
      <w:r w:rsidRPr="00691574">
        <w:lastRenderedPageBreak/>
        <w:t xml:space="preserve">Appendix </w:t>
      </w:r>
      <w:r w:rsidR="00055453">
        <w:t>A</w:t>
      </w:r>
      <w:r w:rsidRPr="00691574">
        <w:t xml:space="preserve"> – </w:t>
      </w:r>
      <w:r w:rsidR="00CA2061">
        <w:t>Terms and Definitions</w:t>
      </w:r>
      <w:bookmarkEnd w:id="28"/>
      <w:bookmarkEnd w:id="29"/>
      <w:bookmarkEnd w:id="30"/>
    </w:p>
    <w:tbl>
      <w:tblPr>
        <w:tblpPr w:leftFromText="180" w:rightFromText="180" w:vertAnchor="text" w:horzAnchor="margin" w:tblpY="117"/>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6878"/>
      </w:tblGrid>
      <w:tr w:rsidR="00802FD2" w:rsidRPr="00A85773" w14:paraId="4ED93B5D" w14:textId="77777777" w:rsidTr="00F872BA">
        <w:tc>
          <w:tcPr>
            <w:tcW w:w="2461" w:type="dxa"/>
            <w:shd w:val="clear" w:color="auto" w:fill="E7E6E6" w:themeFill="background2"/>
          </w:tcPr>
          <w:p w14:paraId="06B54F56" w14:textId="77777777" w:rsidR="00802FD2" w:rsidRPr="00AE4D3A" w:rsidRDefault="00802FD2" w:rsidP="00F872BA">
            <w:pPr>
              <w:pStyle w:val="NoSpacing"/>
              <w:spacing w:beforeLines="20" w:before="48" w:afterLines="20" w:after="48"/>
              <w:rPr>
                <w:rFonts w:ascii="Arial" w:hAnsi="Arial" w:cs="Arial"/>
                <w:b/>
                <w:color w:val="000000" w:themeColor="text1"/>
                <w:lang w:val="en-AU"/>
              </w:rPr>
            </w:pPr>
            <w:r w:rsidRPr="00AE4D3A">
              <w:rPr>
                <w:rFonts w:ascii="Arial" w:hAnsi="Arial" w:cs="Arial"/>
                <w:b/>
                <w:color w:val="000000" w:themeColor="text1"/>
                <w:lang w:val="en-AU"/>
              </w:rPr>
              <w:t>Term</w:t>
            </w:r>
          </w:p>
        </w:tc>
        <w:tc>
          <w:tcPr>
            <w:tcW w:w="6878" w:type="dxa"/>
            <w:shd w:val="clear" w:color="auto" w:fill="E7E6E6" w:themeFill="background2"/>
          </w:tcPr>
          <w:p w14:paraId="74B13F60" w14:textId="77777777" w:rsidR="00802FD2" w:rsidRPr="00AE4D3A" w:rsidRDefault="00802FD2" w:rsidP="00F872BA">
            <w:pPr>
              <w:pStyle w:val="NoSpacing"/>
              <w:spacing w:beforeLines="20" w:before="48" w:afterLines="20" w:after="48"/>
              <w:rPr>
                <w:rFonts w:ascii="Arial" w:hAnsi="Arial" w:cs="Arial"/>
                <w:b/>
                <w:color w:val="000000" w:themeColor="text1"/>
                <w:lang w:val="en-AU"/>
              </w:rPr>
            </w:pPr>
            <w:r w:rsidRPr="00AE4D3A">
              <w:rPr>
                <w:rFonts w:ascii="Arial" w:hAnsi="Arial" w:cs="Arial"/>
                <w:b/>
                <w:color w:val="000000" w:themeColor="text1"/>
                <w:lang w:val="en-AU"/>
              </w:rPr>
              <w:t>Description</w:t>
            </w:r>
          </w:p>
        </w:tc>
      </w:tr>
      <w:tr w:rsidR="00802FD2" w:rsidRPr="00A85773" w14:paraId="7A066D24" w14:textId="77777777" w:rsidTr="00F872BA">
        <w:tc>
          <w:tcPr>
            <w:tcW w:w="2461" w:type="dxa"/>
            <w:shd w:val="clear" w:color="auto" w:fill="auto"/>
          </w:tcPr>
          <w:p w14:paraId="7EC7316D" w14:textId="77777777" w:rsidR="00802FD2" w:rsidRPr="00596357" w:rsidRDefault="00802FD2" w:rsidP="00F872BA">
            <w:pPr>
              <w:spacing w:beforeLines="20" w:before="48" w:afterLines="20" w:after="48"/>
            </w:pPr>
            <w:r>
              <w:t>AMT</w:t>
            </w:r>
          </w:p>
        </w:tc>
        <w:tc>
          <w:tcPr>
            <w:tcW w:w="6878" w:type="dxa"/>
            <w:shd w:val="clear" w:color="auto" w:fill="auto"/>
          </w:tcPr>
          <w:p w14:paraId="3AC03036" w14:textId="77777777" w:rsidR="00802FD2" w:rsidRPr="00596357" w:rsidRDefault="00802FD2" w:rsidP="00F872BA">
            <w:pPr>
              <w:spacing w:beforeLines="20" w:before="48" w:afterLines="20" w:after="48"/>
            </w:pPr>
            <w:r>
              <w:t>Australian Medicines Terminology</w:t>
            </w:r>
          </w:p>
        </w:tc>
      </w:tr>
      <w:tr w:rsidR="00802FD2" w:rsidRPr="00A85773" w14:paraId="06662A43" w14:textId="77777777" w:rsidTr="00F872BA">
        <w:tc>
          <w:tcPr>
            <w:tcW w:w="2461" w:type="dxa"/>
            <w:shd w:val="clear" w:color="auto" w:fill="auto"/>
          </w:tcPr>
          <w:p w14:paraId="63960300" w14:textId="77777777" w:rsidR="00802FD2" w:rsidRPr="00596357" w:rsidRDefault="00802FD2" w:rsidP="00F872BA">
            <w:pPr>
              <w:spacing w:beforeLines="20" w:before="48" w:afterLines="20" w:after="48"/>
            </w:pPr>
            <w:r>
              <w:t>ACHI</w:t>
            </w:r>
          </w:p>
        </w:tc>
        <w:tc>
          <w:tcPr>
            <w:tcW w:w="6878" w:type="dxa"/>
            <w:shd w:val="clear" w:color="auto" w:fill="auto"/>
          </w:tcPr>
          <w:p w14:paraId="0CFDF9D5" w14:textId="77777777" w:rsidR="00802FD2" w:rsidRDefault="00802FD2" w:rsidP="00F872BA">
            <w:pPr>
              <w:spacing w:beforeLines="20" w:before="48" w:afterLines="20" w:after="48"/>
            </w:pPr>
            <w:r>
              <w:t>Australian Classification of Heath Interventions</w:t>
            </w:r>
          </w:p>
        </w:tc>
      </w:tr>
      <w:tr w:rsidR="00802FD2" w:rsidRPr="0002612F" w14:paraId="31516382" w14:textId="77777777" w:rsidTr="00F872BA">
        <w:tc>
          <w:tcPr>
            <w:tcW w:w="2461" w:type="dxa"/>
            <w:shd w:val="clear" w:color="auto" w:fill="auto"/>
          </w:tcPr>
          <w:p w14:paraId="18700391" w14:textId="77777777" w:rsidR="00802FD2" w:rsidRDefault="00802FD2" w:rsidP="00F872BA">
            <w:pPr>
              <w:spacing w:beforeLines="20" w:before="48" w:afterLines="20" w:after="48"/>
            </w:pPr>
            <w:r>
              <w:t>ADHA</w:t>
            </w:r>
          </w:p>
        </w:tc>
        <w:tc>
          <w:tcPr>
            <w:tcW w:w="6878" w:type="dxa"/>
            <w:shd w:val="clear" w:color="auto" w:fill="auto"/>
          </w:tcPr>
          <w:p w14:paraId="1C458022" w14:textId="77777777" w:rsidR="00802FD2" w:rsidRPr="0002612F" w:rsidRDefault="00802FD2" w:rsidP="00F872BA">
            <w:pPr>
              <w:spacing w:beforeLines="20" w:before="48" w:afterLines="20" w:after="48"/>
            </w:pPr>
            <w:r>
              <w:t>Australian Digital Health Agency</w:t>
            </w:r>
          </w:p>
        </w:tc>
      </w:tr>
      <w:tr w:rsidR="00FF738F" w:rsidRPr="0002612F" w14:paraId="4D257E2B" w14:textId="77777777" w:rsidTr="00F872BA">
        <w:tc>
          <w:tcPr>
            <w:tcW w:w="2461" w:type="dxa"/>
            <w:shd w:val="clear" w:color="auto" w:fill="auto"/>
          </w:tcPr>
          <w:p w14:paraId="0CCFD372" w14:textId="0B841F4A" w:rsidR="00FF738F" w:rsidRPr="00596357" w:rsidRDefault="00FF738F" w:rsidP="000E5E42">
            <w:pPr>
              <w:spacing w:beforeLines="20" w:before="48" w:afterLines="20" w:after="48"/>
            </w:pPr>
            <w:r>
              <w:t>CDA</w:t>
            </w:r>
          </w:p>
        </w:tc>
        <w:tc>
          <w:tcPr>
            <w:tcW w:w="6878" w:type="dxa"/>
            <w:shd w:val="clear" w:color="auto" w:fill="auto"/>
          </w:tcPr>
          <w:p w14:paraId="1BEF79EF" w14:textId="5FCF2A97" w:rsidR="00FF738F" w:rsidRDefault="00FF738F" w:rsidP="000E5E42">
            <w:pPr>
              <w:spacing w:beforeLines="20" w:before="48" w:afterLines="20" w:after="48"/>
            </w:pPr>
            <w:r>
              <w:t>Clinical Document Architecture</w:t>
            </w:r>
          </w:p>
        </w:tc>
      </w:tr>
      <w:tr w:rsidR="000E5E42" w:rsidRPr="0002612F" w14:paraId="51F056D0" w14:textId="77777777" w:rsidTr="00F872BA">
        <w:tc>
          <w:tcPr>
            <w:tcW w:w="2461" w:type="dxa"/>
            <w:shd w:val="clear" w:color="auto" w:fill="auto"/>
          </w:tcPr>
          <w:p w14:paraId="1A632CD3" w14:textId="77777777" w:rsidR="000E5E42" w:rsidRDefault="000E5E42" w:rsidP="000E5E42">
            <w:pPr>
              <w:spacing w:beforeLines="20" w:before="48" w:afterLines="20" w:after="48"/>
            </w:pPr>
            <w:r w:rsidRPr="00596357">
              <w:t>C</w:t>
            </w:r>
            <w:r>
              <w:t>IS</w:t>
            </w:r>
          </w:p>
        </w:tc>
        <w:tc>
          <w:tcPr>
            <w:tcW w:w="6878" w:type="dxa"/>
            <w:shd w:val="clear" w:color="auto" w:fill="auto"/>
          </w:tcPr>
          <w:p w14:paraId="69BB4FC6" w14:textId="77777777" w:rsidR="000E5E42" w:rsidRPr="0002612F" w:rsidRDefault="000E5E42" w:rsidP="000E5E42">
            <w:pPr>
              <w:spacing w:beforeLines="20" w:before="48" w:afterLines="20" w:after="48"/>
            </w:pPr>
            <w:r>
              <w:t>Clinical Information System</w:t>
            </w:r>
          </w:p>
        </w:tc>
      </w:tr>
      <w:tr w:rsidR="000E5E42" w:rsidRPr="0002612F" w14:paraId="4D20E0C2" w14:textId="77777777" w:rsidTr="00F872BA">
        <w:tc>
          <w:tcPr>
            <w:tcW w:w="2461" w:type="dxa"/>
            <w:shd w:val="clear" w:color="auto" w:fill="auto"/>
          </w:tcPr>
          <w:p w14:paraId="0C3F5B62" w14:textId="77777777" w:rsidR="000E5E42" w:rsidRPr="0002612F" w:rsidRDefault="000E5E42" w:rsidP="000E5E42">
            <w:pPr>
              <w:spacing w:beforeLines="20" w:before="48" w:afterLines="20" w:after="48"/>
            </w:pPr>
            <w:r>
              <w:t>D</w:t>
            </w:r>
            <w:r w:rsidRPr="0002612F">
              <w:t>H</w:t>
            </w:r>
            <w:r>
              <w:t>HS</w:t>
            </w:r>
          </w:p>
        </w:tc>
        <w:tc>
          <w:tcPr>
            <w:tcW w:w="6878" w:type="dxa"/>
            <w:shd w:val="clear" w:color="auto" w:fill="auto"/>
          </w:tcPr>
          <w:p w14:paraId="75A16EB4" w14:textId="77777777" w:rsidR="000E5E42" w:rsidRPr="0002612F" w:rsidRDefault="000E5E42" w:rsidP="000E5E42">
            <w:pPr>
              <w:spacing w:beforeLines="20" w:before="48" w:afterLines="20" w:after="48"/>
            </w:pPr>
            <w:r w:rsidRPr="0002612F">
              <w:t>Victorian Department of Health</w:t>
            </w:r>
            <w:r>
              <w:t xml:space="preserve"> &amp; Human Services</w:t>
            </w:r>
          </w:p>
        </w:tc>
      </w:tr>
      <w:tr w:rsidR="000E5E42" w:rsidRPr="00A85773" w14:paraId="0E890B51" w14:textId="77777777" w:rsidTr="00F872BA">
        <w:tc>
          <w:tcPr>
            <w:tcW w:w="2461" w:type="dxa"/>
            <w:shd w:val="clear" w:color="auto" w:fill="auto"/>
          </w:tcPr>
          <w:p w14:paraId="015B4594" w14:textId="77777777" w:rsidR="000E5E42" w:rsidRDefault="000E5E42" w:rsidP="000E5E42">
            <w:pPr>
              <w:spacing w:beforeLines="20" w:before="48" w:afterLines="20" w:after="48"/>
            </w:pPr>
            <w:r>
              <w:t>DH</w:t>
            </w:r>
          </w:p>
        </w:tc>
        <w:tc>
          <w:tcPr>
            <w:tcW w:w="6878" w:type="dxa"/>
            <w:shd w:val="clear" w:color="auto" w:fill="auto"/>
          </w:tcPr>
          <w:p w14:paraId="2588DCBD" w14:textId="77777777" w:rsidR="000E5E42" w:rsidRDefault="000E5E42" w:rsidP="000E5E42">
            <w:pPr>
              <w:spacing w:beforeLines="20" w:before="48" w:afterLines="20" w:after="48"/>
            </w:pPr>
            <w:r>
              <w:t>Digital Health</w:t>
            </w:r>
          </w:p>
        </w:tc>
      </w:tr>
      <w:tr w:rsidR="000E5E42" w:rsidRPr="00A85773" w14:paraId="1EDE6B96" w14:textId="77777777" w:rsidTr="00F872BA">
        <w:tc>
          <w:tcPr>
            <w:tcW w:w="2461" w:type="dxa"/>
            <w:shd w:val="clear" w:color="auto" w:fill="auto"/>
          </w:tcPr>
          <w:p w14:paraId="3A83DA6F" w14:textId="77777777" w:rsidR="000E5E42" w:rsidRDefault="000E5E42" w:rsidP="000E5E42">
            <w:pPr>
              <w:spacing w:beforeLines="20" w:before="48" w:afterLines="20" w:after="48"/>
            </w:pPr>
            <w:r>
              <w:t>Dose Range Checking</w:t>
            </w:r>
          </w:p>
        </w:tc>
        <w:tc>
          <w:tcPr>
            <w:tcW w:w="6878" w:type="dxa"/>
            <w:shd w:val="clear" w:color="auto" w:fill="auto"/>
          </w:tcPr>
          <w:p w14:paraId="6F5FB8C3" w14:textId="77777777" w:rsidR="000E5E42" w:rsidRDefault="000E5E42" w:rsidP="000E5E42">
            <w:pPr>
              <w:spacing w:beforeLines="20" w:before="48" w:afterLines="20" w:after="48"/>
            </w:pPr>
            <w:r>
              <w:t>Functional medications administration capability that:</w:t>
            </w:r>
          </w:p>
          <w:p w14:paraId="464010AB" w14:textId="77777777" w:rsidR="000E5E42" w:rsidRPr="00AD7196" w:rsidRDefault="000E5E42" w:rsidP="000E5E42">
            <w:pPr>
              <w:numPr>
                <w:ilvl w:val="0"/>
                <w:numId w:val="34"/>
              </w:numPr>
              <w:spacing w:beforeLines="20" w:before="48" w:afterLines="20" w:after="48" w:line="240" w:lineRule="auto"/>
              <w:jc w:val="left"/>
            </w:pPr>
            <w:r>
              <w:rPr>
                <w:lang w:val="en-US"/>
              </w:rPr>
              <w:t>assists pharmacists to validate a patient’s dose based on age, weight and surface area, frequency and route of administration, and other patient criteria</w:t>
            </w:r>
          </w:p>
          <w:p w14:paraId="22CC4577" w14:textId="77777777" w:rsidR="000E5E42" w:rsidRPr="00145673" w:rsidRDefault="000E5E42" w:rsidP="000E5E42">
            <w:pPr>
              <w:numPr>
                <w:ilvl w:val="0"/>
                <w:numId w:val="34"/>
              </w:numPr>
              <w:spacing w:beforeLines="20" w:before="48" w:afterLines="20" w:after="48" w:line="240" w:lineRule="auto"/>
              <w:jc w:val="left"/>
            </w:pPr>
            <w:r>
              <w:rPr>
                <w:lang w:val="en-US"/>
              </w:rPr>
              <w:t>takes into consideration, dosing interval and duration of therapy</w:t>
            </w:r>
          </w:p>
          <w:p w14:paraId="1191BBCD" w14:textId="77777777" w:rsidR="000E5E42" w:rsidRDefault="000E5E42" w:rsidP="000E5E42">
            <w:pPr>
              <w:numPr>
                <w:ilvl w:val="0"/>
                <w:numId w:val="34"/>
              </w:numPr>
              <w:spacing w:beforeLines="20" w:before="48" w:afterLines="20" w:after="48" w:line="240" w:lineRule="auto"/>
              <w:jc w:val="left"/>
            </w:pPr>
            <w:r>
              <w:t>enables decision support rules across atomic pathology and medication doses to be formed</w:t>
            </w:r>
          </w:p>
        </w:tc>
      </w:tr>
      <w:tr w:rsidR="000E5E42" w:rsidRPr="00A85773" w14:paraId="5E09675C" w14:textId="77777777" w:rsidTr="00F872BA">
        <w:tc>
          <w:tcPr>
            <w:tcW w:w="2461" w:type="dxa"/>
            <w:shd w:val="clear" w:color="auto" w:fill="auto"/>
          </w:tcPr>
          <w:p w14:paraId="55D2113D" w14:textId="77777777" w:rsidR="000E5E42" w:rsidRDefault="000E5E42" w:rsidP="000E5E42">
            <w:pPr>
              <w:spacing w:beforeLines="20" w:before="48" w:afterLines="20" w:after="48"/>
            </w:pPr>
            <w:r>
              <w:t>EHR</w:t>
            </w:r>
          </w:p>
        </w:tc>
        <w:tc>
          <w:tcPr>
            <w:tcW w:w="6878" w:type="dxa"/>
            <w:shd w:val="clear" w:color="auto" w:fill="auto"/>
          </w:tcPr>
          <w:p w14:paraId="76EC3064" w14:textId="77777777" w:rsidR="000E5E42" w:rsidRDefault="000E5E42" w:rsidP="000E5E42">
            <w:pPr>
              <w:spacing w:beforeLines="20" w:before="48" w:afterLines="20" w:after="48"/>
            </w:pPr>
            <w:r>
              <w:t>Electronic Healthcare Record</w:t>
            </w:r>
          </w:p>
        </w:tc>
      </w:tr>
      <w:tr w:rsidR="000E5E42" w:rsidRPr="00A85773" w14:paraId="5639D00C" w14:textId="77777777" w:rsidTr="00F872BA">
        <w:tc>
          <w:tcPr>
            <w:tcW w:w="2461" w:type="dxa"/>
            <w:shd w:val="clear" w:color="auto" w:fill="auto"/>
          </w:tcPr>
          <w:p w14:paraId="29CF1827" w14:textId="77777777" w:rsidR="000E5E42" w:rsidRDefault="000E5E42" w:rsidP="000E5E42">
            <w:pPr>
              <w:spacing w:beforeLines="20" w:before="48" w:afterLines="20" w:after="48"/>
            </w:pPr>
            <w:r>
              <w:t>ELS</w:t>
            </w:r>
          </w:p>
        </w:tc>
        <w:tc>
          <w:tcPr>
            <w:tcW w:w="6878" w:type="dxa"/>
            <w:shd w:val="clear" w:color="auto" w:fill="auto"/>
          </w:tcPr>
          <w:p w14:paraId="08DE60F2" w14:textId="77777777" w:rsidR="000E5E42" w:rsidRDefault="000E5E42" w:rsidP="000E5E42">
            <w:pPr>
              <w:spacing w:beforeLines="20" w:before="48" w:afterLines="20" w:after="48"/>
            </w:pPr>
            <w:r>
              <w:t>Endpoint Locator Service</w:t>
            </w:r>
          </w:p>
        </w:tc>
      </w:tr>
      <w:tr w:rsidR="004F144F" w:rsidRPr="00A85773" w14:paraId="29C9DCB0" w14:textId="77777777" w:rsidTr="00F872BA">
        <w:tc>
          <w:tcPr>
            <w:tcW w:w="2461" w:type="dxa"/>
            <w:shd w:val="clear" w:color="auto" w:fill="auto"/>
          </w:tcPr>
          <w:p w14:paraId="02EF35AE" w14:textId="77777777" w:rsidR="004F144F" w:rsidRDefault="004F144F" w:rsidP="000E5E42">
            <w:pPr>
              <w:spacing w:beforeLines="20" w:before="48" w:afterLines="20" w:after="48"/>
            </w:pPr>
            <w:r>
              <w:t>ESIS</w:t>
            </w:r>
          </w:p>
        </w:tc>
        <w:tc>
          <w:tcPr>
            <w:tcW w:w="6878" w:type="dxa"/>
            <w:shd w:val="clear" w:color="auto" w:fill="auto"/>
          </w:tcPr>
          <w:p w14:paraId="2DEAF51B" w14:textId="0652D436" w:rsidR="004F144F" w:rsidRDefault="005D3FBD" w:rsidP="000E5E42">
            <w:pPr>
              <w:spacing w:beforeLines="20" w:before="48" w:afterLines="20" w:after="48"/>
            </w:pPr>
            <w:r>
              <w:t>Elective Surge</w:t>
            </w:r>
            <w:r w:rsidR="003D1579">
              <w:t>r</w:t>
            </w:r>
            <w:r>
              <w:t>y Information System</w:t>
            </w:r>
          </w:p>
        </w:tc>
      </w:tr>
      <w:tr w:rsidR="000E5E42" w:rsidRPr="00A85773" w14:paraId="4DEDBE4F" w14:textId="77777777" w:rsidTr="00F872BA">
        <w:tc>
          <w:tcPr>
            <w:tcW w:w="2461" w:type="dxa"/>
            <w:shd w:val="clear" w:color="auto" w:fill="auto"/>
          </w:tcPr>
          <w:p w14:paraId="4024082E" w14:textId="77777777" w:rsidR="000E5E42" w:rsidRDefault="000E5E42" w:rsidP="000E5E42">
            <w:pPr>
              <w:spacing w:beforeLines="20" w:before="48" w:afterLines="20" w:after="48"/>
            </w:pPr>
            <w:r>
              <w:t>EMR</w:t>
            </w:r>
          </w:p>
        </w:tc>
        <w:tc>
          <w:tcPr>
            <w:tcW w:w="6878" w:type="dxa"/>
            <w:shd w:val="clear" w:color="auto" w:fill="auto"/>
          </w:tcPr>
          <w:p w14:paraId="415AA80C" w14:textId="77777777" w:rsidR="000E5E42" w:rsidRDefault="000E5E42" w:rsidP="000E5E42">
            <w:pPr>
              <w:spacing w:beforeLines="20" w:before="48" w:afterLines="20" w:after="48"/>
            </w:pPr>
            <w:r>
              <w:t>Electronic Medical Record</w:t>
            </w:r>
          </w:p>
        </w:tc>
      </w:tr>
      <w:tr w:rsidR="000E5E42" w:rsidRPr="00A85773" w14:paraId="4909D631" w14:textId="77777777" w:rsidTr="00F872BA">
        <w:tc>
          <w:tcPr>
            <w:tcW w:w="2461" w:type="dxa"/>
            <w:shd w:val="clear" w:color="auto" w:fill="auto"/>
          </w:tcPr>
          <w:p w14:paraId="34AAB065" w14:textId="77777777" w:rsidR="000E5E42" w:rsidRDefault="000E5E42" w:rsidP="000E5E42">
            <w:pPr>
              <w:spacing w:beforeLines="20" w:before="48" w:afterLines="20" w:after="48"/>
            </w:pPr>
            <w:r>
              <w:t>eTP</w:t>
            </w:r>
          </w:p>
        </w:tc>
        <w:tc>
          <w:tcPr>
            <w:tcW w:w="6878" w:type="dxa"/>
            <w:shd w:val="clear" w:color="auto" w:fill="auto"/>
          </w:tcPr>
          <w:p w14:paraId="133DE86A" w14:textId="77777777" w:rsidR="000E5E42" w:rsidRDefault="000E5E42" w:rsidP="000E5E42">
            <w:pPr>
              <w:spacing w:beforeLines="20" w:before="48" w:afterLines="20" w:after="48"/>
            </w:pPr>
            <w:r>
              <w:t>Electronic Transfer of Prescriptions</w:t>
            </w:r>
          </w:p>
        </w:tc>
      </w:tr>
      <w:tr w:rsidR="000E5E42" w:rsidRPr="00A85773" w14:paraId="687EDC6F" w14:textId="77777777" w:rsidTr="00F872BA">
        <w:tc>
          <w:tcPr>
            <w:tcW w:w="2461" w:type="dxa"/>
            <w:shd w:val="clear" w:color="auto" w:fill="auto"/>
          </w:tcPr>
          <w:p w14:paraId="196AEBAC" w14:textId="77777777" w:rsidR="000E5E42" w:rsidRPr="002D37EE" w:rsidRDefault="000E5E42" w:rsidP="000E5E42">
            <w:pPr>
              <w:spacing w:beforeLines="20" w:before="48" w:afterLines="20" w:after="48"/>
            </w:pPr>
            <w:r>
              <w:t>GP</w:t>
            </w:r>
          </w:p>
        </w:tc>
        <w:tc>
          <w:tcPr>
            <w:tcW w:w="6878" w:type="dxa"/>
            <w:shd w:val="clear" w:color="auto" w:fill="auto"/>
          </w:tcPr>
          <w:p w14:paraId="35DFDF1B" w14:textId="77777777" w:rsidR="000E5E42" w:rsidRDefault="000E5E42" w:rsidP="000E5E42">
            <w:pPr>
              <w:spacing w:beforeLines="20" w:before="48" w:afterLines="20" w:after="48"/>
            </w:pPr>
            <w:r>
              <w:t>General Practitioner</w:t>
            </w:r>
          </w:p>
        </w:tc>
      </w:tr>
      <w:tr w:rsidR="000E5E42" w:rsidRPr="00031748" w14:paraId="75A465CA" w14:textId="77777777" w:rsidTr="00F872BA">
        <w:tc>
          <w:tcPr>
            <w:tcW w:w="2461" w:type="dxa"/>
            <w:shd w:val="clear" w:color="auto" w:fill="auto"/>
          </w:tcPr>
          <w:p w14:paraId="65DB6F0E" w14:textId="77777777" w:rsidR="000E5E42" w:rsidRPr="00401BB1" w:rsidRDefault="000E5E42" w:rsidP="000E5E42">
            <w:pPr>
              <w:spacing w:beforeLines="20" w:before="48" w:afterLines="20" w:after="48"/>
            </w:pPr>
            <w:r>
              <w:t>HI Service</w:t>
            </w:r>
          </w:p>
        </w:tc>
        <w:tc>
          <w:tcPr>
            <w:tcW w:w="6878" w:type="dxa"/>
            <w:shd w:val="clear" w:color="auto" w:fill="auto"/>
          </w:tcPr>
          <w:p w14:paraId="2E405908" w14:textId="77777777" w:rsidR="000E5E42" w:rsidRDefault="000E5E42" w:rsidP="000E5E42">
            <w:pPr>
              <w:spacing w:beforeLines="20" w:before="48" w:afterLines="20" w:after="48"/>
            </w:pPr>
            <w:r>
              <w:t>Healthcare Identifier Service, a system operated by DHHS to support the use of national healthcare identifiers by the Australian Health sector</w:t>
            </w:r>
          </w:p>
        </w:tc>
      </w:tr>
      <w:tr w:rsidR="000E5E42" w:rsidRPr="00031748" w14:paraId="45464748" w14:textId="77777777" w:rsidTr="00F872BA">
        <w:tc>
          <w:tcPr>
            <w:tcW w:w="2461" w:type="dxa"/>
            <w:shd w:val="clear" w:color="auto" w:fill="auto"/>
          </w:tcPr>
          <w:p w14:paraId="3EE1E713" w14:textId="77777777" w:rsidR="000E5E42" w:rsidRPr="00401BB1" w:rsidRDefault="000E5E42" w:rsidP="000E5E42">
            <w:pPr>
              <w:spacing w:beforeLines="20" w:before="48" w:afterLines="20" w:after="48"/>
            </w:pPr>
            <w:r>
              <w:t>HPI-I</w:t>
            </w:r>
          </w:p>
        </w:tc>
        <w:tc>
          <w:tcPr>
            <w:tcW w:w="6878" w:type="dxa"/>
            <w:shd w:val="clear" w:color="auto" w:fill="auto"/>
          </w:tcPr>
          <w:p w14:paraId="7B6AA4EE" w14:textId="77777777" w:rsidR="000E5E42" w:rsidRDefault="000E5E42" w:rsidP="000E5E42">
            <w:pPr>
              <w:spacing w:beforeLines="20" w:before="48" w:afterLines="20" w:after="48"/>
            </w:pPr>
            <w:r>
              <w:t>Healthcare Provider Identifier - Individual</w:t>
            </w:r>
          </w:p>
        </w:tc>
      </w:tr>
      <w:tr w:rsidR="000E5E42" w:rsidRPr="00031748" w14:paraId="07742006" w14:textId="77777777" w:rsidTr="00F872BA">
        <w:tc>
          <w:tcPr>
            <w:tcW w:w="2461" w:type="dxa"/>
            <w:shd w:val="clear" w:color="auto" w:fill="auto"/>
          </w:tcPr>
          <w:p w14:paraId="342962B5" w14:textId="77777777" w:rsidR="000E5E42" w:rsidRPr="00401BB1" w:rsidRDefault="000E5E42" w:rsidP="000E5E42">
            <w:pPr>
              <w:spacing w:beforeLines="20" w:before="48" w:afterLines="20" w:after="48"/>
            </w:pPr>
            <w:r>
              <w:t>HPI-O</w:t>
            </w:r>
          </w:p>
        </w:tc>
        <w:tc>
          <w:tcPr>
            <w:tcW w:w="6878" w:type="dxa"/>
            <w:shd w:val="clear" w:color="auto" w:fill="auto"/>
          </w:tcPr>
          <w:p w14:paraId="32BC9385" w14:textId="77777777" w:rsidR="000E5E42" w:rsidRDefault="000E5E42" w:rsidP="000E5E42">
            <w:pPr>
              <w:spacing w:beforeLines="20" w:before="48" w:afterLines="20" w:after="48"/>
            </w:pPr>
            <w:r>
              <w:t>Healthcare Provider Identifier - Organisation</w:t>
            </w:r>
          </w:p>
        </w:tc>
      </w:tr>
      <w:tr w:rsidR="00984136" w:rsidRPr="00031748" w14:paraId="7220278F" w14:textId="77777777" w:rsidTr="00492382">
        <w:tc>
          <w:tcPr>
            <w:tcW w:w="2461" w:type="dxa"/>
            <w:shd w:val="clear" w:color="auto" w:fill="auto"/>
          </w:tcPr>
          <w:p w14:paraId="30EF200C" w14:textId="4096239D" w:rsidR="00984136" w:rsidRPr="00031748" w:rsidRDefault="00984136" w:rsidP="00984136">
            <w:pPr>
              <w:spacing w:beforeLines="20" w:before="48" w:afterLines="20" w:after="48"/>
            </w:pPr>
            <w:r w:rsidRPr="00401BB1">
              <w:t>H</w:t>
            </w:r>
            <w:r>
              <w:t>SSA</w:t>
            </w:r>
          </w:p>
        </w:tc>
        <w:tc>
          <w:tcPr>
            <w:tcW w:w="6878" w:type="dxa"/>
            <w:shd w:val="clear" w:color="auto" w:fill="auto"/>
          </w:tcPr>
          <w:p w14:paraId="60AD4440" w14:textId="5B108C15" w:rsidR="00984136" w:rsidRPr="00031748" w:rsidRDefault="00984136" w:rsidP="00984136">
            <w:pPr>
              <w:spacing w:beforeLines="20" w:before="48" w:afterLines="20" w:after="48"/>
            </w:pPr>
            <w:r>
              <w:t>Health Sector Standards and Advisory</w:t>
            </w:r>
          </w:p>
        </w:tc>
      </w:tr>
      <w:tr w:rsidR="000E5E42" w:rsidRPr="00031748" w14:paraId="640A1E6C" w14:textId="77777777" w:rsidTr="00F872BA">
        <w:tc>
          <w:tcPr>
            <w:tcW w:w="2461" w:type="dxa"/>
            <w:shd w:val="clear" w:color="auto" w:fill="auto"/>
          </w:tcPr>
          <w:p w14:paraId="0CFD3D55" w14:textId="77777777" w:rsidR="000E5E42" w:rsidRPr="00031748" w:rsidRDefault="000E5E42" w:rsidP="000E5E42">
            <w:pPr>
              <w:spacing w:beforeLines="20" w:before="48" w:afterLines="20" w:after="48"/>
            </w:pPr>
            <w:r w:rsidRPr="00401BB1">
              <w:t>H</w:t>
            </w:r>
            <w:r>
              <w:t>SD</w:t>
            </w:r>
          </w:p>
        </w:tc>
        <w:tc>
          <w:tcPr>
            <w:tcW w:w="6878" w:type="dxa"/>
            <w:shd w:val="clear" w:color="auto" w:fill="auto"/>
          </w:tcPr>
          <w:p w14:paraId="6A268D5D" w14:textId="77777777" w:rsidR="000E5E42" w:rsidRPr="00031748" w:rsidRDefault="000E5E42" w:rsidP="000E5E42">
            <w:pPr>
              <w:spacing w:beforeLines="20" w:before="48" w:afterLines="20" w:after="48"/>
            </w:pPr>
            <w:r>
              <w:t>Human Services Directory</w:t>
            </w:r>
          </w:p>
        </w:tc>
      </w:tr>
      <w:tr w:rsidR="000E5E42" w:rsidRPr="00031748" w14:paraId="0DE483F4" w14:textId="77777777" w:rsidTr="00F872BA">
        <w:tc>
          <w:tcPr>
            <w:tcW w:w="2461" w:type="dxa"/>
            <w:shd w:val="clear" w:color="auto" w:fill="auto"/>
          </w:tcPr>
          <w:p w14:paraId="733DF5D0" w14:textId="77777777" w:rsidR="000E5E42" w:rsidRDefault="000E5E42" w:rsidP="000E5E42">
            <w:pPr>
              <w:spacing w:beforeLines="20" w:before="48" w:afterLines="20" w:after="48"/>
            </w:pPr>
            <w:r>
              <w:t>HL7</w:t>
            </w:r>
          </w:p>
        </w:tc>
        <w:tc>
          <w:tcPr>
            <w:tcW w:w="6878" w:type="dxa"/>
            <w:shd w:val="clear" w:color="auto" w:fill="auto"/>
          </w:tcPr>
          <w:p w14:paraId="2B0C31F0" w14:textId="77777777" w:rsidR="000E5E42" w:rsidRDefault="000E5E42" w:rsidP="000E5E42">
            <w:pPr>
              <w:spacing w:beforeLines="20" w:before="48" w:afterLines="20" w:after="48"/>
            </w:pPr>
            <w:r>
              <w:t>Health Level 7, a widely accepted standard to support exchange of medical information, both administrative or clinical</w:t>
            </w:r>
          </w:p>
        </w:tc>
      </w:tr>
      <w:tr w:rsidR="000E5E42" w:rsidRPr="00031748" w14:paraId="24F9F12E" w14:textId="77777777" w:rsidTr="00F872BA">
        <w:tc>
          <w:tcPr>
            <w:tcW w:w="2461" w:type="dxa"/>
            <w:shd w:val="clear" w:color="auto" w:fill="auto"/>
          </w:tcPr>
          <w:p w14:paraId="5D495F00" w14:textId="77777777" w:rsidR="000E5E42" w:rsidRPr="00031748" w:rsidRDefault="000E5E42" w:rsidP="000E5E42">
            <w:pPr>
              <w:spacing w:beforeLines="20" w:before="48" w:afterLines="20" w:after="48"/>
            </w:pPr>
            <w:r>
              <w:t>ICD-10</w:t>
            </w:r>
          </w:p>
        </w:tc>
        <w:tc>
          <w:tcPr>
            <w:tcW w:w="6878" w:type="dxa"/>
            <w:shd w:val="clear" w:color="auto" w:fill="auto"/>
          </w:tcPr>
          <w:p w14:paraId="62CE720B" w14:textId="77777777" w:rsidR="000E5E42" w:rsidRPr="00031748" w:rsidRDefault="000E5E42" w:rsidP="000E5E42">
            <w:pPr>
              <w:spacing w:beforeLines="20" w:before="48" w:afterLines="20" w:after="48"/>
            </w:pPr>
            <w:r>
              <w:t>International Classification of Diseases</w:t>
            </w:r>
          </w:p>
        </w:tc>
      </w:tr>
      <w:tr w:rsidR="000E5E42" w:rsidRPr="00031748" w14:paraId="5456B0A6" w14:textId="77777777" w:rsidTr="00F872BA">
        <w:tc>
          <w:tcPr>
            <w:tcW w:w="2461" w:type="dxa"/>
            <w:shd w:val="clear" w:color="auto" w:fill="auto"/>
          </w:tcPr>
          <w:p w14:paraId="23A63BBE" w14:textId="77777777" w:rsidR="000E5E42" w:rsidRPr="00031748" w:rsidRDefault="000E5E42" w:rsidP="000E5E42">
            <w:pPr>
              <w:spacing w:beforeLines="20" w:before="48" w:afterLines="20" w:after="48"/>
            </w:pPr>
            <w:r>
              <w:t>ICT</w:t>
            </w:r>
          </w:p>
        </w:tc>
        <w:tc>
          <w:tcPr>
            <w:tcW w:w="6878" w:type="dxa"/>
            <w:shd w:val="clear" w:color="auto" w:fill="auto"/>
          </w:tcPr>
          <w:p w14:paraId="3B4EAD2F" w14:textId="77777777" w:rsidR="000E5E42" w:rsidRPr="00031748" w:rsidRDefault="000E5E42" w:rsidP="000E5E42">
            <w:pPr>
              <w:spacing w:beforeLines="20" w:before="48" w:afterLines="20" w:after="48"/>
            </w:pPr>
            <w:r>
              <w:t>Information &amp; Communication Technology</w:t>
            </w:r>
          </w:p>
        </w:tc>
      </w:tr>
      <w:tr w:rsidR="000E5E42" w:rsidRPr="00031748" w14:paraId="78584D47" w14:textId="77777777" w:rsidTr="00F872BA">
        <w:tc>
          <w:tcPr>
            <w:tcW w:w="2461" w:type="dxa"/>
            <w:shd w:val="clear" w:color="auto" w:fill="auto"/>
          </w:tcPr>
          <w:p w14:paraId="1CC3C293" w14:textId="77777777" w:rsidR="000E5E42" w:rsidRPr="00031748" w:rsidRDefault="000E5E42" w:rsidP="000E5E42">
            <w:pPr>
              <w:spacing w:beforeLines="20" w:before="48" w:afterLines="20" w:after="48"/>
            </w:pPr>
            <w:r w:rsidRPr="00031748">
              <w:t>IHI</w:t>
            </w:r>
          </w:p>
        </w:tc>
        <w:tc>
          <w:tcPr>
            <w:tcW w:w="6878" w:type="dxa"/>
            <w:shd w:val="clear" w:color="auto" w:fill="auto"/>
          </w:tcPr>
          <w:p w14:paraId="1D0C34F5" w14:textId="77777777" w:rsidR="000E5E42" w:rsidRPr="00031748" w:rsidRDefault="000E5E42" w:rsidP="000E5E42">
            <w:pPr>
              <w:spacing w:beforeLines="20" w:before="48" w:afterLines="20" w:after="48"/>
            </w:pPr>
            <w:r w:rsidRPr="00031748">
              <w:t xml:space="preserve">Individual Healthcare Identifier, national </w:t>
            </w:r>
            <w:r>
              <w:t>ADHA</w:t>
            </w:r>
            <w:r w:rsidRPr="00031748">
              <w:t xml:space="preserve"> patient identifier</w:t>
            </w:r>
          </w:p>
        </w:tc>
      </w:tr>
      <w:tr w:rsidR="000E5E42" w:rsidRPr="00401BB1" w14:paraId="6BD89892" w14:textId="77777777" w:rsidTr="00F872BA">
        <w:tc>
          <w:tcPr>
            <w:tcW w:w="2461" w:type="dxa"/>
            <w:shd w:val="clear" w:color="auto" w:fill="auto"/>
          </w:tcPr>
          <w:p w14:paraId="6E99986C" w14:textId="77777777" w:rsidR="000E5E42" w:rsidRPr="00401BB1" w:rsidRDefault="000E5E42" w:rsidP="000E5E42">
            <w:pPr>
              <w:spacing w:beforeLines="20" w:before="48" w:afterLines="20" w:after="48"/>
            </w:pPr>
            <w:r>
              <w:t>NASH</w:t>
            </w:r>
          </w:p>
        </w:tc>
        <w:tc>
          <w:tcPr>
            <w:tcW w:w="6878" w:type="dxa"/>
            <w:shd w:val="clear" w:color="auto" w:fill="auto"/>
          </w:tcPr>
          <w:p w14:paraId="15795C5A" w14:textId="77777777" w:rsidR="000E5E42" w:rsidRPr="00401BB1" w:rsidRDefault="000E5E42" w:rsidP="000E5E42">
            <w:pPr>
              <w:spacing w:beforeLines="20" w:before="48" w:afterLines="20" w:after="48"/>
            </w:pPr>
            <w:r>
              <w:t>National Authentication Service for Health</w:t>
            </w:r>
          </w:p>
        </w:tc>
      </w:tr>
      <w:tr w:rsidR="000E5E42" w:rsidRPr="00031748" w14:paraId="55655E8B" w14:textId="77777777" w:rsidTr="00F872BA">
        <w:tc>
          <w:tcPr>
            <w:tcW w:w="2461" w:type="dxa"/>
            <w:shd w:val="clear" w:color="auto" w:fill="auto"/>
          </w:tcPr>
          <w:p w14:paraId="6F621BDC" w14:textId="77777777" w:rsidR="000E5E42" w:rsidRPr="00031748" w:rsidRDefault="000E5E42" w:rsidP="000E5E42">
            <w:pPr>
              <w:spacing w:beforeLines="20" w:before="48" w:afterLines="20" w:after="48"/>
            </w:pPr>
            <w:r w:rsidRPr="00031748">
              <w:t>PAS</w:t>
            </w:r>
          </w:p>
        </w:tc>
        <w:tc>
          <w:tcPr>
            <w:tcW w:w="6878" w:type="dxa"/>
            <w:shd w:val="clear" w:color="auto" w:fill="auto"/>
          </w:tcPr>
          <w:p w14:paraId="21D3CCD2" w14:textId="77777777" w:rsidR="000E5E42" w:rsidRPr="00031748" w:rsidRDefault="000E5E42" w:rsidP="000E5E42">
            <w:pPr>
              <w:spacing w:beforeLines="20" w:before="48" w:afterLines="20" w:after="48"/>
            </w:pPr>
            <w:r w:rsidRPr="00031748">
              <w:t xml:space="preserve">Patient Administration System – a system used for the recording of patient and provider information to support management and coordination of service provision. </w:t>
            </w:r>
          </w:p>
        </w:tc>
      </w:tr>
      <w:tr w:rsidR="000E5E42" w:rsidRPr="0002612F" w14:paraId="62640011" w14:textId="77777777" w:rsidTr="00F872BA">
        <w:tc>
          <w:tcPr>
            <w:tcW w:w="2461" w:type="dxa"/>
            <w:shd w:val="clear" w:color="auto" w:fill="auto"/>
          </w:tcPr>
          <w:p w14:paraId="2CE8D490" w14:textId="77777777" w:rsidR="000E5E42" w:rsidRPr="0002612F" w:rsidRDefault="000E5E42" w:rsidP="000E5E42">
            <w:pPr>
              <w:spacing w:beforeLines="20" w:before="48" w:afterLines="20" w:after="48"/>
            </w:pPr>
            <w:r>
              <w:t>MHR</w:t>
            </w:r>
          </w:p>
        </w:tc>
        <w:tc>
          <w:tcPr>
            <w:tcW w:w="6878" w:type="dxa"/>
            <w:shd w:val="clear" w:color="auto" w:fill="auto"/>
          </w:tcPr>
          <w:p w14:paraId="7B2F5886" w14:textId="77777777" w:rsidR="000E5E42" w:rsidRPr="0002612F" w:rsidRDefault="000E5E42" w:rsidP="000E5E42">
            <w:pPr>
              <w:spacing w:beforeLines="20" w:before="48" w:afterLines="20" w:after="48"/>
              <w:rPr>
                <w:rFonts w:cs="Arial"/>
                <w:lang w:eastAsia="en-AU"/>
              </w:rPr>
            </w:pPr>
            <w:r>
              <w:rPr>
                <w:rFonts w:cs="Arial"/>
                <w:lang w:eastAsia="en-AU"/>
              </w:rPr>
              <w:t>My Health Record</w:t>
            </w:r>
          </w:p>
        </w:tc>
      </w:tr>
      <w:tr w:rsidR="000E5E42" w:rsidRPr="0002612F" w14:paraId="6E7E7957" w14:textId="77777777" w:rsidTr="00F872BA">
        <w:tc>
          <w:tcPr>
            <w:tcW w:w="2461" w:type="dxa"/>
            <w:shd w:val="clear" w:color="auto" w:fill="auto"/>
          </w:tcPr>
          <w:p w14:paraId="316381E4" w14:textId="77777777" w:rsidR="000E5E42" w:rsidRPr="0002612F" w:rsidRDefault="000E5E42" w:rsidP="000E5E42">
            <w:pPr>
              <w:spacing w:beforeLines="20" w:before="48" w:afterLines="20" w:after="48"/>
            </w:pPr>
            <w:r w:rsidRPr="0002612F">
              <w:lastRenderedPageBreak/>
              <w:t>PBS</w:t>
            </w:r>
          </w:p>
        </w:tc>
        <w:tc>
          <w:tcPr>
            <w:tcW w:w="6878" w:type="dxa"/>
            <w:shd w:val="clear" w:color="auto" w:fill="auto"/>
          </w:tcPr>
          <w:p w14:paraId="517AC904" w14:textId="77777777" w:rsidR="000E5E42" w:rsidRPr="0002612F" w:rsidRDefault="000E5E42" w:rsidP="000E5E42">
            <w:pPr>
              <w:spacing w:beforeLines="20" w:before="48" w:afterLines="20" w:after="48"/>
            </w:pPr>
            <w:r w:rsidRPr="0002612F">
              <w:rPr>
                <w:rFonts w:cs="Arial"/>
                <w:lang w:eastAsia="en-AU"/>
              </w:rPr>
              <w:t>Pharmaceutical Benefit Scheme</w:t>
            </w:r>
          </w:p>
        </w:tc>
      </w:tr>
      <w:tr w:rsidR="000E5E42" w:rsidRPr="00A85773" w14:paraId="249D8FE8" w14:textId="77777777" w:rsidTr="00F872BA">
        <w:tc>
          <w:tcPr>
            <w:tcW w:w="2461" w:type="dxa"/>
            <w:shd w:val="clear" w:color="auto" w:fill="auto"/>
          </w:tcPr>
          <w:p w14:paraId="0501E51C" w14:textId="77777777" w:rsidR="000E5E42" w:rsidRPr="0002612F" w:rsidRDefault="000E5E42" w:rsidP="000E5E42">
            <w:pPr>
              <w:spacing w:beforeLines="20" w:before="48" w:afterLines="20" w:after="48"/>
              <w:rPr>
                <w:rFonts w:cs="Arial"/>
                <w:lang w:eastAsia="en-AU"/>
              </w:rPr>
            </w:pPr>
            <w:r>
              <w:rPr>
                <w:rFonts w:cs="Arial"/>
                <w:lang w:eastAsia="en-AU"/>
              </w:rPr>
              <w:t>SHS</w:t>
            </w:r>
          </w:p>
        </w:tc>
        <w:tc>
          <w:tcPr>
            <w:tcW w:w="6878" w:type="dxa"/>
            <w:shd w:val="clear" w:color="auto" w:fill="auto"/>
          </w:tcPr>
          <w:p w14:paraId="34BF293B" w14:textId="77777777" w:rsidR="000E5E42" w:rsidRPr="0002612F" w:rsidRDefault="000E5E42" w:rsidP="000E5E42">
            <w:pPr>
              <w:spacing w:beforeLines="20" w:before="48" w:afterLines="20" w:after="48"/>
              <w:rPr>
                <w:rFonts w:cs="Arial"/>
                <w:lang w:eastAsia="en-AU"/>
              </w:rPr>
            </w:pPr>
            <w:r>
              <w:rPr>
                <w:rFonts w:cs="Arial"/>
                <w:lang w:eastAsia="en-AU"/>
              </w:rPr>
              <w:t>Shared Health Summary</w:t>
            </w:r>
          </w:p>
        </w:tc>
      </w:tr>
      <w:tr w:rsidR="000E5E42" w:rsidRPr="00A85773" w14:paraId="360339BC" w14:textId="77777777" w:rsidTr="00F872BA">
        <w:tc>
          <w:tcPr>
            <w:tcW w:w="2461" w:type="dxa"/>
            <w:shd w:val="clear" w:color="auto" w:fill="auto"/>
          </w:tcPr>
          <w:p w14:paraId="4BA67818" w14:textId="77777777" w:rsidR="000E5E42" w:rsidRPr="001941D0" w:rsidRDefault="000E5E42" w:rsidP="000E5E42">
            <w:pPr>
              <w:spacing w:beforeLines="20" w:before="48" w:afterLines="20" w:after="48"/>
            </w:pPr>
            <w:r w:rsidRPr="0002612F">
              <w:rPr>
                <w:rFonts w:cs="Arial"/>
                <w:lang w:eastAsia="en-AU"/>
              </w:rPr>
              <w:t>SNOMED CT</w:t>
            </w:r>
          </w:p>
        </w:tc>
        <w:tc>
          <w:tcPr>
            <w:tcW w:w="6878" w:type="dxa"/>
            <w:shd w:val="clear" w:color="auto" w:fill="auto"/>
          </w:tcPr>
          <w:p w14:paraId="4C5A0F21" w14:textId="77777777" w:rsidR="000E5E42" w:rsidRPr="001941D0" w:rsidRDefault="000E5E42" w:rsidP="000E5E42">
            <w:pPr>
              <w:spacing w:beforeLines="20" w:before="48" w:afterLines="20" w:after="48"/>
            </w:pPr>
            <w:r w:rsidRPr="0002612F">
              <w:rPr>
                <w:rFonts w:cs="Arial"/>
                <w:lang w:eastAsia="en-AU"/>
              </w:rPr>
              <w:t>Systematised Nomenclature of Medicine Clinical Terms</w:t>
            </w:r>
          </w:p>
        </w:tc>
      </w:tr>
      <w:tr w:rsidR="000E5E42" w:rsidRPr="00A85773" w14:paraId="6908B0AF" w14:textId="77777777" w:rsidTr="00F872BA">
        <w:tc>
          <w:tcPr>
            <w:tcW w:w="2461" w:type="dxa"/>
            <w:shd w:val="clear" w:color="auto" w:fill="auto"/>
          </w:tcPr>
          <w:p w14:paraId="34CAA57C" w14:textId="77777777" w:rsidR="000E5E42" w:rsidRPr="001941D0" w:rsidRDefault="000E5E42" w:rsidP="000E5E42">
            <w:pPr>
              <w:spacing w:beforeLines="20" w:before="48" w:afterLines="20" w:after="48"/>
            </w:pPr>
            <w:r w:rsidRPr="001941D0">
              <w:t>VPHS</w:t>
            </w:r>
            <w:r>
              <w:t xml:space="preserve"> or Health Service Agency</w:t>
            </w:r>
          </w:p>
        </w:tc>
        <w:tc>
          <w:tcPr>
            <w:tcW w:w="6878" w:type="dxa"/>
            <w:shd w:val="clear" w:color="auto" w:fill="auto"/>
          </w:tcPr>
          <w:p w14:paraId="5D3B44C3" w14:textId="77777777" w:rsidR="000E5E42" w:rsidRDefault="000E5E42" w:rsidP="000E5E42">
            <w:pPr>
              <w:spacing w:beforeLines="20" w:before="48" w:afterLines="20" w:after="48"/>
            </w:pPr>
            <w:r w:rsidRPr="001941D0">
              <w:t>Victorian Public Health Sector</w:t>
            </w:r>
          </w:p>
          <w:p w14:paraId="45C9C7F4" w14:textId="77777777" w:rsidR="000E5E42" w:rsidRPr="001941D0" w:rsidRDefault="000E5E42" w:rsidP="000E5E42">
            <w:pPr>
              <w:spacing w:beforeLines="20" w:before="48" w:afterLines="20" w:after="48"/>
            </w:pPr>
            <w:r>
              <w:t>One of the 85 Victorian Public Health Services offering healthcare across the state</w:t>
            </w:r>
          </w:p>
        </w:tc>
      </w:tr>
      <w:tr w:rsidR="000E5E42" w:rsidRPr="00A85773" w14:paraId="366DD207" w14:textId="77777777" w:rsidTr="00F872BA">
        <w:tc>
          <w:tcPr>
            <w:tcW w:w="2461" w:type="dxa"/>
            <w:shd w:val="clear" w:color="auto" w:fill="auto"/>
          </w:tcPr>
          <w:p w14:paraId="0D6F09A3" w14:textId="77777777" w:rsidR="000E5E42" w:rsidRPr="001941D0" w:rsidRDefault="000E5E42" w:rsidP="000E5E42">
            <w:pPr>
              <w:spacing w:beforeLines="20" w:before="48" w:afterLines="20" w:after="48"/>
            </w:pPr>
            <w:r>
              <w:t>VEMD</w:t>
            </w:r>
          </w:p>
        </w:tc>
        <w:tc>
          <w:tcPr>
            <w:tcW w:w="6878" w:type="dxa"/>
            <w:shd w:val="clear" w:color="auto" w:fill="auto"/>
          </w:tcPr>
          <w:p w14:paraId="77D16071" w14:textId="77777777" w:rsidR="000E5E42" w:rsidRPr="001941D0" w:rsidRDefault="000E5E42" w:rsidP="000E5E42">
            <w:pPr>
              <w:spacing w:beforeLines="20" w:before="48" w:afterLines="20" w:after="48"/>
            </w:pPr>
            <w:r>
              <w:t>Victorian Emergency Minimum Dataset</w:t>
            </w:r>
          </w:p>
        </w:tc>
      </w:tr>
      <w:tr w:rsidR="000E5E42" w:rsidRPr="00A85773" w14:paraId="08D7A760" w14:textId="77777777" w:rsidTr="00F872BA">
        <w:tc>
          <w:tcPr>
            <w:tcW w:w="2461" w:type="dxa"/>
            <w:shd w:val="clear" w:color="auto" w:fill="auto"/>
          </w:tcPr>
          <w:p w14:paraId="2E1F1D80" w14:textId="77777777" w:rsidR="000E5E42" w:rsidRDefault="000E5E42" w:rsidP="000E5E42">
            <w:pPr>
              <w:spacing w:beforeLines="20" w:before="48" w:afterLines="20" w:after="48"/>
            </w:pPr>
            <w:r>
              <w:t>VAED</w:t>
            </w:r>
          </w:p>
        </w:tc>
        <w:tc>
          <w:tcPr>
            <w:tcW w:w="6878" w:type="dxa"/>
            <w:shd w:val="clear" w:color="auto" w:fill="auto"/>
          </w:tcPr>
          <w:p w14:paraId="7ABB91DC" w14:textId="77777777" w:rsidR="000E5E42" w:rsidRPr="001941D0" w:rsidRDefault="000E5E42" w:rsidP="000E5E42">
            <w:pPr>
              <w:spacing w:beforeLines="20" w:before="48" w:afterLines="20" w:after="48"/>
            </w:pPr>
            <w:r>
              <w:t>Victorian Admitted Episodes Data</w:t>
            </w:r>
          </w:p>
        </w:tc>
      </w:tr>
      <w:tr w:rsidR="004F144F" w:rsidRPr="00A85773" w14:paraId="65FC4532" w14:textId="77777777" w:rsidTr="00F872BA">
        <w:tc>
          <w:tcPr>
            <w:tcW w:w="2461" w:type="dxa"/>
            <w:shd w:val="clear" w:color="auto" w:fill="auto"/>
          </w:tcPr>
          <w:p w14:paraId="543CCA7E" w14:textId="77777777" w:rsidR="004F144F" w:rsidRDefault="004F144F" w:rsidP="000E5E42">
            <w:pPr>
              <w:spacing w:beforeLines="20" w:before="48" w:afterLines="20" w:after="48"/>
            </w:pPr>
            <w:r>
              <w:t>VINAH</w:t>
            </w:r>
          </w:p>
        </w:tc>
        <w:tc>
          <w:tcPr>
            <w:tcW w:w="6878" w:type="dxa"/>
            <w:shd w:val="clear" w:color="auto" w:fill="auto"/>
          </w:tcPr>
          <w:p w14:paraId="3B311B97" w14:textId="58C25723" w:rsidR="004F144F" w:rsidRDefault="005D3FBD" w:rsidP="000E5E42">
            <w:pPr>
              <w:spacing w:beforeLines="20" w:before="48" w:afterLines="20" w:after="48"/>
            </w:pPr>
            <w:r>
              <w:t>Victorian Integrated Non-Admitted Health datase</w:t>
            </w:r>
            <w:r w:rsidR="00CB1C48">
              <w:t>t</w:t>
            </w:r>
          </w:p>
        </w:tc>
      </w:tr>
    </w:tbl>
    <w:p w14:paraId="19F78B19" w14:textId="749BD899" w:rsidR="002B2665" w:rsidRDefault="002B2665" w:rsidP="00EB3837">
      <w:pPr>
        <w:pStyle w:val="Heading1"/>
        <w:numPr>
          <w:ilvl w:val="0"/>
          <w:numId w:val="0"/>
        </w:numPr>
      </w:pPr>
    </w:p>
    <w:p w14:paraId="19D14D36" w14:textId="0D8BCC30" w:rsidR="00DB6E86" w:rsidRDefault="00DB6E86" w:rsidP="00DB6E86">
      <w:pPr>
        <w:pStyle w:val="DHHSbody"/>
      </w:pPr>
    </w:p>
    <w:p w14:paraId="4725106C" w14:textId="73F3E7E8" w:rsidR="00DB6E86" w:rsidRDefault="00DB6E86" w:rsidP="00DB6E86">
      <w:pPr>
        <w:pStyle w:val="DHHSbody"/>
      </w:pPr>
    </w:p>
    <w:p w14:paraId="6F14A5F7" w14:textId="062FEA26" w:rsidR="00DB6E86" w:rsidRDefault="00DB6E86" w:rsidP="00DB6E86">
      <w:pPr>
        <w:pStyle w:val="DHHSbody"/>
      </w:pPr>
    </w:p>
    <w:p w14:paraId="77365931" w14:textId="7B089F23" w:rsidR="00DB6E86" w:rsidRDefault="00DB6E86" w:rsidP="00DB6E86">
      <w:pPr>
        <w:pStyle w:val="DHHSbody"/>
      </w:pPr>
    </w:p>
    <w:p w14:paraId="14CE091D" w14:textId="3F4059B4" w:rsidR="00DB6E86" w:rsidRDefault="00DB6E86" w:rsidP="00DB6E86">
      <w:pPr>
        <w:pStyle w:val="DHHSbody"/>
      </w:pPr>
    </w:p>
    <w:tbl>
      <w:tblPr>
        <w:tblW w:w="4800" w:type="pct"/>
        <w:tblInd w:w="113" w:type="dxa"/>
        <w:tblCellMar>
          <w:top w:w="113" w:type="dxa"/>
          <w:bottom w:w="57" w:type="dxa"/>
        </w:tblCellMar>
        <w:tblLook w:val="00A0" w:firstRow="1" w:lastRow="0" w:firstColumn="1" w:lastColumn="0" w:noHBand="0" w:noVBand="0"/>
      </w:tblPr>
      <w:tblGrid>
        <w:gridCol w:w="8656"/>
      </w:tblGrid>
      <w:tr w:rsidR="00DB6E86" w:rsidRPr="001A5331" w14:paraId="1DC133CC" w14:textId="77777777" w:rsidTr="009E7FF2">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AFB5FDD" w14:textId="77777777" w:rsidR="00DB6E86" w:rsidRPr="001A5331" w:rsidRDefault="00DB6E86" w:rsidP="009E7FF2">
            <w:pPr>
              <w:pStyle w:val="DHHSaccessibilitypara"/>
            </w:pPr>
            <w:r w:rsidRPr="001A5331">
              <w:t xml:space="preserve">To receive this publication in an accessible format email </w:t>
            </w:r>
            <w:r>
              <w:t>DigitalHealth</w:t>
            </w:r>
            <w:r w:rsidRPr="001A5331">
              <w:t>@dhhs.vic.gov.au</w:t>
            </w:r>
          </w:p>
          <w:p w14:paraId="68995249" w14:textId="77777777" w:rsidR="00DB6E86" w:rsidRPr="001A5331" w:rsidRDefault="00DB6E86" w:rsidP="009E7FF2">
            <w:pPr>
              <w:pStyle w:val="DHHSbody"/>
            </w:pPr>
            <w:r w:rsidRPr="001A5331">
              <w:t>Authorised and published by the Victorian Government, 1 Treasury Place, Melbourne.</w:t>
            </w:r>
          </w:p>
          <w:p w14:paraId="5CF6B2C7" w14:textId="77777777" w:rsidR="00DB6E86" w:rsidRDefault="00DB6E86" w:rsidP="009E7FF2">
            <w:pPr>
              <w:pStyle w:val="DHHSbody"/>
            </w:pPr>
            <w:r w:rsidRPr="001A5331">
              <w:t xml:space="preserve">© State of Victoria, Department of Health and Human Services, </w:t>
            </w:r>
            <w:r>
              <w:t>September</w:t>
            </w:r>
            <w:r w:rsidRPr="001A5331">
              <w:t xml:space="preserve"> 2019.</w:t>
            </w:r>
          </w:p>
          <w:p w14:paraId="7F356A95" w14:textId="77777777" w:rsidR="00DB6E86" w:rsidRPr="00F708EE" w:rsidRDefault="00DB6E86" w:rsidP="009E7FF2"/>
          <w:p w14:paraId="3F46E4B8" w14:textId="77777777" w:rsidR="00DB6E86" w:rsidRPr="00F708EE" w:rsidRDefault="00DB6E86" w:rsidP="009E7FF2"/>
        </w:tc>
      </w:tr>
    </w:tbl>
    <w:p w14:paraId="22BE22C3" w14:textId="77777777" w:rsidR="00DB6E86" w:rsidRPr="00DB6E86" w:rsidRDefault="00DB6E86" w:rsidP="00DB6E86">
      <w:pPr>
        <w:pStyle w:val="DHHSbody"/>
      </w:pPr>
    </w:p>
    <w:sectPr w:rsidR="00DB6E86" w:rsidRPr="00DB6E86" w:rsidSect="004A5B2B">
      <w:pgSz w:w="11907" w:h="16839" w:code="9"/>
      <w:pgMar w:top="1440" w:right="1440" w:bottom="1440" w:left="1440"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EEC6E" w14:textId="77777777" w:rsidR="00373477" w:rsidRDefault="00373477" w:rsidP="007A1A1D">
      <w:r>
        <w:separator/>
      </w:r>
    </w:p>
  </w:endnote>
  <w:endnote w:type="continuationSeparator" w:id="0">
    <w:p w14:paraId="52B81FB2" w14:textId="77777777" w:rsidR="00373477" w:rsidRDefault="00373477" w:rsidP="007A1A1D">
      <w:r>
        <w:continuationSeparator/>
      </w:r>
    </w:p>
  </w:endnote>
  <w:endnote w:type="continuationNotice" w:id="1">
    <w:p w14:paraId="5A45FADA" w14:textId="77777777" w:rsidR="00373477" w:rsidRDefault="003734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936A2" w14:textId="3E8C479F" w:rsidR="0047077A" w:rsidRPr="008114D1" w:rsidRDefault="0047077A" w:rsidP="00E969B1">
    <w:pPr>
      <w:pStyle w:val="DHHSfooter"/>
    </w:pPr>
    <w:r>
      <w:t xml:space="preserve">Page </w:t>
    </w:r>
    <w:r w:rsidRPr="005A39EC">
      <w:fldChar w:fldCharType="begin"/>
    </w:r>
    <w:r w:rsidRPr="005A39EC">
      <w:instrText xml:space="preserve"> PAGE </w:instrText>
    </w:r>
    <w:r w:rsidRPr="005A39EC">
      <w:fldChar w:fldCharType="separate"/>
    </w:r>
    <w:r>
      <w:rPr>
        <w:noProof/>
      </w:rPr>
      <w:t>14</w:t>
    </w:r>
    <w:r w:rsidRPr="005A39EC">
      <w:fldChar w:fldCharType="end"/>
    </w:r>
    <w:r>
      <w:t xml:space="preserve">                                                 Patient Administration System and Interoperability</w:t>
    </w:r>
    <w:r w:rsidR="005E043B">
      <w:t xml:space="preserve"> - DH Standard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3EC4" w14:textId="26A463EC" w:rsidR="0047077A" w:rsidRPr="0031753A" w:rsidRDefault="0047077A" w:rsidP="00E969B1">
    <w:pPr>
      <w:pStyle w:val="DHHSfooter"/>
    </w:pPr>
    <w:r>
      <w:t>Patient Administration System and Interoperability</w:t>
    </w:r>
    <w:r w:rsidR="005E043B">
      <w:t xml:space="preserve"> - DH Standard</w:t>
    </w:r>
    <w:r>
      <w:tab/>
    </w:r>
    <w:r w:rsidRPr="0031753A">
      <w:t xml:space="preserve">Page </w:t>
    </w:r>
    <w:r w:rsidRPr="0031753A">
      <w:fldChar w:fldCharType="begin"/>
    </w:r>
    <w:r w:rsidRPr="0031753A">
      <w:instrText xml:space="preserve"> PAGE </w:instrText>
    </w:r>
    <w:r w:rsidRPr="0031753A">
      <w:fldChar w:fldCharType="separate"/>
    </w:r>
    <w:r>
      <w:rPr>
        <w:noProof/>
      </w:rPr>
      <w:t>13</w:t>
    </w:r>
    <w:r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A4778" w14:textId="77777777" w:rsidR="0047077A" w:rsidRPr="001A7E04" w:rsidRDefault="0047077A"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2A8BA" w14:textId="77777777" w:rsidR="00373477" w:rsidRDefault="00373477" w:rsidP="007A1A1D">
      <w:r>
        <w:separator/>
      </w:r>
    </w:p>
  </w:footnote>
  <w:footnote w:type="continuationSeparator" w:id="0">
    <w:p w14:paraId="6ADC73D0" w14:textId="77777777" w:rsidR="00373477" w:rsidRDefault="00373477" w:rsidP="007A1A1D">
      <w:r>
        <w:continuationSeparator/>
      </w:r>
    </w:p>
  </w:footnote>
  <w:footnote w:type="continuationNotice" w:id="1">
    <w:p w14:paraId="7B83D6BB" w14:textId="77777777" w:rsidR="00373477" w:rsidRDefault="00373477">
      <w:pPr>
        <w:spacing w:after="0" w:line="240" w:lineRule="auto"/>
      </w:pPr>
    </w:p>
  </w:footnote>
  <w:footnote w:id="2">
    <w:p w14:paraId="0AD76A27" w14:textId="77777777" w:rsidR="0047077A" w:rsidRDefault="0047077A">
      <w:pPr>
        <w:pStyle w:val="FootnoteText"/>
      </w:pPr>
      <w:r>
        <w:rPr>
          <w:rStyle w:val="FootnoteReference"/>
        </w:rPr>
        <w:footnoteRef/>
      </w:r>
      <w:r>
        <w:t xml:space="preserve"> </w:t>
      </w:r>
      <w:r w:rsidRPr="005A6238">
        <w:t>https://www2.health.vic.gov.au/about/publications/policiesandguidelines/digital-design-unified-standard</w:t>
      </w:r>
    </w:p>
  </w:footnote>
  <w:footnote w:id="3">
    <w:p w14:paraId="05100674" w14:textId="77777777" w:rsidR="0047077A" w:rsidRDefault="0047077A">
      <w:pPr>
        <w:pStyle w:val="FootnoteText"/>
      </w:pPr>
      <w:r>
        <w:rPr>
          <w:rStyle w:val="FootnoteReference"/>
        </w:rPr>
        <w:footnoteRef/>
      </w:r>
      <w:r>
        <w:t xml:space="preserve"> </w:t>
      </w:r>
      <w:r w:rsidRPr="00454905">
        <w:t>http://www.health.gov.au/internet/main/publishing.nsf/Content/pacd-ehealth-consultation-faqs#q5</w:t>
      </w:r>
    </w:p>
  </w:footnote>
  <w:footnote w:id="4">
    <w:p w14:paraId="52D45107" w14:textId="77777777" w:rsidR="0047077A" w:rsidRDefault="0047077A" w:rsidP="001F40D1">
      <w:pPr>
        <w:pStyle w:val="FootnoteText"/>
      </w:pPr>
      <w:r>
        <w:rPr>
          <w:rStyle w:val="FootnoteReference"/>
        </w:rPr>
        <w:footnoteRef/>
      </w:r>
      <w:r>
        <w:t xml:space="preserve"> </w:t>
      </w:r>
      <w:r w:rsidRPr="009F0D32">
        <w:t xml:space="preserve">Australian Standard AS 4590-2006: </w:t>
      </w:r>
      <w:r w:rsidRPr="009F0D32">
        <w:rPr>
          <w:i/>
        </w:rPr>
        <w:t>Interchange of client information</w:t>
      </w:r>
      <w:r w:rsidRPr="009F0D32">
        <w:t>, 27 October 2006,</w:t>
      </w:r>
      <w:r>
        <w:t xml:space="preserve"> </w:t>
      </w:r>
      <w:hyperlink r:id="rId1" w:history="1">
        <w:r w:rsidRPr="00107572">
          <w:rPr>
            <w:rStyle w:val="Hyperlink"/>
          </w:rPr>
          <w:t>https://infostore.saiglobal.com/store/details.aspx?ProductID=316376</w:t>
        </w:r>
      </w:hyperlink>
      <w:r>
        <w:t xml:space="preserve">, also available via the Victorian Government Library Service at </w:t>
      </w:r>
      <w:hyperlink r:id="rId2" w:history="1">
        <w:r w:rsidRPr="00107572">
          <w:rPr>
            <w:rStyle w:val="Hyperlink"/>
          </w:rPr>
          <w:t>http://library.intranet.vic.gov.au/</w:t>
        </w:r>
      </w:hyperlink>
    </w:p>
  </w:footnote>
  <w:footnote w:id="5">
    <w:p w14:paraId="36355EEC" w14:textId="77777777" w:rsidR="0047077A" w:rsidRDefault="0047077A" w:rsidP="001F40D1">
      <w:pPr>
        <w:pStyle w:val="FootnoteText"/>
      </w:pPr>
      <w:r>
        <w:rPr>
          <w:rStyle w:val="FootnoteReference"/>
        </w:rPr>
        <w:footnoteRef/>
      </w:r>
      <w:r>
        <w:t xml:space="preserve"> </w:t>
      </w:r>
      <w:r w:rsidRPr="009F0D32">
        <w:t>G-NAF, PSMA,</w:t>
      </w:r>
      <w:r>
        <w:t xml:space="preserve"> 2017, </w:t>
      </w:r>
      <w:hyperlink r:id="rId3" w:history="1">
        <w:r w:rsidRPr="009F0D32">
          <w:rPr>
            <w:rStyle w:val="Hyperlink"/>
          </w:rPr>
          <w:t>https://www.psma.com.au/products/g-naf</w:t>
        </w:r>
      </w:hyperlink>
    </w:p>
  </w:footnote>
  <w:footnote w:id="6">
    <w:p w14:paraId="3887545C" w14:textId="77777777" w:rsidR="0047077A" w:rsidRDefault="0047077A" w:rsidP="001F40D1">
      <w:pPr>
        <w:pStyle w:val="FootnoteText"/>
      </w:pPr>
      <w:r>
        <w:rPr>
          <w:rStyle w:val="FootnoteReference"/>
        </w:rPr>
        <w:footnoteRef/>
      </w:r>
      <w:r>
        <w:t xml:space="preserve"> Vicmap</w:t>
      </w:r>
      <w:r>
        <w:rPr>
          <w:rFonts w:cstheme="minorHAnsi"/>
        </w:rPr>
        <w:t>™</w:t>
      </w:r>
      <w:r>
        <w:t xml:space="preserve"> Product data description, Victorian Government, 2017, </w:t>
      </w:r>
      <w:hyperlink r:id="rId4" w:history="1">
        <w:r>
          <w:rPr>
            <w:rStyle w:val="Hyperlink"/>
          </w:rPr>
          <w:t>http://www.depi.vic.gov.au/forestry-and-land-use/spatial-data-and-resources/vicmap</w:t>
        </w:r>
      </w:hyperlink>
      <w:r>
        <w:t xml:space="preserve"> </w:t>
      </w:r>
      <w:r>
        <w:br/>
        <w:t xml:space="preserve">Note: </w:t>
      </w:r>
      <w:r w:rsidRPr="009F0D32">
        <w:t>Vicmap Address should be used when only Victorian addresses are required, and the update frequency and/or delivery mechanism of G-NAF is not suitable).</w:t>
      </w:r>
    </w:p>
  </w:footnote>
  <w:footnote w:id="7">
    <w:p w14:paraId="3ABC11FB" w14:textId="77777777" w:rsidR="0047077A" w:rsidRDefault="0047077A" w:rsidP="001F40D1">
      <w:pPr>
        <w:pStyle w:val="FootnoteText"/>
      </w:pPr>
      <w:r>
        <w:rPr>
          <w:rStyle w:val="FootnoteReference"/>
        </w:rPr>
        <w:footnoteRef/>
      </w:r>
      <w:r>
        <w:t xml:space="preserve"> </w:t>
      </w:r>
      <w:r w:rsidRPr="009F0D32">
        <w:t xml:space="preserve">PAF, Australia Post, </w:t>
      </w:r>
      <w:hyperlink r:id="rId5" w:history="1">
        <w:r w:rsidRPr="009F0D32">
          <w:rPr>
            <w:rStyle w:val="Hyperlink"/>
          </w:rPr>
          <w:t>https://auspost.com.au/business-solutions/data-marketing-services/improve-your-data/address-data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06B3" w14:textId="77777777" w:rsidR="0047077A" w:rsidRPr="0069374A" w:rsidRDefault="0047077A"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9E2E3" w14:textId="77777777" w:rsidR="0047077A" w:rsidRDefault="0047077A"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2A66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DE04DB02"/>
    <w:lvl w:ilvl="0">
      <w:numFmt w:val="bullet"/>
      <w:lvlText w:val="*"/>
      <w:lvlJc w:val="left"/>
    </w:lvl>
  </w:abstractNum>
  <w:abstractNum w:abstractNumId="2" w15:restartNumberingAfterBreak="0">
    <w:nsid w:val="0655098F"/>
    <w:multiLevelType w:val="hybridMultilevel"/>
    <w:tmpl w:val="B2001C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7D056A"/>
    <w:multiLevelType w:val="hybridMultilevel"/>
    <w:tmpl w:val="D7C41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90CCC"/>
    <w:multiLevelType w:val="hybridMultilevel"/>
    <w:tmpl w:val="62560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6757AC"/>
    <w:multiLevelType w:val="hybridMultilevel"/>
    <w:tmpl w:val="5686B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081786"/>
    <w:multiLevelType w:val="hybridMultilevel"/>
    <w:tmpl w:val="5A1C796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A25C8"/>
    <w:multiLevelType w:val="hybridMultilevel"/>
    <w:tmpl w:val="6B7CC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130B89"/>
    <w:multiLevelType w:val="hybridMultilevel"/>
    <w:tmpl w:val="71F8B3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B05DAD"/>
    <w:multiLevelType w:val="hybridMultilevel"/>
    <w:tmpl w:val="E4D8B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DC525C5"/>
    <w:multiLevelType w:val="hybridMultilevel"/>
    <w:tmpl w:val="560C7D6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F53B7F"/>
    <w:multiLevelType w:val="hybridMultilevel"/>
    <w:tmpl w:val="76D2EC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C30CE2"/>
    <w:multiLevelType w:val="hybridMultilevel"/>
    <w:tmpl w:val="4B78D13E"/>
    <w:lvl w:ilvl="0" w:tplc="9B00D58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CA7861"/>
    <w:multiLevelType w:val="hybridMultilevel"/>
    <w:tmpl w:val="087834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170902"/>
    <w:multiLevelType w:val="hybridMultilevel"/>
    <w:tmpl w:val="70A28C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BBA1DEC"/>
    <w:multiLevelType w:val="hybridMultilevel"/>
    <w:tmpl w:val="5FF80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CD90D3E"/>
    <w:multiLevelType w:val="hybridMultilevel"/>
    <w:tmpl w:val="80FA76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D40722C"/>
    <w:multiLevelType w:val="multilevel"/>
    <w:tmpl w:val="0F8EFCD6"/>
    <w:lvl w:ilvl="0">
      <w:start w:val="1"/>
      <w:numFmt w:val="decimal"/>
      <w:pStyle w:val="DHHSTOCheadingrepor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78289E"/>
    <w:multiLevelType w:val="hybridMultilevel"/>
    <w:tmpl w:val="E35E3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7F3670"/>
    <w:multiLevelType w:val="hybridMultilevel"/>
    <w:tmpl w:val="614ACF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D185AFA"/>
    <w:multiLevelType w:val="hybridMultilevel"/>
    <w:tmpl w:val="560C7D6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1B54AF9"/>
    <w:multiLevelType w:val="hybridMultilevel"/>
    <w:tmpl w:val="EC620CD8"/>
    <w:lvl w:ilvl="0" w:tplc="EA0A3F2C">
      <w:start w:val="270"/>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31F01A3"/>
    <w:multiLevelType w:val="hybridMultilevel"/>
    <w:tmpl w:val="03A2C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8A25FD"/>
    <w:multiLevelType w:val="hybridMultilevel"/>
    <w:tmpl w:val="1B5609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44C2453"/>
    <w:multiLevelType w:val="hybridMultilevel"/>
    <w:tmpl w:val="58FC3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52F4315"/>
    <w:multiLevelType w:val="hybridMultilevel"/>
    <w:tmpl w:val="A1CA57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0C62D8"/>
    <w:multiLevelType w:val="hybridMultilevel"/>
    <w:tmpl w:val="A656D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646204"/>
    <w:multiLevelType w:val="multilevel"/>
    <w:tmpl w:val="011000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49"/>
        </w:tabs>
        <w:ind w:left="0" w:firstLine="0"/>
      </w:pPr>
      <w:rPr>
        <w:rFonts w:ascii="Arial" w:hAnsi="Arial"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884"/>
        </w:tabs>
        <w:ind w:left="-1884" w:hanging="1008"/>
      </w:pPr>
      <w:rPr>
        <w:rFonts w:hint="default"/>
      </w:rPr>
    </w:lvl>
    <w:lvl w:ilvl="5">
      <w:start w:val="1"/>
      <w:numFmt w:val="decimal"/>
      <w:lvlText w:val="%1.%2.%3.%4.%5.%6"/>
      <w:lvlJc w:val="left"/>
      <w:pPr>
        <w:tabs>
          <w:tab w:val="num" w:pos="-1740"/>
        </w:tabs>
        <w:ind w:left="-1740" w:hanging="1152"/>
      </w:pPr>
      <w:rPr>
        <w:rFonts w:hint="default"/>
      </w:rPr>
    </w:lvl>
    <w:lvl w:ilvl="6">
      <w:start w:val="1"/>
      <w:numFmt w:val="decimal"/>
      <w:lvlText w:val="%1.%2.%3.%4.%5.%6.%7"/>
      <w:lvlJc w:val="left"/>
      <w:pPr>
        <w:tabs>
          <w:tab w:val="num" w:pos="-1596"/>
        </w:tabs>
        <w:ind w:left="-1596" w:hanging="1296"/>
      </w:pPr>
      <w:rPr>
        <w:rFonts w:hint="default"/>
      </w:rPr>
    </w:lvl>
    <w:lvl w:ilvl="7">
      <w:start w:val="1"/>
      <w:numFmt w:val="decimal"/>
      <w:lvlText w:val="%1.%2.%3.%4.%5.%6.%7.%8"/>
      <w:lvlJc w:val="left"/>
      <w:pPr>
        <w:tabs>
          <w:tab w:val="num" w:pos="-1452"/>
        </w:tabs>
        <w:ind w:left="-1452" w:hanging="1440"/>
      </w:pPr>
      <w:rPr>
        <w:rFonts w:hint="default"/>
      </w:rPr>
    </w:lvl>
    <w:lvl w:ilvl="8">
      <w:start w:val="1"/>
      <w:numFmt w:val="decimal"/>
      <w:lvlText w:val="%1.%2.%3.%4.%5.%6.%7.%8.%9"/>
      <w:lvlJc w:val="left"/>
      <w:pPr>
        <w:tabs>
          <w:tab w:val="num" w:pos="-1308"/>
        </w:tabs>
        <w:ind w:left="-1308" w:hanging="1584"/>
      </w:pPr>
      <w:rPr>
        <w:rFonts w:hint="default"/>
      </w:rPr>
    </w:lvl>
  </w:abstractNum>
  <w:abstractNum w:abstractNumId="30" w15:restartNumberingAfterBreak="0">
    <w:nsid w:val="5E1E7E98"/>
    <w:multiLevelType w:val="hybridMultilevel"/>
    <w:tmpl w:val="B9569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BA34F9"/>
    <w:multiLevelType w:val="hybridMultilevel"/>
    <w:tmpl w:val="CA3A8E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3CC48B2"/>
    <w:multiLevelType w:val="hybridMultilevel"/>
    <w:tmpl w:val="F02A06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23634E"/>
    <w:multiLevelType w:val="hybridMultilevel"/>
    <w:tmpl w:val="0644A4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297B98"/>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667C705B"/>
    <w:multiLevelType w:val="multilevel"/>
    <w:tmpl w:val="C5FE5A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FF5AFE"/>
    <w:multiLevelType w:val="hybridMultilevel"/>
    <w:tmpl w:val="1958C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A5A49D2"/>
    <w:multiLevelType w:val="hybridMultilevel"/>
    <w:tmpl w:val="A9965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2C7B29"/>
    <w:multiLevelType w:val="hybridMultilevel"/>
    <w:tmpl w:val="5C3610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6"/>
  </w:num>
  <w:num w:numId="2">
    <w:abstractNumId w:val="16"/>
  </w:num>
  <w:num w:numId="3">
    <w:abstractNumId w:val="7"/>
  </w:num>
  <w:num w:numId="4">
    <w:abstractNumId w:val="20"/>
  </w:num>
  <w:num w:numId="5">
    <w:abstractNumId w:val="0"/>
  </w:num>
  <w:num w:numId="6">
    <w:abstractNumId w:val="8"/>
  </w:num>
  <w:num w:numId="7">
    <w:abstractNumId w:val="22"/>
  </w:num>
  <w:num w:numId="8">
    <w:abstractNumId w:val="4"/>
  </w:num>
  <w:num w:numId="9">
    <w:abstractNumId w:val="26"/>
    <w:lvlOverride w:ilvl="0"/>
    <w:lvlOverride w:ilvl="1"/>
    <w:lvlOverride w:ilvl="2"/>
    <w:lvlOverride w:ilvl="3"/>
    <w:lvlOverride w:ilvl="4"/>
    <w:lvlOverride w:ilvl="5"/>
    <w:lvlOverride w:ilvl="6"/>
    <w:lvlOverride w:ilvl="7">
      <w:startOverride w:val="1"/>
    </w:lvlOverride>
    <w:lvlOverride w:ilvl="8">
      <w:startOverride w:val="1"/>
    </w:lvlOverride>
  </w:num>
  <w:num w:numId="10">
    <w:abstractNumId w:val="37"/>
  </w:num>
  <w:num w:numId="11">
    <w:abstractNumId w:val="12"/>
  </w:num>
  <w:num w:numId="12">
    <w:abstractNumId w:val="28"/>
  </w:num>
  <w:num w:numId="13">
    <w:abstractNumId w:val="32"/>
  </w:num>
  <w:num w:numId="14">
    <w:abstractNumId w:val="3"/>
  </w:num>
  <w:num w:numId="15">
    <w:abstractNumId w:val="35"/>
  </w:num>
  <w:num w:numId="16">
    <w:abstractNumId w:val="18"/>
  </w:num>
  <w:num w:numId="17">
    <w:abstractNumId w:val="34"/>
  </w:num>
  <w:num w:numId="18">
    <w:abstractNumId w:val="34"/>
  </w:num>
  <w:num w:numId="19">
    <w:abstractNumId w:val="11"/>
  </w:num>
  <w:num w:numId="20">
    <w:abstractNumId w:val="34"/>
  </w:num>
  <w:num w:numId="21">
    <w:abstractNumId w:val="34"/>
  </w:num>
  <w:num w:numId="22">
    <w:abstractNumId w:val="34"/>
  </w:num>
  <w:num w:numId="23">
    <w:abstractNumId w:val="34"/>
  </w:num>
  <w:num w:numId="24">
    <w:abstractNumId w:val="34"/>
  </w:num>
  <w:num w:numId="25">
    <w:abstractNumId w:val="34"/>
  </w:num>
  <w:num w:numId="26">
    <w:abstractNumId w:val="34"/>
  </w:num>
  <w:num w:numId="27">
    <w:abstractNumId w:val="34"/>
  </w:num>
  <w:num w:numId="28">
    <w:abstractNumId w:val="34"/>
  </w:num>
  <w:num w:numId="29">
    <w:abstractNumId w:val="34"/>
  </w:num>
  <w:num w:numId="30">
    <w:abstractNumId w:val="34"/>
  </w:num>
  <w:num w:numId="31">
    <w:abstractNumId w:val="34"/>
  </w:num>
  <w:num w:numId="32">
    <w:abstractNumId w:val="34"/>
  </w:num>
  <w:num w:numId="33">
    <w:abstractNumId w:val="34"/>
  </w:num>
  <w:num w:numId="34">
    <w:abstractNumId w:val="23"/>
  </w:num>
  <w:num w:numId="35">
    <w:abstractNumId w:val="1"/>
    <w:lvlOverride w:ilvl="0">
      <w:lvl w:ilvl="0">
        <w:numFmt w:val="bullet"/>
        <w:lvlText w:val=""/>
        <w:legacy w:legacy="1" w:legacySpace="0" w:legacyIndent="0"/>
        <w:lvlJc w:val="left"/>
        <w:rPr>
          <w:rFonts w:ascii="Symbol" w:hAnsi="Symbol" w:hint="default"/>
          <w:sz w:val="22"/>
        </w:rPr>
      </w:lvl>
    </w:lvlOverride>
  </w:num>
  <w:num w:numId="36">
    <w:abstractNumId w:val="31"/>
  </w:num>
  <w:num w:numId="37">
    <w:abstractNumId w:val="19"/>
  </w:num>
  <w:num w:numId="38">
    <w:abstractNumId w:val="6"/>
  </w:num>
  <w:num w:numId="39">
    <w:abstractNumId w:val="33"/>
  </w:num>
  <w:num w:numId="40">
    <w:abstractNumId w:val="13"/>
  </w:num>
  <w:num w:numId="41">
    <w:abstractNumId w:val="29"/>
  </w:num>
  <w:num w:numId="42">
    <w:abstractNumId w:val="34"/>
  </w:num>
  <w:num w:numId="43">
    <w:abstractNumId w:val="34"/>
  </w:num>
  <w:num w:numId="44">
    <w:abstractNumId w:val="30"/>
  </w:num>
  <w:num w:numId="45">
    <w:abstractNumId w:val="36"/>
  </w:num>
  <w:num w:numId="46">
    <w:abstractNumId w:val="17"/>
  </w:num>
  <w:num w:numId="47">
    <w:abstractNumId w:val="14"/>
  </w:num>
  <w:num w:numId="48">
    <w:abstractNumId w:val="24"/>
  </w:num>
  <w:num w:numId="49">
    <w:abstractNumId w:val="5"/>
  </w:num>
  <w:num w:numId="50">
    <w:abstractNumId w:val="2"/>
  </w:num>
  <w:num w:numId="51">
    <w:abstractNumId w:val="15"/>
  </w:num>
  <w:num w:numId="52">
    <w:abstractNumId w:val="10"/>
  </w:num>
  <w:num w:numId="53">
    <w:abstractNumId w:val="21"/>
  </w:num>
  <w:num w:numId="54">
    <w:abstractNumId w:val="38"/>
  </w:num>
  <w:num w:numId="55">
    <w:abstractNumId w:val="9"/>
  </w:num>
  <w:num w:numId="56">
    <w:abstractNumId w:val="25"/>
  </w:num>
  <w:num w:numId="57">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US"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evenAndOddHeaders/>
  <w:drawingGridHorizontalSpacing w:val="181"/>
  <w:drawingGridVerticalSpacing w:val="181"/>
  <w:noPunctuationKerning/>
  <w:characterSpacingControl w:val="doNotCompress"/>
  <w:hdrShapeDefaults>
    <o:shapedefaults v:ext="edit" spidmax="2049" fillcolor="#4bacc6" stroke="f">
      <v:fill color="#4bacc6"/>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M1NbI0MzEzNrYwtTRW0lEKTi0uzszPAykwMagFAOn8gFMtAAAA"/>
  </w:docVars>
  <w:rsids>
    <w:rsidRoot w:val="00E64ABA"/>
    <w:rsid w:val="0000007A"/>
    <w:rsid w:val="00002990"/>
    <w:rsid w:val="0000433B"/>
    <w:rsid w:val="000048AC"/>
    <w:rsid w:val="00007570"/>
    <w:rsid w:val="00010D00"/>
    <w:rsid w:val="00013D95"/>
    <w:rsid w:val="00014FC4"/>
    <w:rsid w:val="00016EA0"/>
    <w:rsid w:val="00020AAB"/>
    <w:rsid w:val="000216D8"/>
    <w:rsid w:val="000223A4"/>
    <w:rsid w:val="00022E60"/>
    <w:rsid w:val="00026006"/>
    <w:rsid w:val="00026081"/>
    <w:rsid w:val="0002691E"/>
    <w:rsid w:val="00026C19"/>
    <w:rsid w:val="00027324"/>
    <w:rsid w:val="00027B3E"/>
    <w:rsid w:val="00027F3E"/>
    <w:rsid w:val="00031263"/>
    <w:rsid w:val="00032701"/>
    <w:rsid w:val="000340C2"/>
    <w:rsid w:val="00034769"/>
    <w:rsid w:val="00034BD3"/>
    <w:rsid w:val="00034CB3"/>
    <w:rsid w:val="000362FB"/>
    <w:rsid w:val="0003632A"/>
    <w:rsid w:val="0003698C"/>
    <w:rsid w:val="0004133C"/>
    <w:rsid w:val="00044013"/>
    <w:rsid w:val="000441FE"/>
    <w:rsid w:val="0004649C"/>
    <w:rsid w:val="0005186C"/>
    <w:rsid w:val="0005255B"/>
    <w:rsid w:val="00053F39"/>
    <w:rsid w:val="0005416D"/>
    <w:rsid w:val="000550E0"/>
    <w:rsid w:val="00055453"/>
    <w:rsid w:val="00056E79"/>
    <w:rsid w:val="00057774"/>
    <w:rsid w:val="0006069F"/>
    <w:rsid w:val="00060A0E"/>
    <w:rsid w:val="00060E93"/>
    <w:rsid w:val="000612F7"/>
    <w:rsid w:val="000627C0"/>
    <w:rsid w:val="00063488"/>
    <w:rsid w:val="00063C3A"/>
    <w:rsid w:val="0006456F"/>
    <w:rsid w:val="00064936"/>
    <w:rsid w:val="000654B4"/>
    <w:rsid w:val="00065BE3"/>
    <w:rsid w:val="000674B4"/>
    <w:rsid w:val="00067DAD"/>
    <w:rsid w:val="00071B8C"/>
    <w:rsid w:val="000724D8"/>
    <w:rsid w:val="000734F8"/>
    <w:rsid w:val="000736B8"/>
    <w:rsid w:val="000742E1"/>
    <w:rsid w:val="00074B5B"/>
    <w:rsid w:val="00076658"/>
    <w:rsid w:val="0007749E"/>
    <w:rsid w:val="00080208"/>
    <w:rsid w:val="00080622"/>
    <w:rsid w:val="0008070E"/>
    <w:rsid w:val="0008125F"/>
    <w:rsid w:val="000814C9"/>
    <w:rsid w:val="000817CB"/>
    <w:rsid w:val="00086059"/>
    <w:rsid w:val="00086BEF"/>
    <w:rsid w:val="000873EF"/>
    <w:rsid w:val="00091E2A"/>
    <w:rsid w:val="0009497B"/>
    <w:rsid w:val="00095E13"/>
    <w:rsid w:val="0009612D"/>
    <w:rsid w:val="00096B8A"/>
    <w:rsid w:val="000A18ED"/>
    <w:rsid w:val="000A28B3"/>
    <w:rsid w:val="000A33A4"/>
    <w:rsid w:val="000A5717"/>
    <w:rsid w:val="000A7201"/>
    <w:rsid w:val="000B1908"/>
    <w:rsid w:val="000B26AA"/>
    <w:rsid w:val="000B29D7"/>
    <w:rsid w:val="000B355A"/>
    <w:rsid w:val="000B36F3"/>
    <w:rsid w:val="000B3792"/>
    <w:rsid w:val="000B3D88"/>
    <w:rsid w:val="000B48DD"/>
    <w:rsid w:val="000B5E09"/>
    <w:rsid w:val="000B7AC8"/>
    <w:rsid w:val="000C00FC"/>
    <w:rsid w:val="000C0CFD"/>
    <w:rsid w:val="000C1FDB"/>
    <w:rsid w:val="000C32DA"/>
    <w:rsid w:val="000C45DE"/>
    <w:rsid w:val="000C4F7D"/>
    <w:rsid w:val="000C6242"/>
    <w:rsid w:val="000C68DB"/>
    <w:rsid w:val="000D00A0"/>
    <w:rsid w:val="000D0AE4"/>
    <w:rsid w:val="000D0F5F"/>
    <w:rsid w:val="000D2C32"/>
    <w:rsid w:val="000D6B05"/>
    <w:rsid w:val="000D77C1"/>
    <w:rsid w:val="000D7D31"/>
    <w:rsid w:val="000E0801"/>
    <w:rsid w:val="000E1D9F"/>
    <w:rsid w:val="000E2AA9"/>
    <w:rsid w:val="000E5E42"/>
    <w:rsid w:val="000E6F72"/>
    <w:rsid w:val="000E723C"/>
    <w:rsid w:val="000F0478"/>
    <w:rsid w:val="000F0A50"/>
    <w:rsid w:val="000F16BC"/>
    <w:rsid w:val="000F39D2"/>
    <w:rsid w:val="000F48D2"/>
    <w:rsid w:val="000F51B1"/>
    <w:rsid w:val="000F73CB"/>
    <w:rsid w:val="000F7857"/>
    <w:rsid w:val="000F7DE9"/>
    <w:rsid w:val="00100425"/>
    <w:rsid w:val="00101E0E"/>
    <w:rsid w:val="00101E9F"/>
    <w:rsid w:val="001024C8"/>
    <w:rsid w:val="001034BC"/>
    <w:rsid w:val="0010353B"/>
    <w:rsid w:val="00103D5E"/>
    <w:rsid w:val="00104EA7"/>
    <w:rsid w:val="00105438"/>
    <w:rsid w:val="00105FAD"/>
    <w:rsid w:val="0010749B"/>
    <w:rsid w:val="00107E8D"/>
    <w:rsid w:val="00107F5D"/>
    <w:rsid w:val="00111353"/>
    <w:rsid w:val="0011155B"/>
    <w:rsid w:val="00111A6A"/>
    <w:rsid w:val="00111B37"/>
    <w:rsid w:val="00111F7E"/>
    <w:rsid w:val="001120F6"/>
    <w:rsid w:val="001130CC"/>
    <w:rsid w:val="00115B26"/>
    <w:rsid w:val="001164AB"/>
    <w:rsid w:val="00116B96"/>
    <w:rsid w:val="001178BB"/>
    <w:rsid w:val="0012057A"/>
    <w:rsid w:val="00121BF1"/>
    <w:rsid w:val="0012355A"/>
    <w:rsid w:val="001252BD"/>
    <w:rsid w:val="0012652B"/>
    <w:rsid w:val="00126EFB"/>
    <w:rsid w:val="00127A8B"/>
    <w:rsid w:val="001311DC"/>
    <w:rsid w:val="00131298"/>
    <w:rsid w:val="0013148F"/>
    <w:rsid w:val="001315C3"/>
    <w:rsid w:val="001318F6"/>
    <w:rsid w:val="00131BAA"/>
    <w:rsid w:val="00131EA5"/>
    <w:rsid w:val="00134BE5"/>
    <w:rsid w:val="00135A52"/>
    <w:rsid w:val="00135EF7"/>
    <w:rsid w:val="001412D1"/>
    <w:rsid w:val="00141EBB"/>
    <w:rsid w:val="001423E3"/>
    <w:rsid w:val="001475EA"/>
    <w:rsid w:val="001504F5"/>
    <w:rsid w:val="00150B02"/>
    <w:rsid w:val="001517BD"/>
    <w:rsid w:val="00152513"/>
    <w:rsid w:val="00155E1C"/>
    <w:rsid w:val="00157080"/>
    <w:rsid w:val="00157395"/>
    <w:rsid w:val="00163ADC"/>
    <w:rsid w:val="0016458B"/>
    <w:rsid w:val="00165F43"/>
    <w:rsid w:val="00166F14"/>
    <w:rsid w:val="00167840"/>
    <w:rsid w:val="00170352"/>
    <w:rsid w:val="001715A7"/>
    <w:rsid w:val="0017248D"/>
    <w:rsid w:val="00173626"/>
    <w:rsid w:val="001738BB"/>
    <w:rsid w:val="001738CD"/>
    <w:rsid w:val="00174276"/>
    <w:rsid w:val="001742CA"/>
    <w:rsid w:val="001757AA"/>
    <w:rsid w:val="00175A56"/>
    <w:rsid w:val="0017614A"/>
    <w:rsid w:val="001768CF"/>
    <w:rsid w:val="001770C0"/>
    <w:rsid w:val="0017747B"/>
    <w:rsid w:val="00177573"/>
    <w:rsid w:val="001775D0"/>
    <w:rsid w:val="001815B2"/>
    <w:rsid w:val="001817CD"/>
    <w:rsid w:val="00181A2C"/>
    <w:rsid w:val="0018235E"/>
    <w:rsid w:val="0018459F"/>
    <w:rsid w:val="00185494"/>
    <w:rsid w:val="00187561"/>
    <w:rsid w:val="0018768C"/>
    <w:rsid w:val="001878C3"/>
    <w:rsid w:val="00192BA0"/>
    <w:rsid w:val="00192F7A"/>
    <w:rsid w:val="00193239"/>
    <w:rsid w:val="00194378"/>
    <w:rsid w:val="00194F40"/>
    <w:rsid w:val="001968BF"/>
    <w:rsid w:val="001968DD"/>
    <w:rsid w:val="00196E45"/>
    <w:rsid w:val="00197303"/>
    <w:rsid w:val="001A17EA"/>
    <w:rsid w:val="001A1D17"/>
    <w:rsid w:val="001A21F6"/>
    <w:rsid w:val="001A22AA"/>
    <w:rsid w:val="001A2F87"/>
    <w:rsid w:val="001A3920"/>
    <w:rsid w:val="001A4DB3"/>
    <w:rsid w:val="001A5AEA"/>
    <w:rsid w:val="001A5D89"/>
    <w:rsid w:val="001A723D"/>
    <w:rsid w:val="001A7863"/>
    <w:rsid w:val="001A7A18"/>
    <w:rsid w:val="001B13CE"/>
    <w:rsid w:val="001B1565"/>
    <w:rsid w:val="001B166D"/>
    <w:rsid w:val="001B1D85"/>
    <w:rsid w:val="001B28B5"/>
    <w:rsid w:val="001B2975"/>
    <w:rsid w:val="001B6B23"/>
    <w:rsid w:val="001C0562"/>
    <w:rsid w:val="001C066F"/>
    <w:rsid w:val="001C0FDF"/>
    <w:rsid w:val="001C122D"/>
    <w:rsid w:val="001C2471"/>
    <w:rsid w:val="001C396F"/>
    <w:rsid w:val="001C43AA"/>
    <w:rsid w:val="001C4A6C"/>
    <w:rsid w:val="001C4C78"/>
    <w:rsid w:val="001C5267"/>
    <w:rsid w:val="001C577C"/>
    <w:rsid w:val="001C5929"/>
    <w:rsid w:val="001C5C1C"/>
    <w:rsid w:val="001C6CF5"/>
    <w:rsid w:val="001D16DF"/>
    <w:rsid w:val="001D1788"/>
    <w:rsid w:val="001D2623"/>
    <w:rsid w:val="001D2A82"/>
    <w:rsid w:val="001D399C"/>
    <w:rsid w:val="001D3EBF"/>
    <w:rsid w:val="001D5137"/>
    <w:rsid w:val="001D569B"/>
    <w:rsid w:val="001D6343"/>
    <w:rsid w:val="001D6E0D"/>
    <w:rsid w:val="001E01EA"/>
    <w:rsid w:val="001E04D5"/>
    <w:rsid w:val="001E0A3F"/>
    <w:rsid w:val="001E0EA3"/>
    <w:rsid w:val="001E2749"/>
    <w:rsid w:val="001E3B98"/>
    <w:rsid w:val="001E3E3D"/>
    <w:rsid w:val="001E4995"/>
    <w:rsid w:val="001E4F8C"/>
    <w:rsid w:val="001E7A42"/>
    <w:rsid w:val="001F09DC"/>
    <w:rsid w:val="001F0E48"/>
    <w:rsid w:val="001F104D"/>
    <w:rsid w:val="001F2313"/>
    <w:rsid w:val="001F29AB"/>
    <w:rsid w:val="001F40D1"/>
    <w:rsid w:val="001F43E6"/>
    <w:rsid w:val="001F48BA"/>
    <w:rsid w:val="001F5EED"/>
    <w:rsid w:val="00201E60"/>
    <w:rsid w:val="00202BA1"/>
    <w:rsid w:val="00202E9C"/>
    <w:rsid w:val="00202EFA"/>
    <w:rsid w:val="00204D48"/>
    <w:rsid w:val="0020568F"/>
    <w:rsid w:val="00206524"/>
    <w:rsid w:val="0020666D"/>
    <w:rsid w:val="00210064"/>
    <w:rsid w:val="00210AF9"/>
    <w:rsid w:val="00210D1F"/>
    <w:rsid w:val="00212504"/>
    <w:rsid w:val="00213772"/>
    <w:rsid w:val="00214A41"/>
    <w:rsid w:val="00215427"/>
    <w:rsid w:val="00215F44"/>
    <w:rsid w:val="002161DA"/>
    <w:rsid w:val="00217B1F"/>
    <w:rsid w:val="002204C5"/>
    <w:rsid w:val="00220749"/>
    <w:rsid w:val="00221A6A"/>
    <w:rsid w:val="00221FB0"/>
    <w:rsid w:val="0022360C"/>
    <w:rsid w:val="0022393C"/>
    <w:rsid w:val="0022422C"/>
    <w:rsid w:val="002253C0"/>
    <w:rsid w:val="0022724E"/>
    <w:rsid w:val="00230666"/>
    <w:rsid w:val="00231153"/>
    <w:rsid w:val="0023252E"/>
    <w:rsid w:val="002348F3"/>
    <w:rsid w:val="00241B7E"/>
    <w:rsid w:val="00241C31"/>
    <w:rsid w:val="00241E59"/>
    <w:rsid w:val="00242429"/>
    <w:rsid w:val="00244796"/>
    <w:rsid w:val="002460A1"/>
    <w:rsid w:val="00246D0D"/>
    <w:rsid w:val="0024775A"/>
    <w:rsid w:val="00251C21"/>
    <w:rsid w:val="0025597F"/>
    <w:rsid w:val="00257031"/>
    <w:rsid w:val="00261B87"/>
    <w:rsid w:val="00263725"/>
    <w:rsid w:val="00264F11"/>
    <w:rsid w:val="00265C4D"/>
    <w:rsid w:val="00265CB7"/>
    <w:rsid w:val="00265FDA"/>
    <w:rsid w:val="002667CC"/>
    <w:rsid w:val="00266927"/>
    <w:rsid w:val="002679D5"/>
    <w:rsid w:val="00271390"/>
    <w:rsid w:val="002714FD"/>
    <w:rsid w:val="002735C8"/>
    <w:rsid w:val="00273DDE"/>
    <w:rsid w:val="0027488F"/>
    <w:rsid w:val="00275F94"/>
    <w:rsid w:val="00276DF4"/>
    <w:rsid w:val="00277191"/>
    <w:rsid w:val="002801CC"/>
    <w:rsid w:val="00280D0C"/>
    <w:rsid w:val="00281B9C"/>
    <w:rsid w:val="0028406F"/>
    <w:rsid w:val="00284C35"/>
    <w:rsid w:val="00284C9B"/>
    <w:rsid w:val="0028552B"/>
    <w:rsid w:val="00292C25"/>
    <w:rsid w:val="00292D56"/>
    <w:rsid w:val="002945EA"/>
    <w:rsid w:val="002959A3"/>
    <w:rsid w:val="0029696F"/>
    <w:rsid w:val="0029784E"/>
    <w:rsid w:val="00297BAD"/>
    <w:rsid w:val="002A109C"/>
    <w:rsid w:val="002A141B"/>
    <w:rsid w:val="002A212F"/>
    <w:rsid w:val="002A26B6"/>
    <w:rsid w:val="002A2B97"/>
    <w:rsid w:val="002A462C"/>
    <w:rsid w:val="002A4A4A"/>
    <w:rsid w:val="002A4FD4"/>
    <w:rsid w:val="002A54A9"/>
    <w:rsid w:val="002A5D40"/>
    <w:rsid w:val="002A64B0"/>
    <w:rsid w:val="002A6A4E"/>
    <w:rsid w:val="002B0DE0"/>
    <w:rsid w:val="002B12D1"/>
    <w:rsid w:val="002B2665"/>
    <w:rsid w:val="002B480E"/>
    <w:rsid w:val="002B5A85"/>
    <w:rsid w:val="002B63A7"/>
    <w:rsid w:val="002B7274"/>
    <w:rsid w:val="002B77A8"/>
    <w:rsid w:val="002C1536"/>
    <w:rsid w:val="002C21C0"/>
    <w:rsid w:val="002C291A"/>
    <w:rsid w:val="002C2C6D"/>
    <w:rsid w:val="002C4E23"/>
    <w:rsid w:val="002C4FD3"/>
    <w:rsid w:val="002C5543"/>
    <w:rsid w:val="002C5F09"/>
    <w:rsid w:val="002C6DED"/>
    <w:rsid w:val="002C6F42"/>
    <w:rsid w:val="002D07DB"/>
    <w:rsid w:val="002D0BB1"/>
    <w:rsid w:val="002D0F7F"/>
    <w:rsid w:val="002D260F"/>
    <w:rsid w:val="002D339C"/>
    <w:rsid w:val="002D33E5"/>
    <w:rsid w:val="002D3E4F"/>
    <w:rsid w:val="002D5389"/>
    <w:rsid w:val="002D63E1"/>
    <w:rsid w:val="002D694A"/>
    <w:rsid w:val="002E0198"/>
    <w:rsid w:val="002E0935"/>
    <w:rsid w:val="002E0BD7"/>
    <w:rsid w:val="002E0E0E"/>
    <w:rsid w:val="002E1501"/>
    <w:rsid w:val="002E1D55"/>
    <w:rsid w:val="002E1D7C"/>
    <w:rsid w:val="002E295B"/>
    <w:rsid w:val="002E36DA"/>
    <w:rsid w:val="002E5A6B"/>
    <w:rsid w:val="002E6446"/>
    <w:rsid w:val="002E71A3"/>
    <w:rsid w:val="002E7664"/>
    <w:rsid w:val="002F094C"/>
    <w:rsid w:val="002F1871"/>
    <w:rsid w:val="002F1B08"/>
    <w:rsid w:val="002F3C98"/>
    <w:rsid w:val="002F449B"/>
    <w:rsid w:val="002F4D86"/>
    <w:rsid w:val="002F5D69"/>
    <w:rsid w:val="002F631C"/>
    <w:rsid w:val="002F7C77"/>
    <w:rsid w:val="003004BD"/>
    <w:rsid w:val="0030083D"/>
    <w:rsid w:val="00300AFE"/>
    <w:rsid w:val="00300CB3"/>
    <w:rsid w:val="003033AD"/>
    <w:rsid w:val="0030394B"/>
    <w:rsid w:val="00303E1F"/>
    <w:rsid w:val="003042E2"/>
    <w:rsid w:val="00306D1C"/>
    <w:rsid w:val="00307106"/>
    <w:rsid w:val="003072C6"/>
    <w:rsid w:val="00310D8E"/>
    <w:rsid w:val="0031170A"/>
    <w:rsid w:val="00311FEF"/>
    <w:rsid w:val="003133B2"/>
    <w:rsid w:val="00315BBD"/>
    <w:rsid w:val="00316CFC"/>
    <w:rsid w:val="00316D79"/>
    <w:rsid w:val="0031743D"/>
    <w:rsid w:val="0031753A"/>
    <w:rsid w:val="00317628"/>
    <w:rsid w:val="00317A53"/>
    <w:rsid w:val="00320293"/>
    <w:rsid w:val="00322CC2"/>
    <w:rsid w:val="00324021"/>
    <w:rsid w:val="003271DC"/>
    <w:rsid w:val="00327A43"/>
    <w:rsid w:val="0033208C"/>
    <w:rsid w:val="00333894"/>
    <w:rsid w:val="00334B54"/>
    <w:rsid w:val="00334FC0"/>
    <w:rsid w:val="003350B1"/>
    <w:rsid w:val="00335FB4"/>
    <w:rsid w:val="0033739E"/>
    <w:rsid w:val="00337BB3"/>
    <w:rsid w:val="00340362"/>
    <w:rsid w:val="003406EF"/>
    <w:rsid w:val="00342098"/>
    <w:rsid w:val="00343733"/>
    <w:rsid w:val="00344209"/>
    <w:rsid w:val="00346BCA"/>
    <w:rsid w:val="00347E92"/>
    <w:rsid w:val="003512D1"/>
    <w:rsid w:val="00351B9F"/>
    <w:rsid w:val="00351F7A"/>
    <w:rsid w:val="003529CB"/>
    <w:rsid w:val="003537EC"/>
    <w:rsid w:val="003544D4"/>
    <w:rsid w:val="00355708"/>
    <w:rsid w:val="00355886"/>
    <w:rsid w:val="00356814"/>
    <w:rsid w:val="0035732B"/>
    <w:rsid w:val="00357849"/>
    <w:rsid w:val="00360E64"/>
    <w:rsid w:val="00361D32"/>
    <w:rsid w:val="00363693"/>
    <w:rsid w:val="00364104"/>
    <w:rsid w:val="0036457C"/>
    <w:rsid w:val="00370172"/>
    <w:rsid w:val="00371041"/>
    <w:rsid w:val="00372DB5"/>
    <w:rsid w:val="00373477"/>
    <w:rsid w:val="00374542"/>
    <w:rsid w:val="0037468D"/>
    <w:rsid w:val="003774F7"/>
    <w:rsid w:val="00377BCE"/>
    <w:rsid w:val="0038019F"/>
    <w:rsid w:val="00380865"/>
    <w:rsid w:val="00381ACD"/>
    <w:rsid w:val="00382071"/>
    <w:rsid w:val="0038293B"/>
    <w:rsid w:val="003838B0"/>
    <w:rsid w:val="00383C20"/>
    <w:rsid w:val="00384B57"/>
    <w:rsid w:val="00386DC4"/>
    <w:rsid w:val="003875F8"/>
    <w:rsid w:val="00390587"/>
    <w:rsid w:val="00395C0B"/>
    <w:rsid w:val="00396888"/>
    <w:rsid w:val="003A18B7"/>
    <w:rsid w:val="003A2DD4"/>
    <w:rsid w:val="003A2F25"/>
    <w:rsid w:val="003A30B5"/>
    <w:rsid w:val="003A60AD"/>
    <w:rsid w:val="003A6587"/>
    <w:rsid w:val="003B058A"/>
    <w:rsid w:val="003B10CC"/>
    <w:rsid w:val="003B18F3"/>
    <w:rsid w:val="003B2807"/>
    <w:rsid w:val="003B4A41"/>
    <w:rsid w:val="003B7462"/>
    <w:rsid w:val="003B791B"/>
    <w:rsid w:val="003C0668"/>
    <w:rsid w:val="003C0E48"/>
    <w:rsid w:val="003C1BC2"/>
    <w:rsid w:val="003C1DAE"/>
    <w:rsid w:val="003C68F2"/>
    <w:rsid w:val="003C7477"/>
    <w:rsid w:val="003C79B9"/>
    <w:rsid w:val="003C7FC4"/>
    <w:rsid w:val="003D1579"/>
    <w:rsid w:val="003D1786"/>
    <w:rsid w:val="003D3EB0"/>
    <w:rsid w:val="003D58B8"/>
    <w:rsid w:val="003D5CFB"/>
    <w:rsid w:val="003E018D"/>
    <w:rsid w:val="003E119E"/>
    <w:rsid w:val="003E193B"/>
    <w:rsid w:val="003E2636"/>
    <w:rsid w:val="003E2E12"/>
    <w:rsid w:val="003E30BB"/>
    <w:rsid w:val="003E312E"/>
    <w:rsid w:val="003E36E5"/>
    <w:rsid w:val="003E4597"/>
    <w:rsid w:val="003E4FAB"/>
    <w:rsid w:val="003F12A5"/>
    <w:rsid w:val="003F39CE"/>
    <w:rsid w:val="003F4A3C"/>
    <w:rsid w:val="003F4E87"/>
    <w:rsid w:val="003F5725"/>
    <w:rsid w:val="003F5D89"/>
    <w:rsid w:val="003F5F5E"/>
    <w:rsid w:val="003F61E0"/>
    <w:rsid w:val="003F6F3E"/>
    <w:rsid w:val="003F70F8"/>
    <w:rsid w:val="003F74E9"/>
    <w:rsid w:val="003F7684"/>
    <w:rsid w:val="003F7860"/>
    <w:rsid w:val="00401108"/>
    <w:rsid w:val="00402927"/>
    <w:rsid w:val="00402944"/>
    <w:rsid w:val="004046B8"/>
    <w:rsid w:val="00404C59"/>
    <w:rsid w:val="00405AE6"/>
    <w:rsid w:val="00407993"/>
    <w:rsid w:val="004114C2"/>
    <w:rsid w:val="00411833"/>
    <w:rsid w:val="00412F64"/>
    <w:rsid w:val="004134B1"/>
    <w:rsid w:val="00414A2B"/>
    <w:rsid w:val="00417BEB"/>
    <w:rsid w:val="004208FB"/>
    <w:rsid w:val="00421F8B"/>
    <w:rsid w:val="00422703"/>
    <w:rsid w:val="00422A72"/>
    <w:rsid w:val="00422DD8"/>
    <w:rsid w:val="004237E6"/>
    <w:rsid w:val="0042495F"/>
    <w:rsid w:val="00424C4C"/>
    <w:rsid w:val="00425757"/>
    <w:rsid w:val="00425B81"/>
    <w:rsid w:val="004264E1"/>
    <w:rsid w:val="0042705D"/>
    <w:rsid w:val="0043002A"/>
    <w:rsid w:val="004324FF"/>
    <w:rsid w:val="00432A55"/>
    <w:rsid w:val="00434207"/>
    <w:rsid w:val="00435222"/>
    <w:rsid w:val="0043530E"/>
    <w:rsid w:val="0043558E"/>
    <w:rsid w:val="00436DFD"/>
    <w:rsid w:val="0044044D"/>
    <w:rsid w:val="00440E5C"/>
    <w:rsid w:val="00440E95"/>
    <w:rsid w:val="00440F0A"/>
    <w:rsid w:val="0044152B"/>
    <w:rsid w:val="0044260A"/>
    <w:rsid w:val="00444D82"/>
    <w:rsid w:val="00445186"/>
    <w:rsid w:val="00447D01"/>
    <w:rsid w:val="00447F31"/>
    <w:rsid w:val="0045010F"/>
    <w:rsid w:val="004503F3"/>
    <w:rsid w:val="00450F8D"/>
    <w:rsid w:val="00451155"/>
    <w:rsid w:val="00451BCB"/>
    <w:rsid w:val="00451FF5"/>
    <w:rsid w:val="00452E33"/>
    <w:rsid w:val="00453A84"/>
    <w:rsid w:val="00454790"/>
    <w:rsid w:val="00454905"/>
    <w:rsid w:val="00454916"/>
    <w:rsid w:val="004564C6"/>
    <w:rsid w:val="004568B4"/>
    <w:rsid w:val="004610CC"/>
    <w:rsid w:val="00461C22"/>
    <w:rsid w:val="004638BC"/>
    <w:rsid w:val="004644C2"/>
    <w:rsid w:val="004648BD"/>
    <w:rsid w:val="00465464"/>
    <w:rsid w:val="0046567A"/>
    <w:rsid w:val="00465E87"/>
    <w:rsid w:val="004668B8"/>
    <w:rsid w:val="00466FC8"/>
    <w:rsid w:val="0047077A"/>
    <w:rsid w:val="00470EB8"/>
    <w:rsid w:val="00470F94"/>
    <w:rsid w:val="00470FCE"/>
    <w:rsid w:val="00474647"/>
    <w:rsid w:val="00476EB3"/>
    <w:rsid w:val="0047786A"/>
    <w:rsid w:val="00477A65"/>
    <w:rsid w:val="0048050B"/>
    <w:rsid w:val="004814CD"/>
    <w:rsid w:val="00481A10"/>
    <w:rsid w:val="00482DB3"/>
    <w:rsid w:val="00483A56"/>
    <w:rsid w:val="004849B8"/>
    <w:rsid w:val="00486080"/>
    <w:rsid w:val="004879D3"/>
    <w:rsid w:val="00487A22"/>
    <w:rsid w:val="00487C55"/>
    <w:rsid w:val="004905EE"/>
    <w:rsid w:val="004909F3"/>
    <w:rsid w:val="00491AD3"/>
    <w:rsid w:val="00492382"/>
    <w:rsid w:val="00492F13"/>
    <w:rsid w:val="00494087"/>
    <w:rsid w:val="00494136"/>
    <w:rsid w:val="004944A2"/>
    <w:rsid w:val="0049546E"/>
    <w:rsid w:val="004955E5"/>
    <w:rsid w:val="00496370"/>
    <w:rsid w:val="00496ED1"/>
    <w:rsid w:val="004A0236"/>
    <w:rsid w:val="004A2DC1"/>
    <w:rsid w:val="004A369A"/>
    <w:rsid w:val="004A3B3E"/>
    <w:rsid w:val="004A5B2B"/>
    <w:rsid w:val="004A6ECA"/>
    <w:rsid w:val="004B0D2A"/>
    <w:rsid w:val="004B0FE7"/>
    <w:rsid w:val="004B1BC1"/>
    <w:rsid w:val="004B35CC"/>
    <w:rsid w:val="004B3620"/>
    <w:rsid w:val="004B6DAE"/>
    <w:rsid w:val="004B6E53"/>
    <w:rsid w:val="004C200F"/>
    <w:rsid w:val="004C23AB"/>
    <w:rsid w:val="004C4E5B"/>
    <w:rsid w:val="004C54E5"/>
    <w:rsid w:val="004C5777"/>
    <w:rsid w:val="004C6B49"/>
    <w:rsid w:val="004C76FD"/>
    <w:rsid w:val="004C7A48"/>
    <w:rsid w:val="004D0173"/>
    <w:rsid w:val="004D1056"/>
    <w:rsid w:val="004D1CD0"/>
    <w:rsid w:val="004D1D77"/>
    <w:rsid w:val="004D2B21"/>
    <w:rsid w:val="004D375B"/>
    <w:rsid w:val="004D405E"/>
    <w:rsid w:val="004D4538"/>
    <w:rsid w:val="004D4775"/>
    <w:rsid w:val="004D4B49"/>
    <w:rsid w:val="004D61A7"/>
    <w:rsid w:val="004D655C"/>
    <w:rsid w:val="004D65D6"/>
    <w:rsid w:val="004D73DD"/>
    <w:rsid w:val="004D780A"/>
    <w:rsid w:val="004E1124"/>
    <w:rsid w:val="004E1C96"/>
    <w:rsid w:val="004E1EDE"/>
    <w:rsid w:val="004E21E2"/>
    <w:rsid w:val="004E293F"/>
    <w:rsid w:val="004E380D"/>
    <w:rsid w:val="004E404D"/>
    <w:rsid w:val="004E40CE"/>
    <w:rsid w:val="004E4CD0"/>
    <w:rsid w:val="004E634D"/>
    <w:rsid w:val="004E6DC6"/>
    <w:rsid w:val="004E7922"/>
    <w:rsid w:val="004F0DFC"/>
    <w:rsid w:val="004F144F"/>
    <w:rsid w:val="004F1887"/>
    <w:rsid w:val="004F240B"/>
    <w:rsid w:val="004F3054"/>
    <w:rsid w:val="004F3441"/>
    <w:rsid w:val="004F3FDE"/>
    <w:rsid w:val="004F41B2"/>
    <w:rsid w:val="004F45BB"/>
    <w:rsid w:val="004F4AFC"/>
    <w:rsid w:val="004F52A5"/>
    <w:rsid w:val="004F5798"/>
    <w:rsid w:val="004F6076"/>
    <w:rsid w:val="00500C8C"/>
    <w:rsid w:val="00501141"/>
    <w:rsid w:val="00501375"/>
    <w:rsid w:val="005014E9"/>
    <w:rsid w:val="00501D3B"/>
    <w:rsid w:val="005022C9"/>
    <w:rsid w:val="00504DD1"/>
    <w:rsid w:val="00505B2F"/>
    <w:rsid w:val="00506016"/>
    <w:rsid w:val="0050779D"/>
    <w:rsid w:val="005139EA"/>
    <w:rsid w:val="00514D2C"/>
    <w:rsid w:val="00515B61"/>
    <w:rsid w:val="00516131"/>
    <w:rsid w:val="0051732E"/>
    <w:rsid w:val="005201B3"/>
    <w:rsid w:val="00520BBB"/>
    <w:rsid w:val="0052343E"/>
    <w:rsid w:val="00525456"/>
    <w:rsid w:val="00525CA1"/>
    <w:rsid w:val="00531658"/>
    <w:rsid w:val="00532236"/>
    <w:rsid w:val="005347B9"/>
    <w:rsid w:val="00534DDC"/>
    <w:rsid w:val="00537916"/>
    <w:rsid w:val="00537CDB"/>
    <w:rsid w:val="00540D65"/>
    <w:rsid w:val="00541DFE"/>
    <w:rsid w:val="005420F7"/>
    <w:rsid w:val="00543E6C"/>
    <w:rsid w:val="00544184"/>
    <w:rsid w:val="00550278"/>
    <w:rsid w:val="00551911"/>
    <w:rsid w:val="00552421"/>
    <w:rsid w:val="00554049"/>
    <w:rsid w:val="005552FD"/>
    <w:rsid w:val="005600E5"/>
    <w:rsid w:val="00560A95"/>
    <w:rsid w:val="00562E0B"/>
    <w:rsid w:val="00564E8F"/>
    <w:rsid w:val="00566EF9"/>
    <w:rsid w:val="00566F9E"/>
    <w:rsid w:val="00570101"/>
    <w:rsid w:val="00570693"/>
    <w:rsid w:val="005712D6"/>
    <w:rsid w:val="00572343"/>
    <w:rsid w:val="005727FE"/>
    <w:rsid w:val="005728A4"/>
    <w:rsid w:val="005741D1"/>
    <w:rsid w:val="005763FC"/>
    <w:rsid w:val="005769BF"/>
    <w:rsid w:val="00576EB4"/>
    <w:rsid w:val="00577B30"/>
    <w:rsid w:val="00577FC2"/>
    <w:rsid w:val="00577FF4"/>
    <w:rsid w:val="00581EAD"/>
    <w:rsid w:val="00582768"/>
    <w:rsid w:val="00582DA4"/>
    <w:rsid w:val="005830F4"/>
    <w:rsid w:val="00583461"/>
    <w:rsid w:val="00583849"/>
    <w:rsid w:val="00583ACA"/>
    <w:rsid w:val="00584E24"/>
    <w:rsid w:val="005856A4"/>
    <w:rsid w:val="00586637"/>
    <w:rsid w:val="00586EA9"/>
    <w:rsid w:val="0058783C"/>
    <w:rsid w:val="005878F6"/>
    <w:rsid w:val="00590730"/>
    <w:rsid w:val="005933CB"/>
    <w:rsid w:val="00593B95"/>
    <w:rsid w:val="00596609"/>
    <w:rsid w:val="00596F35"/>
    <w:rsid w:val="005976C7"/>
    <w:rsid w:val="005A084A"/>
    <w:rsid w:val="005A0ECC"/>
    <w:rsid w:val="005A14A0"/>
    <w:rsid w:val="005A180F"/>
    <w:rsid w:val="005A3051"/>
    <w:rsid w:val="005A474F"/>
    <w:rsid w:val="005A4E28"/>
    <w:rsid w:val="005A516B"/>
    <w:rsid w:val="005A51DE"/>
    <w:rsid w:val="005A53FE"/>
    <w:rsid w:val="005B137A"/>
    <w:rsid w:val="005B1FFB"/>
    <w:rsid w:val="005B376F"/>
    <w:rsid w:val="005B6C63"/>
    <w:rsid w:val="005B6E5D"/>
    <w:rsid w:val="005B7682"/>
    <w:rsid w:val="005B7D22"/>
    <w:rsid w:val="005C029E"/>
    <w:rsid w:val="005C1667"/>
    <w:rsid w:val="005C1B74"/>
    <w:rsid w:val="005C1C66"/>
    <w:rsid w:val="005C1C7C"/>
    <w:rsid w:val="005C25F3"/>
    <w:rsid w:val="005C3E8F"/>
    <w:rsid w:val="005C5DB4"/>
    <w:rsid w:val="005D1D10"/>
    <w:rsid w:val="005D2B8A"/>
    <w:rsid w:val="005D3FBD"/>
    <w:rsid w:val="005D42C6"/>
    <w:rsid w:val="005D68D8"/>
    <w:rsid w:val="005D735F"/>
    <w:rsid w:val="005D7A60"/>
    <w:rsid w:val="005D7AF3"/>
    <w:rsid w:val="005E043B"/>
    <w:rsid w:val="005E084A"/>
    <w:rsid w:val="005E085D"/>
    <w:rsid w:val="005E0948"/>
    <w:rsid w:val="005E0A07"/>
    <w:rsid w:val="005E29B7"/>
    <w:rsid w:val="005E31A2"/>
    <w:rsid w:val="005E325B"/>
    <w:rsid w:val="005E3C8A"/>
    <w:rsid w:val="005E3FA7"/>
    <w:rsid w:val="005E4577"/>
    <w:rsid w:val="005E6553"/>
    <w:rsid w:val="005E6E9C"/>
    <w:rsid w:val="005E7963"/>
    <w:rsid w:val="005F0AB3"/>
    <w:rsid w:val="005F0E5F"/>
    <w:rsid w:val="005F13D2"/>
    <w:rsid w:val="005F191A"/>
    <w:rsid w:val="005F218C"/>
    <w:rsid w:val="005F22D9"/>
    <w:rsid w:val="005F2C63"/>
    <w:rsid w:val="005F4523"/>
    <w:rsid w:val="005F53B2"/>
    <w:rsid w:val="005F6469"/>
    <w:rsid w:val="005F6F17"/>
    <w:rsid w:val="005F70B4"/>
    <w:rsid w:val="005F7EF8"/>
    <w:rsid w:val="006007E5"/>
    <w:rsid w:val="006017B4"/>
    <w:rsid w:val="00601D4D"/>
    <w:rsid w:val="006021B4"/>
    <w:rsid w:val="0060403A"/>
    <w:rsid w:val="0060476A"/>
    <w:rsid w:val="00604E31"/>
    <w:rsid w:val="00605B5B"/>
    <w:rsid w:val="006062D8"/>
    <w:rsid w:val="00606827"/>
    <w:rsid w:val="006128CB"/>
    <w:rsid w:val="00612F1A"/>
    <w:rsid w:val="006132CC"/>
    <w:rsid w:val="006142F2"/>
    <w:rsid w:val="00615E45"/>
    <w:rsid w:val="00616C5B"/>
    <w:rsid w:val="006171F5"/>
    <w:rsid w:val="00620262"/>
    <w:rsid w:val="00621B4C"/>
    <w:rsid w:val="00622733"/>
    <w:rsid w:val="00622B70"/>
    <w:rsid w:val="00623B4D"/>
    <w:rsid w:val="006257EE"/>
    <w:rsid w:val="00625BB5"/>
    <w:rsid w:val="006260F9"/>
    <w:rsid w:val="00627C52"/>
    <w:rsid w:val="0063000D"/>
    <w:rsid w:val="00630400"/>
    <w:rsid w:val="00630937"/>
    <w:rsid w:val="00632793"/>
    <w:rsid w:val="00632B82"/>
    <w:rsid w:val="006332AC"/>
    <w:rsid w:val="006357F0"/>
    <w:rsid w:val="00635D99"/>
    <w:rsid w:val="00636934"/>
    <w:rsid w:val="00636FC0"/>
    <w:rsid w:val="00637332"/>
    <w:rsid w:val="00637BF9"/>
    <w:rsid w:val="00640173"/>
    <w:rsid w:val="0064274E"/>
    <w:rsid w:val="00643FBD"/>
    <w:rsid w:val="006463DF"/>
    <w:rsid w:val="00646B57"/>
    <w:rsid w:val="006513A7"/>
    <w:rsid w:val="00651C88"/>
    <w:rsid w:val="00653B84"/>
    <w:rsid w:val="00653E0D"/>
    <w:rsid w:val="006540BF"/>
    <w:rsid w:val="006544A0"/>
    <w:rsid w:val="006665C0"/>
    <w:rsid w:val="006706B5"/>
    <w:rsid w:val="00673A95"/>
    <w:rsid w:val="00675C51"/>
    <w:rsid w:val="006776DE"/>
    <w:rsid w:val="006807DC"/>
    <w:rsid w:val="0068112C"/>
    <w:rsid w:val="00682493"/>
    <w:rsid w:val="00683A0B"/>
    <w:rsid w:val="00685114"/>
    <w:rsid w:val="006854BB"/>
    <w:rsid w:val="00685734"/>
    <w:rsid w:val="006865C8"/>
    <w:rsid w:val="00686617"/>
    <w:rsid w:val="00686B48"/>
    <w:rsid w:val="00687038"/>
    <w:rsid w:val="0068714E"/>
    <w:rsid w:val="00690BC6"/>
    <w:rsid w:val="006914BF"/>
    <w:rsid w:val="00691574"/>
    <w:rsid w:val="006924CB"/>
    <w:rsid w:val="006929F7"/>
    <w:rsid w:val="006931DC"/>
    <w:rsid w:val="0069374A"/>
    <w:rsid w:val="006943A7"/>
    <w:rsid w:val="006944EF"/>
    <w:rsid w:val="00694AB8"/>
    <w:rsid w:val="00695AEE"/>
    <w:rsid w:val="00695EF7"/>
    <w:rsid w:val="006966F3"/>
    <w:rsid w:val="0069699D"/>
    <w:rsid w:val="00696AEE"/>
    <w:rsid w:val="006978F0"/>
    <w:rsid w:val="006978F1"/>
    <w:rsid w:val="00697CA2"/>
    <w:rsid w:val="006A23BB"/>
    <w:rsid w:val="006A2A83"/>
    <w:rsid w:val="006A573D"/>
    <w:rsid w:val="006B03D7"/>
    <w:rsid w:val="006B0BF9"/>
    <w:rsid w:val="006B2ABE"/>
    <w:rsid w:val="006B2C51"/>
    <w:rsid w:val="006B40AF"/>
    <w:rsid w:val="006B4EE7"/>
    <w:rsid w:val="006B5AD6"/>
    <w:rsid w:val="006B6361"/>
    <w:rsid w:val="006B6B00"/>
    <w:rsid w:val="006C20BC"/>
    <w:rsid w:val="006C3ABF"/>
    <w:rsid w:val="006C43C7"/>
    <w:rsid w:val="006D13B6"/>
    <w:rsid w:val="006D2179"/>
    <w:rsid w:val="006D2246"/>
    <w:rsid w:val="006D25F8"/>
    <w:rsid w:val="006D2C73"/>
    <w:rsid w:val="006D360C"/>
    <w:rsid w:val="006D4081"/>
    <w:rsid w:val="006D45B9"/>
    <w:rsid w:val="006D5AC9"/>
    <w:rsid w:val="006D65C5"/>
    <w:rsid w:val="006D66ED"/>
    <w:rsid w:val="006D6B3A"/>
    <w:rsid w:val="006E070E"/>
    <w:rsid w:val="006E09B3"/>
    <w:rsid w:val="006E1006"/>
    <w:rsid w:val="006E1F93"/>
    <w:rsid w:val="006E247D"/>
    <w:rsid w:val="006E2F81"/>
    <w:rsid w:val="006E3432"/>
    <w:rsid w:val="006E3A93"/>
    <w:rsid w:val="006E4EC9"/>
    <w:rsid w:val="006E50B3"/>
    <w:rsid w:val="006E73E9"/>
    <w:rsid w:val="006E786B"/>
    <w:rsid w:val="006F01E1"/>
    <w:rsid w:val="006F325E"/>
    <w:rsid w:val="006F3FC7"/>
    <w:rsid w:val="006F40CF"/>
    <w:rsid w:val="007002B1"/>
    <w:rsid w:val="00701B89"/>
    <w:rsid w:val="00702EED"/>
    <w:rsid w:val="00703074"/>
    <w:rsid w:val="007046F9"/>
    <w:rsid w:val="00704EB7"/>
    <w:rsid w:val="00705742"/>
    <w:rsid w:val="00706D9D"/>
    <w:rsid w:val="007104FC"/>
    <w:rsid w:val="007104FE"/>
    <w:rsid w:val="007106F6"/>
    <w:rsid w:val="00710CC2"/>
    <w:rsid w:val="00711B0C"/>
    <w:rsid w:val="007121A2"/>
    <w:rsid w:val="0071238A"/>
    <w:rsid w:val="00712716"/>
    <w:rsid w:val="00712A8C"/>
    <w:rsid w:val="00713981"/>
    <w:rsid w:val="007145F2"/>
    <w:rsid w:val="00717181"/>
    <w:rsid w:val="0071741D"/>
    <w:rsid w:val="007176D6"/>
    <w:rsid w:val="00723065"/>
    <w:rsid w:val="00723AA6"/>
    <w:rsid w:val="00724336"/>
    <w:rsid w:val="00724B0F"/>
    <w:rsid w:val="00726E9B"/>
    <w:rsid w:val="00727D54"/>
    <w:rsid w:val="00730264"/>
    <w:rsid w:val="0073078F"/>
    <w:rsid w:val="007312D6"/>
    <w:rsid w:val="00731946"/>
    <w:rsid w:val="00732E39"/>
    <w:rsid w:val="007344C5"/>
    <w:rsid w:val="00734959"/>
    <w:rsid w:val="00735137"/>
    <w:rsid w:val="0073520D"/>
    <w:rsid w:val="00735F49"/>
    <w:rsid w:val="0074033D"/>
    <w:rsid w:val="00741853"/>
    <w:rsid w:val="00741A25"/>
    <w:rsid w:val="00741D6F"/>
    <w:rsid w:val="00741E51"/>
    <w:rsid w:val="00741ECF"/>
    <w:rsid w:val="0074209F"/>
    <w:rsid w:val="00747B2F"/>
    <w:rsid w:val="00751928"/>
    <w:rsid w:val="00751DC7"/>
    <w:rsid w:val="007522D5"/>
    <w:rsid w:val="00752BC8"/>
    <w:rsid w:val="007535CF"/>
    <w:rsid w:val="00755621"/>
    <w:rsid w:val="00762C18"/>
    <w:rsid w:val="00763C24"/>
    <w:rsid w:val="00765A66"/>
    <w:rsid w:val="00765D93"/>
    <w:rsid w:val="00766BA2"/>
    <w:rsid w:val="0076765B"/>
    <w:rsid w:val="00767C2D"/>
    <w:rsid w:val="00771FCD"/>
    <w:rsid w:val="00772684"/>
    <w:rsid w:val="007742ED"/>
    <w:rsid w:val="00774AE8"/>
    <w:rsid w:val="00775004"/>
    <w:rsid w:val="00776CAA"/>
    <w:rsid w:val="00780226"/>
    <w:rsid w:val="00781AB4"/>
    <w:rsid w:val="00783F02"/>
    <w:rsid w:val="0078409B"/>
    <w:rsid w:val="007846C8"/>
    <w:rsid w:val="00785DB2"/>
    <w:rsid w:val="00787122"/>
    <w:rsid w:val="0078757F"/>
    <w:rsid w:val="00790CE5"/>
    <w:rsid w:val="007923B7"/>
    <w:rsid w:val="00792616"/>
    <w:rsid w:val="007926BB"/>
    <w:rsid w:val="0079327A"/>
    <w:rsid w:val="0079344C"/>
    <w:rsid w:val="00793AB5"/>
    <w:rsid w:val="007968AE"/>
    <w:rsid w:val="007A0283"/>
    <w:rsid w:val="007A07D4"/>
    <w:rsid w:val="007A1A1D"/>
    <w:rsid w:val="007A218A"/>
    <w:rsid w:val="007A4601"/>
    <w:rsid w:val="007A5BDE"/>
    <w:rsid w:val="007A5F3C"/>
    <w:rsid w:val="007A64FF"/>
    <w:rsid w:val="007A6904"/>
    <w:rsid w:val="007A700E"/>
    <w:rsid w:val="007A75E7"/>
    <w:rsid w:val="007B11F0"/>
    <w:rsid w:val="007B1461"/>
    <w:rsid w:val="007B1C0E"/>
    <w:rsid w:val="007B5994"/>
    <w:rsid w:val="007B6267"/>
    <w:rsid w:val="007B6B30"/>
    <w:rsid w:val="007B7699"/>
    <w:rsid w:val="007C02C7"/>
    <w:rsid w:val="007C199F"/>
    <w:rsid w:val="007C1A6E"/>
    <w:rsid w:val="007C21EE"/>
    <w:rsid w:val="007C4966"/>
    <w:rsid w:val="007C4DA8"/>
    <w:rsid w:val="007C5BDF"/>
    <w:rsid w:val="007C6243"/>
    <w:rsid w:val="007C6A7A"/>
    <w:rsid w:val="007D03EC"/>
    <w:rsid w:val="007D1115"/>
    <w:rsid w:val="007D2837"/>
    <w:rsid w:val="007D3770"/>
    <w:rsid w:val="007D3A2E"/>
    <w:rsid w:val="007D4371"/>
    <w:rsid w:val="007D65C0"/>
    <w:rsid w:val="007D6652"/>
    <w:rsid w:val="007D6BE3"/>
    <w:rsid w:val="007E03D2"/>
    <w:rsid w:val="007E343D"/>
    <w:rsid w:val="007E4F87"/>
    <w:rsid w:val="007E52D6"/>
    <w:rsid w:val="007E6172"/>
    <w:rsid w:val="007E69CA"/>
    <w:rsid w:val="007E78A3"/>
    <w:rsid w:val="007E7F62"/>
    <w:rsid w:val="007F14C2"/>
    <w:rsid w:val="007F1D3D"/>
    <w:rsid w:val="007F2CA9"/>
    <w:rsid w:val="007F4383"/>
    <w:rsid w:val="007F5F16"/>
    <w:rsid w:val="007F67AA"/>
    <w:rsid w:val="007F7BDC"/>
    <w:rsid w:val="00800378"/>
    <w:rsid w:val="008004FE"/>
    <w:rsid w:val="00801601"/>
    <w:rsid w:val="00802FD2"/>
    <w:rsid w:val="0080412A"/>
    <w:rsid w:val="00804CC3"/>
    <w:rsid w:val="00805730"/>
    <w:rsid w:val="00806EB4"/>
    <w:rsid w:val="0080724D"/>
    <w:rsid w:val="00807A84"/>
    <w:rsid w:val="00807C7D"/>
    <w:rsid w:val="00810991"/>
    <w:rsid w:val="00812CBA"/>
    <w:rsid w:val="00814589"/>
    <w:rsid w:val="00814A9B"/>
    <w:rsid w:val="00814F66"/>
    <w:rsid w:val="00815099"/>
    <w:rsid w:val="00816A09"/>
    <w:rsid w:val="00816E86"/>
    <w:rsid w:val="008176BA"/>
    <w:rsid w:val="008178D6"/>
    <w:rsid w:val="00817BE4"/>
    <w:rsid w:val="00817C9E"/>
    <w:rsid w:val="008205AF"/>
    <w:rsid w:val="00820851"/>
    <w:rsid w:val="008225E5"/>
    <w:rsid w:val="00823197"/>
    <w:rsid w:val="00823769"/>
    <w:rsid w:val="00824926"/>
    <w:rsid w:val="00831053"/>
    <w:rsid w:val="008314D2"/>
    <w:rsid w:val="0083254D"/>
    <w:rsid w:val="0083322E"/>
    <w:rsid w:val="00834C6D"/>
    <w:rsid w:val="0083552D"/>
    <w:rsid w:val="00835668"/>
    <w:rsid w:val="00835BDB"/>
    <w:rsid w:val="00836249"/>
    <w:rsid w:val="00836F00"/>
    <w:rsid w:val="00837DBF"/>
    <w:rsid w:val="008401CD"/>
    <w:rsid w:val="00842877"/>
    <w:rsid w:val="008448FD"/>
    <w:rsid w:val="0084533A"/>
    <w:rsid w:val="00846192"/>
    <w:rsid w:val="00847134"/>
    <w:rsid w:val="00850806"/>
    <w:rsid w:val="0085132E"/>
    <w:rsid w:val="00852833"/>
    <w:rsid w:val="00855863"/>
    <w:rsid w:val="0085630D"/>
    <w:rsid w:val="00856A1B"/>
    <w:rsid w:val="00856D3C"/>
    <w:rsid w:val="00860B49"/>
    <w:rsid w:val="0086117E"/>
    <w:rsid w:val="0086183E"/>
    <w:rsid w:val="008621C3"/>
    <w:rsid w:val="00865486"/>
    <w:rsid w:val="00865B2B"/>
    <w:rsid w:val="00866EBF"/>
    <w:rsid w:val="008706A0"/>
    <w:rsid w:val="00870706"/>
    <w:rsid w:val="00870C1D"/>
    <w:rsid w:val="00871128"/>
    <w:rsid w:val="00871A0E"/>
    <w:rsid w:val="00872BBC"/>
    <w:rsid w:val="00873ADC"/>
    <w:rsid w:val="00874D07"/>
    <w:rsid w:val="008759C8"/>
    <w:rsid w:val="00876275"/>
    <w:rsid w:val="00876B01"/>
    <w:rsid w:val="00876DF7"/>
    <w:rsid w:val="00877286"/>
    <w:rsid w:val="00877341"/>
    <w:rsid w:val="00877D65"/>
    <w:rsid w:val="008802E5"/>
    <w:rsid w:val="008827AC"/>
    <w:rsid w:val="00882B99"/>
    <w:rsid w:val="00883FE0"/>
    <w:rsid w:val="00884926"/>
    <w:rsid w:val="00884F8C"/>
    <w:rsid w:val="00885F39"/>
    <w:rsid w:val="00886121"/>
    <w:rsid w:val="00886442"/>
    <w:rsid w:val="00887F16"/>
    <w:rsid w:val="00890FCF"/>
    <w:rsid w:val="00891A7E"/>
    <w:rsid w:val="00892A8A"/>
    <w:rsid w:val="00894036"/>
    <w:rsid w:val="00895AE5"/>
    <w:rsid w:val="00896037"/>
    <w:rsid w:val="00896747"/>
    <w:rsid w:val="00896EE0"/>
    <w:rsid w:val="008A295B"/>
    <w:rsid w:val="008A34F2"/>
    <w:rsid w:val="008A3F8F"/>
    <w:rsid w:val="008A6604"/>
    <w:rsid w:val="008A6858"/>
    <w:rsid w:val="008B03D1"/>
    <w:rsid w:val="008B0733"/>
    <w:rsid w:val="008B08A1"/>
    <w:rsid w:val="008B0B1B"/>
    <w:rsid w:val="008B32F1"/>
    <w:rsid w:val="008B3865"/>
    <w:rsid w:val="008B5482"/>
    <w:rsid w:val="008B7CB3"/>
    <w:rsid w:val="008C11F4"/>
    <w:rsid w:val="008C2BEC"/>
    <w:rsid w:val="008C2E0F"/>
    <w:rsid w:val="008C4683"/>
    <w:rsid w:val="008C4919"/>
    <w:rsid w:val="008C5924"/>
    <w:rsid w:val="008C6404"/>
    <w:rsid w:val="008C6523"/>
    <w:rsid w:val="008C6D0E"/>
    <w:rsid w:val="008C7257"/>
    <w:rsid w:val="008C7273"/>
    <w:rsid w:val="008C7758"/>
    <w:rsid w:val="008C7767"/>
    <w:rsid w:val="008C7B6E"/>
    <w:rsid w:val="008D09D2"/>
    <w:rsid w:val="008D1808"/>
    <w:rsid w:val="008D1E5A"/>
    <w:rsid w:val="008D39C5"/>
    <w:rsid w:val="008D49E5"/>
    <w:rsid w:val="008D4A38"/>
    <w:rsid w:val="008E1D89"/>
    <w:rsid w:val="008E2725"/>
    <w:rsid w:val="008E3E3E"/>
    <w:rsid w:val="008F1CDE"/>
    <w:rsid w:val="008F56AA"/>
    <w:rsid w:val="008F5F36"/>
    <w:rsid w:val="008F5F87"/>
    <w:rsid w:val="008F649C"/>
    <w:rsid w:val="008F71EE"/>
    <w:rsid w:val="008F7D89"/>
    <w:rsid w:val="008F7F0C"/>
    <w:rsid w:val="00900A34"/>
    <w:rsid w:val="009020F1"/>
    <w:rsid w:val="00902C05"/>
    <w:rsid w:val="00905729"/>
    <w:rsid w:val="00905827"/>
    <w:rsid w:val="00906A11"/>
    <w:rsid w:val="00906ABB"/>
    <w:rsid w:val="00907073"/>
    <w:rsid w:val="00910B66"/>
    <w:rsid w:val="00911BE8"/>
    <w:rsid w:val="00914C14"/>
    <w:rsid w:val="00915588"/>
    <w:rsid w:val="00917ACB"/>
    <w:rsid w:val="00917CAB"/>
    <w:rsid w:val="009208F5"/>
    <w:rsid w:val="00920E07"/>
    <w:rsid w:val="0092226B"/>
    <w:rsid w:val="00922ABD"/>
    <w:rsid w:val="00923835"/>
    <w:rsid w:val="0092441A"/>
    <w:rsid w:val="0092571C"/>
    <w:rsid w:val="00927B2A"/>
    <w:rsid w:val="00927D51"/>
    <w:rsid w:val="0093172C"/>
    <w:rsid w:val="00932272"/>
    <w:rsid w:val="00932862"/>
    <w:rsid w:val="0093305E"/>
    <w:rsid w:val="00933CEF"/>
    <w:rsid w:val="0093446E"/>
    <w:rsid w:val="009351F4"/>
    <w:rsid w:val="009353F0"/>
    <w:rsid w:val="00935C43"/>
    <w:rsid w:val="00935D60"/>
    <w:rsid w:val="009362DA"/>
    <w:rsid w:val="00936D0E"/>
    <w:rsid w:val="0094028A"/>
    <w:rsid w:val="009413AA"/>
    <w:rsid w:val="00941454"/>
    <w:rsid w:val="00942BE5"/>
    <w:rsid w:val="009447BB"/>
    <w:rsid w:val="00944928"/>
    <w:rsid w:val="00944C48"/>
    <w:rsid w:val="00946335"/>
    <w:rsid w:val="00946403"/>
    <w:rsid w:val="00946760"/>
    <w:rsid w:val="00946C40"/>
    <w:rsid w:val="009502A5"/>
    <w:rsid w:val="009505FB"/>
    <w:rsid w:val="009513C4"/>
    <w:rsid w:val="00951476"/>
    <w:rsid w:val="00952A38"/>
    <w:rsid w:val="00955550"/>
    <w:rsid w:val="00955E55"/>
    <w:rsid w:val="009602AB"/>
    <w:rsid w:val="0096057C"/>
    <w:rsid w:val="009607C2"/>
    <w:rsid w:val="00961643"/>
    <w:rsid w:val="00961924"/>
    <w:rsid w:val="00961DC3"/>
    <w:rsid w:val="00962200"/>
    <w:rsid w:val="00962A1D"/>
    <w:rsid w:val="00962DC7"/>
    <w:rsid w:val="00963A6F"/>
    <w:rsid w:val="00964442"/>
    <w:rsid w:val="009654EE"/>
    <w:rsid w:val="00965C31"/>
    <w:rsid w:val="009664A7"/>
    <w:rsid w:val="00966F54"/>
    <w:rsid w:val="00967013"/>
    <w:rsid w:val="00967377"/>
    <w:rsid w:val="009674FE"/>
    <w:rsid w:val="009700DC"/>
    <w:rsid w:val="00972E67"/>
    <w:rsid w:val="00975E61"/>
    <w:rsid w:val="00976E31"/>
    <w:rsid w:val="00977372"/>
    <w:rsid w:val="00977C63"/>
    <w:rsid w:val="00980087"/>
    <w:rsid w:val="00980C0B"/>
    <w:rsid w:val="00981BEA"/>
    <w:rsid w:val="009822F3"/>
    <w:rsid w:val="009823AE"/>
    <w:rsid w:val="00982ACB"/>
    <w:rsid w:val="00984136"/>
    <w:rsid w:val="0098513A"/>
    <w:rsid w:val="0098524F"/>
    <w:rsid w:val="009866B4"/>
    <w:rsid w:val="00986944"/>
    <w:rsid w:val="00987ABE"/>
    <w:rsid w:val="009906C7"/>
    <w:rsid w:val="00990DD6"/>
    <w:rsid w:val="0099295C"/>
    <w:rsid w:val="009929DA"/>
    <w:rsid w:val="00993393"/>
    <w:rsid w:val="00994DA2"/>
    <w:rsid w:val="009951A7"/>
    <w:rsid w:val="009957F0"/>
    <w:rsid w:val="009963CD"/>
    <w:rsid w:val="00997021"/>
    <w:rsid w:val="009B1547"/>
    <w:rsid w:val="009B266D"/>
    <w:rsid w:val="009B57F2"/>
    <w:rsid w:val="009B5CBF"/>
    <w:rsid w:val="009B7DF8"/>
    <w:rsid w:val="009C184A"/>
    <w:rsid w:val="009C26EF"/>
    <w:rsid w:val="009C2B59"/>
    <w:rsid w:val="009C2CA5"/>
    <w:rsid w:val="009C3595"/>
    <w:rsid w:val="009C53FD"/>
    <w:rsid w:val="009C5B2B"/>
    <w:rsid w:val="009C5BA1"/>
    <w:rsid w:val="009D0B46"/>
    <w:rsid w:val="009D13B9"/>
    <w:rsid w:val="009D3E45"/>
    <w:rsid w:val="009D5A0D"/>
    <w:rsid w:val="009D6E0C"/>
    <w:rsid w:val="009E097A"/>
    <w:rsid w:val="009E1E84"/>
    <w:rsid w:val="009E237F"/>
    <w:rsid w:val="009E24B8"/>
    <w:rsid w:val="009E308C"/>
    <w:rsid w:val="009E3999"/>
    <w:rsid w:val="009E3DCB"/>
    <w:rsid w:val="009E5F00"/>
    <w:rsid w:val="009E60D7"/>
    <w:rsid w:val="009E63D4"/>
    <w:rsid w:val="009E6FEF"/>
    <w:rsid w:val="009E769E"/>
    <w:rsid w:val="009F351F"/>
    <w:rsid w:val="009F3F89"/>
    <w:rsid w:val="009F480E"/>
    <w:rsid w:val="009F6ECC"/>
    <w:rsid w:val="009F71ED"/>
    <w:rsid w:val="00A0094B"/>
    <w:rsid w:val="00A022A2"/>
    <w:rsid w:val="00A026A2"/>
    <w:rsid w:val="00A02D15"/>
    <w:rsid w:val="00A040BD"/>
    <w:rsid w:val="00A0420D"/>
    <w:rsid w:val="00A0469B"/>
    <w:rsid w:val="00A05489"/>
    <w:rsid w:val="00A054A4"/>
    <w:rsid w:val="00A0596F"/>
    <w:rsid w:val="00A06C38"/>
    <w:rsid w:val="00A06D6D"/>
    <w:rsid w:val="00A070F6"/>
    <w:rsid w:val="00A11403"/>
    <w:rsid w:val="00A135C1"/>
    <w:rsid w:val="00A14262"/>
    <w:rsid w:val="00A14738"/>
    <w:rsid w:val="00A1505E"/>
    <w:rsid w:val="00A1656D"/>
    <w:rsid w:val="00A22B27"/>
    <w:rsid w:val="00A230EC"/>
    <w:rsid w:val="00A2351C"/>
    <w:rsid w:val="00A235D2"/>
    <w:rsid w:val="00A247B4"/>
    <w:rsid w:val="00A250BE"/>
    <w:rsid w:val="00A2512E"/>
    <w:rsid w:val="00A25628"/>
    <w:rsid w:val="00A26B0D"/>
    <w:rsid w:val="00A27237"/>
    <w:rsid w:val="00A30002"/>
    <w:rsid w:val="00A301CC"/>
    <w:rsid w:val="00A30FB4"/>
    <w:rsid w:val="00A31D62"/>
    <w:rsid w:val="00A31DBB"/>
    <w:rsid w:val="00A31E88"/>
    <w:rsid w:val="00A33A71"/>
    <w:rsid w:val="00A34758"/>
    <w:rsid w:val="00A36309"/>
    <w:rsid w:val="00A3670D"/>
    <w:rsid w:val="00A36C44"/>
    <w:rsid w:val="00A3735A"/>
    <w:rsid w:val="00A40E08"/>
    <w:rsid w:val="00A4297E"/>
    <w:rsid w:val="00A42A6E"/>
    <w:rsid w:val="00A42F1B"/>
    <w:rsid w:val="00A445CC"/>
    <w:rsid w:val="00A4538F"/>
    <w:rsid w:val="00A45AAD"/>
    <w:rsid w:val="00A460B7"/>
    <w:rsid w:val="00A53D2B"/>
    <w:rsid w:val="00A546BC"/>
    <w:rsid w:val="00A55989"/>
    <w:rsid w:val="00A5643A"/>
    <w:rsid w:val="00A5694A"/>
    <w:rsid w:val="00A57A8E"/>
    <w:rsid w:val="00A607C6"/>
    <w:rsid w:val="00A6105A"/>
    <w:rsid w:val="00A62195"/>
    <w:rsid w:val="00A623C3"/>
    <w:rsid w:val="00A62569"/>
    <w:rsid w:val="00A63DA4"/>
    <w:rsid w:val="00A654D4"/>
    <w:rsid w:val="00A66755"/>
    <w:rsid w:val="00A7162E"/>
    <w:rsid w:val="00A71C8E"/>
    <w:rsid w:val="00A73057"/>
    <w:rsid w:val="00A7377B"/>
    <w:rsid w:val="00A73D2B"/>
    <w:rsid w:val="00A74988"/>
    <w:rsid w:val="00A7559B"/>
    <w:rsid w:val="00A75CD5"/>
    <w:rsid w:val="00A760AB"/>
    <w:rsid w:val="00A7624A"/>
    <w:rsid w:val="00A804C3"/>
    <w:rsid w:val="00A81975"/>
    <w:rsid w:val="00A82CA2"/>
    <w:rsid w:val="00A82E06"/>
    <w:rsid w:val="00A82E47"/>
    <w:rsid w:val="00A8381F"/>
    <w:rsid w:val="00A83DF3"/>
    <w:rsid w:val="00A85867"/>
    <w:rsid w:val="00A85915"/>
    <w:rsid w:val="00A866C2"/>
    <w:rsid w:val="00A86CE1"/>
    <w:rsid w:val="00A91D48"/>
    <w:rsid w:val="00A930F8"/>
    <w:rsid w:val="00A93FD9"/>
    <w:rsid w:val="00A952AB"/>
    <w:rsid w:val="00A9783D"/>
    <w:rsid w:val="00AA0E26"/>
    <w:rsid w:val="00AA0F89"/>
    <w:rsid w:val="00AA14CE"/>
    <w:rsid w:val="00AA3FBF"/>
    <w:rsid w:val="00AA45E6"/>
    <w:rsid w:val="00AA45FB"/>
    <w:rsid w:val="00AA53B5"/>
    <w:rsid w:val="00AA5A37"/>
    <w:rsid w:val="00AA69CD"/>
    <w:rsid w:val="00AB1A2F"/>
    <w:rsid w:val="00AB3279"/>
    <w:rsid w:val="00AB39D4"/>
    <w:rsid w:val="00AB476F"/>
    <w:rsid w:val="00AB489C"/>
    <w:rsid w:val="00AB50C1"/>
    <w:rsid w:val="00AB5AE3"/>
    <w:rsid w:val="00AB640F"/>
    <w:rsid w:val="00AB6936"/>
    <w:rsid w:val="00AB7018"/>
    <w:rsid w:val="00AB73BC"/>
    <w:rsid w:val="00AC0C3B"/>
    <w:rsid w:val="00AC1311"/>
    <w:rsid w:val="00AC2D63"/>
    <w:rsid w:val="00AC35CE"/>
    <w:rsid w:val="00AC3995"/>
    <w:rsid w:val="00AC4575"/>
    <w:rsid w:val="00AD03D8"/>
    <w:rsid w:val="00AD0711"/>
    <w:rsid w:val="00AD1216"/>
    <w:rsid w:val="00AD182A"/>
    <w:rsid w:val="00AD2740"/>
    <w:rsid w:val="00AD2D6F"/>
    <w:rsid w:val="00AD392C"/>
    <w:rsid w:val="00AD6C60"/>
    <w:rsid w:val="00AD704E"/>
    <w:rsid w:val="00AE0283"/>
    <w:rsid w:val="00AE0435"/>
    <w:rsid w:val="00AE2C88"/>
    <w:rsid w:val="00AE4920"/>
    <w:rsid w:val="00AE53C4"/>
    <w:rsid w:val="00AE53EF"/>
    <w:rsid w:val="00AE5FE0"/>
    <w:rsid w:val="00AE60B7"/>
    <w:rsid w:val="00AE6166"/>
    <w:rsid w:val="00AE623C"/>
    <w:rsid w:val="00AF00CD"/>
    <w:rsid w:val="00AF2542"/>
    <w:rsid w:val="00AF2AB7"/>
    <w:rsid w:val="00AF2B1C"/>
    <w:rsid w:val="00AF3678"/>
    <w:rsid w:val="00AF4D3F"/>
    <w:rsid w:val="00AF4DBD"/>
    <w:rsid w:val="00AF51DF"/>
    <w:rsid w:val="00AF739F"/>
    <w:rsid w:val="00AF7558"/>
    <w:rsid w:val="00B01F6C"/>
    <w:rsid w:val="00B021C1"/>
    <w:rsid w:val="00B0300B"/>
    <w:rsid w:val="00B0329D"/>
    <w:rsid w:val="00B03577"/>
    <w:rsid w:val="00B03637"/>
    <w:rsid w:val="00B05457"/>
    <w:rsid w:val="00B056F2"/>
    <w:rsid w:val="00B07476"/>
    <w:rsid w:val="00B07F51"/>
    <w:rsid w:val="00B109F4"/>
    <w:rsid w:val="00B10BEC"/>
    <w:rsid w:val="00B128A0"/>
    <w:rsid w:val="00B13241"/>
    <w:rsid w:val="00B144C3"/>
    <w:rsid w:val="00B14A48"/>
    <w:rsid w:val="00B16303"/>
    <w:rsid w:val="00B20240"/>
    <w:rsid w:val="00B208FE"/>
    <w:rsid w:val="00B21CF5"/>
    <w:rsid w:val="00B23220"/>
    <w:rsid w:val="00B23281"/>
    <w:rsid w:val="00B23D71"/>
    <w:rsid w:val="00B24D28"/>
    <w:rsid w:val="00B27571"/>
    <w:rsid w:val="00B278D9"/>
    <w:rsid w:val="00B27DDD"/>
    <w:rsid w:val="00B3039A"/>
    <w:rsid w:val="00B318B6"/>
    <w:rsid w:val="00B31DA7"/>
    <w:rsid w:val="00B32BE3"/>
    <w:rsid w:val="00B32BF6"/>
    <w:rsid w:val="00B35865"/>
    <w:rsid w:val="00B36077"/>
    <w:rsid w:val="00B37AD9"/>
    <w:rsid w:val="00B4164B"/>
    <w:rsid w:val="00B451F8"/>
    <w:rsid w:val="00B457C0"/>
    <w:rsid w:val="00B4672F"/>
    <w:rsid w:val="00B471C1"/>
    <w:rsid w:val="00B47621"/>
    <w:rsid w:val="00B507DB"/>
    <w:rsid w:val="00B50C9A"/>
    <w:rsid w:val="00B531E7"/>
    <w:rsid w:val="00B53818"/>
    <w:rsid w:val="00B5409A"/>
    <w:rsid w:val="00B55116"/>
    <w:rsid w:val="00B55574"/>
    <w:rsid w:val="00B575FC"/>
    <w:rsid w:val="00B57FFB"/>
    <w:rsid w:val="00B60911"/>
    <w:rsid w:val="00B633A3"/>
    <w:rsid w:val="00B6426C"/>
    <w:rsid w:val="00B64DB2"/>
    <w:rsid w:val="00B65122"/>
    <w:rsid w:val="00B6525D"/>
    <w:rsid w:val="00B65ABA"/>
    <w:rsid w:val="00B6761D"/>
    <w:rsid w:val="00B678B2"/>
    <w:rsid w:val="00B6790F"/>
    <w:rsid w:val="00B67B4C"/>
    <w:rsid w:val="00B70462"/>
    <w:rsid w:val="00B70BD9"/>
    <w:rsid w:val="00B71B3B"/>
    <w:rsid w:val="00B74231"/>
    <w:rsid w:val="00B74D54"/>
    <w:rsid w:val="00B80B37"/>
    <w:rsid w:val="00B81419"/>
    <w:rsid w:val="00B82D0A"/>
    <w:rsid w:val="00B8339C"/>
    <w:rsid w:val="00B85C92"/>
    <w:rsid w:val="00B85F0A"/>
    <w:rsid w:val="00B85F83"/>
    <w:rsid w:val="00B8672B"/>
    <w:rsid w:val="00B86F50"/>
    <w:rsid w:val="00B87D61"/>
    <w:rsid w:val="00B91FF5"/>
    <w:rsid w:val="00B92F19"/>
    <w:rsid w:val="00B93113"/>
    <w:rsid w:val="00B93948"/>
    <w:rsid w:val="00B963F5"/>
    <w:rsid w:val="00B96B08"/>
    <w:rsid w:val="00B9729E"/>
    <w:rsid w:val="00B97A5D"/>
    <w:rsid w:val="00BA31AE"/>
    <w:rsid w:val="00BA3661"/>
    <w:rsid w:val="00BA39A7"/>
    <w:rsid w:val="00BA4BC7"/>
    <w:rsid w:val="00BA55B7"/>
    <w:rsid w:val="00BA5E47"/>
    <w:rsid w:val="00BA7D57"/>
    <w:rsid w:val="00BB156E"/>
    <w:rsid w:val="00BB16B4"/>
    <w:rsid w:val="00BB1AE7"/>
    <w:rsid w:val="00BB2E26"/>
    <w:rsid w:val="00BB3330"/>
    <w:rsid w:val="00BB37C1"/>
    <w:rsid w:val="00BB47D7"/>
    <w:rsid w:val="00BB4A62"/>
    <w:rsid w:val="00BB4B37"/>
    <w:rsid w:val="00BB73D7"/>
    <w:rsid w:val="00BC01C1"/>
    <w:rsid w:val="00BC073D"/>
    <w:rsid w:val="00BC2700"/>
    <w:rsid w:val="00BC2A27"/>
    <w:rsid w:val="00BC319A"/>
    <w:rsid w:val="00BC33B1"/>
    <w:rsid w:val="00BC357B"/>
    <w:rsid w:val="00BC5A34"/>
    <w:rsid w:val="00BC65A1"/>
    <w:rsid w:val="00BC76C2"/>
    <w:rsid w:val="00BD17F5"/>
    <w:rsid w:val="00BD2564"/>
    <w:rsid w:val="00BD2F68"/>
    <w:rsid w:val="00BD3B96"/>
    <w:rsid w:val="00BD4A75"/>
    <w:rsid w:val="00BD6E05"/>
    <w:rsid w:val="00BE03A4"/>
    <w:rsid w:val="00BE3AE7"/>
    <w:rsid w:val="00BE54D0"/>
    <w:rsid w:val="00BE5AB3"/>
    <w:rsid w:val="00BF1601"/>
    <w:rsid w:val="00BF2CA1"/>
    <w:rsid w:val="00BF6B6C"/>
    <w:rsid w:val="00BF6CE2"/>
    <w:rsid w:val="00BF7251"/>
    <w:rsid w:val="00BF7930"/>
    <w:rsid w:val="00BF7F28"/>
    <w:rsid w:val="00C01909"/>
    <w:rsid w:val="00C01942"/>
    <w:rsid w:val="00C01B8F"/>
    <w:rsid w:val="00C03675"/>
    <w:rsid w:val="00C03D48"/>
    <w:rsid w:val="00C046A7"/>
    <w:rsid w:val="00C05787"/>
    <w:rsid w:val="00C05CCB"/>
    <w:rsid w:val="00C075E3"/>
    <w:rsid w:val="00C1163E"/>
    <w:rsid w:val="00C1258D"/>
    <w:rsid w:val="00C13059"/>
    <w:rsid w:val="00C156D4"/>
    <w:rsid w:val="00C15BFF"/>
    <w:rsid w:val="00C167A3"/>
    <w:rsid w:val="00C16EA2"/>
    <w:rsid w:val="00C2181C"/>
    <w:rsid w:val="00C22C2E"/>
    <w:rsid w:val="00C231BC"/>
    <w:rsid w:val="00C26190"/>
    <w:rsid w:val="00C2657D"/>
    <w:rsid w:val="00C2730A"/>
    <w:rsid w:val="00C27594"/>
    <w:rsid w:val="00C30F30"/>
    <w:rsid w:val="00C32581"/>
    <w:rsid w:val="00C3284C"/>
    <w:rsid w:val="00C33DC5"/>
    <w:rsid w:val="00C3447A"/>
    <w:rsid w:val="00C34CC5"/>
    <w:rsid w:val="00C3667D"/>
    <w:rsid w:val="00C37FAB"/>
    <w:rsid w:val="00C37FD8"/>
    <w:rsid w:val="00C416E1"/>
    <w:rsid w:val="00C41E47"/>
    <w:rsid w:val="00C43377"/>
    <w:rsid w:val="00C4443B"/>
    <w:rsid w:val="00C44D95"/>
    <w:rsid w:val="00C45C34"/>
    <w:rsid w:val="00C45E68"/>
    <w:rsid w:val="00C46730"/>
    <w:rsid w:val="00C46E6D"/>
    <w:rsid w:val="00C47BF8"/>
    <w:rsid w:val="00C51B1C"/>
    <w:rsid w:val="00C52691"/>
    <w:rsid w:val="00C53799"/>
    <w:rsid w:val="00C53AF7"/>
    <w:rsid w:val="00C53DCE"/>
    <w:rsid w:val="00C540E0"/>
    <w:rsid w:val="00C5556D"/>
    <w:rsid w:val="00C55B2D"/>
    <w:rsid w:val="00C55CC5"/>
    <w:rsid w:val="00C61331"/>
    <w:rsid w:val="00C62C3E"/>
    <w:rsid w:val="00C63C84"/>
    <w:rsid w:val="00C63EDC"/>
    <w:rsid w:val="00C6443F"/>
    <w:rsid w:val="00C655F2"/>
    <w:rsid w:val="00C65B4C"/>
    <w:rsid w:val="00C65B61"/>
    <w:rsid w:val="00C66984"/>
    <w:rsid w:val="00C67540"/>
    <w:rsid w:val="00C67567"/>
    <w:rsid w:val="00C67CC7"/>
    <w:rsid w:val="00C7000C"/>
    <w:rsid w:val="00C70E53"/>
    <w:rsid w:val="00C718A4"/>
    <w:rsid w:val="00C722E0"/>
    <w:rsid w:val="00C72979"/>
    <w:rsid w:val="00C74C04"/>
    <w:rsid w:val="00C75604"/>
    <w:rsid w:val="00C75FDE"/>
    <w:rsid w:val="00C76E56"/>
    <w:rsid w:val="00C81529"/>
    <w:rsid w:val="00C81BA6"/>
    <w:rsid w:val="00C82AE5"/>
    <w:rsid w:val="00C834B5"/>
    <w:rsid w:val="00C8377C"/>
    <w:rsid w:val="00C86093"/>
    <w:rsid w:val="00C868F6"/>
    <w:rsid w:val="00C877CD"/>
    <w:rsid w:val="00C902E9"/>
    <w:rsid w:val="00C907BB"/>
    <w:rsid w:val="00C908B7"/>
    <w:rsid w:val="00C90EA4"/>
    <w:rsid w:val="00C91D81"/>
    <w:rsid w:val="00C927A5"/>
    <w:rsid w:val="00C92A42"/>
    <w:rsid w:val="00C93B83"/>
    <w:rsid w:val="00C9521F"/>
    <w:rsid w:val="00C9522D"/>
    <w:rsid w:val="00C9643F"/>
    <w:rsid w:val="00C9681B"/>
    <w:rsid w:val="00C968B7"/>
    <w:rsid w:val="00C979C6"/>
    <w:rsid w:val="00CA145E"/>
    <w:rsid w:val="00CA18F2"/>
    <w:rsid w:val="00CA2061"/>
    <w:rsid w:val="00CA2F91"/>
    <w:rsid w:val="00CA4871"/>
    <w:rsid w:val="00CA4970"/>
    <w:rsid w:val="00CA53DA"/>
    <w:rsid w:val="00CA6132"/>
    <w:rsid w:val="00CA6722"/>
    <w:rsid w:val="00CA6D4E"/>
    <w:rsid w:val="00CA6E5C"/>
    <w:rsid w:val="00CA7B4B"/>
    <w:rsid w:val="00CA7EC8"/>
    <w:rsid w:val="00CB101B"/>
    <w:rsid w:val="00CB197A"/>
    <w:rsid w:val="00CB1C48"/>
    <w:rsid w:val="00CB36A8"/>
    <w:rsid w:val="00CB4307"/>
    <w:rsid w:val="00CB4E7C"/>
    <w:rsid w:val="00CC0EFB"/>
    <w:rsid w:val="00CC139A"/>
    <w:rsid w:val="00CC1E7A"/>
    <w:rsid w:val="00CC31FB"/>
    <w:rsid w:val="00CC3783"/>
    <w:rsid w:val="00CC428B"/>
    <w:rsid w:val="00CC4F64"/>
    <w:rsid w:val="00CC5348"/>
    <w:rsid w:val="00CD058C"/>
    <w:rsid w:val="00CD183D"/>
    <w:rsid w:val="00CD1B92"/>
    <w:rsid w:val="00CD3B98"/>
    <w:rsid w:val="00CD4216"/>
    <w:rsid w:val="00CD518C"/>
    <w:rsid w:val="00CD58D1"/>
    <w:rsid w:val="00CD598B"/>
    <w:rsid w:val="00CD733F"/>
    <w:rsid w:val="00CE0942"/>
    <w:rsid w:val="00CE285A"/>
    <w:rsid w:val="00CE2BA6"/>
    <w:rsid w:val="00CE3122"/>
    <w:rsid w:val="00CE4789"/>
    <w:rsid w:val="00CE5874"/>
    <w:rsid w:val="00CE5955"/>
    <w:rsid w:val="00CE59C8"/>
    <w:rsid w:val="00CE660D"/>
    <w:rsid w:val="00CE6A75"/>
    <w:rsid w:val="00CE7CA5"/>
    <w:rsid w:val="00CF076B"/>
    <w:rsid w:val="00CF1A9F"/>
    <w:rsid w:val="00CF1D81"/>
    <w:rsid w:val="00CF2DC9"/>
    <w:rsid w:val="00CF7975"/>
    <w:rsid w:val="00CF7CB6"/>
    <w:rsid w:val="00D015A7"/>
    <w:rsid w:val="00D03472"/>
    <w:rsid w:val="00D054CC"/>
    <w:rsid w:val="00D06302"/>
    <w:rsid w:val="00D07AFF"/>
    <w:rsid w:val="00D10048"/>
    <w:rsid w:val="00D13005"/>
    <w:rsid w:val="00D15AE5"/>
    <w:rsid w:val="00D15F8F"/>
    <w:rsid w:val="00D20683"/>
    <w:rsid w:val="00D278E8"/>
    <w:rsid w:val="00D310C7"/>
    <w:rsid w:val="00D311AB"/>
    <w:rsid w:val="00D31E46"/>
    <w:rsid w:val="00D325A8"/>
    <w:rsid w:val="00D32F6E"/>
    <w:rsid w:val="00D334A2"/>
    <w:rsid w:val="00D33EC9"/>
    <w:rsid w:val="00D35BA2"/>
    <w:rsid w:val="00D41BFB"/>
    <w:rsid w:val="00D42914"/>
    <w:rsid w:val="00D442AD"/>
    <w:rsid w:val="00D44A99"/>
    <w:rsid w:val="00D45A84"/>
    <w:rsid w:val="00D46273"/>
    <w:rsid w:val="00D46CD7"/>
    <w:rsid w:val="00D472BF"/>
    <w:rsid w:val="00D52CC0"/>
    <w:rsid w:val="00D53AF9"/>
    <w:rsid w:val="00D54D0B"/>
    <w:rsid w:val="00D5618A"/>
    <w:rsid w:val="00D5784B"/>
    <w:rsid w:val="00D57A8A"/>
    <w:rsid w:val="00D609CD"/>
    <w:rsid w:val="00D63EFB"/>
    <w:rsid w:val="00D642FD"/>
    <w:rsid w:val="00D658AF"/>
    <w:rsid w:val="00D717A5"/>
    <w:rsid w:val="00D74755"/>
    <w:rsid w:val="00D758DA"/>
    <w:rsid w:val="00D80253"/>
    <w:rsid w:val="00D82841"/>
    <w:rsid w:val="00D83DE9"/>
    <w:rsid w:val="00D8450D"/>
    <w:rsid w:val="00D84DCA"/>
    <w:rsid w:val="00D85544"/>
    <w:rsid w:val="00D85D0D"/>
    <w:rsid w:val="00D86401"/>
    <w:rsid w:val="00D86D70"/>
    <w:rsid w:val="00D91266"/>
    <w:rsid w:val="00D9240B"/>
    <w:rsid w:val="00D92EE6"/>
    <w:rsid w:val="00D9376A"/>
    <w:rsid w:val="00D95667"/>
    <w:rsid w:val="00D95AF9"/>
    <w:rsid w:val="00D9663A"/>
    <w:rsid w:val="00D96894"/>
    <w:rsid w:val="00D97EFC"/>
    <w:rsid w:val="00DA09C9"/>
    <w:rsid w:val="00DA1822"/>
    <w:rsid w:val="00DA185C"/>
    <w:rsid w:val="00DA3122"/>
    <w:rsid w:val="00DA72F2"/>
    <w:rsid w:val="00DB1EB1"/>
    <w:rsid w:val="00DB3263"/>
    <w:rsid w:val="00DB5174"/>
    <w:rsid w:val="00DB5E1F"/>
    <w:rsid w:val="00DB6E86"/>
    <w:rsid w:val="00DB7449"/>
    <w:rsid w:val="00DB7CF7"/>
    <w:rsid w:val="00DC0034"/>
    <w:rsid w:val="00DC19D8"/>
    <w:rsid w:val="00DC2613"/>
    <w:rsid w:val="00DC2769"/>
    <w:rsid w:val="00DC2EFD"/>
    <w:rsid w:val="00DC4512"/>
    <w:rsid w:val="00DC547D"/>
    <w:rsid w:val="00DC7E8F"/>
    <w:rsid w:val="00DD105F"/>
    <w:rsid w:val="00DD1663"/>
    <w:rsid w:val="00DD1ACB"/>
    <w:rsid w:val="00DD1E4A"/>
    <w:rsid w:val="00DD2AE0"/>
    <w:rsid w:val="00DD3691"/>
    <w:rsid w:val="00DD41FD"/>
    <w:rsid w:val="00DD4B55"/>
    <w:rsid w:val="00DD5073"/>
    <w:rsid w:val="00DD5076"/>
    <w:rsid w:val="00DD6160"/>
    <w:rsid w:val="00DD6557"/>
    <w:rsid w:val="00DD75A8"/>
    <w:rsid w:val="00DD79C2"/>
    <w:rsid w:val="00DE1E90"/>
    <w:rsid w:val="00DE24E6"/>
    <w:rsid w:val="00DE39AC"/>
    <w:rsid w:val="00DE3EDA"/>
    <w:rsid w:val="00DE6513"/>
    <w:rsid w:val="00DE7880"/>
    <w:rsid w:val="00DE7CAC"/>
    <w:rsid w:val="00DF04EF"/>
    <w:rsid w:val="00DF07AD"/>
    <w:rsid w:val="00DF094F"/>
    <w:rsid w:val="00DF1990"/>
    <w:rsid w:val="00DF26F1"/>
    <w:rsid w:val="00DF3364"/>
    <w:rsid w:val="00DF603D"/>
    <w:rsid w:val="00DF7539"/>
    <w:rsid w:val="00E00388"/>
    <w:rsid w:val="00E01DC3"/>
    <w:rsid w:val="00E0362C"/>
    <w:rsid w:val="00E055BB"/>
    <w:rsid w:val="00E0779C"/>
    <w:rsid w:val="00E0782A"/>
    <w:rsid w:val="00E104CB"/>
    <w:rsid w:val="00E11988"/>
    <w:rsid w:val="00E125AE"/>
    <w:rsid w:val="00E15974"/>
    <w:rsid w:val="00E15B33"/>
    <w:rsid w:val="00E15DA9"/>
    <w:rsid w:val="00E16779"/>
    <w:rsid w:val="00E16C8E"/>
    <w:rsid w:val="00E16FFC"/>
    <w:rsid w:val="00E2095D"/>
    <w:rsid w:val="00E209F1"/>
    <w:rsid w:val="00E21014"/>
    <w:rsid w:val="00E215C2"/>
    <w:rsid w:val="00E2365F"/>
    <w:rsid w:val="00E23BD9"/>
    <w:rsid w:val="00E24ED8"/>
    <w:rsid w:val="00E255B2"/>
    <w:rsid w:val="00E264D0"/>
    <w:rsid w:val="00E27734"/>
    <w:rsid w:val="00E30414"/>
    <w:rsid w:val="00E30E8D"/>
    <w:rsid w:val="00E31712"/>
    <w:rsid w:val="00E344D9"/>
    <w:rsid w:val="00E345BA"/>
    <w:rsid w:val="00E34912"/>
    <w:rsid w:val="00E36253"/>
    <w:rsid w:val="00E37392"/>
    <w:rsid w:val="00E37754"/>
    <w:rsid w:val="00E405FA"/>
    <w:rsid w:val="00E40769"/>
    <w:rsid w:val="00E4177D"/>
    <w:rsid w:val="00E427C5"/>
    <w:rsid w:val="00E42E8B"/>
    <w:rsid w:val="00E43D5A"/>
    <w:rsid w:val="00E449F7"/>
    <w:rsid w:val="00E4527B"/>
    <w:rsid w:val="00E50D7E"/>
    <w:rsid w:val="00E510A9"/>
    <w:rsid w:val="00E52008"/>
    <w:rsid w:val="00E55088"/>
    <w:rsid w:val="00E555CC"/>
    <w:rsid w:val="00E55865"/>
    <w:rsid w:val="00E56706"/>
    <w:rsid w:val="00E56870"/>
    <w:rsid w:val="00E57777"/>
    <w:rsid w:val="00E57DDD"/>
    <w:rsid w:val="00E60511"/>
    <w:rsid w:val="00E60F12"/>
    <w:rsid w:val="00E62DA3"/>
    <w:rsid w:val="00E64ABA"/>
    <w:rsid w:val="00E652FB"/>
    <w:rsid w:val="00E653C7"/>
    <w:rsid w:val="00E65D20"/>
    <w:rsid w:val="00E66302"/>
    <w:rsid w:val="00E66C20"/>
    <w:rsid w:val="00E67DCD"/>
    <w:rsid w:val="00E71162"/>
    <w:rsid w:val="00E71C46"/>
    <w:rsid w:val="00E71CCD"/>
    <w:rsid w:val="00E72157"/>
    <w:rsid w:val="00E7490F"/>
    <w:rsid w:val="00E75CB4"/>
    <w:rsid w:val="00E75D9A"/>
    <w:rsid w:val="00E75ED2"/>
    <w:rsid w:val="00E77983"/>
    <w:rsid w:val="00E8280C"/>
    <w:rsid w:val="00E83E4C"/>
    <w:rsid w:val="00E84276"/>
    <w:rsid w:val="00E842E5"/>
    <w:rsid w:val="00E87A59"/>
    <w:rsid w:val="00E9071C"/>
    <w:rsid w:val="00E9084D"/>
    <w:rsid w:val="00E90AE1"/>
    <w:rsid w:val="00E91933"/>
    <w:rsid w:val="00E92766"/>
    <w:rsid w:val="00E92A81"/>
    <w:rsid w:val="00E956B2"/>
    <w:rsid w:val="00E969B1"/>
    <w:rsid w:val="00E97637"/>
    <w:rsid w:val="00EA0ABF"/>
    <w:rsid w:val="00EA29CB"/>
    <w:rsid w:val="00EA7AAC"/>
    <w:rsid w:val="00EB07BF"/>
    <w:rsid w:val="00EB0D23"/>
    <w:rsid w:val="00EB16A0"/>
    <w:rsid w:val="00EB18A5"/>
    <w:rsid w:val="00EB1EF7"/>
    <w:rsid w:val="00EB26BC"/>
    <w:rsid w:val="00EB3837"/>
    <w:rsid w:val="00EB3B76"/>
    <w:rsid w:val="00EB575F"/>
    <w:rsid w:val="00EB6552"/>
    <w:rsid w:val="00EB6611"/>
    <w:rsid w:val="00EB6F2D"/>
    <w:rsid w:val="00EB7F3F"/>
    <w:rsid w:val="00EC18E6"/>
    <w:rsid w:val="00EC1984"/>
    <w:rsid w:val="00EC1C46"/>
    <w:rsid w:val="00EC21EB"/>
    <w:rsid w:val="00EC2312"/>
    <w:rsid w:val="00EC234C"/>
    <w:rsid w:val="00EC3B50"/>
    <w:rsid w:val="00EC4C73"/>
    <w:rsid w:val="00EC69C1"/>
    <w:rsid w:val="00EC6F9C"/>
    <w:rsid w:val="00ED019F"/>
    <w:rsid w:val="00ED08A3"/>
    <w:rsid w:val="00ED0D0C"/>
    <w:rsid w:val="00ED3225"/>
    <w:rsid w:val="00ED324D"/>
    <w:rsid w:val="00ED34EF"/>
    <w:rsid w:val="00ED3529"/>
    <w:rsid w:val="00ED4D17"/>
    <w:rsid w:val="00ED6A33"/>
    <w:rsid w:val="00EE05D6"/>
    <w:rsid w:val="00EE1B7C"/>
    <w:rsid w:val="00EE6CD3"/>
    <w:rsid w:val="00EF1B32"/>
    <w:rsid w:val="00EF20D7"/>
    <w:rsid w:val="00EF2D02"/>
    <w:rsid w:val="00EF3419"/>
    <w:rsid w:val="00EF36CD"/>
    <w:rsid w:val="00EF4219"/>
    <w:rsid w:val="00EF487E"/>
    <w:rsid w:val="00EF57D8"/>
    <w:rsid w:val="00EF6F3D"/>
    <w:rsid w:val="00EF7923"/>
    <w:rsid w:val="00F0080D"/>
    <w:rsid w:val="00F0119C"/>
    <w:rsid w:val="00F016CE"/>
    <w:rsid w:val="00F028F6"/>
    <w:rsid w:val="00F02BDB"/>
    <w:rsid w:val="00F02F2C"/>
    <w:rsid w:val="00F0305E"/>
    <w:rsid w:val="00F0441B"/>
    <w:rsid w:val="00F05620"/>
    <w:rsid w:val="00F06A48"/>
    <w:rsid w:val="00F07623"/>
    <w:rsid w:val="00F104B5"/>
    <w:rsid w:val="00F108AC"/>
    <w:rsid w:val="00F10931"/>
    <w:rsid w:val="00F11187"/>
    <w:rsid w:val="00F11870"/>
    <w:rsid w:val="00F12EC8"/>
    <w:rsid w:val="00F136A1"/>
    <w:rsid w:val="00F138BB"/>
    <w:rsid w:val="00F152DC"/>
    <w:rsid w:val="00F15560"/>
    <w:rsid w:val="00F1600F"/>
    <w:rsid w:val="00F170A1"/>
    <w:rsid w:val="00F17D11"/>
    <w:rsid w:val="00F211F5"/>
    <w:rsid w:val="00F239CE"/>
    <w:rsid w:val="00F24399"/>
    <w:rsid w:val="00F247EE"/>
    <w:rsid w:val="00F25C48"/>
    <w:rsid w:val="00F303AE"/>
    <w:rsid w:val="00F3136B"/>
    <w:rsid w:val="00F314F1"/>
    <w:rsid w:val="00F327EA"/>
    <w:rsid w:val="00F33641"/>
    <w:rsid w:val="00F33CEE"/>
    <w:rsid w:val="00F3484C"/>
    <w:rsid w:val="00F34A25"/>
    <w:rsid w:val="00F35E7A"/>
    <w:rsid w:val="00F35FB2"/>
    <w:rsid w:val="00F363B8"/>
    <w:rsid w:val="00F36794"/>
    <w:rsid w:val="00F40EFA"/>
    <w:rsid w:val="00F424B0"/>
    <w:rsid w:val="00F42842"/>
    <w:rsid w:val="00F43686"/>
    <w:rsid w:val="00F44720"/>
    <w:rsid w:val="00F45BB1"/>
    <w:rsid w:val="00F46E40"/>
    <w:rsid w:val="00F4755D"/>
    <w:rsid w:val="00F4760A"/>
    <w:rsid w:val="00F50E9C"/>
    <w:rsid w:val="00F50F91"/>
    <w:rsid w:val="00F515F1"/>
    <w:rsid w:val="00F52B8E"/>
    <w:rsid w:val="00F53CFD"/>
    <w:rsid w:val="00F54AF5"/>
    <w:rsid w:val="00F557E3"/>
    <w:rsid w:val="00F55C39"/>
    <w:rsid w:val="00F55EB3"/>
    <w:rsid w:val="00F561DA"/>
    <w:rsid w:val="00F57C32"/>
    <w:rsid w:val="00F57DF0"/>
    <w:rsid w:val="00F61339"/>
    <w:rsid w:val="00F61E78"/>
    <w:rsid w:val="00F6232D"/>
    <w:rsid w:val="00F635C5"/>
    <w:rsid w:val="00F6544D"/>
    <w:rsid w:val="00F65CCB"/>
    <w:rsid w:val="00F67E13"/>
    <w:rsid w:val="00F7045A"/>
    <w:rsid w:val="00F736E3"/>
    <w:rsid w:val="00F7568B"/>
    <w:rsid w:val="00F75AB9"/>
    <w:rsid w:val="00F767E8"/>
    <w:rsid w:val="00F76E99"/>
    <w:rsid w:val="00F77E50"/>
    <w:rsid w:val="00F77F67"/>
    <w:rsid w:val="00F80B8F"/>
    <w:rsid w:val="00F80C6A"/>
    <w:rsid w:val="00F81460"/>
    <w:rsid w:val="00F8183B"/>
    <w:rsid w:val="00F829A1"/>
    <w:rsid w:val="00F83A7C"/>
    <w:rsid w:val="00F84578"/>
    <w:rsid w:val="00F84EE8"/>
    <w:rsid w:val="00F8523F"/>
    <w:rsid w:val="00F857E1"/>
    <w:rsid w:val="00F86186"/>
    <w:rsid w:val="00F86519"/>
    <w:rsid w:val="00F86A3F"/>
    <w:rsid w:val="00F872BA"/>
    <w:rsid w:val="00F91297"/>
    <w:rsid w:val="00F9133B"/>
    <w:rsid w:val="00F918B0"/>
    <w:rsid w:val="00F91E50"/>
    <w:rsid w:val="00F934D5"/>
    <w:rsid w:val="00F94BBC"/>
    <w:rsid w:val="00F955E7"/>
    <w:rsid w:val="00F963EB"/>
    <w:rsid w:val="00F969B2"/>
    <w:rsid w:val="00F97730"/>
    <w:rsid w:val="00FA3284"/>
    <w:rsid w:val="00FA3C7F"/>
    <w:rsid w:val="00FA41AA"/>
    <w:rsid w:val="00FA4376"/>
    <w:rsid w:val="00FA6670"/>
    <w:rsid w:val="00FA7C7C"/>
    <w:rsid w:val="00FA7E2A"/>
    <w:rsid w:val="00FB2BC7"/>
    <w:rsid w:val="00FB3285"/>
    <w:rsid w:val="00FB32A4"/>
    <w:rsid w:val="00FB339A"/>
    <w:rsid w:val="00FB37BE"/>
    <w:rsid w:val="00FB38B7"/>
    <w:rsid w:val="00FB4436"/>
    <w:rsid w:val="00FB4A37"/>
    <w:rsid w:val="00FB57F3"/>
    <w:rsid w:val="00FB594D"/>
    <w:rsid w:val="00FB663B"/>
    <w:rsid w:val="00FC058C"/>
    <w:rsid w:val="00FC21C1"/>
    <w:rsid w:val="00FC3AD3"/>
    <w:rsid w:val="00FC3D64"/>
    <w:rsid w:val="00FC3DF0"/>
    <w:rsid w:val="00FC4322"/>
    <w:rsid w:val="00FC4804"/>
    <w:rsid w:val="00FC49BB"/>
    <w:rsid w:val="00FC5154"/>
    <w:rsid w:val="00FC5B76"/>
    <w:rsid w:val="00FC5E0C"/>
    <w:rsid w:val="00FC7058"/>
    <w:rsid w:val="00FC71A1"/>
    <w:rsid w:val="00FD1146"/>
    <w:rsid w:val="00FD14FF"/>
    <w:rsid w:val="00FD168A"/>
    <w:rsid w:val="00FD52CB"/>
    <w:rsid w:val="00FD616B"/>
    <w:rsid w:val="00FD75AE"/>
    <w:rsid w:val="00FE1FB4"/>
    <w:rsid w:val="00FE2865"/>
    <w:rsid w:val="00FE2CCA"/>
    <w:rsid w:val="00FE367F"/>
    <w:rsid w:val="00FE43C5"/>
    <w:rsid w:val="00FE5DA8"/>
    <w:rsid w:val="00FE6BF8"/>
    <w:rsid w:val="00FE71CA"/>
    <w:rsid w:val="00FE78DA"/>
    <w:rsid w:val="00FF10F7"/>
    <w:rsid w:val="00FF1108"/>
    <w:rsid w:val="00FF29DC"/>
    <w:rsid w:val="00FF35EB"/>
    <w:rsid w:val="00FF5FED"/>
    <w:rsid w:val="00FF6879"/>
    <w:rsid w:val="00FF6B82"/>
    <w:rsid w:val="00FF738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4bacc6" stroke="f">
      <v:fill color="#4bacc6"/>
      <v:stroke on="f"/>
    </o:shapedefaults>
    <o:shapelayout v:ext="edit">
      <o:idmap v:ext="edit" data="1"/>
    </o:shapelayout>
  </w:shapeDefaults>
  <w:decimalSymbol w:val="."/>
  <w:listSeparator w:val=","/>
  <w14:docId w14:val="5BBC0EFA"/>
  <w15:docId w15:val="{DCF1C101-3D70-F342-80D8-4DEE0B96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A1A1D"/>
    <w:pPr>
      <w:spacing w:after="120" w:line="270" w:lineRule="atLeast"/>
      <w:jc w:val="both"/>
    </w:pPr>
    <w:rPr>
      <w:rFonts w:ascii="Arial" w:eastAsia="Times" w:hAnsi="Arial"/>
      <w:noProof/>
      <w:lang w:eastAsia="en-US"/>
    </w:rPr>
  </w:style>
  <w:style w:type="paragraph" w:styleId="Heading1">
    <w:name w:val="heading 1"/>
    <w:next w:val="DHHSbody"/>
    <w:link w:val="Heading1Char"/>
    <w:qFormat/>
    <w:rsid w:val="00D97EFC"/>
    <w:pPr>
      <w:keepNext/>
      <w:keepLines/>
      <w:numPr>
        <w:numId w:val="17"/>
      </w:numPr>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D97EFC"/>
    <w:pPr>
      <w:keepNext/>
      <w:keepLines/>
      <w:numPr>
        <w:ilvl w:val="1"/>
        <w:numId w:val="17"/>
      </w:numPr>
      <w:spacing w:before="240" w:after="90" w:line="320" w:lineRule="atLeast"/>
      <w:outlineLvl w:val="1"/>
    </w:pPr>
    <w:rPr>
      <w:rFonts w:ascii="Arial" w:hAnsi="Arial"/>
      <w:b/>
      <w:color w:val="004EA8"/>
      <w:sz w:val="28"/>
      <w:szCs w:val="28"/>
    </w:rPr>
  </w:style>
  <w:style w:type="paragraph" w:styleId="Heading3">
    <w:name w:val="heading 3"/>
    <w:aliases w:val="Char1"/>
    <w:next w:val="DHHSbody"/>
    <w:link w:val="Heading3Char"/>
    <w:qFormat/>
    <w:rsid w:val="00FB594D"/>
    <w:pPr>
      <w:keepNext/>
      <w:keepLines/>
      <w:numPr>
        <w:ilvl w:val="2"/>
        <w:numId w:val="17"/>
      </w:numPr>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qFormat/>
    <w:rsid w:val="00D97EFC"/>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qFormat/>
    <w:rsid w:val="005B7D22"/>
    <w:pPr>
      <w:keepNext/>
      <w:keepLines/>
      <w:numPr>
        <w:ilvl w:val="4"/>
        <w:numId w:val="17"/>
      </w:numPr>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DHHSbody"/>
    <w:link w:val="Heading6Char"/>
    <w:qFormat/>
    <w:rsid w:val="001B1D85"/>
    <w:pPr>
      <w:numPr>
        <w:ilvl w:val="5"/>
        <w:numId w:val="17"/>
      </w:numPr>
      <w:tabs>
        <w:tab w:val="num" w:pos="1152"/>
      </w:tabs>
      <w:spacing w:before="240" w:after="60" w:line="240" w:lineRule="auto"/>
      <w:jc w:val="left"/>
      <w:outlineLvl w:val="5"/>
    </w:pPr>
    <w:rPr>
      <w:rFonts w:eastAsia="Times New Roman"/>
      <w:b/>
      <w:bCs/>
      <w:noProof w:val="0"/>
      <w:color w:val="404040"/>
      <w:sz w:val="28"/>
      <w:szCs w:val="22"/>
    </w:rPr>
  </w:style>
  <w:style w:type="paragraph" w:styleId="Heading7">
    <w:name w:val="heading 7"/>
    <w:basedOn w:val="Normal"/>
    <w:next w:val="DHHSbody"/>
    <w:link w:val="Heading7Char"/>
    <w:qFormat/>
    <w:rsid w:val="001B1D85"/>
    <w:pPr>
      <w:numPr>
        <w:ilvl w:val="6"/>
        <w:numId w:val="17"/>
      </w:numPr>
      <w:tabs>
        <w:tab w:val="num" w:pos="1296"/>
      </w:tabs>
      <w:spacing w:before="240" w:after="60" w:line="240" w:lineRule="auto"/>
      <w:jc w:val="left"/>
      <w:outlineLvl w:val="6"/>
    </w:pPr>
    <w:rPr>
      <w:rFonts w:eastAsia="Times New Roman"/>
      <w:b/>
      <w:noProof w:val="0"/>
      <w:color w:val="404040"/>
      <w:sz w:val="24"/>
      <w:szCs w:val="24"/>
    </w:rPr>
  </w:style>
  <w:style w:type="paragraph" w:styleId="Heading8">
    <w:name w:val="heading 8"/>
    <w:basedOn w:val="Normal"/>
    <w:next w:val="Normal"/>
    <w:link w:val="Heading8Char"/>
    <w:qFormat/>
    <w:rsid w:val="001B1D85"/>
    <w:pPr>
      <w:numPr>
        <w:ilvl w:val="7"/>
        <w:numId w:val="17"/>
      </w:numPr>
      <w:tabs>
        <w:tab w:val="num" w:pos="1440"/>
      </w:tabs>
      <w:spacing w:before="240" w:after="60" w:line="240" w:lineRule="auto"/>
      <w:jc w:val="left"/>
      <w:outlineLvl w:val="7"/>
    </w:pPr>
    <w:rPr>
      <w:rFonts w:eastAsia="Times New Roman"/>
      <w:b/>
      <w:iCs/>
      <w:noProof w:val="0"/>
      <w:color w:val="4B4B4B"/>
      <w:szCs w:val="24"/>
    </w:rPr>
  </w:style>
  <w:style w:type="paragraph" w:styleId="Heading9">
    <w:name w:val="heading 9"/>
    <w:basedOn w:val="Normal"/>
    <w:next w:val="Normal"/>
    <w:link w:val="Heading9Char"/>
    <w:unhideWhenUsed/>
    <w:qFormat/>
    <w:rsid w:val="001B1D85"/>
    <w:pPr>
      <w:keepNext/>
      <w:keepLines/>
      <w:numPr>
        <w:ilvl w:val="8"/>
        <w:numId w:val="17"/>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7EFC"/>
    <w:rPr>
      <w:rFonts w:ascii="Arial" w:hAnsi="Arial"/>
      <w:bCs/>
      <w:color w:val="004EA8"/>
      <w:sz w:val="44"/>
      <w:szCs w:val="44"/>
      <w:lang w:eastAsia="en-US"/>
    </w:rPr>
  </w:style>
  <w:style w:type="character" w:customStyle="1" w:styleId="Heading2Char">
    <w:name w:val="Heading 2 Char"/>
    <w:link w:val="Heading2"/>
    <w:uiPriority w:val="1"/>
    <w:rsid w:val="00D97EFC"/>
    <w:rPr>
      <w:rFonts w:ascii="Arial" w:hAnsi="Arial"/>
      <w:b/>
      <w:color w:val="004EA8"/>
      <w:sz w:val="28"/>
      <w:szCs w:val="28"/>
    </w:rPr>
  </w:style>
  <w:style w:type="character" w:customStyle="1" w:styleId="Heading3Char">
    <w:name w:val="Heading 3 Char"/>
    <w:aliases w:val="Char1 Char"/>
    <w:link w:val="Heading3"/>
    <w:uiPriority w:val="1"/>
    <w:rsid w:val="00FB594D"/>
    <w:rPr>
      <w:rFonts w:ascii="Arial" w:eastAsia="MS Gothic" w:hAnsi="Arial"/>
      <w:b/>
      <w:bCs/>
      <w:sz w:val="24"/>
      <w:szCs w:val="26"/>
      <w:lang w:eastAsia="en-US"/>
    </w:rPr>
  </w:style>
  <w:style w:type="character" w:customStyle="1" w:styleId="Heading4Char">
    <w:name w:val="Heading 4 Char"/>
    <w:link w:val="Heading4"/>
    <w:uiPriority w:val="1"/>
    <w:rsid w:val="00D97EFC"/>
    <w:rPr>
      <w:rFonts w:ascii="Arial" w:eastAsia="MS Mincho" w:hAnsi="Arial"/>
      <w:b/>
      <w:bCs/>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line="380" w:lineRule="atLeast"/>
    </w:pPr>
    <w:rPr>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link w:val="FootnoteTextChar"/>
    <w:uiPriority w:val="8"/>
    <w:rsid w:val="003072C6"/>
    <w:pPr>
      <w:spacing w:before="60" w:line="200" w:lineRule="atLeast"/>
    </w:pPr>
    <w:rPr>
      <w:rFonts w:eastAsia="MS Gothic" w:cs="Arial"/>
      <w:sz w:val="16"/>
      <w:szCs w:val="16"/>
    </w:rPr>
  </w:style>
  <w:style w:type="paragraph" w:styleId="TOC1">
    <w:name w:val="toc 1"/>
    <w:basedOn w:val="Normal"/>
    <w:next w:val="Normal"/>
    <w:uiPriority w:val="39"/>
    <w:rsid w:val="00AB489C"/>
    <w:pPr>
      <w:keepNext/>
      <w:keepLines/>
      <w:tabs>
        <w:tab w:val="right" w:leader="dot" w:pos="9299"/>
      </w:tabs>
      <w:spacing w:before="160"/>
      <w:ind w:right="680"/>
    </w:pPr>
    <w:rPr>
      <w:b/>
    </w:rPr>
  </w:style>
  <w:style w:type="paragraph" w:styleId="TOC2">
    <w:name w:val="toc 2"/>
    <w:basedOn w:val="Normal"/>
    <w:next w:val="Normal"/>
    <w:uiPriority w:val="39"/>
    <w:rsid w:val="00213772"/>
    <w:pPr>
      <w:keepNext/>
      <w:keepLines/>
      <w:tabs>
        <w:tab w:val="right" w:leader="dot" w:pos="9299"/>
      </w:tabs>
      <w:ind w:right="680"/>
    </w:pPr>
  </w:style>
  <w:style w:type="paragraph" w:styleId="TOC3">
    <w:name w:val="toc 3"/>
    <w:basedOn w:val="Normal"/>
    <w:next w:val="Normal"/>
    <w:uiPriority w:val="39"/>
    <w:rsid w:val="00E969B1"/>
    <w:pPr>
      <w:keepLines/>
      <w:tabs>
        <w:tab w:val="right" w:leader="dot" w:pos="9299"/>
      </w:tabs>
      <w:ind w:left="284" w:right="680"/>
    </w:pPr>
    <w:rPr>
      <w:rFonts w:cs="Arial"/>
    </w:rPr>
  </w:style>
  <w:style w:type="paragraph" w:styleId="TOC4">
    <w:name w:val="toc 4"/>
    <w:basedOn w:val="Normal"/>
    <w:next w:val="Normal"/>
    <w:uiPriority w:val="39"/>
    <w:rsid w:val="00E969B1"/>
    <w:pPr>
      <w:keepLines/>
      <w:tabs>
        <w:tab w:val="right" w:leader="dot" w:pos="9299"/>
      </w:tabs>
      <w:ind w:left="567" w:right="680"/>
    </w:pPr>
    <w:rPr>
      <w:rFonts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4F3054"/>
    <w:pPr>
      <w:spacing w:before="80" w:after="60"/>
    </w:pPr>
    <w:rPr>
      <w:rFonts w:ascii="Arial" w:hAnsi="Arial"/>
      <w:color w:val="000000"/>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qFormat/>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636934"/>
    <w:pPr>
      <w:numPr>
        <w:numId w:val="16"/>
      </w:num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table" w:customStyle="1" w:styleId="LightList-Accent11">
    <w:name w:val="Light List - Accent 11"/>
    <w:basedOn w:val="TableNormal"/>
    <w:uiPriority w:val="61"/>
    <w:rsid w:val="00034BD3"/>
    <w:rPr>
      <w:rFonts w:ascii="Calibri" w:eastAsia="Calibri" w:hAnsi="Calibri"/>
      <w:sz w:val="22"/>
      <w:szCs w:val="22"/>
      <w:lang w:eastAsia="en-US"/>
    </w:rPr>
    <w:tblPr>
      <w:tblStyleRowBandSize w:val="1"/>
      <w:tblStyleColBandSize w:val="1"/>
      <w:tblBorders>
        <w:top w:val="single" w:sz="8" w:space="0" w:color="365F91"/>
        <w:left w:val="single" w:sz="8" w:space="0" w:color="365F91"/>
        <w:bottom w:val="single" w:sz="8" w:space="0" w:color="365F91"/>
        <w:right w:val="single" w:sz="8" w:space="0" w:color="365F91"/>
      </w:tblBorders>
    </w:tblPr>
    <w:tblStylePr w:type="firstRow">
      <w:pPr>
        <w:spacing w:before="0" w:after="0" w:line="240" w:lineRule="auto"/>
      </w:pPr>
      <w:rPr>
        <w:b/>
        <w:bCs/>
        <w:color w:val="FFFFFF"/>
      </w:rPr>
      <w:tblPr/>
      <w:tcPr>
        <w:shd w:val="clear" w:color="auto" w:fill="5E8BC2"/>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6665C0"/>
    <w:pPr>
      <w:spacing w:before="100" w:beforeAutospacing="1" w:after="100" w:afterAutospacing="1"/>
    </w:pPr>
    <w:rPr>
      <w:rFonts w:ascii="Times New Roman" w:hAnsi="Times New Roman"/>
      <w:sz w:val="24"/>
      <w:szCs w:val="24"/>
    </w:rPr>
  </w:style>
  <w:style w:type="paragraph" w:styleId="ListParagraph">
    <w:name w:val="List Paragraph"/>
    <w:basedOn w:val="Normal"/>
    <w:link w:val="ListParagraphChar"/>
    <w:uiPriority w:val="34"/>
    <w:qFormat/>
    <w:rsid w:val="007D2837"/>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7D2837"/>
    <w:rPr>
      <w:rFonts w:ascii="Calibri" w:eastAsia="Calibri" w:hAnsi="Calibri" w:cs="Times New Roman"/>
      <w:sz w:val="22"/>
      <w:szCs w:val="22"/>
      <w:lang w:eastAsia="en-US"/>
    </w:rPr>
  </w:style>
  <w:style w:type="character" w:styleId="PlaceholderText">
    <w:name w:val="Placeholder Text"/>
    <w:uiPriority w:val="99"/>
    <w:semiHidden/>
    <w:rsid w:val="00906ABB"/>
    <w:rPr>
      <w:color w:val="808080"/>
    </w:rPr>
  </w:style>
  <w:style w:type="paragraph" w:customStyle="1" w:styleId="RMHTablewhite">
    <w:name w:val="RMH Table (white)"/>
    <w:basedOn w:val="Heading1"/>
    <w:rsid w:val="00BD4A75"/>
    <w:pPr>
      <w:keepLines w:val="0"/>
      <w:numPr>
        <w:numId w:val="0"/>
      </w:numPr>
      <w:spacing w:before="60" w:after="60" w:line="240" w:lineRule="auto"/>
      <w:ind w:left="360" w:hanging="360"/>
    </w:pPr>
    <w:rPr>
      <w:rFonts w:cs="Arial"/>
      <w:bCs w:val="0"/>
      <w:color w:val="FFFFFF"/>
      <w:kern w:val="32"/>
      <w:sz w:val="16"/>
      <w:szCs w:val="32"/>
      <w:lang w:eastAsia="en-AU"/>
    </w:rPr>
  </w:style>
  <w:style w:type="paragraph" w:customStyle="1" w:styleId="RMHTableblack">
    <w:name w:val="RMH Table (black)"/>
    <w:basedOn w:val="Normal"/>
    <w:rsid w:val="00BD4A75"/>
    <w:pPr>
      <w:keepNext/>
      <w:spacing w:before="60"/>
      <w:outlineLvl w:val="0"/>
    </w:pPr>
    <w:rPr>
      <w:rFonts w:cs="Arial"/>
      <w:kern w:val="32"/>
      <w:sz w:val="16"/>
      <w:szCs w:val="32"/>
    </w:rPr>
  </w:style>
  <w:style w:type="character" w:styleId="CommentReference">
    <w:name w:val="annotation reference"/>
    <w:uiPriority w:val="99"/>
    <w:semiHidden/>
    <w:unhideWhenUsed/>
    <w:rsid w:val="00C32581"/>
    <w:rPr>
      <w:sz w:val="16"/>
      <w:szCs w:val="16"/>
    </w:rPr>
  </w:style>
  <w:style w:type="paragraph" w:styleId="CommentText">
    <w:name w:val="annotation text"/>
    <w:basedOn w:val="Normal"/>
    <w:link w:val="CommentTextChar"/>
    <w:uiPriority w:val="99"/>
    <w:unhideWhenUsed/>
    <w:rsid w:val="00C32581"/>
  </w:style>
  <w:style w:type="character" w:customStyle="1" w:styleId="CommentTextChar">
    <w:name w:val="Comment Text Char"/>
    <w:link w:val="CommentText"/>
    <w:uiPriority w:val="99"/>
    <w:rsid w:val="00C32581"/>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C32581"/>
    <w:rPr>
      <w:b/>
      <w:bCs/>
    </w:rPr>
  </w:style>
  <w:style w:type="character" w:customStyle="1" w:styleId="CommentSubjectChar">
    <w:name w:val="Comment Subject Char"/>
    <w:link w:val="CommentSubject"/>
    <w:uiPriority w:val="99"/>
    <w:semiHidden/>
    <w:rsid w:val="00C32581"/>
    <w:rPr>
      <w:rFonts w:ascii="Cambria" w:hAnsi="Cambria"/>
      <w:b/>
      <w:bCs/>
      <w:lang w:eastAsia="en-US"/>
    </w:rPr>
  </w:style>
  <w:style w:type="paragraph" w:styleId="BalloonText">
    <w:name w:val="Balloon Text"/>
    <w:basedOn w:val="Normal"/>
    <w:link w:val="BalloonTextChar"/>
    <w:uiPriority w:val="99"/>
    <w:semiHidden/>
    <w:unhideWhenUsed/>
    <w:rsid w:val="00C32581"/>
    <w:rPr>
      <w:rFonts w:ascii="Segoe UI" w:hAnsi="Segoe UI" w:cs="Segoe UI"/>
    </w:rPr>
  </w:style>
  <w:style w:type="character" w:customStyle="1" w:styleId="BalloonTextChar">
    <w:name w:val="Balloon Text Char"/>
    <w:link w:val="BalloonText"/>
    <w:uiPriority w:val="99"/>
    <w:semiHidden/>
    <w:rsid w:val="00C32581"/>
    <w:rPr>
      <w:rFonts w:ascii="Segoe UI" w:hAnsi="Segoe UI" w:cs="Segoe UI"/>
      <w:sz w:val="18"/>
      <w:szCs w:val="18"/>
      <w:lang w:eastAsia="en-US"/>
    </w:rPr>
  </w:style>
  <w:style w:type="character" w:customStyle="1" w:styleId="DHHSbodyChar">
    <w:name w:val="DHHS body Char"/>
    <w:link w:val="DHHSbody"/>
    <w:locked/>
    <w:rsid w:val="00702EED"/>
    <w:rPr>
      <w:rFonts w:ascii="Arial" w:eastAsia="Times" w:hAnsi="Arial"/>
      <w:lang w:eastAsia="en-US"/>
    </w:rPr>
  </w:style>
  <w:style w:type="paragraph" w:styleId="Caption">
    <w:name w:val="caption"/>
    <w:basedOn w:val="Normal"/>
    <w:next w:val="Normal"/>
    <w:uiPriority w:val="35"/>
    <w:unhideWhenUsed/>
    <w:qFormat/>
    <w:rsid w:val="003537EC"/>
    <w:pPr>
      <w:spacing w:after="200"/>
    </w:pPr>
    <w:rPr>
      <w:i/>
      <w:iCs/>
      <w:color w:val="1F497D"/>
    </w:rPr>
  </w:style>
  <w:style w:type="paragraph" w:styleId="TableofFigures">
    <w:name w:val="table of figures"/>
    <w:basedOn w:val="Normal"/>
    <w:next w:val="Normal"/>
    <w:uiPriority w:val="99"/>
    <w:unhideWhenUsed/>
    <w:rsid w:val="00616C5B"/>
  </w:style>
  <w:style w:type="paragraph" w:styleId="Index1">
    <w:name w:val="index 1"/>
    <w:basedOn w:val="Normal"/>
    <w:next w:val="Normal"/>
    <w:autoRedefine/>
    <w:uiPriority w:val="99"/>
    <w:semiHidden/>
    <w:unhideWhenUsed/>
    <w:rsid w:val="00616C5B"/>
    <w:pPr>
      <w:ind w:left="200" w:hanging="200"/>
    </w:pPr>
  </w:style>
  <w:style w:type="character" w:customStyle="1" w:styleId="Heading9Char">
    <w:name w:val="Heading 9 Char"/>
    <w:link w:val="Heading9"/>
    <w:uiPriority w:val="9"/>
    <w:semiHidden/>
    <w:rsid w:val="001B1D85"/>
    <w:rPr>
      <w:rFonts w:ascii="Cambria" w:eastAsia="Times New Roman" w:hAnsi="Cambria" w:cs="Times New Roman"/>
      <w:i/>
      <w:iCs/>
      <w:noProof/>
      <w:color w:val="272727"/>
      <w:sz w:val="21"/>
      <w:szCs w:val="21"/>
      <w:lang w:eastAsia="en-US"/>
    </w:rPr>
  </w:style>
  <w:style w:type="character" w:customStyle="1" w:styleId="Heading6Char">
    <w:name w:val="Heading 6 Char"/>
    <w:link w:val="Heading6"/>
    <w:rsid w:val="001B1D85"/>
    <w:rPr>
      <w:rFonts w:ascii="Arial" w:hAnsi="Arial"/>
      <w:b/>
      <w:bCs/>
      <w:color w:val="404040"/>
      <w:sz w:val="28"/>
      <w:szCs w:val="22"/>
      <w:lang w:eastAsia="en-US"/>
    </w:rPr>
  </w:style>
  <w:style w:type="character" w:customStyle="1" w:styleId="Heading7Char">
    <w:name w:val="Heading 7 Char"/>
    <w:link w:val="Heading7"/>
    <w:rsid w:val="001B1D85"/>
    <w:rPr>
      <w:rFonts w:ascii="Arial" w:hAnsi="Arial"/>
      <w:b/>
      <w:color w:val="404040"/>
      <w:sz w:val="24"/>
      <w:szCs w:val="24"/>
      <w:lang w:eastAsia="en-US"/>
    </w:rPr>
  </w:style>
  <w:style w:type="character" w:customStyle="1" w:styleId="Heading8Char">
    <w:name w:val="Heading 8 Char"/>
    <w:link w:val="Heading8"/>
    <w:rsid w:val="001B1D85"/>
    <w:rPr>
      <w:rFonts w:ascii="Arial" w:hAnsi="Arial"/>
      <w:b/>
      <w:iCs/>
      <w:color w:val="4B4B4B"/>
      <w:szCs w:val="24"/>
      <w:lang w:eastAsia="en-US"/>
    </w:rPr>
  </w:style>
  <w:style w:type="paragraph" w:customStyle="1" w:styleId="CTIBodyText">
    <w:name w:val="CTI Body Text"/>
    <w:basedOn w:val="Normal"/>
    <w:link w:val="CTIBodyTextChar"/>
    <w:rsid w:val="009957F0"/>
    <w:pPr>
      <w:spacing w:before="120" w:line="240" w:lineRule="auto"/>
      <w:ind w:left="724"/>
      <w:jc w:val="left"/>
    </w:pPr>
    <w:rPr>
      <w:noProof w:val="0"/>
    </w:rPr>
  </w:style>
  <w:style w:type="character" w:customStyle="1" w:styleId="CTIBodyTextChar">
    <w:name w:val="CTI Body Text Char"/>
    <w:link w:val="CTIBodyText"/>
    <w:locked/>
    <w:rsid w:val="009957F0"/>
    <w:rPr>
      <w:rFonts w:ascii="Arial" w:eastAsia="Times" w:hAnsi="Arial"/>
      <w:lang w:eastAsia="en-US"/>
    </w:rPr>
  </w:style>
  <w:style w:type="paragraph" w:styleId="ListBullet">
    <w:name w:val="List Bullet"/>
    <w:basedOn w:val="Normal"/>
    <w:uiPriority w:val="99"/>
    <w:unhideWhenUsed/>
    <w:rsid w:val="003C7477"/>
    <w:pPr>
      <w:numPr>
        <w:numId w:val="5"/>
      </w:numPr>
      <w:contextualSpacing/>
    </w:pPr>
  </w:style>
  <w:style w:type="paragraph" w:customStyle="1" w:styleId="msonormal0">
    <w:name w:val="msonormal"/>
    <w:basedOn w:val="Normal"/>
    <w:rsid w:val="001738CD"/>
    <w:pPr>
      <w:spacing w:before="100" w:beforeAutospacing="1" w:after="100" w:afterAutospacing="1" w:line="240" w:lineRule="auto"/>
      <w:jc w:val="left"/>
    </w:pPr>
    <w:rPr>
      <w:rFonts w:ascii="Times New Roman" w:eastAsia="Times New Roman" w:hAnsi="Times New Roman"/>
      <w:noProof w:val="0"/>
      <w:sz w:val="24"/>
      <w:szCs w:val="24"/>
      <w:lang w:eastAsia="en-AU"/>
    </w:rPr>
  </w:style>
  <w:style w:type="paragraph" w:customStyle="1" w:styleId="xl65">
    <w:name w:val="xl65"/>
    <w:basedOn w:val="Normal"/>
    <w:rsid w:val="001738CD"/>
    <w:pPr>
      <w:pBdr>
        <w:top w:val="single" w:sz="8" w:space="0" w:color="59ADDF"/>
        <w:left w:val="single" w:sz="8" w:space="0" w:color="59ADDF"/>
        <w:bottom w:val="single" w:sz="8" w:space="0" w:color="59ADDF"/>
        <w:right w:val="single" w:sz="8" w:space="0" w:color="59ADDF"/>
      </w:pBdr>
      <w:shd w:val="clear" w:color="000000" w:fill="E5E5E5"/>
      <w:spacing w:before="100" w:beforeAutospacing="1" w:after="100" w:afterAutospacing="1" w:line="240" w:lineRule="auto"/>
      <w:jc w:val="left"/>
      <w:textAlignment w:val="center"/>
    </w:pPr>
    <w:rPr>
      <w:rFonts w:ascii="Times New Roman" w:eastAsia="Times New Roman" w:hAnsi="Times New Roman"/>
      <w:b/>
      <w:bCs/>
      <w:noProof w:val="0"/>
      <w:color w:val="006690"/>
      <w:sz w:val="17"/>
      <w:szCs w:val="17"/>
      <w:lang w:eastAsia="en-AU"/>
    </w:rPr>
  </w:style>
  <w:style w:type="paragraph" w:customStyle="1" w:styleId="xl66">
    <w:name w:val="xl66"/>
    <w:basedOn w:val="Normal"/>
    <w:rsid w:val="001738CD"/>
    <w:pPr>
      <w:pBdr>
        <w:top w:val="single" w:sz="8" w:space="0" w:color="59ADDF"/>
        <w:bottom w:val="single" w:sz="8" w:space="0" w:color="59ADDF"/>
        <w:right w:val="single" w:sz="8" w:space="0" w:color="59ADDF"/>
      </w:pBdr>
      <w:shd w:val="clear" w:color="000000" w:fill="E5E5E5"/>
      <w:spacing w:before="100" w:beforeAutospacing="1" w:after="100" w:afterAutospacing="1" w:line="240" w:lineRule="auto"/>
      <w:jc w:val="left"/>
      <w:textAlignment w:val="center"/>
    </w:pPr>
    <w:rPr>
      <w:rFonts w:ascii="Times New Roman" w:eastAsia="Times New Roman" w:hAnsi="Times New Roman"/>
      <w:b/>
      <w:bCs/>
      <w:noProof w:val="0"/>
      <w:color w:val="006690"/>
      <w:sz w:val="17"/>
      <w:szCs w:val="17"/>
      <w:lang w:eastAsia="en-AU"/>
    </w:rPr>
  </w:style>
  <w:style w:type="paragraph" w:customStyle="1" w:styleId="xl67">
    <w:name w:val="xl67"/>
    <w:basedOn w:val="Normal"/>
    <w:rsid w:val="001738CD"/>
    <w:pPr>
      <w:pBdr>
        <w:bottom w:val="single" w:sz="8" w:space="0" w:color="59ADDF"/>
        <w:right w:val="single" w:sz="8" w:space="0" w:color="59ADDF"/>
      </w:pBdr>
      <w:spacing w:before="100" w:beforeAutospacing="1" w:after="100" w:afterAutospacing="1" w:line="240" w:lineRule="auto"/>
      <w:jc w:val="left"/>
      <w:textAlignment w:val="center"/>
    </w:pPr>
    <w:rPr>
      <w:rFonts w:ascii="Times New Roman" w:eastAsia="Times New Roman" w:hAnsi="Times New Roman"/>
      <w:noProof w:val="0"/>
      <w:color w:val="000000"/>
      <w:sz w:val="17"/>
      <w:szCs w:val="17"/>
      <w:lang w:eastAsia="en-AU"/>
    </w:rPr>
  </w:style>
  <w:style w:type="paragraph" w:customStyle="1" w:styleId="xl68">
    <w:name w:val="xl68"/>
    <w:basedOn w:val="Normal"/>
    <w:rsid w:val="001738CD"/>
    <w:pPr>
      <w:pBdr>
        <w:bottom w:val="single" w:sz="8" w:space="0" w:color="59ADDF"/>
        <w:right w:val="single" w:sz="8" w:space="0" w:color="59ADDF"/>
      </w:pBdr>
      <w:spacing w:before="100" w:beforeAutospacing="1" w:after="100" w:afterAutospacing="1" w:line="240" w:lineRule="auto"/>
      <w:jc w:val="left"/>
      <w:textAlignment w:val="center"/>
    </w:pPr>
    <w:rPr>
      <w:rFonts w:ascii="Times New Roman" w:eastAsia="Times New Roman" w:hAnsi="Times New Roman"/>
      <w:noProof w:val="0"/>
      <w:color w:val="000000"/>
      <w:sz w:val="17"/>
      <w:szCs w:val="17"/>
      <w:lang w:eastAsia="en-AU"/>
    </w:rPr>
  </w:style>
  <w:style w:type="table" w:customStyle="1" w:styleId="PlainTable11">
    <w:name w:val="Plain Table 11"/>
    <w:basedOn w:val="TableNormal"/>
    <w:uiPriority w:val="41"/>
    <w:rsid w:val="00D9376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D9376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41">
    <w:name w:val="Plain Table 41"/>
    <w:basedOn w:val="TableNormal"/>
    <w:uiPriority w:val="44"/>
    <w:rsid w:val="00D937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D9376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SubtleEmphasis">
    <w:name w:val="Subtle Emphasis"/>
    <w:uiPriority w:val="65"/>
    <w:qFormat/>
    <w:rsid w:val="00C26190"/>
    <w:rPr>
      <w:i/>
      <w:iCs/>
      <w:color w:val="404040"/>
    </w:rPr>
  </w:style>
  <w:style w:type="table" w:customStyle="1" w:styleId="GridTable1Light-Accent51">
    <w:name w:val="Grid Table 1 Light - Accent 51"/>
    <w:basedOn w:val="TableNormal"/>
    <w:uiPriority w:val="46"/>
    <w:rsid w:val="001B13CE"/>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NoSpacing">
    <w:name w:val="No Spacing"/>
    <w:basedOn w:val="Normal"/>
    <w:link w:val="NoSpacingChar"/>
    <w:qFormat/>
    <w:rsid w:val="00802FD2"/>
    <w:pPr>
      <w:spacing w:after="0" w:line="240" w:lineRule="auto"/>
      <w:jc w:val="left"/>
    </w:pPr>
    <w:rPr>
      <w:rFonts w:ascii="Calibri" w:eastAsia="Times New Roman" w:hAnsi="Calibri"/>
      <w:noProof w:val="0"/>
      <w:lang w:val="en-US" w:bidi="en-US"/>
    </w:rPr>
  </w:style>
  <w:style w:type="character" w:customStyle="1" w:styleId="NoSpacingChar">
    <w:name w:val="No Spacing Char"/>
    <w:link w:val="NoSpacing"/>
    <w:rsid w:val="00802FD2"/>
    <w:rPr>
      <w:rFonts w:ascii="Calibri" w:hAnsi="Calibri"/>
      <w:lang w:val="en-US" w:eastAsia="en-US" w:bidi="en-US"/>
    </w:rPr>
  </w:style>
  <w:style w:type="paragraph" w:styleId="BodyText">
    <w:name w:val="Body Text"/>
    <w:basedOn w:val="Normal"/>
    <w:link w:val="BodyTextChar"/>
    <w:rsid w:val="00766BA2"/>
    <w:pPr>
      <w:spacing w:line="240" w:lineRule="auto"/>
      <w:jc w:val="left"/>
    </w:pPr>
    <w:rPr>
      <w:rFonts w:eastAsia="Times New Roman"/>
      <w:noProof w:val="0"/>
    </w:rPr>
  </w:style>
  <w:style w:type="character" w:customStyle="1" w:styleId="BodyTextChar">
    <w:name w:val="Body Text Char"/>
    <w:basedOn w:val="DefaultParagraphFont"/>
    <w:link w:val="BodyText"/>
    <w:rsid w:val="00766BA2"/>
    <w:rPr>
      <w:rFonts w:ascii="Arial" w:hAnsi="Arial"/>
      <w:lang w:eastAsia="en-US"/>
    </w:rPr>
  </w:style>
  <w:style w:type="paragraph" w:customStyle="1" w:styleId="StyleHeading2Auto">
    <w:name w:val="Style Heading 2 + Auto"/>
    <w:basedOn w:val="Heading2"/>
    <w:next w:val="BodyText"/>
    <w:rsid w:val="00EB575F"/>
    <w:pPr>
      <w:keepNext w:val="0"/>
      <w:keepLines w:val="0"/>
      <w:numPr>
        <w:ilvl w:val="0"/>
        <w:numId w:val="0"/>
      </w:numPr>
      <w:tabs>
        <w:tab w:val="num" w:pos="-549"/>
      </w:tabs>
      <w:spacing w:before="120" w:after="120" w:line="240" w:lineRule="auto"/>
    </w:pPr>
    <w:rPr>
      <w:b w:val="0"/>
      <w:color w:val="auto"/>
      <w:sz w:val="36"/>
      <w:szCs w:val="24"/>
    </w:rPr>
  </w:style>
  <w:style w:type="paragraph" w:styleId="Revision">
    <w:name w:val="Revision"/>
    <w:hidden/>
    <w:uiPriority w:val="71"/>
    <w:rsid w:val="00FB2BC7"/>
    <w:rPr>
      <w:rFonts w:ascii="Arial" w:eastAsia="Times" w:hAnsi="Arial"/>
      <w:noProof/>
      <w:lang w:eastAsia="en-US"/>
    </w:rPr>
  </w:style>
  <w:style w:type="character" w:customStyle="1" w:styleId="FootnoteTextChar">
    <w:name w:val="Footnote Text Char"/>
    <w:link w:val="FootnoteText"/>
    <w:uiPriority w:val="8"/>
    <w:rsid w:val="000814C9"/>
    <w:rPr>
      <w:rFonts w:ascii="Arial" w:eastAsia="MS Gothic" w:hAnsi="Arial" w:cs="Arial"/>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818">
      <w:bodyDiv w:val="1"/>
      <w:marLeft w:val="0"/>
      <w:marRight w:val="0"/>
      <w:marTop w:val="0"/>
      <w:marBottom w:val="0"/>
      <w:divBdr>
        <w:top w:val="none" w:sz="0" w:space="0" w:color="auto"/>
        <w:left w:val="none" w:sz="0" w:space="0" w:color="auto"/>
        <w:bottom w:val="none" w:sz="0" w:space="0" w:color="auto"/>
        <w:right w:val="none" w:sz="0" w:space="0" w:color="auto"/>
      </w:divBdr>
    </w:div>
    <w:div w:id="36979853">
      <w:bodyDiv w:val="1"/>
      <w:marLeft w:val="0"/>
      <w:marRight w:val="0"/>
      <w:marTop w:val="0"/>
      <w:marBottom w:val="0"/>
      <w:divBdr>
        <w:top w:val="none" w:sz="0" w:space="0" w:color="auto"/>
        <w:left w:val="none" w:sz="0" w:space="0" w:color="auto"/>
        <w:bottom w:val="none" w:sz="0" w:space="0" w:color="auto"/>
        <w:right w:val="none" w:sz="0" w:space="0" w:color="auto"/>
      </w:divBdr>
    </w:div>
    <w:div w:id="37517703">
      <w:bodyDiv w:val="1"/>
      <w:marLeft w:val="0"/>
      <w:marRight w:val="0"/>
      <w:marTop w:val="0"/>
      <w:marBottom w:val="0"/>
      <w:divBdr>
        <w:top w:val="none" w:sz="0" w:space="0" w:color="auto"/>
        <w:left w:val="none" w:sz="0" w:space="0" w:color="auto"/>
        <w:bottom w:val="none" w:sz="0" w:space="0" w:color="auto"/>
        <w:right w:val="none" w:sz="0" w:space="0" w:color="auto"/>
      </w:divBdr>
    </w:div>
    <w:div w:id="38360339">
      <w:bodyDiv w:val="1"/>
      <w:marLeft w:val="0"/>
      <w:marRight w:val="0"/>
      <w:marTop w:val="0"/>
      <w:marBottom w:val="0"/>
      <w:divBdr>
        <w:top w:val="none" w:sz="0" w:space="0" w:color="auto"/>
        <w:left w:val="none" w:sz="0" w:space="0" w:color="auto"/>
        <w:bottom w:val="none" w:sz="0" w:space="0" w:color="auto"/>
        <w:right w:val="none" w:sz="0" w:space="0" w:color="auto"/>
      </w:divBdr>
      <w:divsChild>
        <w:div w:id="228619411">
          <w:marLeft w:val="0"/>
          <w:marRight w:val="0"/>
          <w:marTop w:val="211"/>
          <w:marBottom w:val="0"/>
          <w:divBdr>
            <w:top w:val="none" w:sz="0" w:space="0" w:color="auto"/>
            <w:left w:val="none" w:sz="0" w:space="0" w:color="auto"/>
            <w:bottom w:val="none" w:sz="0" w:space="0" w:color="auto"/>
            <w:right w:val="none" w:sz="0" w:space="0" w:color="auto"/>
          </w:divBdr>
        </w:div>
        <w:div w:id="1023827127">
          <w:marLeft w:val="0"/>
          <w:marRight w:val="0"/>
          <w:marTop w:val="211"/>
          <w:marBottom w:val="0"/>
          <w:divBdr>
            <w:top w:val="none" w:sz="0" w:space="0" w:color="auto"/>
            <w:left w:val="none" w:sz="0" w:space="0" w:color="auto"/>
            <w:bottom w:val="none" w:sz="0" w:space="0" w:color="auto"/>
            <w:right w:val="none" w:sz="0" w:space="0" w:color="auto"/>
          </w:divBdr>
        </w:div>
        <w:div w:id="1737820165">
          <w:marLeft w:val="0"/>
          <w:marRight w:val="0"/>
          <w:marTop w:val="211"/>
          <w:marBottom w:val="0"/>
          <w:divBdr>
            <w:top w:val="none" w:sz="0" w:space="0" w:color="auto"/>
            <w:left w:val="none" w:sz="0" w:space="0" w:color="auto"/>
            <w:bottom w:val="none" w:sz="0" w:space="0" w:color="auto"/>
            <w:right w:val="none" w:sz="0" w:space="0" w:color="auto"/>
          </w:divBdr>
        </w:div>
        <w:div w:id="1753309598">
          <w:marLeft w:val="0"/>
          <w:marRight w:val="0"/>
          <w:marTop w:val="211"/>
          <w:marBottom w:val="0"/>
          <w:divBdr>
            <w:top w:val="none" w:sz="0" w:space="0" w:color="auto"/>
            <w:left w:val="none" w:sz="0" w:space="0" w:color="auto"/>
            <w:bottom w:val="none" w:sz="0" w:space="0" w:color="auto"/>
            <w:right w:val="none" w:sz="0" w:space="0" w:color="auto"/>
          </w:divBdr>
        </w:div>
        <w:div w:id="2137091738">
          <w:marLeft w:val="0"/>
          <w:marRight w:val="0"/>
          <w:marTop w:val="211"/>
          <w:marBottom w:val="0"/>
          <w:divBdr>
            <w:top w:val="none" w:sz="0" w:space="0" w:color="auto"/>
            <w:left w:val="none" w:sz="0" w:space="0" w:color="auto"/>
            <w:bottom w:val="none" w:sz="0" w:space="0" w:color="auto"/>
            <w:right w:val="none" w:sz="0" w:space="0" w:color="auto"/>
          </w:divBdr>
        </w:div>
      </w:divsChild>
    </w:div>
    <w:div w:id="149446625">
      <w:bodyDiv w:val="1"/>
      <w:marLeft w:val="0"/>
      <w:marRight w:val="0"/>
      <w:marTop w:val="0"/>
      <w:marBottom w:val="0"/>
      <w:divBdr>
        <w:top w:val="none" w:sz="0" w:space="0" w:color="auto"/>
        <w:left w:val="none" w:sz="0" w:space="0" w:color="auto"/>
        <w:bottom w:val="none" w:sz="0" w:space="0" w:color="auto"/>
        <w:right w:val="none" w:sz="0" w:space="0" w:color="auto"/>
      </w:divBdr>
    </w:div>
    <w:div w:id="219245029">
      <w:bodyDiv w:val="1"/>
      <w:marLeft w:val="0"/>
      <w:marRight w:val="0"/>
      <w:marTop w:val="0"/>
      <w:marBottom w:val="0"/>
      <w:divBdr>
        <w:top w:val="none" w:sz="0" w:space="0" w:color="auto"/>
        <w:left w:val="none" w:sz="0" w:space="0" w:color="auto"/>
        <w:bottom w:val="none" w:sz="0" w:space="0" w:color="auto"/>
        <w:right w:val="none" w:sz="0" w:space="0" w:color="auto"/>
      </w:divBdr>
    </w:div>
    <w:div w:id="342317434">
      <w:bodyDiv w:val="1"/>
      <w:marLeft w:val="0"/>
      <w:marRight w:val="0"/>
      <w:marTop w:val="0"/>
      <w:marBottom w:val="0"/>
      <w:divBdr>
        <w:top w:val="none" w:sz="0" w:space="0" w:color="auto"/>
        <w:left w:val="none" w:sz="0" w:space="0" w:color="auto"/>
        <w:bottom w:val="none" w:sz="0" w:space="0" w:color="auto"/>
        <w:right w:val="none" w:sz="0" w:space="0" w:color="auto"/>
      </w:divBdr>
    </w:div>
    <w:div w:id="420375950">
      <w:bodyDiv w:val="1"/>
      <w:marLeft w:val="0"/>
      <w:marRight w:val="0"/>
      <w:marTop w:val="0"/>
      <w:marBottom w:val="0"/>
      <w:divBdr>
        <w:top w:val="none" w:sz="0" w:space="0" w:color="auto"/>
        <w:left w:val="none" w:sz="0" w:space="0" w:color="auto"/>
        <w:bottom w:val="none" w:sz="0" w:space="0" w:color="auto"/>
        <w:right w:val="none" w:sz="0" w:space="0" w:color="auto"/>
      </w:divBdr>
    </w:div>
    <w:div w:id="429589781">
      <w:bodyDiv w:val="1"/>
      <w:marLeft w:val="0"/>
      <w:marRight w:val="0"/>
      <w:marTop w:val="0"/>
      <w:marBottom w:val="0"/>
      <w:divBdr>
        <w:top w:val="none" w:sz="0" w:space="0" w:color="auto"/>
        <w:left w:val="none" w:sz="0" w:space="0" w:color="auto"/>
        <w:bottom w:val="none" w:sz="0" w:space="0" w:color="auto"/>
        <w:right w:val="none" w:sz="0" w:space="0" w:color="auto"/>
      </w:divBdr>
      <w:divsChild>
        <w:div w:id="121073350">
          <w:marLeft w:val="720"/>
          <w:marRight w:val="0"/>
          <w:marTop w:val="0"/>
          <w:marBottom w:val="0"/>
          <w:divBdr>
            <w:top w:val="none" w:sz="0" w:space="0" w:color="auto"/>
            <w:left w:val="none" w:sz="0" w:space="0" w:color="auto"/>
            <w:bottom w:val="none" w:sz="0" w:space="0" w:color="auto"/>
            <w:right w:val="none" w:sz="0" w:space="0" w:color="auto"/>
          </w:divBdr>
        </w:div>
        <w:div w:id="1319647013">
          <w:marLeft w:val="720"/>
          <w:marRight w:val="0"/>
          <w:marTop w:val="0"/>
          <w:marBottom w:val="0"/>
          <w:divBdr>
            <w:top w:val="none" w:sz="0" w:space="0" w:color="auto"/>
            <w:left w:val="none" w:sz="0" w:space="0" w:color="auto"/>
            <w:bottom w:val="none" w:sz="0" w:space="0" w:color="auto"/>
            <w:right w:val="none" w:sz="0" w:space="0" w:color="auto"/>
          </w:divBdr>
        </w:div>
        <w:div w:id="1738430856">
          <w:marLeft w:val="720"/>
          <w:marRight w:val="0"/>
          <w:marTop w:val="0"/>
          <w:marBottom w:val="0"/>
          <w:divBdr>
            <w:top w:val="none" w:sz="0" w:space="0" w:color="auto"/>
            <w:left w:val="none" w:sz="0" w:space="0" w:color="auto"/>
            <w:bottom w:val="none" w:sz="0" w:space="0" w:color="auto"/>
            <w:right w:val="none" w:sz="0" w:space="0" w:color="auto"/>
          </w:divBdr>
        </w:div>
      </w:divsChild>
    </w:div>
    <w:div w:id="525295741">
      <w:bodyDiv w:val="1"/>
      <w:marLeft w:val="0"/>
      <w:marRight w:val="0"/>
      <w:marTop w:val="0"/>
      <w:marBottom w:val="0"/>
      <w:divBdr>
        <w:top w:val="none" w:sz="0" w:space="0" w:color="auto"/>
        <w:left w:val="none" w:sz="0" w:space="0" w:color="auto"/>
        <w:bottom w:val="none" w:sz="0" w:space="0" w:color="auto"/>
        <w:right w:val="none" w:sz="0" w:space="0" w:color="auto"/>
      </w:divBdr>
    </w:div>
    <w:div w:id="553350022">
      <w:bodyDiv w:val="1"/>
      <w:marLeft w:val="0"/>
      <w:marRight w:val="0"/>
      <w:marTop w:val="0"/>
      <w:marBottom w:val="0"/>
      <w:divBdr>
        <w:top w:val="none" w:sz="0" w:space="0" w:color="auto"/>
        <w:left w:val="none" w:sz="0" w:space="0" w:color="auto"/>
        <w:bottom w:val="none" w:sz="0" w:space="0" w:color="auto"/>
        <w:right w:val="none" w:sz="0" w:space="0" w:color="auto"/>
      </w:divBdr>
    </w:div>
    <w:div w:id="557401059">
      <w:bodyDiv w:val="1"/>
      <w:marLeft w:val="0"/>
      <w:marRight w:val="0"/>
      <w:marTop w:val="0"/>
      <w:marBottom w:val="0"/>
      <w:divBdr>
        <w:top w:val="none" w:sz="0" w:space="0" w:color="auto"/>
        <w:left w:val="none" w:sz="0" w:space="0" w:color="auto"/>
        <w:bottom w:val="none" w:sz="0" w:space="0" w:color="auto"/>
        <w:right w:val="none" w:sz="0" w:space="0" w:color="auto"/>
      </w:divBdr>
    </w:div>
    <w:div w:id="571893909">
      <w:bodyDiv w:val="1"/>
      <w:marLeft w:val="0"/>
      <w:marRight w:val="0"/>
      <w:marTop w:val="0"/>
      <w:marBottom w:val="0"/>
      <w:divBdr>
        <w:top w:val="none" w:sz="0" w:space="0" w:color="auto"/>
        <w:left w:val="none" w:sz="0" w:space="0" w:color="auto"/>
        <w:bottom w:val="none" w:sz="0" w:space="0" w:color="auto"/>
        <w:right w:val="none" w:sz="0" w:space="0" w:color="auto"/>
      </w:divBdr>
    </w:div>
    <w:div w:id="611745060">
      <w:bodyDiv w:val="1"/>
      <w:marLeft w:val="0"/>
      <w:marRight w:val="0"/>
      <w:marTop w:val="0"/>
      <w:marBottom w:val="0"/>
      <w:divBdr>
        <w:top w:val="none" w:sz="0" w:space="0" w:color="auto"/>
        <w:left w:val="none" w:sz="0" w:space="0" w:color="auto"/>
        <w:bottom w:val="none" w:sz="0" w:space="0" w:color="auto"/>
        <w:right w:val="none" w:sz="0" w:space="0" w:color="auto"/>
      </w:divBdr>
    </w:div>
    <w:div w:id="625818635">
      <w:bodyDiv w:val="1"/>
      <w:marLeft w:val="0"/>
      <w:marRight w:val="0"/>
      <w:marTop w:val="0"/>
      <w:marBottom w:val="0"/>
      <w:divBdr>
        <w:top w:val="none" w:sz="0" w:space="0" w:color="auto"/>
        <w:left w:val="none" w:sz="0" w:space="0" w:color="auto"/>
        <w:bottom w:val="none" w:sz="0" w:space="0" w:color="auto"/>
        <w:right w:val="none" w:sz="0" w:space="0" w:color="auto"/>
      </w:divBdr>
    </w:div>
    <w:div w:id="811605531">
      <w:bodyDiv w:val="1"/>
      <w:marLeft w:val="0"/>
      <w:marRight w:val="0"/>
      <w:marTop w:val="0"/>
      <w:marBottom w:val="0"/>
      <w:divBdr>
        <w:top w:val="none" w:sz="0" w:space="0" w:color="auto"/>
        <w:left w:val="none" w:sz="0" w:space="0" w:color="auto"/>
        <w:bottom w:val="none" w:sz="0" w:space="0" w:color="auto"/>
        <w:right w:val="none" w:sz="0" w:space="0" w:color="auto"/>
      </w:divBdr>
      <w:divsChild>
        <w:div w:id="1155756142">
          <w:marLeft w:val="720"/>
          <w:marRight w:val="0"/>
          <w:marTop w:val="0"/>
          <w:marBottom w:val="0"/>
          <w:divBdr>
            <w:top w:val="none" w:sz="0" w:space="0" w:color="auto"/>
            <w:left w:val="none" w:sz="0" w:space="0" w:color="auto"/>
            <w:bottom w:val="none" w:sz="0" w:space="0" w:color="auto"/>
            <w:right w:val="none" w:sz="0" w:space="0" w:color="auto"/>
          </w:divBdr>
        </w:div>
        <w:div w:id="1659075677">
          <w:marLeft w:val="720"/>
          <w:marRight w:val="0"/>
          <w:marTop w:val="0"/>
          <w:marBottom w:val="0"/>
          <w:divBdr>
            <w:top w:val="none" w:sz="0" w:space="0" w:color="auto"/>
            <w:left w:val="none" w:sz="0" w:space="0" w:color="auto"/>
            <w:bottom w:val="none" w:sz="0" w:space="0" w:color="auto"/>
            <w:right w:val="none" w:sz="0" w:space="0" w:color="auto"/>
          </w:divBdr>
        </w:div>
      </w:divsChild>
    </w:div>
    <w:div w:id="871651563">
      <w:bodyDiv w:val="1"/>
      <w:marLeft w:val="0"/>
      <w:marRight w:val="0"/>
      <w:marTop w:val="0"/>
      <w:marBottom w:val="0"/>
      <w:divBdr>
        <w:top w:val="none" w:sz="0" w:space="0" w:color="auto"/>
        <w:left w:val="none" w:sz="0" w:space="0" w:color="auto"/>
        <w:bottom w:val="none" w:sz="0" w:space="0" w:color="auto"/>
        <w:right w:val="none" w:sz="0" w:space="0" w:color="auto"/>
      </w:divBdr>
    </w:div>
    <w:div w:id="875386586">
      <w:bodyDiv w:val="1"/>
      <w:marLeft w:val="0"/>
      <w:marRight w:val="0"/>
      <w:marTop w:val="0"/>
      <w:marBottom w:val="0"/>
      <w:divBdr>
        <w:top w:val="none" w:sz="0" w:space="0" w:color="auto"/>
        <w:left w:val="none" w:sz="0" w:space="0" w:color="auto"/>
        <w:bottom w:val="none" w:sz="0" w:space="0" w:color="auto"/>
        <w:right w:val="none" w:sz="0" w:space="0" w:color="auto"/>
      </w:divBdr>
    </w:div>
    <w:div w:id="885989962">
      <w:bodyDiv w:val="1"/>
      <w:marLeft w:val="0"/>
      <w:marRight w:val="0"/>
      <w:marTop w:val="0"/>
      <w:marBottom w:val="0"/>
      <w:divBdr>
        <w:top w:val="none" w:sz="0" w:space="0" w:color="auto"/>
        <w:left w:val="none" w:sz="0" w:space="0" w:color="auto"/>
        <w:bottom w:val="none" w:sz="0" w:space="0" w:color="auto"/>
        <w:right w:val="none" w:sz="0" w:space="0" w:color="auto"/>
      </w:divBdr>
      <w:divsChild>
        <w:div w:id="1933319328">
          <w:marLeft w:val="0"/>
          <w:marRight w:val="0"/>
          <w:marTop w:val="211"/>
          <w:marBottom w:val="0"/>
          <w:divBdr>
            <w:top w:val="none" w:sz="0" w:space="0" w:color="auto"/>
            <w:left w:val="none" w:sz="0" w:space="0" w:color="auto"/>
            <w:bottom w:val="none" w:sz="0" w:space="0" w:color="auto"/>
            <w:right w:val="none" w:sz="0" w:space="0" w:color="auto"/>
          </w:divBdr>
        </w:div>
      </w:divsChild>
    </w:div>
    <w:div w:id="968969793">
      <w:bodyDiv w:val="1"/>
      <w:marLeft w:val="0"/>
      <w:marRight w:val="0"/>
      <w:marTop w:val="0"/>
      <w:marBottom w:val="0"/>
      <w:divBdr>
        <w:top w:val="none" w:sz="0" w:space="0" w:color="auto"/>
        <w:left w:val="none" w:sz="0" w:space="0" w:color="auto"/>
        <w:bottom w:val="none" w:sz="0" w:space="0" w:color="auto"/>
        <w:right w:val="none" w:sz="0" w:space="0" w:color="auto"/>
      </w:divBdr>
    </w:div>
    <w:div w:id="1016419030">
      <w:bodyDiv w:val="1"/>
      <w:marLeft w:val="0"/>
      <w:marRight w:val="0"/>
      <w:marTop w:val="0"/>
      <w:marBottom w:val="0"/>
      <w:divBdr>
        <w:top w:val="none" w:sz="0" w:space="0" w:color="auto"/>
        <w:left w:val="none" w:sz="0" w:space="0" w:color="auto"/>
        <w:bottom w:val="none" w:sz="0" w:space="0" w:color="auto"/>
        <w:right w:val="none" w:sz="0" w:space="0" w:color="auto"/>
      </w:divBdr>
      <w:divsChild>
        <w:div w:id="353044845">
          <w:marLeft w:val="0"/>
          <w:marRight w:val="0"/>
          <w:marTop w:val="211"/>
          <w:marBottom w:val="0"/>
          <w:divBdr>
            <w:top w:val="none" w:sz="0" w:space="0" w:color="auto"/>
            <w:left w:val="none" w:sz="0" w:space="0" w:color="auto"/>
            <w:bottom w:val="none" w:sz="0" w:space="0" w:color="auto"/>
            <w:right w:val="none" w:sz="0" w:space="0" w:color="auto"/>
          </w:divBdr>
        </w:div>
        <w:div w:id="494612286">
          <w:marLeft w:val="0"/>
          <w:marRight w:val="0"/>
          <w:marTop w:val="211"/>
          <w:marBottom w:val="0"/>
          <w:divBdr>
            <w:top w:val="none" w:sz="0" w:space="0" w:color="auto"/>
            <w:left w:val="none" w:sz="0" w:space="0" w:color="auto"/>
            <w:bottom w:val="none" w:sz="0" w:space="0" w:color="auto"/>
            <w:right w:val="none" w:sz="0" w:space="0" w:color="auto"/>
          </w:divBdr>
        </w:div>
        <w:div w:id="736710191">
          <w:marLeft w:val="0"/>
          <w:marRight w:val="0"/>
          <w:marTop w:val="211"/>
          <w:marBottom w:val="0"/>
          <w:divBdr>
            <w:top w:val="none" w:sz="0" w:space="0" w:color="auto"/>
            <w:left w:val="none" w:sz="0" w:space="0" w:color="auto"/>
            <w:bottom w:val="none" w:sz="0" w:space="0" w:color="auto"/>
            <w:right w:val="none" w:sz="0" w:space="0" w:color="auto"/>
          </w:divBdr>
        </w:div>
        <w:div w:id="828668761">
          <w:marLeft w:val="0"/>
          <w:marRight w:val="0"/>
          <w:marTop w:val="211"/>
          <w:marBottom w:val="0"/>
          <w:divBdr>
            <w:top w:val="none" w:sz="0" w:space="0" w:color="auto"/>
            <w:left w:val="none" w:sz="0" w:space="0" w:color="auto"/>
            <w:bottom w:val="none" w:sz="0" w:space="0" w:color="auto"/>
            <w:right w:val="none" w:sz="0" w:space="0" w:color="auto"/>
          </w:divBdr>
        </w:div>
        <w:div w:id="1466123992">
          <w:marLeft w:val="0"/>
          <w:marRight w:val="0"/>
          <w:marTop w:val="211"/>
          <w:marBottom w:val="0"/>
          <w:divBdr>
            <w:top w:val="none" w:sz="0" w:space="0" w:color="auto"/>
            <w:left w:val="none" w:sz="0" w:space="0" w:color="auto"/>
            <w:bottom w:val="none" w:sz="0" w:space="0" w:color="auto"/>
            <w:right w:val="none" w:sz="0" w:space="0" w:color="auto"/>
          </w:divBdr>
        </w:div>
      </w:divsChild>
    </w:div>
    <w:div w:id="1064334324">
      <w:bodyDiv w:val="1"/>
      <w:marLeft w:val="0"/>
      <w:marRight w:val="0"/>
      <w:marTop w:val="0"/>
      <w:marBottom w:val="0"/>
      <w:divBdr>
        <w:top w:val="none" w:sz="0" w:space="0" w:color="auto"/>
        <w:left w:val="none" w:sz="0" w:space="0" w:color="auto"/>
        <w:bottom w:val="none" w:sz="0" w:space="0" w:color="auto"/>
        <w:right w:val="none" w:sz="0" w:space="0" w:color="auto"/>
      </w:divBdr>
    </w:div>
    <w:div w:id="1133793403">
      <w:bodyDiv w:val="1"/>
      <w:marLeft w:val="0"/>
      <w:marRight w:val="0"/>
      <w:marTop w:val="0"/>
      <w:marBottom w:val="0"/>
      <w:divBdr>
        <w:top w:val="none" w:sz="0" w:space="0" w:color="auto"/>
        <w:left w:val="none" w:sz="0" w:space="0" w:color="auto"/>
        <w:bottom w:val="none" w:sz="0" w:space="0" w:color="auto"/>
        <w:right w:val="none" w:sz="0" w:space="0" w:color="auto"/>
      </w:divBdr>
    </w:div>
    <w:div w:id="1167019476">
      <w:bodyDiv w:val="1"/>
      <w:marLeft w:val="0"/>
      <w:marRight w:val="0"/>
      <w:marTop w:val="0"/>
      <w:marBottom w:val="0"/>
      <w:divBdr>
        <w:top w:val="none" w:sz="0" w:space="0" w:color="auto"/>
        <w:left w:val="none" w:sz="0" w:space="0" w:color="auto"/>
        <w:bottom w:val="none" w:sz="0" w:space="0" w:color="auto"/>
        <w:right w:val="none" w:sz="0" w:space="0" w:color="auto"/>
      </w:divBdr>
    </w:div>
    <w:div w:id="1193572423">
      <w:bodyDiv w:val="1"/>
      <w:marLeft w:val="0"/>
      <w:marRight w:val="0"/>
      <w:marTop w:val="0"/>
      <w:marBottom w:val="0"/>
      <w:divBdr>
        <w:top w:val="none" w:sz="0" w:space="0" w:color="auto"/>
        <w:left w:val="none" w:sz="0" w:space="0" w:color="auto"/>
        <w:bottom w:val="none" w:sz="0" w:space="0" w:color="auto"/>
        <w:right w:val="none" w:sz="0" w:space="0" w:color="auto"/>
      </w:divBdr>
    </w:div>
    <w:div w:id="1252659618">
      <w:bodyDiv w:val="1"/>
      <w:marLeft w:val="0"/>
      <w:marRight w:val="0"/>
      <w:marTop w:val="0"/>
      <w:marBottom w:val="0"/>
      <w:divBdr>
        <w:top w:val="none" w:sz="0" w:space="0" w:color="auto"/>
        <w:left w:val="none" w:sz="0" w:space="0" w:color="auto"/>
        <w:bottom w:val="none" w:sz="0" w:space="0" w:color="auto"/>
        <w:right w:val="none" w:sz="0" w:space="0" w:color="auto"/>
      </w:divBdr>
    </w:div>
    <w:div w:id="1270821444">
      <w:bodyDiv w:val="1"/>
      <w:marLeft w:val="0"/>
      <w:marRight w:val="0"/>
      <w:marTop w:val="0"/>
      <w:marBottom w:val="0"/>
      <w:divBdr>
        <w:top w:val="none" w:sz="0" w:space="0" w:color="auto"/>
        <w:left w:val="none" w:sz="0" w:space="0" w:color="auto"/>
        <w:bottom w:val="none" w:sz="0" w:space="0" w:color="auto"/>
        <w:right w:val="none" w:sz="0" w:space="0" w:color="auto"/>
      </w:divBdr>
    </w:div>
    <w:div w:id="1318193280">
      <w:bodyDiv w:val="1"/>
      <w:marLeft w:val="0"/>
      <w:marRight w:val="0"/>
      <w:marTop w:val="0"/>
      <w:marBottom w:val="0"/>
      <w:divBdr>
        <w:top w:val="none" w:sz="0" w:space="0" w:color="auto"/>
        <w:left w:val="none" w:sz="0" w:space="0" w:color="auto"/>
        <w:bottom w:val="none" w:sz="0" w:space="0" w:color="auto"/>
        <w:right w:val="none" w:sz="0" w:space="0" w:color="auto"/>
      </w:divBdr>
    </w:div>
    <w:div w:id="1374113611">
      <w:bodyDiv w:val="1"/>
      <w:marLeft w:val="0"/>
      <w:marRight w:val="0"/>
      <w:marTop w:val="0"/>
      <w:marBottom w:val="0"/>
      <w:divBdr>
        <w:top w:val="none" w:sz="0" w:space="0" w:color="auto"/>
        <w:left w:val="none" w:sz="0" w:space="0" w:color="auto"/>
        <w:bottom w:val="none" w:sz="0" w:space="0" w:color="auto"/>
        <w:right w:val="none" w:sz="0" w:space="0" w:color="auto"/>
      </w:divBdr>
    </w:div>
    <w:div w:id="1376008092">
      <w:bodyDiv w:val="1"/>
      <w:marLeft w:val="0"/>
      <w:marRight w:val="0"/>
      <w:marTop w:val="0"/>
      <w:marBottom w:val="0"/>
      <w:divBdr>
        <w:top w:val="none" w:sz="0" w:space="0" w:color="auto"/>
        <w:left w:val="none" w:sz="0" w:space="0" w:color="auto"/>
        <w:bottom w:val="none" w:sz="0" w:space="0" w:color="auto"/>
        <w:right w:val="none" w:sz="0" w:space="0" w:color="auto"/>
      </w:divBdr>
      <w:divsChild>
        <w:div w:id="223880743">
          <w:marLeft w:val="0"/>
          <w:marRight w:val="0"/>
          <w:marTop w:val="211"/>
          <w:marBottom w:val="0"/>
          <w:divBdr>
            <w:top w:val="none" w:sz="0" w:space="0" w:color="auto"/>
            <w:left w:val="none" w:sz="0" w:space="0" w:color="auto"/>
            <w:bottom w:val="none" w:sz="0" w:space="0" w:color="auto"/>
            <w:right w:val="none" w:sz="0" w:space="0" w:color="auto"/>
          </w:divBdr>
        </w:div>
        <w:div w:id="355620813">
          <w:marLeft w:val="0"/>
          <w:marRight w:val="0"/>
          <w:marTop w:val="211"/>
          <w:marBottom w:val="0"/>
          <w:divBdr>
            <w:top w:val="none" w:sz="0" w:space="0" w:color="auto"/>
            <w:left w:val="none" w:sz="0" w:space="0" w:color="auto"/>
            <w:bottom w:val="none" w:sz="0" w:space="0" w:color="auto"/>
            <w:right w:val="none" w:sz="0" w:space="0" w:color="auto"/>
          </w:divBdr>
        </w:div>
        <w:div w:id="517933680">
          <w:marLeft w:val="0"/>
          <w:marRight w:val="0"/>
          <w:marTop w:val="211"/>
          <w:marBottom w:val="0"/>
          <w:divBdr>
            <w:top w:val="none" w:sz="0" w:space="0" w:color="auto"/>
            <w:left w:val="none" w:sz="0" w:space="0" w:color="auto"/>
            <w:bottom w:val="none" w:sz="0" w:space="0" w:color="auto"/>
            <w:right w:val="none" w:sz="0" w:space="0" w:color="auto"/>
          </w:divBdr>
        </w:div>
        <w:div w:id="674187739">
          <w:marLeft w:val="0"/>
          <w:marRight w:val="0"/>
          <w:marTop w:val="211"/>
          <w:marBottom w:val="0"/>
          <w:divBdr>
            <w:top w:val="none" w:sz="0" w:space="0" w:color="auto"/>
            <w:left w:val="none" w:sz="0" w:space="0" w:color="auto"/>
            <w:bottom w:val="none" w:sz="0" w:space="0" w:color="auto"/>
            <w:right w:val="none" w:sz="0" w:space="0" w:color="auto"/>
          </w:divBdr>
        </w:div>
        <w:div w:id="1700398456">
          <w:marLeft w:val="0"/>
          <w:marRight w:val="0"/>
          <w:marTop w:val="211"/>
          <w:marBottom w:val="0"/>
          <w:divBdr>
            <w:top w:val="none" w:sz="0" w:space="0" w:color="auto"/>
            <w:left w:val="none" w:sz="0" w:space="0" w:color="auto"/>
            <w:bottom w:val="none" w:sz="0" w:space="0" w:color="auto"/>
            <w:right w:val="none" w:sz="0" w:space="0" w:color="auto"/>
          </w:divBdr>
        </w:div>
      </w:divsChild>
    </w:div>
    <w:div w:id="1384332997">
      <w:bodyDiv w:val="1"/>
      <w:marLeft w:val="0"/>
      <w:marRight w:val="0"/>
      <w:marTop w:val="0"/>
      <w:marBottom w:val="0"/>
      <w:divBdr>
        <w:top w:val="none" w:sz="0" w:space="0" w:color="auto"/>
        <w:left w:val="none" w:sz="0" w:space="0" w:color="auto"/>
        <w:bottom w:val="none" w:sz="0" w:space="0" w:color="auto"/>
        <w:right w:val="none" w:sz="0" w:space="0" w:color="auto"/>
      </w:divBdr>
    </w:div>
    <w:div w:id="1550875129">
      <w:bodyDiv w:val="1"/>
      <w:marLeft w:val="0"/>
      <w:marRight w:val="0"/>
      <w:marTop w:val="0"/>
      <w:marBottom w:val="0"/>
      <w:divBdr>
        <w:top w:val="none" w:sz="0" w:space="0" w:color="auto"/>
        <w:left w:val="none" w:sz="0" w:space="0" w:color="auto"/>
        <w:bottom w:val="none" w:sz="0" w:space="0" w:color="auto"/>
        <w:right w:val="none" w:sz="0" w:space="0" w:color="auto"/>
      </w:divBdr>
      <w:divsChild>
        <w:div w:id="432363983">
          <w:marLeft w:val="720"/>
          <w:marRight w:val="0"/>
          <w:marTop w:val="0"/>
          <w:marBottom w:val="0"/>
          <w:divBdr>
            <w:top w:val="none" w:sz="0" w:space="0" w:color="auto"/>
            <w:left w:val="none" w:sz="0" w:space="0" w:color="auto"/>
            <w:bottom w:val="none" w:sz="0" w:space="0" w:color="auto"/>
            <w:right w:val="none" w:sz="0" w:space="0" w:color="auto"/>
          </w:divBdr>
        </w:div>
        <w:div w:id="479344803">
          <w:marLeft w:val="720"/>
          <w:marRight w:val="0"/>
          <w:marTop w:val="0"/>
          <w:marBottom w:val="0"/>
          <w:divBdr>
            <w:top w:val="none" w:sz="0" w:space="0" w:color="auto"/>
            <w:left w:val="none" w:sz="0" w:space="0" w:color="auto"/>
            <w:bottom w:val="none" w:sz="0" w:space="0" w:color="auto"/>
            <w:right w:val="none" w:sz="0" w:space="0" w:color="auto"/>
          </w:divBdr>
        </w:div>
        <w:div w:id="728960492">
          <w:marLeft w:val="720"/>
          <w:marRight w:val="0"/>
          <w:marTop w:val="0"/>
          <w:marBottom w:val="0"/>
          <w:divBdr>
            <w:top w:val="none" w:sz="0" w:space="0" w:color="auto"/>
            <w:left w:val="none" w:sz="0" w:space="0" w:color="auto"/>
            <w:bottom w:val="none" w:sz="0" w:space="0" w:color="auto"/>
            <w:right w:val="none" w:sz="0" w:space="0" w:color="auto"/>
          </w:divBdr>
        </w:div>
        <w:div w:id="939607277">
          <w:marLeft w:val="720"/>
          <w:marRight w:val="0"/>
          <w:marTop w:val="0"/>
          <w:marBottom w:val="0"/>
          <w:divBdr>
            <w:top w:val="none" w:sz="0" w:space="0" w:color="auto"/>
            <w:left w:val="none" w:sz="0" w:space="0" w:color="auto"/>
            <w:bottom w:val="none" w:sz="0" w:space="0" w:color="auto"/>
            <w:right w:val="none" w:sz="0" w:space="0" w:color="auto"/>
          </w:divBdr>
        </w:div>
        <w:div w:id="950360721">
          <w:marLeft w:val="720"/>
          <w:marRight w:val="0"/>
          <w:marTop w:val="0"/>
          <w:marBottom w:val="0"/>
          <w:divBdr>
            <w:top w:val="none" w:sz="0" w:space="0" w:color="auto"/>
            <w:left w:val="none" w:sz="0" w:space="0" w:color="auto"/>
            <w:bottom w:val="none" w:sz="0" w:space="0" w:color="auto"/>
            <w:right w:val="none" w:sz="0" w:space="0" w:color="auto"/>
          </w:divBdr>
        </w:div>
        <w:div w:id="1675494209">
          <w:marLeft w:val="720"/>
          <w:marRight w:val="0"/>
          <w:marTop w:val="0"/>
          <w:marBottom w:val="0"/>
          <w:divBdr>
            <w:top w:val="none" w:sz="0" w:space="0" w:color="auto"/>
            <w:left w:val="none" w:sz="0" w:space="0" w:color="auto"/>
            <w:bottom w:val="none" w:sz="0" w:space="0" w:color="auto"/>
            <w:right w:val="none" w:sz="0" w:space="0" w:color="auto"/>
          </w:divBdr>
        </w:div>
      </w:divsChild>
    </w:div>
    <w:div w:id="1618640674">
      <w:bodyDiv w:val="1"/>
      <w:marLeft w:val="0"/>
      <w:marRight w:val="0"/>
      <w:marTop w:val="0"/>
      <w:marBottom w:val="0"/>
      <w:divBdr>
        <w:top w:val="none" w:sz="0" w:space="0" w:color="auto"/>
        <w:left w:val="none" w:sz="0" w:space="0" w:color="auto"/>
        <w:bottom w:val="none" w:sz="0" w:space="0" w:color="auto"/>
        <w:right w:val="none" w:sz="0" w:space="0" w:color="auto"/>
      </w:divBdr>
    </w:div>
    <w:div w:id="1656301509">
      <w:bodyDiv w:val="1"/>
      <w:marLeft w:val="0"/>
      <w:marRight w:val="0"/>
      <w:marTop w:val="0"/>
      <w:marBottom w:val="0"/>
      <w:divBdr>
        <w:top w:val="none" w:sz="0" w:space="0" w:color="auto"/>
        <w:left w:val="none" w:sz="0" w:space="0" w:color="auto"/>
        <w:bottom w:val="none" w:sz="0" w:space="0" w:color="auto"/>
        <w:right w:val="none" w:sz="0" w:space="0" w:color="auto"/>
      </w:divBdr>
    </w:div>
    <w:div w:id="1691952509">
      <w:bodyDiv w:val="1"/>
      <w:marLeft w:val="0"/>
      <w:marRight w:val="0"/>
      <w:marTop w:val="0"/>
      <w:marBottom w:val="0"/>
      <w:divBdr>
        <w:top w:val="none" w:sz="0" w:space="0" w:color="auto"/>
        <w:left w:val="none" w:sz="0" w:space="0" w:color="auto"/>
        <w:bottom w:val="none" w:sz="0" w:space="0" w:color="auto"/>
        <w:right w:val="none" w:sz="0" w:space="0" w:color="auto"/>
      </w:divBdr>
    </w:div>
    <w:div w:id="1730885037">
      <w:bodyDiv w:val="1"/>
      <w:marLeft w:val="0"/>
      <w:marRight w:val="0"/>
      <w:marTop w:val="0"/>
      <w:marBottom w:val="0"/>
      <w:divBdr>
        <w:top w:val="none" w:sz="0" w:space="0" w:color="auto"/>
        <w:left w:val="none" w:sz="0" w:space="0" w:color="auto"/>
        <w:bottom w:val="none" w:sz="0" w:space="0" w:color="auto"/>
        <w:right w:val="none" w:sz="0" w:space="0" w:color="auto"/>
      </w:divBdr>
      <w:divsChild>
        <w:div w:id="128206499">
          <w:marLeft w:val="720"/>
          <w:marRight w:val="0"/>
          <w:marTop w:val="0"/>
          <w:marBottom w:val="0"/>
          <w:divBdr>
            <w:top w:val="none" w:sz="0" w:space="0" w:color="auto"/>
            <w:left w:val="none" w:sz="0" w:space="0" w:color="auto"/>
            <w:bottom w:val="none" w:sz="0" w:space="0" w:color="auto"/>
            <w:right w:val="none" w:sz="0" w:space="0" w:color="auto"/>
          </w:divBdr>
        </w:div>
        <w:div w:id="219562148">
          <w:marLeft w:val="2160"/>
          <w:marRight w:val="0"/>
          <w:marTop w:val="0"/>
          <w:marBottom w:val="0"/>
          <w:divBdr>
            <w:top w:val="none" w:sz="0" w:space="0" w:color="auto"/>
            <w:left w:val="none" w:sz="0" w:space="0" w:color="auto"/>
            <w:bottom w:val="none" w:sz="0" w:space="0" w:color="auto"/>
            <w:right w:val="none" w:sz="0" w:space="0" w:color="auto"/>
          </w:divBdr>
        </w:div>
        <w:div w:id="241179666">
          <w:marLeft w:val="1440"/>
          <w:marRight w:val="0"/>
          <w:marTop w:val="0"/>
          <w:marBottom w:val="0"/>
          <w:divBdr>
            <w:top w:val="none" w:sz="0" w:space="0" w:color="auto"/>
            <w:left w:val="none" w:sz="0" w:space="0" w:color="auto"/>
            <w:bottom w:val="none" w:sz="0" w:space="0" w:color="auto"/>
            <w:right w:val="none" w:sz="0" w:space="0" w:color="auto"/>
          </w:divBdr>
        </w:div>
        <w:div w:id="376010370">
          <w:marLeft w:val="720"/>
          <w:marRight w:val="0"/>
          <w:marTop w:val="0"/>
          <w:marBottom w:val="0"/>
          <w:divBdr>
            <w:top w:val="none" w:sz="0" w:space="0" w:color="auto"/>
            <w:left w:val="none" w:sz="0" w:space="0" w:color="auto"/>
            <w:bottom w:val="none" w:sz="0" w:space="0" w:color="auto"/>
            <w:right w:val="none" w:sz="0" w:space="0" w:color="auto"/>
          </w:divBdr>
        </w:div>
        <w:div w:id="397291928">
          <w:marLeft w:val="1440"/>
          <w:marRight w:val="0"/>
          <w:marTop w:val="0"/>
          <w:marBottom w:val="0"/>
          <w:divBdr>
            <w:top w:val="none" w:sz="0" w:space="0" w:color="auto"/>
            <w:left w:val="none" w:sz="0" w:space="0" w:color="auto"/>
            <w:bottom w:val="none" w:sz="0" w:space="0" w:color="auto"/>
            <w:right w:val="none" w:sz="0" w:space="0" w:color="auto"/>
          </w:divBdr>
        </w:div>
        <w:div w:id="415785998">
          <w:marLeft w:val="720"/>
          <w:marRight w:val="0"/>
          <w:marTop w:val="0"/>
          <w:marBottom w:val="0"/>
          <w:divBdr>
            <w:top w:val="none" w:sz="0" w:space="0" w:color="auto"/>
            <w:left w:val="none" w:sz="0" w:space="0" w:color="auto"/>
            <w:bottom w:val="none" w:sz="0" w:space="0" w:color="auto"/>
            <w:right w:val="none" w:sz="0" w:space="0" w:color="auto"/>
          </w:divBdr>
        </w:div>
        <w:div w:id="655038777">
          <w:marLeft w:val="720"/>
          <w:marRight w:val="0"/>
          <w:marTop w:val="0"/>
          <w:marBottom w:val="0"/>
          <w:divBdr>
            <w:top w:val="none" w:sz="0" w:space="0" w:color="auto"/>
            <w:left w:val="none" w:sz="0" w:space="0" w:color="auto"/>
            <w:bottom w:val="none" w:sz="0" w:space="0" w:color="auto"/>
            <w:right w:val="none" w:sz="0" w:space="0" w:color="auto"/>
          </w:divBdr>
        </w:div>
        <w:div w:id="707026675">
          <w:marLeft w:val="720"/>
          <w:marRight w:val="0"/>
          <w:marTop w:val="0"/>
          <w:marBottom w:val="0"/>
          <w:divBdr>
            <w:top w:val="none" w:sz="0" w:space="0" w:color="auto"/>
            <w:left w:val="none" w:sz="0" w:space="0" w:color="auto"/>
            <w:bottom w:val="none" w:sz="0" w:space="0" w:color="auto"/>
            <w:right w:val="none" w:sz="0" w:space="0" w:color="auto"/>
          </w:divBdr>
        </w:div>
        <w:div w:id="748038825">
          <w:marLeft w:val="2160"/>
          <w:marRight w:val="0"/>
          <w:marTop w:val="0"/>
          <w:marBottom w:val="0"/>
          <w:divBdr>
            <w:top w:val="none" w:sz="0" w:space="0" w:color="auto"/>
            <w:left w:val="none" w:sz="0" w:space="0" w:color="auto"/>
            <w:bottom w:val="none" w:sz="0" w:space="0" w:color="auto"/>
            <w:right w:val="none" w:sz="0" w:space="0" w:color="auto"/>
          </w:divBdr>
        </w:div>
        <w:div w:id="870992603">
          <w:marLeft w:val="1440"/>
          <w:marRight w:val="0"/>
          <w:marTop w:val="0"/>
          <w:marBottom w:val="0"/>
          <w:divBdr>
            <w:top w:val="none" w:sz="0" w:space="0" w:color="auto"/>
            <w:left w:val="none" w:sz="0" w:space="0" w:color="auto"/>
            <w:bottom w:val="none" w:sz="0" w:space="0" w:color="auto"/>
            <w:right w:val="none" w:sz="0" w:space="0" w:color="auto"/>
          </w:divBdr>
        </w:div>
        <w:div w:id="938217924">
          <w:marLeft w:val="1440"/>
          <w:marRight w:val="0"/>
          <w:marTop w:val="0"/>
          <w:marBottom w:val="0"/>
          <w:divBdr>
            <w:top w:val="none" w:sz="0" w:space="0" w:color="auto"/>
            <w:left w:val="none" w:sz="0" w:space="0" w:color="auto"/>
            <w:bottom w:val="none" w:sz="0" w:space="0" w:color="auto"/>
            <w:right w:val="none" w:sz="0" w:space="0" w:color="auto"/>
          </w:divBdr>
        </w:div>
        <w:div w:id="963383681">
          <w:marLeft w:val="1440"/>
          <w:marRight w:val="0"/>
          <w:marTop w:val="0"/>
          <w:marBottom w:val="0"/>
          <w:divBdr>
            <w:top w:val="none" w:sz="0" w:space="0" w:color="auto"/>
            <w:left w:val="none" w:sz="0" w:space="0" w:color="auto"/>
            <w:bottom w:val="none" w:sz="0" w:space="0" w:color="auto"/>
            <w:right w:val="none" w:sz="0" w:space="0" w:color="auto"/>
          </w:divBdr>
        </w:div>
        <w:div w:id="1166281256">
          <w:marLeft w:val="2160"/>
          <w:marRight w:val="0"/>
          <w:marTop w:val="0"/>
          <w:marBottom w:val="0"/>
          <w:divBdr>
            <w:top w:val="none" w:sz="0" w:space="0" w:color="auto"/>
            <w:left w:val="none" w:sz="0" w:space="0" w:color="auto"/>
            <w:bottom w:val="none" w:sz="0" w:space="0" w:color="auto"/>
            <w:right w:val="none" w:sz="0" w:space="0" w:color="auto"/>
          </w:divBdr>
        </w:div>
        <w:div w:id="1324628545">
          <w:marLeft w:val="720"/>
          <w:marRight w:val="0"/>
          <w:marTop w:val="0"/>
          <w:marBottom w:val="0"/>
          <w:divBdr>
            <w:top w:val="none" w:sz="0" w:space="0" w:color="auto"/>
            <w:left w:val="none" w:sz="0" w:space="0" w:color="auto"/>
            <w:bottom w:val="none" w:sz="0" w:space="0" w:color="auto"/>
            <w:right w:val="none" w:sz="0" w:space="0" w:color="auto"/>
          </w:divBdr>
        </w:div>
        <w:div w:id="1349210492">
          <w:marLeft w:val="1440"/>
          <w:marRight w:val="0"/>
          <w:marTop w:val="0"/>
          <w:marBottom w:val="0"/>
          <w:divBdr>
            <w:top w:val="none" w:sz="0" w:space="0" w:color="auto"/>
            <w:left w:val="none" w:sz="0" w:space="0" w:color="auto"/>
            <w:bottom w:val="none" w:sz="0" w:space="0" w:color="auto"/>
            <w:right w:val="none" w:sz="0" w:space="0" w:color="auto"/>
          </w:divBdr>
        </w:div>
        <w:div w:id="1372726289">
          <w:marLeft w:val="1440"/>
          <w:marRight w:val="0"/>
          <w:marTop w:val="0"/>
          <w:marBottom w:val="0"/>
          <w:divBdr>
            <w:top w:val="none" w:sz="0" w:space="0" w:color="auto"/>
            <w:left w:val="none" w:sz="0" w:space="0" w:color="auto"/>
            <w:bottom w:val="none" w:sz="0" w:space="0" w:color="auto"/>
            <w:right w:val="none" w:sz="0" w:space="0" w:color="auto"/>
          </w:divBdr>
        </w:div>
        <w:div w:id="1497457302">
          <w:marLeft w:val="1440"/>
          <w:marRight w:val="0"/>
          <w:marTop w:val="0"/>
          <w:marBottom w:val="0"/>
          <w:divBdr>
            <w:top w:val="none" w:sz="0" w:space="0" w:color="auto"/>
            <w:left w:val="none" w:sz="0" w:space="0" w:color="auto"/>
            <w:bottom w:val="none" w:sz="0" w:space="0" w:color="auto"/>
            <w:right w:val="none" w:sz="0" w:space="0" w:color="auto"/>
          </w:divBdr>
        </w:div>
        <w:div w:id="1505978567">
          <w:marLeft w:val="1440"/>
          <w:marRight w:val="0"/>
          <w:marTop w:val="0"/>
          <w:marBottom w:val="0"/>
          <w:divBdr>
            <w:top w:val="none" w:sz="0" w:space="0" w:color="auto"/>
            <w:left w:val="none" w:sz="0" w:space="0" w:color="auto"/>
            <w:bottom w:val="none" w:sz="0" w:space="0" w:color="auto"/>
            <w:right w:val="none" w:sz="0" w:space="0" w:color="auto"/>
          </w:divBdr>
        </w:div>
        <w:div w:id="1539464285">
          <w:marLeft w:val="2160"/>
          <w:marRight w:val="0"/>
          <w:marTop w:val="0"/>
          <w:marBottom w:val="0"/>
          <w:divBdr>
            <w:top w:val="none" w:sz="0" w:space="0" w:color="auto"/>
            <w:left w:val="none" w:sz="0" w:space="0" w:color="auto"/>
            <w:bottom w:val="none" w:sz="0" w:space="0" w:color="auto"/>
            <w:right w:val="none" w:sz="0" w:space="0" w:color="auto"/>
          </w:divBdr>
        </w:div>
        <w:div w:id="1555845798">
          <w:marLeft w:val="720"/>
          <w:marRight w:val="0"/>
          <w:marTop w:val="0"/>
          <w:marBottom w:val="0"/>
          <w:divBdr>
            <w:top w:val="none" w:sz="0" w:space="0" w:color="auto"/>
            <w:left w:val="none" w:sz="0" w:space="0" w:color="auto"/>
            <w:bottom w:val="none" w:sz="0" w:space="0" w:color="auto"/>
            <w:right w:val="none" w:sz="0" w:space="0" w:color="auto"/>
          </w:divBdr>
        </w:div>
        <w:div w:id="1572621706">
          <w:marLeft w:val="720"/>
          <w:marRight w:val="0"/>
          <w:marTop w:val="0"/>
          <w:marBottom w:val="0"/>
          <w:divBdr>
            <w:top w:val="none" w:sz="0" w:space="0" w:color="auto"/>
            <w:left w:val="none" w:sz="0" w:space="0" w:color="auto"/>
            <w:bottom w:val="none" w:sz="0" w:space="0" w:color="auto"/>
            <w:right w:val="none" w:sz="0" w:space="0" w:color="auto"/>
          </w:divBdr>
        </w:div>
        <w:div w:id="1613322793">
          <w:marLeft w:val="1440"/>
          <w:marRight w:val="0"/>
          <w:marTop w:val="0"/>
          <w:marBottom w:val="0"/>
          <w:divBdr>
            <w:top w:val="none" w:sz="0" w:space="0" w:color="auto"/>
            <w:left w:val="none" w:sz="0" w:space="0" w:color="auto"/>
            <w:bottom w:val="none" w:sz="0" w:space="0" w:color="auto"/>
            <w:right w:val="none" w:sz="0" w:space="0" w:color="auto"/>
          </w:divBdr>
        </w:div>
        <w:div w:id="1657689181">
          <w:marLeft w:val="720"/>
          <w:marRight w:val="0"/>
          <w:marTop w:val="0"/>
          <w:marBottom w:val="0"/>
          <w:divBdr>
            <w:top w:val="none" w:sz="0" w:space="0" w:color="auto"/>
            <w:left w:val="none" w:sz="0" w:space="0" w:color="auto"/>
            <w:bottom w:val="none" w:sz="0" w:space="0" w:color="auto"/>
            <w:right w:val="none" w:sz="0" w:space="0" w:color="auto"/>
          </w:divBdr>
        </w:div>
        <w:div w:id="1661041481">
          <w:marLeft w:val="720"/>
          <w:marRight w:val="0"/>
          <w:marTop w:val="0"/>
          <w:marBottom w:val="0"/>
          <w:divBdr>
            <w:top w:val="none" w:sz="0" w:space="0" w:color="auto"/>
            <w:left w:val="none" w:sz="0" w:space="0" w:color="auto"/>
            <w:bottom w:val="none" w:sz="0" w:space="0" w:color="auto"/>
            <w:right w:val="none" w:sz="0" w:space="0" w:color="auto"/>
          </w:divBdr>
        </w:div>
        <w:div w:id="1709331636">
          <w:marLeft w:val="720"/>
          <w:marRight w:val="0"/>
          <w:marTop w:val="0"/>
          <w:marBottom w:val="0"/>
          <w:divBdr>
            <w:top w:val="none" w:sz="0" w:space="0" w:color="auto"/>
            <w:left w:val="none" w:sz="0" w:space="0" w:color="auto"/>
            <w:bottom w:val="none" w:sz="0" w:space="0" w:color="auto"/>
            <w:right w:val="none" w:sz="0" w:space="0" w:color="auto"/>
          </w:divBdr>
        </w:div>
        <w:div w:id="1722169178">
          <w:marLeft w:val="2160"/>
          <w:marRight w:val="0"/>
          <w:marTop w:val="0"/>
          <w:marBottom w:val="0"/>
          <w:divBdr>
            <w:top w:val="none" w:sz="0" w:space="0" w:color="auto"/>
            <w:left w:val="none" w:sz="0" w:space="0" w:color="auto"/>
            <w:bottom w:val="none" w:sz="0" w:space="0" w:color="auto"/>
            <w:right w:val="none" w:sz="0" w:space="0" w:color="auto"/>
          </w:divBdr>
        </w:div>
        <w:div w:id="1775511743">
          <w:marLeft w:val="1440"/>
          <w:marRight w:val="0"/>
          <w:marTop w:val="0"/>
          <w:marBottom w:val="0"/>
          <w:divBdr>
            <w:top w:val="none" w:sz="0" w:space="0" w:color="auto"/>
            <w:left w:val="none" w:sz="0" w:space="0" w:color="auto"/>
            <w:bottom w:val="none" w:sz="0" w:space="0" w:color="auto"/>
            <w:right w:val="none" w:sz="0" w:space="0" w:color="auto"/>
          </w:divBdr>
        </w:div>
        <w:div w:id="1786919595">
          <w:marLeft w:val="1440"/>
          <w:marRight w:val="0"/>
          <w:marTop w:val="0"/>
          <w:marBottom w:val="0"/>
          <w:divBdr>
            <w:top w:val="none" w:sz="0" w:space="0" w:color="auto"/>
            <w:left w:val="none" w:sz="0" w:space="0" w:color="auto"/>
            <w:bottom w:val="none" w:sz="0" w:space="0" w:color="auto"/>
            <w:right w:val="none" w:sz="0" w:space="0" w:color="auto"/>
          </w:divBdr>
        </w:div>
        <w:div w:id="1801921067">
          <w:marLeft w:val="1440"/>
          <w:marRight w:val="0"/>
          <w:marTop w:val="0"/>
          <w:marBottom w:val="0"/>
          <w:divBdr>
            <w:top w:val="none" w:sz="0" w:space="0" w:color="auto"/>
            <w:left w:val="none" w:sz="0" w:space="0" w:color="auto"/>
            <w:bottom w:val="none" w:sz="0" w:space="0" w:color="auto"/>
            <w:right w:val="none" w:sz="0" w:space="0" w:color="auto"/>
          </w:divBdr>
        </w:div>
        <w:div w:id="1826773239">
          <w:marLeft w:val="720"/>
          <w:marRight w:val="0"/>
          <w:marTop w:val="0"/>
          <w:marBottom w:val="0"/>
          <w:divBdr>
            <w:top w:val="none" w:sz="0" w:space="0" w:color="auto"/>
            <w:left w:val="none" w:sz="0" w:space="0" w:color="auto"/>
            <w:bottom w:val="none" w:sz="0" w:space="0" w:color="auto"/>
            <w:right w:val="none" w:sz="0" w:space="0" w:color="auto"/>
          </w:divBdr>
        </w:div>
        <w:div w:id="1995720412">
          <w:marLeft w:val="720"/>
          <w:marRight w:val="0"/>
          <w:marTop w:val="0"/>
          <w:marBottom w:val="0"/>
          <w:divBdr>
            <w:top w:val="none" w:sz="0" w:space="0" w:color="auto"/>
            <w:left w:val="none" w:sz="0" w:space="0" w:color="auto"/>
            <w:bottom w:val="none" w:sz="0" w:space="0" w:color="auto"/>
            <w:right w:val="none" w:sz="0" w:space="0" w:color="auto"/>
          </w:divBdr>
        </w:div>
        <w:div w:id="2006669492">
          <w:marLeft w:val="2160"/>
          <w:marRight w:val="0"/>
          <w:marTop w:val="0"/>
          <w:marBottom w:val="0"/>
          <w:divBdr>
            <w:top w:val="none" w:sz="0" w:space="0" w:color="auto"/>
            <w:left w:val="none" w:sz="0" w:space="0" w:color="auto"/>
            <w:bottom w:val="none" w:sz="0" w:space="0" w:color="auto"/>
            <w:right w:val="none" w:sz="0" w:space="0" w:color="auto"/>
          </w:divBdr>
        </w:div>
        <w:div w:id="2063482771">
          <w:marLeft w:val="1440"/>
          <w:marRight w:val="0"/>
          <w:marTop w:val="0"/>
          <w:marBottom w:val="0"/>
          <w:divBdr>
            <w:top w:val="none" w:sz="0" w:space="0" w:color="auto"/>
            <w:left w:val="none" w:sz="0" w:space="0" w:color="auto"/>
            <w:bottom w:val="none" w:sz="0" w:space="0" w:color="auto"/>
            <w:right w:val="none" w:sz="0" w:space="0" w:color="auto"/>
          </w:divBdr>
        </w:div>
        <w:div w:id="2091734236">
          <w:marLeft w:val="720"/>
          <w:marRight w:val="0"/>
          <w:marTop w:val="0"/>
          <w:marBottom w:val="0"/>
          <w:divBdr>
            <w:top w:val="none" w:sz="0" w:space="0" w:color="auto"/>
            <w:left w:val="none" w:sz="0" w:space="0" w:color="auto"/>
            <w:bottom w:val="none" w:sz="0" w:space="0" w:color="auto"/>
            <w:right w:val="none" w:sz="0" w:space="0" w:color="auto"/>
          </w:divBdr>
        </w:div>
        <w:div w:id="2102137207">
          <w:marLeft w:val="2160"/>
          <w:marRight w:val="0"/>
          <w:marTop w:val="0"/>
          <w:marBottom w:val="0"/>
          <w:divBdr>
            <w:top w:val="none" w:sz="0" w:space="0" w:color="auto"/>
            <w:left w:val="none" w:sz="0" w:space="0" w:color="auto"/>
            <w:bottom w:val="none" w:sz="0" w:space="0" w:color="auto"/>
            <w:right w:val="none" w:sz="0" w:space="0" w:color="auto"/>
          </w:divBdr>
        </w:div>
        <w:div w:id="2115637345">
          <w:marLeft w:val="2160"/>
          <w:marRight w:val="0"/>
          <w:marTop w:val="0"/>
          <w:marBottom w:val="0"/>
          <w:divBdr>
            <w:top w:val="none" w:sz="0" w:space="0" w:color="auto"/>
            <w:left w:val="none" w:sz="0" w:space="0" w:color="auto"/>
            <w:bottom w:val="none" w:sz="0" w:space="0" w:color="auto"/>
            <w:right w:val="none" w:sz="0" w:space="0" w:color="auto"/>
          </w:divBdr>
        </w:div>
      </w:divsChild>
    </w:div>
    <w:div w:id="1766076349">
      <w:bodyDiv w:val="1"/>
      <w:marLeft w:val="0"/>
      <w:marRight w:val="0"/>
      <w:marTop w:val="0"/>
      <w:marBottom w:val="0"/>
      <w:divBdr>
        <w:top w:val="none" w:sz="0" w:space="0" w:color="auto"/>
        <w:left w:val="none" w:sz="0" w:space="0" w:color="auto"/>
        <w:bottom w:val="none" w:sz="0" w:space="0" w:color="auto"/>
        <w:right w:val="none" w:sz="0" w:space="0" w:color="auto"/>
      </w:divBdr>
      <w:divsChild>
        <w:div w:id="725836106">
          <w:marLeft w:val="0"/>
          <w:marRight w:val="0"/>
          <w:marTop w:val="0"/>
          <w:marBottom w:val="0"/>
          <w:divBdr>
            <w:top w:val="none" w:sz="0" w:space="0" w:color="auto"/>
            <w:left w:val="none" w:sz="0" w:space="0" w:color="auto"/>
            <w:bottom w:val="none" w:sz="0" w:space="0" w:color="auto"/>
            <w:right w:val="none" w:sz="0" w:space="0" w:color="auto"/>
          </w:divBdr>
          <w:divsChild>
            <w:div w:id="179319559">
              <w:marLeft w:val="0"/>
              <w:marRight w:val="0"/>
              <w:marTop w:val="0"/>
              <w:marBottom w:val="0"/>
              <w:divBdr>
                <w:top w:val="none" w:sz="0" w:space="0" w:color="auto"/>
                <w:left w:val="none" w:sz="0" w:space="0" w:color="auto"/>
                <w:bottom w:val="none" w:sz="0" w:space="0" w:color="auto"/>
                <w:right w:val="none" w:sz="0" w:space="0" w:color="auto"/>
              </w:divBdr>
              <w:divsChild>
                <w:div w:id="1665663063">
                  <w:marLeft w:val="0"/>
                  <w:marRight w:val="0"/>
                  <w:marTop w:val="0"/>
                  <w:marBottom w:val="0"/>
                  <w:divBdr>
                    <w:top w:val="none" w:sz="0" w:space="0" w:color="auto"/>
                    <w:left w:val="none" w:sz="0" w:space="0" w:color="auto"/>
                    <w:bottom w:val="none" w:sz="0" w:space="0" w:color="auto"/>
                    <w:right w:val="none" w:sz="0" w:space="0" w:color="auto"/>
                  </w:divBdr>
                  <w:divsChild>
                    <w:div w:id="1644459372">
                      <w:marLeft w:val="0"/>
                      <w:marRight w:val="0"/>
                      <w:marTop w:val="0"/>
                      <w:marBottom w:val="0"/>
                      <w:divBdr>
                        <w:top w:val="none" w:sz="0" w:space="0" w:color="auto"/>
                        <w:left w:val="none" w:sz="0" w:space="0" w:color="auto"/>
                        <w:bottom w:val="none" w:sz="0" w:space="0" w:color="auto"/>
                        <w:right w:val="none" w:sz="0" w:space="0" w:color="auto"/>
                      </w:divBdr>
                      <w:divsChild>
                        <w:div w:id="1242526043">
                          <w:marLeft w:val="0"/>
                          <w:marRight w:val="0"/>
                          <w:marTop w:val="0"/>
                          <w:marBottom w:val="0"/>
                          <w:divBdr>
                            <w:top w:val="none" w:sz="0" w:space="0" w:color="auto"/>
                            <w:left w:val="none" w:sz="0" w:space="0" w:color="auto"/>
                            <w:bottom w:val="none" w:sz="0" w:space="0" w:color="auto"/>
                            <w:right w:val="none" w:sz="0" w:space="0" w:color="auto"/>
                          </w:divBdr>
                          <w:divsChild>
                            <w:div w:id="725955339">
                              <w:marLeft w:val="0"/>
                              <w:marRight w:val="0"/>
                              <w:marTop w:val="0"/>
                              <w:marBottom w:val="0"/>
                              <w:divBdr>
                                <w:top w:val="none" w:sz="0" w:space="0" w:color="auto"/>
                                <w:left w:val="none" w:sz="0" w:space="0" w:color="auto"/>
                                <w:bottom w:val="none" w:sz="0" w:space="0" w:color="auto"/>
                                <w:right w:val="none" w:sz="0" w:space="0" w:color="auto"/>
                              </w:divBdr>
                              <w:divsChild>
                                <w:div w:id="757214159">
                                  <w:marLeft w:val="0"/>
                                  <w:marRight w:val="0"/>
                                  <w:marTop w:val="0"/>
                                  <w:marBottom w:val="0"/>
                                  <w:divBdr>
                                    <w:top w:val="none" w:sz="0" w:space="0" w:color="auto"/>
                                    <w:left w:val="none" w:sz="0" w:space="0" w:color="auto"/>
                                    <w:bottom w:val="none" w:sz="0" w:space="0" w:color="auto"/>
                                    <w:right w:val="none" w:sz="0" w:space="0" w:color="auto"/>
                                  </w:divBdr>
                                  <w:divsChild>
                                    <w:div w:id="1912883023">
                                      <w:marLeft w:val="0"/>
                                      <w:marRight w:val="0"/>
                                      <w:marTop w:val="0"/>
                                      <w:marBottom w:val="0"/>
                                      <w:divBdr>
                                        <w:top w:val="none" w:sz="0" w:space="0" w:color="auto"/>
                                        <w:left w:val="none" w:sz="0" w:space="0" w:color="auto"/>
                                        <w:bottom w:val="none" w:sz="0" w:space="0" w:color="auto"/>
                                        <w:right w:val="none" w:sz="0" w:space="0" w:color="auto"/>
                                      </w:divBdr>
                                      <w:divsChild>
                                        <w:div w:id="181018632">
                                          <w:marLeft w:val="0"/>
                                          <w:marRight w:val="0"/>
                                          <w:marTop w:val="0"/>
                                          <w:marBottom w:val="0"/>
                                          <w:divBdr>
                                            <w:top w:val="none" w:sz="0" w:space="0" w:color="auto"/>
                                            <w:left w:val="none" w:sz="0" w:space="0" w:color="auto"/>
                                            <w:bottom w:val="none" w:sz="0" w:space="0" w:color="auto"/>
                                            <w:right w:val="none" w:sz="0" w:space="0" w:color="auto"/>
                                          </w:divBdr>
                                          <w:divsChild>
                                            <w:div w:id="1789079642">
                                              <w:marLeft w:val="0"/>
                                              <w:marRight w:val="0"/>
                                              <w:marTop w:val="0"/>
                                              <w:marBottom w:val="0"/>
                                              <w:divBdr>
                                                <w:top w:val="none" w:sz="0" w:space="0" w:color="auto"/>
                                                <w:left w:val="none" w:sz="0" w:space="0" w:color="auto"/>
                                                <w:bottom w:val="none" w:sz="0" w:space="0" w:color="auto"/>
                                                <w:right w:val="none" w:sz="0" w:space="0" w:color="auto"/>
                                              </w:divBdr>
                                              <w:divsChild>
                                                <w:div w:id="200631576">
                                                  <w:marLeft w:val="0"/>
                                                  <w:marRight w:val="0"/>
                                                  <w:marTop w:val="0"/>
                                                  <w:marBottom w:val="0"/>
                                                  <w:divBdr>
                                                    <w:top w:val="none" w:sz="0" w:space="0" w:color="auto"/>
                                                    <w:left w:val="none" w:sz="0" w:space="0" w:color="auto"/>
                                                    <w:bottom w:val="none" w:sz="0" w:space="0" w:color="auto"/>
                                                    <w:right w:val="none" w:sz="0" w:space="0" w:color="auto"/>
                                                  </w:divBdr>
                                                  <w:divsChild>
                                                    <w:div w:id="280841815">
                                                      <w:marLeft w:val="0"/>
                                                      <w:marRight w:val="0"/>
                                                      <w:marTop w:val="0"/>
                                                      <w:marBottom w:val="0"/>
                                                      <w:divBdr>
                                                        <w:top w:val="none" w:sz="0" w:space="0" w:color="auto"/>
                                                        <w:left w:val="none" w:sz="0" w:space="0" w:color="auto"/>
                                                        <w:bottom w:val="none" w:sz="0" w:space="0" w:color="auto"/>
                                                        <w:right w:val="none" w:sz="0" w:space="0" w:color="auto"/>
                                                      </w:divBdr>
                                                      <w:divsChild>
                                                        <w:div w:id="1207990571">
                                                          <w:marLeft w:val="0"/>
                                                          <w:marRight w:val="0"/>
                                                          <w:marTop w:val="0"/>
                                                          <w:marBottom w:val="0"/>
                                                          <w:divBdr>
                                                            <w:top w:val="none" w:sz="0" w:space="0" w:color="auto"/>
                                                            <w:left w:val="none" w:sz="0" w:space="0" w:color="auto"/>
                                                            <w:bottom w:val="none" w:sz="0" w:space="0" w:color="auto"/>
                                                            <w:right w:val="none" w:sz="0" w:space="0" w:color="auto"/>
                                                          </w:divBdr>
                                                          <w:divsChild>
                                                            <w:div w:id="17702282">
                                                              <w:marLeft w:val="0"/>
                                                              <w:marRight w:val="0"/>
                                                              <w:marTop w:val="0"/>
                                                              <w:marBottom w:val="0"/>
                                                              <w:divBdr>
                                                                <w:top w:val="none" w:sz="0" w:space="0" w:color="auto"/>
                                                                <w:left w:val="none" w:sz="0" w:space="0" w:color="auto"/>
                                                                <w:bottom w:val="none" w:sz="0" w:space="0" w:color="auto"/>
                                                                <w:right w:val="none" w:sz="0" w:space="0" w:color="auto"/>
                                                              </w:divBdr>
                                                              <w:divsChild>
                                                                <w:div w:id="1857841359">
                                                                  <w:marLeft w:val="0"/>
                                                                  <w:marRight w:val="0"/>
                                                                  <w:marTop w:val="0"/>
                                                                  <w:marBottom w:val="0"/>
                                                                  <w:divBdr>
                                                                    <w:top w:val="none" w:sz="0" w:space="0" w:color="auto"/>
                                                                    <w:left w:val="none" w:sz="0" w:space="0" w:color="auto"/>
                                                                    <w:bottom w:val="none" w:sz="0" w:space="0" w:color="auto"/>
                                                                    <w:right w:val="none" w:sz="0" w:space="0" w:color="auto"/>
                                                                  </w:divBdr>
                                                                  <w:divsChild>
                                                                    <w:div w:id="128397375">
                                                                      <w:marLeft w:val="0"/>
                                                                      <w:marRight w:val="0"/>
                                                                      <w:marTop w:val="0"/>
                                                                      <w:marBottom w:val="0"/>
                                                                      <w:divBdr>
                                                                        <w:top w:val="none" w:sz="0" w:space="0" w:color="auto"/>
                                                                        <w:left w:val="none" w:sz="0" w:space="0" w:color="auto"/>
                                                                        <w:bottom w:val="none" w:sz="0" w:space="0" w:color="auto"/>
                                                                        <w:right w:val="none" w:sz="0" w:space="0" w:color="auto"/>
                                                                      </w:divBdr>
                                                                      <w:divsChild>
                                                                        <w:div w:id="292754934">
                                                                          <w:marLeft w:val="0"/>
                                                                          <w:marRight w:val="0"/>
                                                                          <w:marTop w:val="0"/>
                                                                          <w:marBottom w:val="0"/>
                                                                          <w:divBdr>
                                                                            <w:top w:val="none" w:sz="0" w:space="0" w:color="auto"/>
                                                                            <w:left w:val="none" w:sz="0" w:space="0" w:color="auto"/>
                                                                            <w:bottom w:val="none" w:sz="0" w:space="0" w:color="auto"/>
                                                                            <w:right w:val="none" w:sz="0" w:space="0" w:color="auto"/>
                                                                          </w:divBdr>
                                                                          <w:divsChild>
                                                                            <w:div w:id="389504204">
                                                                              <w:marLeft w:val="0"/>
                                                                              <w:marRight w:val="0"/>
                                                                              <w:marTop w:val="0"/>
                                                                              <w:marBottom w:val="0"/>
                                                                              <w:divBdr>
                                                                                <w:top w:val="none" w:sz="0" w:space="0" w:color="auto"/>
                                                                                <w:left w:val="none" w:sz="0" w:space="0" w:color="auto"/>
                                                                                <w:bottom w:val="none" w:sz="0" w:space="0" w:color="auto"/>
                                                                                <w:right w:val="none" w:sz="0" w:space="0" w:color="auto"/>
                                                                              </w:divBdr>
                                                                              <w:divsChild>
                                                                                <w:div w:id="1061713068">
                                                                                  <w:marLeft w:val="0"/>
                                                                                  <w:marRight w:val="0"/>
                                                                                  <w:marTop w:val="0"/>
                                                                                  <w:marBottom w:val="0"/>
                                                                                  <w:divBdr>
                                                                                    <w:top w:val="none" w:sz="0" w:space="0" w:color="auto"/>
                                                                                    <w:left w:val="none" w:sz="0" w:space="0" w:color="auto"/>
                                                                                    <w:bottom w:val="none" w:sz="0" w:space="0" w:color="auto"/>
                                                                                    <w:right w:val="none" w:sz="0" w:space="0" w:color="auto"/>
                                                                                  </w:divBdr>
                                                                                  <w:divsChild>
                                                                                    <w:div w:id="1194463795">
                                                                                      <w:marLeft w:val="0"/>
                                                                                      <w:marRight w:val="0"/>
                                                                                      <w:marTop w:val="0"/>
                                                                                      <w:marBottom w:val="0"/>
                                                                                      <w:divBdr>
                                                                                        <w:top w:val="none" w:sz="0" w:space="0" w:color="auto"/>
                                                                                        <w:left w:val="none" w:sz="0" w:space="0" w:color="auto"/>
                                                                                        <w:bottom w:val="none" w:sz="0" w:space="0" w:color="auto"/>
                                                                                        <w:right w:val="none" w:sz="0" w:space="0" w:color="auto"/>
                                                                                      </w:divBdr>
                                                                                      <w:divsChild>
                                                                                        <w:div w:id="1405840573">
                                                                                          <w:marLeft w:val="0"/>
                                                                                          <w:marRight w:val="0"/>
                                                                                          <w:marTop w:val="0"/>
                                                                                          <w:marBottom w:val="0"/>
                                                                                          <w:divBdr>
                                                                                            <w:top w:val="none" w:sz="0" w:space="0" w:color="auto"/>
                                                                                            <w:left w:val="none" w:sz="0" w:space="0" w:color="auto"/>
                                                                                            <w:bottom w:val="none" w:sz="0" w:space="0" w:color="auto"/>
                                                                                            <w:right w:val="none" w:sz="0" w:space="0" w:color="auto"/>
                                                                                          </w:divBdr>
                                                                                          <w:divsChild>
                                                                                            <w:div w:id="1224606676">
                                                                                              <w:marLeft w:val="0"/>
                                                                                              <w:marRight w:val="0"/>
                                                                                              <w:marTop w:val="0"/>
                                                                                              <w:marBottom w:val="0"/>
                                                                                              <w:divBdr>
                                                                                                <w:top w:val="none" w:sz="0" w:space="0" w:color="auto"/>
                                                                                                <w:left w:val="none" w:sz="0" w:space="0" w:color="auto"/>
                                                                                                <w:bottom w:val="none" w:sz="0" w:space="0" w:color="auto"/>
                                                                                                <w:right w:val="none" w:sz="0" w:space="0" w:color="auto"/>
                                                                                              </w:divBdr>
                                                                                              <w:divsChild>
                                                                                                <w:div w:id="140003285">
                                                                                                  <w:marLeft w:val="0"/>
                                                                                                  <w:marRight w:val="0"/>
                                                                                                  <w:marTop w:val="0"/>
                                                                                                  <w:marBottom w:val="0"/>
                                                                                                  <w:divBdr>
                                                                                                    <w:top w:val="none" w:sz="0" w:space="0" w:color="auto"/>
                                                                                                    <w:left w:val="none" w:sz="0" w:space="0" w:color="auto"/>
                                                                                                    <w:bottom w:val="none" w:sz="0" w:space="0" w:color="auto"/>
                                                                                                    <w:right w:val="none" w:sz="0" w:space="0" w:color="auto"/>
                                                                                                  </w:divBdr>
                                                                                                  <w:divsChild>
                                                                                                    <w:div w:id="109589758">
                                                                                                      <w:marLeft w:val="0"/>
                                                                                                      <w:marRight w:val="0"/>
                                                                                                      <w:marTop w:val="0"/>
                                                                                                      <w:marBottom w:val="0"/>
                                                                                                      <w:divBdr>
                                                                                                        <w:top w:val="none" w:sz="0" w:space="0" w:color="auto"/>
                                                                                                        <w:left w:val="none" w:sz="0" w:space="0" w:color="auto"/>
                                                                                                        <w:bottom w:val="none" w:sz="0" w:space="0" w:color="auto"/>
                                                                                                        <w:right w:val="none" w:sz="0" w:space="0" w:color="auto"/>
                                                                                                      </w:divBdr>
                                                                                                      <w:divsChild>
                                                                                                        <w:div w:id="1797212288">
                                                                                                          <w:marLeft w:val="0"/>
                                                                                                          <w:marRight w:val="0"/>
                                                                                                          <w:marTop w:val="0"/>
                                                                                                          <w:marBottom w:val="0"/>
                                                                                                          <w:divBdr>
                                                                                                            <w:top w:val="none" w:sz="0" w:space="0" w:color="auto"/>
                                                                                                            <w:left w:val="none" w:sz="0" w:space="0" w:color="auto"/>
                                                                                                            <w:bottom w:val="none" w:sz="0" w:space="0" w:color="auto"/>
                                                                                                            <w:right w:val="none" w:sz="0" w:space="0" w:color="auto"/>
                                                                                                          </w:divBdr>
                                                                                                          <w:divsChild>
                                                                                                            <w:div w:id="1317299553">
                                                                                                              <w:marLeft w:val="0"/>
                                                                                                              <w:marRight w:val="0"/>
                                                                                                              <w:marTop w:val="0"/>
                                                                                                              <w:marBottom w:val="0"/>
                                                                                                              <w:divBdr>
                                                                                                                <w:top w:val="none" w:sz="0" w:space="0" w:color="auto"/>
                                                                                                                <w:left w:val="none" w:sz="0" w:space="0" w:color="auto"/>
                                                                                                                <w:bottom w:val="none" w:sz="0" w:space="0" w:color="auto"/>
                                                                                                                <w:right w:val="none" w:sz="0" w:space="0" w:color="auto"/>
                                                                                                              </w:divBdr>
                                                                                                              <w:divsChild>
                                                                                                                <w:div w:id="464541938">
                                                                                                                  <w:marLeft w:val="0"/>
                                                                                                                  <w:marRight w:val="0"/>
                                                                                                                  <w:marTop w:val="0"/>
                                                                                                                  <w:marBottom w:val="0"/>
                                                                                                                  <w:divBdr>
                                                                                                                    <w:top w:val="none" w:sz="0" w:space="0" w:color="auto"/>
                                                                                                                    <w:left w:val="none" w:sz="0" w:space="0" w:color="auto"/>
                                                                                                                    <w:bottom w:val="none" w:sz="0" w:space="0" w:color="auto"/>
                                                                                                                    <w:right w:val="none" w:sz="0" w:space="0" w:color="auto"/>
                                                                                                                  </w:divBdr>
                                                                                                                  <w:divsChild>
                                                                                                                    <w:div w:id="764111827">
                                                                                                                      <w:marLeft w:val="0"/>
                                                                                                                      <w:marRight w:val="0"/>
                                                                                                                      <w:marTop w:val="0"/>
                                                                                                                      <w:marBottom w:val="0"/>
                                                                                                                      <w:divBdr>
                                                                                                                        <w:top w:val="none" w:sz="0" w:space="0" w:color="auto"/>
                                                                                                                        <w:left w:val="none" w:sz="0" w:space="0" w:color="auto"/>
                                                                                                                        <w:bottom w:val="none" w:sz="0" w:space="0" w:color="auto"/>
                                                                                                                        <w:right w:val="none" w:sz="0" w:space="0" w:color="auto"/>
                                                                                                                      </w:divBdr>
                                                                                                                      <w:divsChild>
                                                                                                                        <w:div w:id="916283550">
                                                                                                                          <w:marLeft w:val="0"/>
                                                                                                                          <w:marRight w:val="0"/>
                                                                                                                          <w:marTop w:val="0"/>
                                                                                                                          <w:marBottom w:val="0"/>
                                                                                                                          <w:divBdr>
                                                                                                                            <w:top w:val="none" w:sz="0" w:space="0" w:color="auto"/>
                                                                                                                            <w:left w:val="none" w:sz="0" w:space="0" w:color="auto"/>
                                                                                                                            <w:bottom w:val="none" w:sz="0" w:space="0" w:color="auto"/>
                                                                                                                            <w:right w:val="none" w:sz="0" w:space="0" w:color="auto"/>
                                                                                                                          </w:divBdr>
                                                                                                                          <w:divsChild>
                                                                                                                            <w:div w:id="545988872">
                                                                                                                              <w:marLeft w:val="0"/>
                                                                                                                              <w:marRight w:val="0"/>
                                                                                                                              <w:marTop w:val="0"/>
                                                                                                                              <w:marBottom w:val="0"/>
                                                                                                                              <w:divBdr>
                                                                                                                                <w:top w:val="none" w:sz="0" w:space="0" w:color="auto"/>
                                                                                                                                <w:left w:val="none" w:sz="0" w:space="0" w:color="auto"/>
                                                                                                                                <w:bottom w:val="none" w:sz="0" w:space="0" w:color="auto"/>
                                                                                                                                <w:right w:val="none" w:sz="0" w:space="0" w:color="auto"/>
                                                                                                                              </w:divBdr>
                                                                                                                              <w:divsChild>
                                                                                                                                <w:div w:id="659579705">
                                                                                                                                  <w:marLeft w:val="0"/>
                                                                                                                                  <w:marRight w:val="0"/>
                                                                                                                                  <w:marTop w:val="0"/>
                                                                                                                                  <w:marBottom w:val="0"/>
                                                                                                                                  <w:divBdr>
                                                                                                                                    <w:top w:val="none" w:sz="0" w:space="0" w:color="auto"/>
                                                                                                                                    <w:left w:val="none" w:sz="0" w:space="0" w:color="auto"/>
                                                                                                                                    <w:bottom w:val="none" w:sz="0" w:space="0" w:color="auto"/>
                                                                                                                                    <w:right w:val="none" w:sz="0" w:space="0" w:color="auto"/>
                                                                                                                                  </w:divBdr>
                                                                                                                                </w:div>
                                                                                                                                <w:div w:id="805855740">
                                                                                                                                  <w:marLeft w:val="0"/>
                                                                                                                                  <w:marRight w:val="0"/>
                                                                                                                                  <w:marTop w:val="0"/>
                                                                                                                                  <w:marBottom w:val="0"/>
                                                                                                                                  <w:divBdr>
                                                                                                                                    <w:top w:val="none" w:sz="0" w:space="0" w:color="auto"/>
                                                                                                                                    <w:left w:val="none" w:sz="0" w:space="0" w:color="auto"/>
                                                                                                                                    <w:bottom w:val="none" w:sz="0" w:space="0" w:color="auto"/>
                                                                                                                                    <w:right w:val="none" w:sz="0" w:space="0" w:color="auto"/>
                                                                                                                                  </w:divBdr>
                                                                                                                                </w:div>
                                                                                                                                <w:div w:id="418674419">
                                                                                                                                  <w:marLeft w:val="0"/>
                                                                                                                                  <w:marRight w:val="0"/>
                                                                                                                                  <w:marTop w:val="0"/>
                                                                                                                                  <w:marBottom w:val="0"/>
                                                                                                                                  <w:divBdr>
                                                                                                                                    <w:top w:val="none" w:sz="0" w:space="0" w:color="auto"/>
                                                                                                                                    <w:left w:val="none" w:sz="0" w:space="0" w:color="auto"/>
                                                                                                                                    <w:bottom w:val="none" w:sz="0" w:space="0" w:color="auto"/>
                                                                                                                                    <w:right w:val="none" w:sz="0" w:space="0" w:color="auto"/>
                                                                                                                                  </w:divBdr>
                                                                                                                                </w:div>
                                                                                                                                <w:div w:id="1663385007">
                                                                                                                                  <w:marLeft w:val="0"/>
                                                                                                                                  <w:marRight w:val="0"/>
                                                                                                                                  <w:marTop w:val="0"/>
                                                                                                                                  <w:marBottom w:val="0"/>
                                                                                                                                  <w:divBdr>
                                                                                                                                    <w:top w:val="none" w:sz="0" w:space="0" w:color="auto"/>
                                                                                                                                    <w:left w:val="none" w:sz="0" w:space="0" w:color="auto"/>
                                                                                                                                    <w:bottom w:val="none" w:sz="0" w:space="0" w:color="auto"/>
                                                                                                                                    <w:right w:val="none" w:sz="0" w:space="0" w:color="auto"/>
                                                                                                                                  </w:divBdr>
                                                                                                                                </w:div>
                                                                                                                                <w:div w:id="1970277674">
                                                                                                                                  <w:marLeft w:val="0"/>
                                                                                                                                  <w:marRight w:val="0"/>
                                                                                                                                  <w:marTop w:val="0"/>
                                                                                                                                  <w:marBottom w:val="0"/>
                                                                                                                                  <w:divBdr>
                                                                                                                                    <w:top w:val="none" w:sz="0" w:space="0" w:color="auto"/>
                                                                                                                                    <w:left w:val="none" w:sz="0" w:space="0" w:color="auto"/>
                                                                                                                                    <w:bottom w:val="none" w:sz="0" w:space="0" w:color="auto"/>
                                                                                                                                    <w:right w:val="none" w:sz="0" w:space="0" w:color="auto"/>
                                                                                                                                  </w:divBdr>
                                                                                                                                </w:div>
                                                                                                                                <w:div w:id="2096899911">
                                                                                                                                  <w:marLeft w:val="0"/>
                                                                                                                                  <w:marRight w:val="0"/>
                                                                                                                                  <w:marTop w:val="0"/>
                                                                                                                                  <w:marBottom w:val="0"/>
                                                                                                                                  <w:divBdr>
                                                                                                                                    <w:top w:val="none" w:sz="0" w:space="0" w:color="auto"/>
                                                                                                                                    <w:left w:val="none" w:sz="0" w:space="0" w:color="auto"/>
                                                                                                                                    <w:bottom w:val="none" w:sz="0" w:space="0" w:color="auto"/>
                                                                                                                                    <w:right w:val="none" w:sz="0" w:space="0" w:color="auto"/>
                                                                                                                                  </w:divBdr>
                                                                                                                                </w:div>
                                                                                                                                <w:div w:id="1424179955">
                                                                                                                                  <w:marLeft w:val="0"/>
                                                                                                                                  <w:marRight w:val="0"/>
                                                                                                                                  <w:marTop w:val="0"/>
                                                                                                                                  <w:marBottom w:val="0"/>
                                                                                                                                  <w:divBdr>
                                                                                                                                    <w:top w:val="none" w:sz="0" w:space="0" w:color="auto"/>
                                                                                                                                    <w:left w:val="none" w:sz="0" w:space="0" w:color="auto"/>
                                                                                                                                    <w:bottom w:val="none" w:sz="0" w:space="0" w:color="auto"/>
                                                                                                                                    <w:right w:val="none" w:sz="0" w:space="0" w:color="auto"/>
                                                                                                                                  </w:divBdr>
                                                                                                                                </w:div>
                                                                                                                                <w:div w:id="93944591">
                                                                                                                                  <w:marLeft w:val="0"/>
                                                                                                                                  <w:marRight w:val="0"/>
                                                                                                                                  <w:marTop w:val="0"/>
                                                                                                                                  <w:marBottom w:val="0"/>
                                                                                                                                  <w:divBdr>
                                                                                                                                    <w:top w:val="none" w:sz="0" w:space="0" w:color="auto"/>
                                                                                                                                    <w:left w:val="none" w:sz="0" w:space="0" w:color="auto"/>
                                                                                                                                    <w:bottom w:val="none" w:sz="0" w:space="0" w:color="auto"/>
                                                                                                                                    <w:right w:val="none" w:sz="0" w:space="0" w:color="auto"/>
                                                                                                                                  </w:divBdr>
                                                                                                                                </w:div>
                                                                                                                                <w:div w:id="568999440">
                                                                                                                                  <w:marLeft w:val="0"/>
                                                                                                                                  <w:marRight w:val="0"/>
                                                                                                                                  <w:marTop w:val="0"/>
                                                                                                                                  <w:marBottom w:val="0"/>
                                                                                                                                  <w:divBdr>
                                                                                                                                    <w:top w:val="none" w:sz="0" w:space="0" w:color="auto"/>
                                                                                                                                    <w:left w:val="none" w:sz="0" w:space="0" w:color="auto"/>
                                                                                                                                    <w:bottom w:val="none" w:sz="0" w:space="0" w:color="auto"/>
                                                                                                                                    <w:right w:val="none" w:sz="0" w:space="0" w:color="auto"/>
                                                                                                                                  </w:divBdr>
                                                                                                                                </w:div>
                                                                                                                                <w:div w:id="20678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50563634">
      <w:bodyDiv w:val="1"/>
      <w:marLeft w:val="0"/>
      <w:marRight w:val="0"/>
      <w:marTop w:val="0"/>
      <w:marBottom w:val="0"/>
      <w:divBdr>
        <w:top w:val="none" w:sz="0" w:space="0" w:color="auto"/>
        <w:left w:val="none" w:sz="0" w:space="0" w:color="auto"/>
        <w:bottom w:val="none" w:sz="0" w:space="0" w:color="auto"/>
        <w:right w:val="none" w:sz="0" w:space="0" w:color="auto"/>
      </w:divBdr>
    </w:div>
    <w:div w:id="185213827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56937426">
      <w:bodyDiv w:val="1"/>
      <w:marLeft w:val="0"/>
      <w:marRight w:val="0"/>
      <w:marTop w:val="0"/>
      <w:marBottom w:val="0"/>
      <w:divBdr>
        <w:top w:val="none" w:sz="0" w:space="0" w:color="auto"/>
        <w:left w:val="none" w:sz="0" w:space="0" w:color="auto"/>
        <w:bottom w:val="none" w:sz="0" w:space="0" w:color="auto"/>
        <w:right w:val="none" w:sz="0" w:space="0" w:color="auto"/>
      </w:divBdr>
    </w:div>
    <w:div w:id="1980114243">
      <w:bodyDiv w:val="1"/>
      <w:marLeft w:val="0"/>
      <w:marRight w:val="0"/>
      <w:marTop w:val="0"/>
      <w:marBottom w:val="0"/>
      <w:divBdr>
        <w:top w:val="none" w:sz="0" w:space="0" w:color="auto"/>
        <w:left w:val="none" w:sz="0" w:space="0" w:color="auto"/>
        <w:bottom w:val="none" w:sz="0" w:space="0" w:color="auto"/>
        <w:right w:val="none" w:sz="0" w:space="0" w:color="auto"/>
      </w:divBdr>
    </w:div>
    <w:div w:id="1995257375">
      <w:bodyDiv w:val="1"/>
      <w:marLeft w:val="0"/>
      <w:marRight w:val="0"/>
      <w:marTop w:val="0"/>
      <w:marBottom w:val="0"/>
      <w:divBdr>
        <w:top w:val="none" w:sz="0" w:space="0" w:color="auto"/>
        <w:left w:val="none" w:sz="0" w:space="0" w:color="auto"/>
        <w:bottom w:val="none" w:sz="0" w:space="0" w:color="auto"/>
        <w:right w:val="none" w:sz="0" w:space="0" w:color="auto"/>
      </w:divBdr>
    </w:div>
    <w:div w:id="2032413793">
      <w:bodyDiv w:val="1"/>
      <w:marLeft w:val="0"/>
      <w:marRight w:val="0"/>
      <w:marTop w:val="0"/>
      <w:marBottom w:val="0"/>
      <w:divBdr>
        <w:top w:val="none" w:sz="0" w:space="0" w:color="auto"/>
        <w:left w:val="none" w:sz="0" w:space="0" w:color="auto"/>
        <w:bottom w:val="none" w:sz="0" w:space="0" w:color="auto"/>
        <w:right w:val="none" w:sz="0" w:space="0" w:color="auto"/>
      </w:divBdr>
      <w:divsChild>
        <w:div w:id="237525317">
          <w:marLeft w:val="0"/>
          <w:marRight w:val="0"/>
          <w:marTop w:val="211"/>
          <w:marBottom w:val="0"/>
          <w:divBdr>
            <w:top w:val="none" w:sz="0" w:space="0" w:color="auto"/>
            <w:left w:val="none" w:sz="0" w:space="0" w:color="auto"/>
            <w:bottom w:val="none" w:sz="0" w:space="0" w:color="auto"/>
            <w:right w:val="none" w:sz="0" w:space="0" w:color="auto"/>
          </w:divBdr>
        </w:div>
        <w:div w:id="387606535">
          <w:marLeft w:val="0"/>
          <w:marRight w:val="0"/>
          <w:marTop w:val="211"/>
          <w:marBottom w:val="0"/>
          <w:divBdr>
            <w:top w:val="none" w:sz="0" w:space="0" w:color="auto"/>
            <w:left w:val="none" w:sz="0" w:space="0" w:color="auto"/>
            <w:bottom w:val="none" w:sz="0" w:space="0" w:color="auto"/>
            <w:right w:val="none" w:sz="0" w:space="0" w:color="auto"/>
          </w:divBdr>
        </w:div>
        <w:div w:id="1311595510">
          <w:marLeft w:val="0"/>
          <w:marRight w:val="0"/>
          <w:marTop w:val="211"/>
          <w:marBottom w:val="0"/>
          <w:divBdr>
            <w:top w:val="none" w:sz="0" w:space="0" w:color="auto"/>
            <w:left w:val="none" w:sz="0" w:space="0" w:color="auto"/>
            <w:bottom w:val="none" w:sz="0" w:space="0" w:color="auto"/>
            <w:right w:val="none" w:sz="0" w:space="0" w:color="auto"/>
          </w:divBdr>
        </w:div>
        <w:div w:id="1639530933">
          <w:marLeft w:val="0"/>
          <w:marRight w:val="0"/>
          <w:marTop w:val="211"/>
          <w:marBottom w:val="0"/>
          <w:divBdr>
            <w:top w:val="none" w:sz="0" w:space="0" w:color="auto"/>
            <w:left w:val="none" w:sz="0" w:space="0" w:color="auto"/>
            <w:bottom w:val="none" w:sz="0" w:space="0" w:color="auto"/>
            <w:right w:val="none" w:sz="0" w:space="0" w:color="auto"/>
          </w:divBdr>
        </w:div>
        <w:div w:id="1648586859">
          <w:marLeft w:val="0"/>
          <w:marRight w:val="0"/>
          <w:marTop w:val="211"/>
          <w:marBottom w:val="0"/>
          <w:divBdr>
            <w:top w:val="none" w:sz="0" w:space="0" w:color="auto"/>
            <w:left w:val="none" w:sz="0" w:space="0" w:color="auto"/>
            <w:bottom w:val="none" w:sz="0" w:space="0" w:color="auto"/>
            <w:right w:val="none" w:sz="0" w:space="0" w:color="auto"/>
          </w:divBdr>
        </w:div>
      </w:divsChild>
    </w:div>
    <w:div w:id="2084641012">
      <w:bodyDiv w:val="1"/>
      <w:marLeft w:val="0"/>
      <w:marRight w:val="0"/>
      <w:marTop w:val="0"/>
      <w:marBottom w:val="0"/>
      <w:divBdr>
        <w:top w:val="none" w:sz="0" w:space="0" w:color="auto"/>
        <w:left w:val="none" w:sz="0" w:space="0" w:color="auto"/>
        <w:bottom w:val="none" w:sz="0" w:space="0" w:color="auto"/>
        <w:right w:val="none" w:sz="0" w:space="0" w:color="auto"/>
      </w:divBdr>
      <w:divsChild>
        <w:div w:id="11304888">
          <w:marLeft w:val="720"/>
          <w:marRight w:val="0"/>
          <w:marTop w:val="0"/>
          <w:marBottom w:val="0"/>
          <w:divBdr>
            <w:top w:val="none" w:sz="0" w:space="0" w:color="auto"/>
            <w:left w:val="none" w:sz="0" w:space="0" w:color="auto"/>
            <w:bottom w:val="none" w:sz="0" w:space="0" w:color="auto"/>
            <w:right w:val="none" w:sz="0" w:space="0" w:color="auto"/>
          </w:divBdr>
        </w:div>
        <w:div w:id="17049379">
          <w:marLeft w:val="720"/>
          <w:marRight w:val="0"/>
          <w:marTop w:val="0"/>
          <w:marBottom w:val="0"/>
          <w:divBdr>
            <w:top w:val="none" w:sz="0" w:space="0" w:color="auto"/>
            <w:left w:val="none" w:sz="0" w:space="0" w:color="auto"/>
            <w:bottom w:val="none" w:sz="0" w:space="0" w:color="auto"/>
            <w:right w:val="none" w:sz="0" w:space="0" w:color="auto"/>
          </w:divBdr>
        </w:div>
      </w:divsChild>
    </w:div>
    <w:div w:id="2118481807">
      <w:bodyDiv w:val="1"/>
      <w:marLeft w:val="0"/>
      <w:marRight w:val="0"/>
      <w:marTop w:val="0"/>
      <w:marBottom w:val="0"/>
      <w:divBdr>
        <w:top w:val="none" w:sz="0" w:space="0" w:color="auto"/>
        <w:left w:val="none" w:sz="0" w:space="0" w:color="auto"/>
        <w:bottom w:val="none" w:sz="0" w:space="0" w:color="auto"/>
        <w:right w:val="none" w:sz="0" w:space="0" w:color="auto"/>
      </w:divBdr>
    </w:div>
    <w:div w:id="2134322234">
      <w:bodyDiv w:val="1"/>
      <w:marLeft w:val="0"/>
      <w:marRight w:val="0"/>
      <w:marTop w:val="0"/>
      <w:marBottom w:val="0"/>
      <w:divBdr>
        <w:top w:val="none" w:sz="0" w:space="0" w:color="auto"/>
        <w:left w:val="none" w:sz="0" w:space="0" w:color="auto"/>
        <w:bottom w:val="none" w:sz="0" w:space="0" w:color="auto"/>
        <w:right w:val="none" w:sz="0" w:space="0" w:color="auto"/>
      </w:divBdr>
    </w:div>
    <w:div w:id="2140416145">
      <w:bodyDiv w:val="1"/>
      <w:marLeft w:val="0"/>
      <w:marRight w:val="0"/>
      <w:marTop w:val="0"/>
      <w:marBottom w:val="0"/>
      <w:divBdr>
        <w:top w:val="none" w:sz="0" w:space="0" w:color="auto"/>
        <w:left w:val="none" w:sz="0" w:space="0" w:color="auto"/>
        <w:bottom w:val="none" w:sz="0" w:space="0" w:color="auto"/>
        <w:right w:val="none" w:sz="0" w:space="0" w:color="auto"/>
      </w:divBdr>
      <w:divsChild>
        <w:div w:id="582298340">
          <w:marLeft w:val="720"/>
          <w:marRight w:val="0"/>
          <w:marTop w:val="0"/>
          <w:marBottom w:val="0"/>
          <w:divBdr>
            <w:top w:val="none" w:sz="0" w:space="0" w:color="auto"/>
            <w:left w:val="none" w:sz="0" w:space="0" w:color="auto"/>
            <w:bottom w:val="none" w:sz="0" w:space="0" w:color="auto"/>
            <w:right w:val="none" w:sz="0" w:space="0" w:color="auto"/>
          </w:divBdr>
        </w:div>
        <w:div w:id="741757004">
          <w:marLeft w:val="720"/>
          <w:marRight w:val="0"/>
          <w:marTop w:val="0"/>
          <w:marBottom w:val="0"/>
          <w:divBdr>
            <w:top w:val="none" w:sz="0" w:space="0" w:color="auto"/>
            <w:left w:val="none" w:sz="0" w:space="0" w:color="auto"/>
            <w:bottom w:val="none" w:sz="0" w:space="0" w:color="auto"/>
            <w:right w:val="none" w:sz="0" w:space="0" w:color="auto"/>
          </w:divBdr>
        </w:div>
        <w:div w:id="208830476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org.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2.health.vic.gov.au/about/publications/policiesandguidelines/digital-design-unified-standar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2.health.vic.gov.au/hospitals-and-health-services/planning-infrastructure/health-design-authorit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health.vic.gov.au/hospitals-and-health-services/data-reporting/health-data-standards-systems" TargetMode="External"/><Relationship Id="rId22" Type="http://schemas.openxmlformats.org/officeDocument/2006/relationships/hyperlink" Target="http://www.health.vic.gov.au/designauthority/catalogues.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sma.com.au/products/g-naf" TargetMode="External"/><Relationship Id="rId2" Type="http://schemas.openxmlformats.org/officeDocument/2006/relationships/hyperlink" Target="http://library.intranet.vic.gov.au/" TargetMode="External"/><Relationship Id="rId1" Type="http://schemas.openxmlformats.org/officeDocument/2006/relationships/hyperlink" Target="https://infostore.saiglobal.com/store/details.aspx?ProductID=316376" TargetMode="External"/><Relationship Id="rId5" Type="http://schemas.openxmlformats.org/officeDocument/2006/relationships/hyperlink" Target="https://auspost.com.au/business-solutions/data-marketing-services/improve-your-data/address-data" TargetMode="External"/><Relationship Id="rId4" Type="http://schemas.openxmlformats.org/officeDocument/2006/relationships/hyperlink" Target="http://www.depi.vic.gov.au/forestry-and-land-use/spatial-data-and-resources/vic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mmon%20Files\TemplatesOpenXML\Visual%20Style\DHHS%20Repor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14D59550E6E4CAF3AF4C818E9F589" ma:contentTypeVersion="4" ma:contentTypeDescription="Create a new document." ma:contentTypeScope="" ma:versionID="c2b37c4c8db932d4f98b965d464beb33">
  <xsd:schema xmlns:xsd="http://www.w3.org/2001/XMLSchema" xmlns:p="http://schemas.microsoft.com/office/2006/metadata/properties" xmlns:ns2="d646755c-11ff-45bc-85cd-046cb5bd7515" targetNamespace="http://schemas.microsoft.com/office/2006/metadata/properties" ma:root="true" ma:fieldsID="4fb1137870ab7817457da9ee75c70e51" ns2:_="">
    <xsd:import namespace="d646755c-11ff-45bc-85cd-046cb5bd7515"/>
    <xsd:element name="properties">
      <xsd:complexType>
        <xsd:sequence>
          <xsd:element name="documentManagement">
            <xsd:complexType>
              <xsd:all>
                <xsd:element ref="ns2:Project"/>
                <xsd:element ref="ns2:Stage"/>
                <xsd:element ref="ns2:Document_x0020_Type"/>
              </xsd:all>
            </xsd:complexType>
          </xsd:element>
        </xsd:sequence>
      </xsd:complexType>
    </xsd:element>
  </xsd:schema>
  <xsd:schema xmlns:xsd="http://www.w3.org/2001/XMLSchema" xmlns:dms="http://schemas.microsoft.com/office/2006/documentManagement/types" targetNamespace="d646755c-11ff-45bc-85cd-046cb5bd7515" elementFormDefault="qualified">
    <xsd:import namespace="http://schemas.microsoft.com/office/2006/documentManagement/types"/>
    <xsd:element name="Project" ma:index="2" ma:displayName="Project" ma:description="Project Name" ma:list="{209807de-e8cf-422c-ab1d-5a5a39699d10}" ma:internalName="Project" ma:showField="Title">
      <xsd:simpleType>
        <xsd:restriction base="dms:Lookup"/>
      </xsd:simpleType>
    </xsd:element>
    <xsd:element name="Stage" ma:index="3" ma:displayName="Control/Stage" ma:description="Project Stage" ma:format="RadioButtons" ma:internalName="Stage">
      <xsd:simpleType>
        <xsd:restriction base="dms:Choice">
          <xsd:enumeration value=".Control-Background"/>
          <xsd:enumeration value=".Control-Agreements &amp; Contracts"/>
          <xsd:enumeration value=".Control-Governance"/>
          <xsd:enumeration value=".Control-Planning"/>
          <xsd:enumeration value=".Control-Procurement"/>
          <xsd:enumeration value=".Control-Finances"/>
          <xsd:enumeration value=".Control-Communication"/>
          <xsd:enumeration value=".Control-Change"/>
          <xsd:enumeration value=".Control-Risks"/>
          <xsd:enumeration value=".Control-Issues"/>
          <xsd:enumeration value=".Control-Dependencies"/>
          <xsd:enumeration value=".Control-Quality &amp; Assurance"/>
          <xsd:enumeration value=".Control-Reporting"/>
          <xsd:enumeration value=".Control-Administration"/>
          <xsd:enumeration value="0a-Radar"/>
          <xsd:enumeration value="0b-Pipeline"/>
          <xsd:enumeration value="1a-Concept Proposal"/>
          <xsd:enumeration value="1b-Feasibility Study"/>
          <xsd:enumeration value="2a-Business Requirements"/>
          <xsd:enumeration value="2b-Solution Architecture"/>
          <xsd:enumeration value="2c-Business Case"/>
          <xsd:enumeration value="3a-Readiness for Market"/>
          <xsd:enumeration value="4a-Evaluation, Decision &amp; Establishment"/>
          <xsd:enumeration value="5a-Analysis &amp; Design"/>
          <xsd:enumeration value="5b-Build/Customise/Configure"/>
          <xsd:enumeration value="5c-Test"/>
          <xsd:enumeration value="5d-Train &amp; Cut-over"/>
          <xsd:enumeration value="5e-Handover to BAU"/>
          <xsd:enumeration value="6a-PIR"/>
          <xsd:enumeration value="6b-Closure"/>
          <xsd:enumeration value="6c-Benefits Realisation"/>
          <xsd:enumeration value="zz-Archive"/>
          <xsd:enumeration value="Not Applicable"/>
        </xsd:restriction>
      </xsd:simpleType>
    </xsd:element>
    <xsd:element name="Document_x0020_Type" ma:index="4" ma:displayName="Document Type" ma:format="RadioButtons" ma:internalName="Document_x0020_Type">
      <xsd:simpleType>
        <xsd:restriction base="dms:Choice">
          <xsd:enumeration value="Architecture"/>
          <xsd:enumeration value="Background Information"/>
          <xsd:enumeration value="Benefits"/>
          <xsd:enumeration value="Business Case"/>
          <xsd:enumeration value="Business Continuity"/>
          <xsd:enumeration value="Change Management"/>
          <xsd:enumeration value="Change Request"/>
          <xsd:enumeration value="Communications"/>
          <xsd:enumeration value="Concept"/>
          <xsd:enumeration value="Configuration"/>
          <xsd:enumeration value="Constraints"/>
          <xsd:enumeration value="Contract"/>
          <xsd:enumeration value="Data Migration"/>
          <xsd:enumeration value="Deliverables/Milestones"/>
          <xsd:enumeration value="Dependencies"/>
          <xsd:enumeration value="Deployment"/>
          <xsd:enumeration value="Design"/>
          <xsd:enumeration value="Disaster Recovery"/>
          <xsd:enumeration value="Environment"/>
          <xsd:enumeration value="Feasibility"/>
          <xsd:enumeration value="Financials"/>
          <xsd:enumeration value="Governance"/>
          <xsd:enumeration value="High Availability"/>
          <xsd:enumeration value="Implementation Planning Study"/>
          <xsd:enumeration value="Infrastructure"/>
          <xsd:enumeration value="Issue"/>
          <xsd:enumeration value="Lessons Learned"/>
          <xsd:enumeration value="Operations"/>
          <xsd:enumeration value="Post Implementation Review"/>
          <xsd:enumeration value="Procurement"/>
          <xsd:enumeration value="Products"/>
          <xsd:enumeration value="Project Brief"/>
          <xsd:enumeration value="Project Closure Report"/>
          <xsd:enumeration value="Project Initiation Document"/>
          <xsd:enumeration value="Project Status Report"/>
          <xsd:enumeration value="Quality Management"/>
          <xsd:enumeration value="Readiness"/>
          <xsd:enumeration value="Requirements"/>
          <xsd:enumeration value="Resourcing"/>
          <xsd:enumeration value="Risk"/>
          <xsd:enumeration value="Schedule/Project Plan"/>
          <xsd:enumeration value="Security"/>
          <xsd:enumeration value="Service Levels"/>
          <xsd:enumeration value="Service Requests"/>
          <xsd:enumeration value="Stakeholders"/>
          <xsd:enumeration value="Statement of Work"/>
          <xsd:enumeration value="Support Handover"/>
          <xsd:enumeration value="Tender"/>
          <xsd:enumeration value="Testing"/>
          <xsd:enumeration value="Training"/>
          <xsd:enumeration value="Workflo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ge xmlns="d646755c-11ff-45bc-85cd-046cb5bd7515"/>
    <Document_x0020_Type xmlns="d646755c-11ff-45bc-85cd-046cb5bd7515"/>
    <Project xmlns="d646755c-11ff-45bc-85cd-046cb5bd7515"/>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D6D6C-5332-4897-90D8-31ED051BF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6755c-11ff-45bc-85cd-046cb5bd751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9953F6-F658-48DE-A8E9-9DF91970F6E4}">
  <ds:schemaRefs>
    <ds:schemaRef ds:uri="http://schemas.microsoft.com/sharepoint/v3/contenttype/forms"/>
  </ds:schemaRefs>
</ds:datastoreItem>
</file>

<file path=customXml/itemProps3.xml><?xml version="1.0" encoding="utf-8"?>
<ds:datastoreItem xmlns:ds="http://schemas.openxmlformats.org/officeDocument/2006/customXml" ds:itemID="{1A1C4796-907C-43E5-814C-7B1D66138B21}">
  <ds:schemaRefs>
    <ds:schemaRef ds:uri="http://schemas.microsoft.com/office/2006/metadata/properties"/>
    <ds:schemaRef ds:uri="d646755c-11ff-45bc-85cd-046cb5bd7515"/>
  </ds:schemaRefs>
</ds:datastoreItem>
</file>

<file path=customXml/itemProps4.xml><?xml version="1.0" encoding="utf-8"?>
<ds:datastoreItem xmlns:ds="http://schemas.openxmlformats.org/officeDocument/2006/customXml" ds:itemID="{27C505A9-127C-4DA9-9604-3EEDEEB6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03 Blue 2945.dot</Template>
  <TotalTime>370</TotalTime>
  <Pages>18</Pages>
  <Words>3590</Words>
  <Characters>20465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Standards Template</vt:lpstr>
    </vt:vector>
  </TitlesOfParts>
  <Company>Department of Health and Human Services</Company>
  <LinksUpToDate>false</LinksUpToDate>
  <CharactersWithSpaces>24007</CharactersWithSpaces>
  <SharedDoc>false</SharedDoc>
  <HyperlinkBase/>
  <HLinks>
    <vt:vector size="324" baseType="variant">
      <vt:variant>
        <vt:i4>4587591</vt:i4>
      </vt:variant>
      <vt:variant>
        <vt:i4>657</vt:i4>
      </vt:variant>
      <vt:variant>
        <vt:i4>0</vt:i4>
      </vt:variant>
      <vt:variant>
        <vt:i4>5</vt:i4>
      </vt:variant>
      <vt:variant>
        <vt:lpwstr>https://www2.health.vic.gov.au/hospitals-and-health-services/data-reporting/health-data-standards-systems/reference-files</vt:lpwstr>
      </vt:variant>
      <vt:variant>
        <vt:lpwstr/>
      </vt:variant>
      <vt:variant>
        <vt:i4>4587591</vt:i4>
      </vt:variant>
      <vt:variant>
        <vt:i4>654</vt:i4>
      </vt:variant>
      <vt:variant>
        <vt:i4>0</vt:i4>
      </vt:variant>
      <vt:variant>
        <vt:i4>5</vt:i4>
      </vt:variant>
      <vt:variant>
        <vt:lpwstr>https://www2.health.vic.gov.au/hospitals-and-health-services/data-reporting/health-data-standards-systems/reference-files</vt:lpwstr>
      </vt:variant>
      <vt:variant>
        <vt:lpwstr/>
      </vt:variant>
      <vt:variant>
        <vt:i4>3473486</vt:i4>
      </vt:variant>
      <vt:variant>
        <vt:i4>477</vt:i4>
      </vt:variant>
      <vt:variant>
        <vt:i4>0</vt:i4>
      </vt:variant>
      <vt:variant>
        <vt:i4>5</vt:i4>
      </vt:variant>
      <vt:variant>
        <vt:lpwstr/>
      </vt:variant>
      <vt:variant>
        <vt:lpwstr>RANGE!_Toc492903161</vt:lpwstr>
      </vt:variant>
      <vt:variant>
        <vt:i4>1310771</vt:i4>
      </vt:variant>
      <vt:variant>
        <vt:i4>308</vt:i4>
      </vt:variant>
      <vt:variant>
        <vt:i4>0</vt:i4>
      </vt:variant>
      <vt:variant>
        <vt:i4>5</vt:i4>
      </vt:variant>
      <vt:variant>
        <vt:lpwstr/>
      </vt:variant>
      <vt:variant>
        <vt:lpwstr>_Toc496874665</vt:lpwstr>
      </vt:variant>
      <vt:variant>
        <vt:i4>1310771</vt:i4>
      </vt:variant>
      <vt:variant>
        <vt:i4>302</vt:i4>
      </vt:variant>
      <vt:variant>
        <vt:i4>0</vt:i4>
      </vt:variant>
      <vt:variant>
        <vt:i4>5</vt:i4>
      </vt:variant>
      <vt:variant>
        <vt:lpwstr/>
      </vt:variant>
      <vt:variant>
        <vt:lpwstr>_Toc496874664</vt:lpwstr>
      </vt:variant>
      <vt:variant>
        <vt:i4>1310771</vt:i4>
      </vt:variant>
      <vt:variant>
        <vt:i4>296</vt:i4>
      </vt:variant>
      <vt:variant>
        <vt:i4>0</vt:i4>
      </vt:variant>
      <vt:variant>
        <vt:i4>5</vt:i4>
      </vt:variant>
      <vt:variant>
        <vt:lpwstr/>
      </vt:variant>
      <vt:variant>
        <vt:lpwstr>_Toc496874663</vt:lpwstr>
      </vt:variant>
      <vt:variant>
        <vt:i4>1310771</vt:i4>
      </vt:variant>
      <vt:variant>
        <vt:i4>287</vt:i4>
      </vt:variant>
      <vt:variant>
        <vt:i4>0</vt:i4>
      </vt:variant>
      <vt:variant>
        <vt:i4>5</vt:i4>
      </vt:variant>
      <vt:variant>
        <vt:lpwstr/>
      </vt:variant>
      <vt:variant>
        <vt:lpwstr>_Toc496874662</vt:lpwstr>
      </vt:variant>
      <vt:variant>
        <vt:i4>1310771</vt:i4>
      </vt:variant>
      <vt:variant>
        <vt:i4>281</vt:i4>
      </vt:variant>
      <vt:variant>
        <vt:i4>0</vt:i4>
      </vt:variant>
      <vt:variant>
        <vt:i4>5</vt:i4>
      </vt:variant>
      <vt:variant>
        <vt:lpwstr/>
      </vt:variant>
      <vt:variant>
        <vt:lpwstr>_Toc496874661</vt:lpwstr>
      </vt:variant>
      <vt:variant>
        <vt:i4>1310771</vt:i4>
      </vt:variant>
      <vt:variant>
        <vt:i4>275</vt:i4>
      </vt:variant>
      <vt:variant>
        <vt:i4>0</vt:i4>
      </vt:variant>
      <vt:variant>
        <vt:i4>5</vt:i4>
      </vt:variant>
      <vt:variant>
        <vt:lpwstr/>
      </vt:variant>
      <vt:variant>
        <vt:lpwstr>_Toc496874660</vt:lpwstr>
      </vt:variant>
      <vt:variant>
        <vt:i4>1507379</vt:i4>
      </vt:variant>
      <vt:variant>
        <vt:i4>269</vt:i4>
      </vt:variant>
      <vt:variant>
        <vt:i4>0</vt:i4>
      </vt:variant>
      <vt:variant>
        <vt:i4>5</vt:i4>
      </vt:variant>
      <vt:variant>
        <vt:lpwstr/>
      </vt:variant>
      <vt:variant>
        <vt:lpwstr>_Toc496874659</vt:lpwstr>
      </vt:variant>
      <vt:variant>
        <vt:i4>1507379</vt:i4>
      </vt:variant>
      <vt:variant>
        <vt:i4>263</vt:i4>
      </vt:variant>
      <vt:variant>
        <vt:i4>0</vt:i4>
      </vt:variant>
      <vt:variant>
        <vt:i4>5</vt:i4>
      </vt:variant>
      <vt:variant>
        <vt:lpwstr/>
      </vt:variant>
      <vt:variant>
        <vt:lpwstr>_Toc496874658</vt:lpwstr>
      </vt:variant>
      <vt:variant>
        <vt:i4>1507379</vt:i4>
      </vt:variant>
      <vt:variant>
        <vt:i4>257</vt:i4>
      </vt:variant>
      <vt:variant>
        <vt:i4>0</vt:i4>
      </vt:variant>
      <vt:variant>
        <vt:i4>5</vt:i4>
      </vt:variant>
      <vt:variant>
        <vt:lpwstr/>
      </vt:variant>
      <vt:variant>
        <vt:lpwstr>_Toc496874657</vt:lpwstr>
      </vt:variant>
      <vt:variant>
        <vt:i4>1507379</vt:i4>
      </vt:variant>
      <vt:variant>
        <vt:i4>251</vt:i4>
      </vt:variant>
      <vt:variant>
        <vt:i4>0</vt:i4>
      </vt:variant>
      <vt:variant>
        <vt:i4>5</vt:i4>
      </vt:variant>
      <vt:variant>
        <vt:lpwstr/>
      </vt:variant>
      <vt:variant>
        <vt:lpwstr>_Toc496874656</vt:lpwstr>
      </vt:variant>
      <vt:variant>
        <vt:i4>1507379</vt:i4>
      </vt:variant>
      <vt:variant>
        <vt:i4>245</vt:i4>
      </vt:variant>
      <vt:variant>
        <vt:i4>0</vt:i4>
      </vt:variant>
      <vt:variant>
        <vt:i4>5</vt:i4>
      </vt:variant>
      <vt:variant>
        <vt:lpwstr/>
      </vt:variant>
      <vt:variant>
        <vt:lpwstr>_Toc496874655</vt:lpwstr>
      </vt:variant>
      <vt:variant>
        <vt:i4>1507379</vt:i4>
      </vt:variant>
      <vt:variant>
        <vt:i4>239</vt:i4>
      </vt:variant>
      <vt:variant>
        <vt:i4>0</vt:i4>
      </vt:variant>
      <vt:variant>
        <vt:i4>5</vt:i4>
      </vt:variant>
      <vt:variant>
        <vt:lpwstr/>
      </vt:variant>
      <vt:variant>
        <vt:lpwstr>_Toc496874654</vt:lpwstr>
      </vt:variant>
      <vt:variant>
        <vt:i4>1507379</vt:i4>
      </vt:variant>
      <vt:variant>
        <vt:i4>233</vt:i4>
      </vt:variant>
      <vt:variant>
        <vt:i4>0</vt:i4>
      </vt:variant>
      <vt:variant>
        <vt:i4>5</vt:i4>
      </vt:variant>
      <vt:variant>
        <vt:lpwstr/>
      </vt:variant>
      <vt:variant>
        <vt:lpwstr>_Toc496874653</vt:lpwstr>
      </vt:variant>
      <vt:variant>
        <vt:i4>1507379</vt:i4>
      </vt:variant>
      <vt:variant>
        <vt:i4>227</vt:i4>
      </vt:variant>
      <vt:variant>
        <vt:i4>0</vt:i4>
      </vt:variant>
      <vt:variant>
        <vt:i4>5</vt:i4>
      </vt:variant>
      <vt:variant>
        <vt:lpwstr/>
      </vt:variant>
      <vt:variant>
        <vt:lpwstr>_Toc496874652</vt:lpwstr>
      </vt:variant>
      <vt:variant>
        <vt:i4>1507379</vt:i4>
      </vt:variant>
      <vt:variant>
        <vt:i4>221</vt:i4>
      </vt:variant>
      <vt:variant>
        <vt:i4>0</vt:i4>
      </vt:variant>
      <vt:variant>
        <vt:i4>5</vt:i4>
      </vt:variant>
      <vt:variant>
        <vt:lpwstr/>
      </vt:variant>
      <vt:variant>
        <vt:lpwstr>_Toc496874651</vt:lpwstr>
      </vt:variant>
      <vt:variant>
        <vt:i4>1507379</vt:i4>
      </vt:variant>
      <vt:variant>
        <vt:i4>215</vt:i4>
      </vt:variant>
      <vt:variant>
        <vt:i4>0</vt:i4>
      </vt:variant>
      <vt:variant>
        <vt:i4>5</vt:i4>
      </vt:variant>
      <vt:variant>
        <vt:lpwstr/>
      </vt:variant>
      <vt:variant>
        <vt:lpwstr>_Toc496874650</vt:lpwstr>
      </vt:variant>
      <vt:variant>
        <vt:i4>1441843</vt:i4>
      </vt:variant>
      <vt:variant>
        <vt:i4>209</vt:i4>
      </vt:variant>
      <vt:variant>
        <vt:i4>0</vt:i4>
      </vt:variant>
      <vt:variant>
        <vt:i4>5</vt:i4>
      </vt:variant>
      <vt:variant>
        <vt:lpwstr/>
      </vt:variant>
      <vt:variant>
        <vt:lpwstr>_Toc496874649</vt:lpwstr>
      </vt:variant>
      <vt:variant>
        <vt:i4>1441843</vt:i4>
      </vt:variant>
      <vt:variant>
        <vt:i4>203</vt:i4>
      </vt:variant>
      <vt:variant>
        <vt:i4>0</vt:i4>
      </vt:variant>
      <vt:variant>
        <vt:i4>5</vt:i4>
      </vt:variant>
      <vt:variant>
        <vt:lpwstr/>
      </vt:variant>
      <vt:variant>
        <vt:lpwstr>_Toc496874648</vt:lpwstr>
      </vt:variant>
      <vt:variant>
        <vt:i4>1441843</vt:i4>
      </vt:variant>
      <vt:variant>
        <vt:i4>197</vt:i4>
      </vt:variant>
      <vt:variant>
        <vt:i4>0</vt:i4>
      </vt:variant>
      <vt:variant>
        <vt:i4>5</vt:i4>
      </vt:variant>
      <vt:variant>
        <vt:lpwstr/>
      </vt:variant>
      <vt:variant>
        <vt:lpwstr>_Toc496874647</vt:lpwstr>
      </vt:variant>
      <vt:variant>
        <vt:i4>1441843</vt:i4>
      </vt:variant>
      <vt:variant>
        <vt:i4>188</vt:i4>
      </vt:variant>
      <vt:variant>
        <vt:i4>0</vt:i4>
      </vt:variant>
      <vt:variant>
        <vt:i4>5</vt:i4>
      </vt:variant>
      <vt:variant>
        <vt:lpwstr/>
      </vt:variant>
      <vt:variant>
        <vt:lpwstr>_Toc496874646</vt:lpwstr>
      </vt:variant>
      <vt:variant>
        <vt:i4>1441843</vt:i4>
      </vt:variant>
      <vt:variant>
        <vt:i4>182</vt:i4>
      </vt:variant>
      <vt:variant>
        <vt:i4>0</vt:i4>
      </vt:variant>
      <vt:variant>
        <vt:i4>5</vt:i4>
      </vt:variant>
      <vt:variant>
        <vt:lpwstr/>
      </vt:variant>
      <vt:variant>
        <vt:lpwstr>_Toc496874645</vt:lpwstr>
      </vt:variant>
      <vt:variant>
        <vt:i4>1441843</vt:i4>
      </vt:variant>
      <vt:variant>
        <vt:i4>176</vt:i4>
      </vt:variant>
      <vt:variant>
        <vt:i4>0</vt:i4>
      </vt:variant>
      <vt:variant>
        <vt:i4>5</vt:i4>
      </vt:variant>
      <vt:variant>
        <vt:lpwstr/>
      </vt:variant>
      <vt:variant>
        <vt:lpwstr>_Toc496874644</vt:lpwstr>
      </vt:variant>
      <vt:variant>
        <vt:i4>1441843</vt:i4>
      </vt:variant>
      <vt:variant>
        <vt:i4>170</vt:i4>
      </vt:variant>
      <vt:variant>
        <vt:i4>0</vt:i4>
      </vt:variant>
      <vt:variant>
        <vt:i4>5</vt:i4>
      </vt:variant>
      <vt:variant>
        <vt:lpwstr/>
      </vt:variant>
      <vt:variant>
        <vt:lpwstr>_Toc496874643</vt:lpwstr>
      </vt:variant>
      <vt:variant>
        <vt:i4>1441843</vt:i4>
      </vt:variant>
      <vt:variant>
        <vt:i4>164</vt:i4>
      </vt:variant>
      <vt:variant>
        <vt:i4>0</vt:i4>
      </vt:variant>
      <vt:variant>
        <vt:i4>5</vt:i4>
      </vt:variant>
      <vt:variant>
        <vt:lpwstr/>
      </vt:variant>
      <vt:variant>
        <vt:lpwstr>_Toc496874642</vt:lpwstr>
      </vt:variant>
      <vt:variant>
        <vt:i4>1441843</vt:i4>
      </vt:variant>
      <vt:variant>
        <vt:i4>158</vt:i4>
      </vt:variant>
      <vt:variant>
        <vt:i4>0</vt:i4>
      </vt:variant>
      <vt:variant>
        <vt:i4>5</vt:i4>
      </vt:variant>
      <vt:variant>
        <vt:lpwstr/>
      </vt:variant>
      <vt:variant>
        <vt:lpwstr>_Toc496874641</vt:lpwstr>
      </vt:variant>
      <vt:variant>
        <vt:i4>1441843</vt:i4>
      </vt:variant>
      <vt:variant>
        <vt:i4>152</vt:i4>
      </vt:variant>
      <vt:variant>
        <vt:i4>0</vt:i4>
      </vt:variant>
      <vt:variant>
        <vt:i4>5</vt:i4>
      </vt:variant>
      <vt:variant>
        <vt:lpwstr/>
      </vt:variant>
      <vt:variant>
        <vt:lpwstr>_Toc496874640</vt:lpwstr>
      </vt:variant>
      <vt:variant>
        <vt:i4>1114163</vt:i4>
      </vt:variant>
      <vt:variant>
        <vt:i4>146</vt:i4>
      </vt:variant>
      <vt:variant>
        <vt:i4>0</vt:i4>
      </vt:variant>
      <vt:variant>
        <vt:i4>5</vt:i4>
      </vt:variant>
      <vt:variant>
        <vt:lpwstr/>
      </vt:variant>
      <vt:variant>
        <vt:lpwstr>_Toc496874639</vt:lpwstr>
      </vt:variant>
      <vt:variant>
        <vt:i4>1114163</vt:i4>
      </vt:variant>
      <vt:variant>
        <vt:i4>140</vt:i4>
      </vt:variant>
      <vt:variant>
        <vt:i4>0</vt:i4>
      </vt:variant>
      <vt:variant>
        <vt:i4>5</vt:i4>
      </vt:variant>
      <vt:variant>
        <vt:lpwstr/>
      </vt:variant>
      <vt:variant>
        <vt:lpwstr>_Toc496874638</vt:lpwstr>
      </vt:variant>
      <vt:variant>
        <vt:i4>1114163</vt:i4>
      </vt:variant>
      <vt:variant>
        <vt:i4>134</vt:i4>
      </vt:variant>
      <vt:variant>
        <vt:i4>0</vt:i4>
      </vt:variant>
      <vt:variant>
        <vt:i4>5</vt:i4>
      </vt:variant>
      <vt:variant>
        <vt:lpwstr/>
      </vt:variant>
      <vt:variant>
        <vt:lpwstr>_Toc496874637</vt:lpwstr>
      </vt:variant>
      <vt:variant>
        <vt:i4>1114163</vt:i4>
      </vt:variant>
      <vt:variant>
        <vt:i4>128</vt:i4>
      </vt:variant>
      <vt:variant>
        <vt:i4>0</vt:i4>
      </vt:variant>
      <vt:variant>
        <vt:i4>5</vt:i4>
      </vt:variant>
      <vt:variant>
        <vt:lpwstr/>
      </vt:variant>
      <vt:variant>
        <vt:lpwstr>_Toc496874636</vt:lpwstr>
      </vt:variant>
      <vt:variant>
        <vt:i4>1114163</vt:i4>
      </vt:variant>
      <vt:variant>
        <vt:i4>122</vt:i4>
      </vt:variant>
      <vt:variant>
        <vt:i4>0</vt:i4>
      </vt:variant>
      <vt:variant>
        <vt:i4>5</vt:i4>
      </vt:variant>
      <vt:variant>
        <vt:lpwstr/>
      </vt:variant>
      <vt:variant>
        <vt:lpwstr>_Toc496874635</vt:lpwstr>
      </vt:variant>
      <vt:variant>
        <vt:i4>1114163</vt:i4>
      </vt:variant>
      <vt:variant>
        <vt:i4>116</vt:i4>
      </vt:variant>
      <vt:variant>
        <vt:i4>0</vt:i4>
      </vt:variant>
      <vt:variant>
        <vt:i4>5</vt:i4>
      </vt:variant>
      <vt:variant>
        <vt:lpwstr/>
      </vt:variant>
      <vt:variant>
        <vt:lpwstr>_Toc496874634</vt:lpwstr>
      </vt:variant>
      <vt:variant>
        <vt:i4>1114163</vt:i4>
      </vt:variant>
      <vt:variant>
        <vt:i4>110</vt:i4>
      </vt:variant>
      <vt:variant>
        <vt:i4>0</vt:i4>
      </vt:variant>
      <vt:variant>
        <vt:i4>5</vt:i4>
      </vt:variant>
      <vt:variant>
        <vt:lpwstr/>
      </vt:variant>
      <vt:variant>
        <vt:lpwstr>_Toc496874633</vt:lpwstr>
      </vt:variant>
      <vt:variant>
        <vt:i4>1114163</vt:i4>
      </vt:variant>
      <vt:variant>
        <vt:i4>104</vt:i4>
      </vt:variant>
      <vt:variant>
        <vt:i4>0</vt:i4>
      </vt:variant>
      <vt:variant>
        <vt:i4>5</vt:i4>
      </vt:variant>
      <vt:variant>
        <vt:lpwstr/>
      </vt:variant>
      <vt:variant>
        <vt:lpwstr>_Toc496874632</vt:lpwstr>
      </vt:variant>
      <vt:variant>
        <vt:i4>1114163</vt:i4>
      </vt:variant>
      <vt:variant>
        <vt:i4>98</vt:i4>
      </vt:variant>
      <vt:variant>
        <vt:i4>0</vt:i4>
      </vt:variant>
      <vt:variant>
        <vt:i4>5</vt:i4>
      </vt:variant>
      <vt:variant>
        <vt:lpwstr/>
      </vt:variant>
      <vt:variant>
        <vt:lpwstr>_Toc496874631</vt:lpwstr>
      </vt:variant>
      <vt:variant>
        <vt:i4>1114163</vt:i4>
      </vt:variant>
      <vt:variant>
        <vt:i4>92</vt:i4>
      </vt:variant>
      <vt:variant>
        <vt:i4>0</vt:i4>
      </vt:variant>
      <vt:variant>
        <vt:i4>5</vt:i4>
      </vt:variant>
      <vt:variant>
        <vt:lpwstr/>
      </vt:variant>
      <vt:variant>
        <vt:lpwstr>_Toc496874630</vt:lpwstr>
      </vt:variant>
      <vt:variant>
        <vt:i4>1048627</vt:i4>
      </vt:variant>
      <vt:variant>
        <vt:i4>86</vt:i4>
      </vt:variant>
      <vt:variant>
        <vt:i4>0</vt:i4>
      </vt:variant>
      <vt:variant>
        <vt:i4>5</vt:i4>
      </vt:variant>
      <vt:variant>
        <vt:lpwstr/>
      </vt:variant>
      <vt:variant>
        <vt:lpwstr>_Toc496874629</vt:lpwstr>
      </vt:variant>
      <vt:variant>
        <vt:i4>1048627</vt:i4>
      </vt:variant>
      <vt:variant>
        <vt:i4>80</vt:i4>
      </vt:variant>
      <vt:variant>
        <vt:i4>0</vt:i4>
      </vt:variant>
      <vt:variant>
        <vt:i4>5</vt:i4>
      </vt:variant>
      <vt:variant>
        <vt:lpwstr/>
      </vt:variant>
      <vt:variant>
        <vt:lpwstr>_Toc496874628</vt:lpwstr>
      </vt:variant>
      <vt:variant>
        <vt:i4>1048627</vt:i4>
      </vt:variant>
      <vt:variant>
        <vt:i4>74</vt:i4>
      </vt:variant>
      <vt:variant>
        <vt:i4>0</vt:i4>
      </vt:variant>
      <vt:variant>
        <vt:i4>5</vt:i4>
      </vt:variant>
      <vt:variant>
        <vt:lpwstr/>
      </vt:variant>
      <vt:variant>
        <vt:lpwstr>_Toc496874627</vt:lpwstr>
      </vt:variant>
      <vt:variant>
        <vt:i4>1048627</vt:i4>
      </vt:variant>
      <vt:variant>
        <vt:i4>68</vt:i4>
      </vt:variant>
      <vt:variant>
        <vt:i4>0</vt:i4>
      </vt:variant>
      <vt:variant>
        <vt:i4>5</vt:i4>
      </vt:variant>
      <vt:variant>
        <vt:lpwstr/>
      </vt:variant>
      <vt:variant>
        <vt:lpwstr>_Toc496874626</vt:lpwstr>
      </vt:variant>
      <vt:variant>
        <vt:i4>1048627</vt:i4>
      </vt:variant>
      <vt:variant>
        <vt:i4>62</vt:i4>
      </vt:variant>
      <vt:variant>
        <vt:i4>0</vt:i4>
      </vt:variant>
      <vt:variant>
        <vt:i4>5</vt:i4>
      </vt:variant>
      <vt:variant>
        <vt:lpwstr/>
      </vt:variant>
      <vt:variant>
        <vt:lpwstr>_Toc496874625</vt:lpwstr>
      </vt:variant>
      <vt:variant>
        <vt:i4>1048627</vt:i4>
      </vt:variant>
      <vt:variant>
        <vt:i4>56</vt:i4>
      </vt:variant>
      <vt:variant>
        <vt:i4>0</vt:i4>
      </vt:variant>
      <vt:variant>
        <vt:i4>5</vt:i4>
      </vt:variant>
      <vt:variant>
        <vt:lpwstr/>
      </vt:variant>
      <vt:variant>
        <vt:lpwstr>_Toc496874624</vt:lpwstr>
      </vt:variant>
      <vt:variant>
        <vt:i4>1048627</vt:i4>
      </vt:variant>
      <vt:variant>
        <vt:i4>50</vt:i4>
      </vt:variant>
      <vt:variant>
        <vt:i4>0</vt:i4>
      </vt:variant>
      <vt:variant>
        <vt:i4>5</vt:i4>
      </vt:variant>
      <vt:variant>
        <vt:lpwstr/>
      </vt:variant>
      <vt:variant>
        <vt:lpwstr>_Toc496874623</vt:lpwstr>
      </vt:variant>
      <vt:variant>
        <vt:i4>1048627</vt:i4>
      </vt:variant>
      <vt:variant>
        <vt:i4>44</vt:i4>
      </vt:variant>
      <vt:variant>
        <vt:i4>0</vt:i4>
      </vt:variant>
      <vt:variant>
        <vt:i4>5</vt:i4>
      </vt:variant>
      <vt:variant>
        <vt:lpwstr/>
      </vt:variant>
      <vt:variant>
        <vt:lpwstr>_Toc496874622</vt:lpwstr>
      </vt:variant>
      <vt:variant>
        <vt:i4>1048627</vt:i4>
      </vt:variant>
      <vt:variant>
        <vt:i4>38</vt:i4>
      </vt:variant>
      <vt:variant>
        <vt:i4>0</vt:i4>
      </vt:variant>
      <vt:variant>
        <vt:i4>5</vt:i4>
      </vt:variant>
      <vt:variant>
        <vt:lpwstr/>
      </vt:variant>
      <vt:variant>
        <vt:lpwstr>_Toc496874621</vt:lpwstr>
      </vt:variant>
      <vt:variant>
        <vt:i4>1048627</vt:i4>
      </vt:variant>
      <vt:variant>
        <vt:i4>32</vt:i4>
      </vt:variant>
      <vt:variant>
        <vt:i4>0</vt:i4>
      </vt:variant>
      <vt:variant>
        <vt:i4>5</vt:i4>
      </vt:variant>
      <vt:variant>
        <vt:lpwstr/>
      </vt:variant>
      <vt:variant>
        <vt:lpwstr>_Toc496874620</vt:lpwstr>
      </vt:variant>
      <vt:variant>
        <vt:i4>1245235</vt:i4>
      </vt:variant>
      <vt:variant>
        <vt:i4>26</vt:i4>
      </vt:variant>
      <vt:variant>
        <vt:i4>0</vt:i4>
      </vt:variant>
      <vt:variant>
        <vt:i4>5</vt:i4>
      </vt:variant>
      <vt:variant>
        <vt:lpwstr/>
      </vt:variant>
      <vt:variant>
        <vt:lpwstr>_Toc496874619</vt:lpwstr>
      </vt:variant>
      <vt:variant>
        <vt:i4>1245235</vt:i4>
      </vt:variant>
      <vt:variant>
        <vt:i4>20</vt:i4>
      </vt:variant>
      <vt:variant>
        <vt:i4>0</vt:i4>
      </vt:variant>
      <vt:variant>
        <vt:i4>5</vt:i4>
      </vt:variant>
      <vt:variant>
        <vt:lpwstr/>
      </vt:variant>
      <vt:variant>
        <vt:lpwstr>_Toc496874618</vt:lpwstr>
      </vt:variant>
      <vt:variant>
        <vt:i4>1245235</vt:i4>
      </vt:variant>
      <vt:variant>
        <vt:i4>14</vt:i4>
      </vt:variant>
      <vt:variant>
        <vt:i4>0</vt:i4>
      </vt:variant>
      <vt:variant>
        <vt:i4>5</vt:i4>
      </vt:variant>
      <vt:variant>
        <vt:lpwstr/>
      </vt:variant>
      <vt:variant>
        <vt:lpwstr>_Toc496874617</vt:lpwstr>
      </vt:variant>
      <vt:variant>
        <vt:i4>1245235</vt:i4>
      </vt:variant>
      <vt:variant>
        <vt:i4>8</vt:i4>
      </vt:variant>
      <vt:variant>
        <vt:i4>0</vt:i4>
      </vt:variant>
      <vt:variant>
        <vt:i4>5</vt:i4>
      </vt:variant>
      <vt:variant>
        <vt:lpwstr/>
      </vt:variant>
      <vt:variant>
        <vt:lpwstr>_Toc496874616</vt:lpwstr>
      </vt:variant>
      <vt:variant>
        <vt:i4>1245235</vt:i4>
      </vt:variant>
      <vt:variant>
        <vt:i4>2</vt:i4>
      </vt:variant>
      <vt:variant>
        <vt:i4>0</vt:i4>
      </vt:variant>
      <vt:variant>
        <vt:i4>5</vt:i4>
      </vt:variant>
      <vt:variant>
        <vt:lpwstr/>
      </vt:variant>
      <vt:variant>
        <vt:lpwstr>_Toc496874615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Template</dc:title>
  <dc:creator>Stephen Oluyide</dc:creator>
  <cp:lastModifiedBy>Stephen Oluyide (DHHS)</cp:lastModifiedBy>
  <cp:revision>13</cp:revision>
  <cp:lastPrinted>2019-09-09T04:49:00Z</cp:lastPrinted>
  <dcterms:created xsi:type="dcterms:W3CDTF">2019-03-26T00:11:00Z</dcterms:created>
  <dcterms:modified xsi:type="dcterms:W3CDTF">2019-09-13T02:16:00Z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