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46" w:tblpY="-1665"/>
        <w:tblW w:w="8027" w:type="dxa"/>
        <w:tblCellMar>
          <w:left w:w="0" w:type="dxa"/>
          <w:right w:w="0" w:type="dxa"/>
        </w:tblCellMar>
        <w:tblLook w:val="04A0" w:firstRow="1" w:lastRow="0" w:firstColumn="1" w:lastColumn="0" w:noHBand="0" w:noVBand="1"/>
      </w:tblPr>
      <w:tblGrid>
        <w:gridCol w:w="8027"/>
      </w:tblGrid>
      <w:tr w:rsidR="001817CD" w:rsidRPr="00A62195" w14:paraId="0C3630E4" w14:textId="77777777" w:rsidTr="00C12918">
        <w:trPr>
          <w:trHeight w:val="4015"/>
        </w:trPr>
        <w:tc>
          <w:tcPr>
            <w:tcW w:w="8027" w:type="dxa"/>
            <w:shd w:val="clear" w:color="auto" w:fill="auto"/>
          </w:tcPr>
          <w:p w14:paraId="192BE8C3" w14:textId="7CA37CBB" w:rsidR="003D60F4" w:rsidRPr="000F6393" w:rsidRDefault="00192F7A" w:rsidP="001737F8">
            <w:pPr>
              <w:pStyle w:val="DHHSreportmaintitlewhite"/>
              <w:rPr>
                <w:color w:val="FFFFFF" w:themeColor="background1"/>
              </w:rPr>
            </w:pPr>
            <w:bookmarkStart w:id="0" w:name="_Hlk46854217"/>
            <w:bookmarkStart w:id="1" w:name="_GoBack"/>
            <w:bookmarkEnd w:id="0"/>
            <w:bookmarkEnd w:id="1"/>
            <w:r w:rsidRPr="000F6393">
              <w:rPr>
                <w:noProof/>
                <w:color w:val="FFFFFF" w:themeColor="background1"/>
                <w:lang w:eastAsia="en-AU"/>
              </w:rPr>
              <w:drawing>
                <wp:anchor distT="0" distB="0" distL="114300" distR="114300" simplePos="0" relativeHeight="251613184" behindDoc="1" locked="1" layoutInCell="0" allowOverlap="1" wp14:anchorId="52213802" wp14:editId="6D118861">
                  <wp:simplePos x="0" y="0"/>
                  <wp:positionH relativeFrom="page">
                    <wp:posOffset>0</wp:posOffset>
                  </wp:positionH>
                  <wp:positionV relativeFrom="page">
                    <wp:posOffset>0</wp:posOffset>
                  </wp:positionV>
                  <wp:extent cx="7563485" cy="10700385"/>
                  <wp:effectExtent l="0" t="0" r="0" b="5715"/>
                  <wp:wrapNone/>
                  <wp:docPr id="36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89182" w14:textId="355AEF84" w:rsidR="00634BA3" w:rsidRPr="000F6393" w:rsidRDefault="00634BA3" w:rsidP="001737F8">
            <w:pPr>
              <w:pStyle w:val="DHHSreportmaintitlewhite"/>
              <w:rPr>
                <w:color w:val="FFFFFF" w:themeColor="background1"/>
              </w:rPr>
            </w:pPr>
          </w:p>
          <w:p w14:paraId="022DC36F" w14:textId="78C8DF48" w:rsidR="003229F9" w:rsidRDefault="0029022A" w:rsidP="00C12918">
            <w:pPr>
              <w:pStyle w:val="DHHSreportmaintitlewhite"/>
              <w:ind w:left="567"/>
              <w:rPr>
                <w:color w:val="FFFFFF" w:themeColor="background1"/>
              </w:rPr>
            </w:pPr>
            <w:r>
              <w:rPr>
                <w:color w:val="FFFFFF" w:themeColor="background1"/>
              </w:rPr>
              <w:t>A</w:t>
            </w:r>
            <w:r w:rsidR="00084A71" w:rsidRPr="000F6393">
              <w:rPr>
                <w:color w:val="FFFFFF" w:themeColor="background1"/>
              </w:rPr>
              <w:t xml:space="preserve">pplication </w:t>
            </w:r>
            <w:r w:rsidR="0010771D">
              <w:rPr>
                <w:color w:val="FFFFFF" w:themeColor="background1"/>
              </w:rPr>
              <w:t>s</w:t>
            </w:r>
            <w:r w:rsidR="00084A71" w:rsidRPr="000F6393">
              <w:rPr>
                <w:color w:val="FFFFFF" w:themeColor="background1"/>
              </w:rPr>
              <w:t xml:space="preserve">olution </w:t>
            </w:r>
            <w:r w:rsidR="0010771D">
              <w:rPr>
                <w:color w:val="FFFFFF" w:themeColor="background1"/>
              </w:rPr>
              <w:t>g</w:t>
            </w:r>
            <w:r w:rsidR="00084A71" w:rsidRPr="000F6393">
              <w:rPr>
                <w:color w:val="FFFFFF" w:themeColor="background1"/>
              </w:rPr>
              <w:t>uide</w:t>
            </w:r>
          </w:p>
          <w:p w14:paraId="258C4F4A" w14:textId="1C062D62" w:rsidR="00C12918" w:rsidRDefault="00C12918" w:rsidP="00C12918">
            <w:pPr>
              <w:pStyle w:val="DHHSreportmaintitlewhite"/>
              <w:ind w:left="567"/>
              <w:rPr>
                <w:color w:val="FFFFFF" w:themeColor="background1"/>
                <w:sz w:val="32"/>
                <w:szCs w:val="32"/>
              </w:rPr>
            </w:pPr>
          </w:p>
          <w:p w14:paraId="02E21899" w14:textId="77777777" w:rsidR="000F6F1A" w:rsidRPr="00C12918" w:rsidRDefault="000F6F1A" w:rsidP="00C12918">
            <w:pPr>
              <w:pStyle w:val="DHHSreportmaintitlewhite"/>
              <w:ind w:left="567"/>
              <w:rPr>
                <w:color w:val="FFFFFF" w:themeColor="background1"/>
                <w:sz w:val="32"/>
                <w:szCs w:val="32"/>
              </w:rPr>
            </w:pPr>
          </w:p>
          <w:p w14:paraId="363518C4" w14:textId="2AD77454" w:rsidR="00084A71" w:rsidRDefault="00084A71" w:rsidP="001737F8">
            <w:pPr>
              <w:pStyle w:val="DHHSreportmaintitlewhite"/>
              <w:rPr>
                <w:color w:val="FFFFFF" w:themeColor="background1"/>
                <w:sz w:val="30"/>
                <w:szCs w:val="30"/>
              </w:rPr>
            </w:pPr>
          </w:p>
          <w:p w14:paraId="26967E54" w14:textId="15D5D56C" w:rsidR="000F6393" w:rsidRDefault="000F6393" w:rsidP="001737F8">
            <w:pPr>
              <w:pStyle w:val="DHHSreportmaintitlewhite"/>
              <w:rPr>
                <w:color w:val="FFFFFF" w:themeColor="background1"/>
                <w:sz w:val="30"/>
                <w:szCs w:val="30"/>
              </w:rPr>
            </w:pPr>
          </w:p>
          <w:p w14:paraId="47694416" w14:textId="77777777" w:rsidR="00C12918" w:rsidRPr="000F6393" w:rsidRDefault="00C12918" w:rsidP="001737F8">
            <w:pPr>
              <w:pStyle w:val="DHHSreportmaintitlewhite"/>
              <w:rPr>
                <w:color w:val="FFFFFF" w:themeColor="background1"/>
                <w:sz w:val="30"/>
                <w:szCs w:val="30"/>
              </w:rPr>
            </w:pPr>
          </w:p>
          <w:p w14:paraId="669F578C" w14:textId="09EE897A" w:rsidR="00084A71" w:rsidRPr="000F6393" w:rsidRDefault="00084A71" w:rsidP="001737F8">
            <w:pPr>
              <w:pStyle w:val="DHHSreportmaintitlewhite"/>
              <w:rPr>
                <w:color w:val="FFFFFF" w:themeColor="background1"/>
                <w:sz w:val="30"/>
                <w:szCs w:val="30"/>
              </w:rPr>
            </w:pPr>
          </w:p>
          <w:p w14:paraId="5A56CCC6" w14:textId="77777777" w:rsidR="003D60F4" w:rsidRDefault="007658E3" w:rsidP="00C12918">
            <w:pPr>
              <w:pStyle w:val="DHHSreportsubtitlewhite"/>
              <w:ind w:left="567"/>
              <w:rPr>
                <w:color w:val="FFFFFF" w:themeColor="background1"/>
              </w:rPr>
            </w:pPr>
            <w:r w:rsidRPr="000F6393">
              <w:rPr>
                <w:color w:val="FFFFFF" w:themeColor="background1"/>
              </w:rPr>
              <w:t>Digital Health Standard</w:t>
            </w:r>
          </w:p>
          <w:p w14:paraId="26C5C57E" w14:textId="36D667BF" w:rsidR="000F6F1A" w:rsidRPr="000F6393" w:rsidRDefault="000F6F1A" w:rsidP="00C12918">
            <w:pPr>
              <w:pStyle w:val="DHHSreportsubtitlewhite"/>
              <w:ind w:left="567"/>
              <w:rPr>
                <w:color w:val="FFFFFF" w:themeColor="background1"/>
                <w:sz w:val="50"/>
                <w:szCs w:val="50"/>
              </w:rPr>
            </w:pPr>
          </w:p>
        </w:tc>
      </w:tr>
      <w:tr w:rsidR="001817CD" w:rsidRPr="00A62195" w14:paraId="3C3277A5" w14:textId="77777777" w:rsidTr="00C12918">
        <w:trPr>
          <w:trHeight w:val="4695"/>
        </w:trPr>
        <w:tc>
          <w:tcPr>
            <w:tcW w:w="8027" w:type="dxa"/>
            <w:shd w:val="clear" w:color="auto" w:fill="auto"/>
          </w:tcPr>
          <w:p w14:paraId="119C5BAD" w14:textId="77777777" w:rsidR="00C12918" w:rsidRDefault="00C12918" w:rsidP="00C12918">
            <w:pPr>
              <w:pStyle w:val="Coverinstructions"/>
              <w:ind w:left="567"/>
              <w:rPr>
                <w:color w:val="FFFFFF" w:themeColor="background1"/>
                <w:sz w:val="30"/>
                <w:szCs w:val="30"/>
              </w:rPr>
            </w:pPr>
          </w:p>
          <w:p w14:paraId="5BAE7681" w14:textId="77777777" w:rsidR="00C12918" w:rsidRDefault="00C12918" w:rsidP="00C12918">
            <w:pPr>
              <w:pStyle w:val="Coverinstructions"/>
              <w:ind w:left="567"/>
              <w:rPr>
                <w:color w:val="FFFFFF" w:themeColor="background1"/>
                <w:sz w:val="30"/>
                <w:szCs w:val="30"/>
              </w:rPr>
            </w:pPr>
          </w:p>
          <w:p w14:paraId="11FB6D97" w14:textId="2C65CE25" w:rsidR="00C12918" w:rsidRDefault="00C12918" w:rsidP="00C12918">
            <w:pPr>
              <w:pStyle w:val="Coverinstructions"/>
              <w:ind w:left="567"/>
              <w:rPr>
                <w:color w:val="FFFFFF" w:themeColor="background1"/>
                <w:sz w:val="30"/>
                <w:szCs w:val="30"/>
              </w:rPr>
            </w:pPr>
          </w:p>
          <w:p w14:paraId="58A22639" w14:textId="0C4802DC" w:rsidR="00C12918" w:rsidRDefault="00C12918" w:rsidP="00C12918">
            <w:pPr>
              <w:pStyle w:val="Coverinstructions"/>
              <w:ind w:left="567"/>
              <w:rPr>
                <w:color w:val="FFFFFF" w:themeColor="background1"/>
                <w:sz w:val="30"/>
                <w:szCs w:val="30"/>
              </w:rPr>
            </w:pPr>
          </w:p>
          <w:p w14:paraId="41A273C9" w14:textId="77777777" w:rsidR="002E240F" w:rsidRDefault="002E240F" w:rsidP="00C12918">
            <w:pPr>
              <w:pStyle w:val="Coverinstructions"/>
              <w:ind w:left="567"/>
              <w:rPr>
                <w:color w:val="FFFFFF" w:themeColor="background1"/>
                <w:sz w:val="30"/>
                <w:szCs w:val="30"/>
              </w:rPr>
            </w:pPr>
          </w:p>
          <w:p w14:paraId="4A670521" w14:textId="77777777" w:rsidR="00C12918" w:rsidRDefault="00C12918" w:rsidP="00C12918">
            <w:pPr>
              <w:pStyle w:val="Coverinstructions"/>
              <w:ind w:left="567"/>
              <w:rPr>
                <w:color w:val="FFFFFF" w:themeColor="background1"/>
                <w:sz w:val="30"/>
                <w:szCs w:val="30"/>
              </w:rPr>
            </w:pPr>
          </w:p>
          <w:p w14:paraId="4548D310" w14:textId="77777777" w:rsidR="00C12918" w:rsidRDefault="00C12918" w:rsidP="00C12918">
            <w:pPr>
              <w:pStyle w:val="Coverinstructions"/>
              <w:ind w:left="567"/>
              <w:rPr>
                <w:color w:val="FFFFFF" w:themeColor="background1"/>
                <w:sz w:val="30"/>
                <w:szCs w:val="30"/>
              </w:rPr>
            </w:pPr>
          </w:p>
          <w:p w14:paraId="5B649199" w14:textId="7DB10CE1" w:rsidR="00634BA3" w:rsidRPr="00084A71" w:rsidRDefault="002E240F" w:rsidP="00C12918">
            <w:pPr>
              <w:pStyle w:val="Coverinstructions"/>
              <w:ind w:left="567"/>
              <w:rPr>
                <w:color w:val="FFFFFF" w:themeColor="background1"/>
                <w:sz w:val="30"/>
                <w:szCs w:val="30"/>
              </w:rPr>
            </w:pPr>
            <w:r>
              <w:rPr>
                <w:color w:val="FFFFFF" w:themeColor="background1"/>
                <w:sz w:val="30"/>
                <w:szCs w:val="30"/>
              </w:rPr>
              <w:t xml:space="preserve">September </w:t>
            </w:r>
            <w:r w:rsidR="00335A03">
              <w:rPr>
                <w:color w:val="FFFFFF" w:themeColor="background1"/>
                <w:sz w:val="30"/>
                <w:szCs w:val="30"/>
              </w:rPr>
              <w:t>2020</w:t>
            </w:r>
          </w:p>
        </w:tc>
      </w:tr>
    </w:tbl>
    <w:p w14:paraId="7724BF58" w14:textId="77777777" w:rsidR="0069374A" w:rsidRPr="00A62195" w:rsidRDefault="0069374A" w:rsidP="00C2657D">
      <w:pPr>
        <w:pStyle w:val="DHHSbodynospace"/>
        <w:ind w:left="-454"/>
      </w:pPr>
    </w:p>
    <w:p w14:paraId="57CD7AF8" w14:textId="77777777" w:rsidR="00AC0C3B" w:rsidRPr="00A62195" w:rsidRDefault="00192F7A" w:rsidP="00CA6D4E">
      <w:pPr>
        <w:pStyle w:val="DHHSbodynospace"/>
      </w:pPr>
      <w:r>
        <w:rPr>
          <w:noProof/>
          <w:lang w:eastAsia="en-AU"/>
        </w:rPr>
        <mc:AlternateContent>
          <mc:Choice Requires="wps">
            <w:drawing>
              <wp:anchor distT="0" distB="0" distL="114300" distR="114300" simplePos="0" relativeHeight="251612160" behindDoc="0" locked="0" layoutInCell="1" allowOverlap="1" wp14:anchorId="2B930284" wp14:editId="41D44564">
                <wp:simplePos x="0" y="0"/>
                <wp:positionH relativeFrom="column">
                  <wp:posOffset>4572000</wp:posOffset>
                </wp:positionH>
                <wp:positionV relativeFrom="paragraph">
                  <wp:posOffset>10172700</wp:posOffset>
                </wp:positionV>
                <wp:extent cx="2514600" cy="342900"/>
                <wp:effectExtent l="0" t="0" r="0" b="0"/>
                <wp:wrapNone/>
                <wp:docPr id="9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7929" w14:textId="77777777" w:rsidR="005F2FE5" w:rsidRDefault="005F2FE5" w:rsidP="007A1A1D">
                            <w:r w:rsidRPr="000147AF">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30284" id="_x0000_t202" coordsize="21600,21600" o:spt="202" path="m,l,21600r21600,l21600,xe">
                <v:stroke joinstyle="miter"/>
                <v:path gradientshapeok="t" o:connecttype="rect"/>
              </v:shapetype>
              <v:shape id="Text Box 43" o:spid="_x0000_s1026" type="#_x0000_t202" style="position:absolute;margin-left:5in;margin-top:801pt;width:198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" filled="f" stroked="f">
                <v:textbox>
                  <w:txbxContent>
                    <w:p w14:paraId="4A287929" w14:textId="77777777" w:rsidR="005F2FE5" w:rsidRDefault="005F2FE5" w:rsidP="007A1A1D">
                      <w:r w:rsidRPr="000147AF">
                        <w:t>Department of Health</w:t>
                      </w:r>
                    </w:p>
                  </w:txbxContent>
                </v:textbox>
              </v:shape>
            </w:pict>
          </mc:Fallback>
        </mc:AlternateContent>
      </w:r>
    </w:p>
    <w:p w14:paraId="39565158" w14:textId="77777777" w:rsidR="00A22B27" w:rsidRDefault="00A22B27" w:rsidP="00CA6D4E">
      <w:pPr>
        <w:pStyle w:val="DHHSbodynospace"/>
      </w:pPr>
    </w:p>
    <w:p w14:paraId="3F7B5F21" w14:textId="77777777" w:rsidR="00A22B27" w:rsidRPr="00A62195" w:rsidRDefault="00A22B27" w:rsidP="00CA6D4E">
      <w:pPr>
        <w:pStyle w:val="DHHSbodynospace"/>
      </w:pPr>
    </w:p>
    <w:p w14:paraId="7AFD5DBC" w14:textId="3885E970" w:rsidR="00AC0C3B" w:rsidRPr="00A62195" w:rsidRDefault="00AC0C3B" w:rsidP="00CA6D4E">
      <w:pPr>
        <w:pStyle w:val="DHHSbodynospace"/>
      </w:pPr>
    </w:p>
    <w:p w14:paraId="6501F2F3" w14:textId="22378E43" w:rsidR="00702EED" w:rsidRPr="00A62195" w:rsidRDefault="00702EED" w:rsidP="000F6F1A">
      <w:pPr>
        <w:pStyle w:val="Heading1"/>
        <w:pageBreakBefore/>
        <w:numPr>
          <w:ilvl w:val="0"/>
          <w:numId w:val="0"/>
        </w:numPr>
      </w:pPr>
      <w:bookmarkStart w:id="2" w:name="_Toc499826894"/>
      <w:bookmarkStart w:id="3" w:name="_Toc50547711"/>
      <w:r w:rsidRPr="00A62195">
        <w:lastRenderedPageBreak/>
        <w:t>Copyright and confidentiality statement</w:t>
      </w:r>
      <w:bookmarkEnd w:id="2"/>
      <w:bookmarkEnd w:id="3"/>
    </w:p>
    <w:p w14:paraId="16D245A6" w14:textId="77777777" w:rsidR="00702EED" w:rsidRPr="00A62195" w:rsidRDefault="00702EED" w:rsidP="00702EED">
      <w:pPr>
        <w:pStyle w:val="DHHSbody"/>
      </w:pPr>
      <w:r w:rsidRPr="00A62195">
        <w:t>This work is Copyright © Department of Health and Human Services. Other than as permitted by law, no part of this document may be reproduced, stored in a retrieval system or transmitted in any form or by any other process without prior written permission.</w:t>
      </w:r>
    </w:p>
    <w:p w14:paraId="1BC69DF7" w14:textId="69B47C7A" w:rsidR="00702EED" w:rsidRPr="00A62195" w:rsidRDefault="00702EED" w:rsidP="00702EED">
      <w:pPr>
        <w:pStyle w:val="DHHSbody"/>
      </w:pPr>
      <w:r w:rsidRPr="00A62195">
        <w:t>Department of Health and Human Services reserves all rights to the information and intellectual property contained herein. This document may contain information relating to the business, commercial, financial, clinical and technical activities of Department of Health and Human Services. This information is intended for the sole use of the recipient as the disclosure of this information to a third party may expose Department of Health and Human Services to a considerable disadvantage. Except for the purpose of its intention, no part of this document may be reproduced, stored in a retrieval system or transmitted in any form by any process without prior written permission</w:t>
      </w:r>
      <w:r w:rsidR="0029022A">
        <w:t>.</w:t>
      </w:r>
    </w:p>
    <w:p w14:paraId="2DA6CA19" w14:textId="77777777" w:rsidR="00ED4D17" w:rsidRPr="00A62195" w:rsidRDefault="00ED4D17" w:rsidP="003072C6">
      <w:pPr>
        <w:pStyle w:val="DHHSbody"/>
      </w:pPr>
    </w:p>
    <w:p w14:paraId="72A3F1DA" w14:textId="77777777" w:rsidR="00AC0C3B" w:rsidRPr="00A62195" w:rsidRDefault="006E50B3" w:rsidP="00D97EFC">
      <w:pPr>
        <w:pStyle w:val="Heading1"/>
        <w:numPr>
          <w:ilvl w:val="0"/>
          <w:numId w:val="0"/>
        </w:numPr>
        <w:ind w:left="360" w:hanging="360"/>
      </w:pPr>
      <w:bookmarkStart w:id="4" w:name="_Toc499826895"/>
      <w:bookmarkStart w:id="5" w:name="_Toc50547712"/>
      <w:r w:rsidRPr="00D97EFC">
        <w:lastRenderedPageBreak/>
        <w:t>Table</w:t>
      </w:r>
      <w:r w:rsidRPr="00A62195">
        <w:t xml:space="preserve"> of </w:t>
      </w:r>
      <w:r w:rsidR="00AC0C3B" w:rsidRPr="00A62195">
        <w:t>Contents</w:t>
      </w:r>
      <w:bookmarkEnd w:id="4"/>
      <w:bookmarkEnd w:id="5"/>
    </w:p>
    <w:p w14:paraId="0D7ED54E" w14:textId="3B451BC4" w:rsidR="009F187D" w:rsidRDefault="00E15DA9">
      <w:pPr>
        <w:pStyle w:val="TOC1"/>
        <w:rPr>
          <w:rFonts w:asciiTheme="minorHAnsi" w:eastAsiaTheme="minorEastAsia" w:hAnsiTheme="minorHAnsi" w:cstheme="minorBidi"/>
          <w:b w:val="0"/>
          <w:sz w:val="22"/>
          <w:szCs w:val="22"/>
          <w:lang w:eastAsia="en-AU"/>
        </w:rPr>
      </w:pPr>
      <w:r w:rsidRPr="00A62195">
        <w:rPr>
          <w:noProof w:val="0"/>
        </w:rPr>
        <w:fldChar w:fldCharType="begin"/>
      </w:r>
      <w:r w:rsidRPr="00A62195">
        <w:rPr>
          <w:noProof w:val="0"/>
        </w:rPr>
        <w:instrText xml:space="preserve"> TOC \h \z \t "Heading 1,1,Heading 2,2" </w:instrText>
      </w:r>
      <w:r w:rsidRPr="00A62195">
        <w:rPr>
          <w:noProof w:val="0"/>
        </w:rPr>
        <w:fldChar w:fldCharType="separate"/>
      </w:r>
      <w:hyperlink w:anchor="_Toc50547711" w:history="1">
        <w:r w:rsidR="009F187D" w:rsidRPr="00714F50">
          <w:rPr>
            <w:rStyle w:val="Hyperlink"/>
          </w:rPr>
          <w:t>Copyright and confidentiality statement</w:t>
        </w:r>
        <w:r w:rsidR="009F187D">
          <w:rPr>
            <w:webHidden/>
          </w:rPr>
          <w:tab/>
        </w:r>
        <w:r w:rsidR="009F187D">
          <w:rPr>
            <w:webHidden/>
          </w:rPr>
          <w:fldChar w:fldCharType="begin"/>
        </w:r>
        <w:r w:rsidR="009F187D">
          <w:rPr>
            <w:webHidden/>
          </w:rPr>
          <w:instrText xml:space="preserve"> PAGEREF _Toc50547711 \h </w:instrText>
        </w:r>
        <w:r w:rsidR="009F187D">
          <w:rPr>
            <w:webHidden/>
          </w:rPr>
        </w:r>
        <w:r w:rsidR="009F187D">
          <w:rPr>
            <w:webHidden/>
          </w:rPr>
          <w:fldChar w:fldCharType="separate"/>
        </w:r>
        <w:r w:rsidR="009F187D">
          <w:rPr>
            <w:webHidden/>
          </w:rPr>
          <w:t>2</w:t>
        </w:r>
        <w:r w:rsidR="009F187D">
          <w:rPr>
            <w:webHidden/>
          </w:rPr>
          <w:fldChar w:fldCharType="end"/>
        </w:r>
      </w:hyperlink>
    </w:p>
    <w:p w14:paraId="55C9BB5F" w14:textId="3E253396" w:rsidR="009F187D" w:rsidRDefault="0073313A">
      <w:pPr>
        <w:pStyle w:val="TOC1"/>
        <w:rPr>
          <w:rFonts w:asciiTheme="minorHAnsi" w:eastAsiaTheme="minorEastAsia" w:hAnsiTheme="minorHAnsi" w:cstheme="minorBidi"/>
          <w:b w:val="0"/>
          <w:sz w:val="22"/>
          <w:szCs w:val="22"/>
          <w:lang w:eastAsia="en-AU"/>
        </w:rPr>
      </w:pPr>
      <w:hyperlink w:anchor="_Toc50547712" w:history="1">
        <w:r w:rsidR="009F187D" w:rsidRPr="00714F50">
          <w:rPr>
            <w:rStyle w:val="Hyperlink"/>
          </w:rPr>
          <w:t>Table of Contents</w:t>
        </w:r>
        <w:r w:rsidR="009F187D">
          <w:rPr>
            <w:webHidden/>
          </w:rPr>
          <w:tab/>
        </w:r>
        <w:r w:rsidR="009F187D">
          <w:rPr>
            <w:webHidden/>
          </w:rPr>
          <w:fldChar w:fldCharType="begin"/>
        </w:r>
        <w:r w:rsidR="009F187D">
          <w:rPr>
            <w:webHidden/>
          </w:rPr>
          <w:instrText xml:space="preserve"> PAGEREF _Toc50547712 \h </w:instrText>
        </w:r>
        <w:r w:rsidR="009F187D">
          <w:rPr>
            <w:webHidden/>
          </w:rPr>
        </w:r>
        <w:r w:rsidR="009F187D">
          <w:rPr>
            <w:webHidden/>
          </w:rPr>
          <w:fldChar w:fldCharType="separate"/>
        </w:r>
        <w:r w:rsidR="009F187D">
          <w:rPr>
            <w:webHidden/>
          </w:rPr>
          <w:t>3</w:t>
        </w:r>
        <w:r w:rsidR="009F187D">
          <w:rPr>
            <w:webHidden/>
          </w:rPr>
          <w:fldChar w:fldCharType="end"/>
        </w:r>
      </w:hyperlink>
    </w:p>
    <w:p w14:paraId="37260188" w14:textId="431F9866" w:rsidR="009F187D" w:rsidRDefault="0073313A">
      <w:pPr>
        <w:pStyle w:val="TOC1"/>
        <w:rPr>
          <w:rFonts w:asciiTheme="minorHAnsi" w:eastAsiaTheme="minorEastAsia" w:hAnsiTheme="minorHAnsi" w:cstheme="minorBidi"/>
          <w:b w:val="0"/>
          <w:sz w:val="22"/>
          <w:szCs w:val="22"/>
          <w:lang w:eastAsia="en-AU"/>
        </w:rPr>
      </w:pPr>
      <w:hyperlink w:anchor="_Toc50547713" w:history="1">
        <w:r w:rsidR="009F187D" w:rsidRPr="00714F50">
          <w:rPr>
            <w:rStyle w:val="Hyperlink"/>
          </w:rPr>
          <w:t>Version control and reviews</w:t>
        </w:r>
        <w:r w:rsidR="009F187D">
          <w:rPr>
            <w:webHidden/>
          </w:rPr>
          <w:tab/>
        </w:r>
        <w:r w:rsidR="009F187D">
          <w:rPr>
            <w:webHidden/>
          </w:rPr>
          <w:fldChar w:fldCharType="begin"/>
        </w:r>
        <w:r w:rsidR="009F187D">
          <w:rPr>
            <w:webHidden/>
          </w:rPr>
          <w:instrText xml:space="preserve"> PAGEREF _Toc50547713 \h </w:instrText>
        </w:r>
        <w:r w:rsidR="009F187D">
          <w:rPr>
            <w:webHidden/>
          </w:rPr>
        </w:r>
        <w:r w:rsidR="009F187D">
          <w:rPr>
            <w:webHidden/>
          </w:rPr>
          <w:fldChar w:fldCharType="separate"/>
        </w:r>
        <w:r w:rsidR="009F187D">
          <w:rPr>
            <w:webHidden/>
          </w:rPr>
          <w:t>5</w:t>
        </w:r>
        <w:r w:rsidR="009F187D">
          <w:rPr>
            <w:webHidden/>
          </w:rPr>
          <w:fldChar w:fldCharType="end"/>
        </w:r>
      </w:hyperlink>
    </w:p>
    <w:p w14:paraId="481585F6" w14:textId="481FDFBC" w:rsidR="009F187D" w:rsidRDefault="0073313A">
      <w:pPr>
        <w:pStyle w:val="TOC1"/>
        <w:tabs>
          <w:tab w:val="left" w:pos="567"/>
        </w:tabs>
        <w:rPr>
          <w:rFonts w:asciiTheme="minorHAnsi" w:eastAsiaTheme="minorEastAsia" w:hAnsiTheme="minorHAnsi" w:cstheme="minorBidi"/>
          <w:b w:val="0"/>
          <w:sz w:val="22"/>
          <w:szCs w:val="22"/>
          <w:lang w:eastAsia="en-AU"/>
        </w:rPr>
      </w:pPr>
      <w:hyperlink w:anchor="_Toc50547714" w:history="1">
        <w:r w:rsidR="009F187D" w:rsidRPr="00714F50">
          <w:rPr>
            <w:rStyle w:val="Hyperlink"/>
          </w:rPr>
          <w:t>1</w:t>
        </w:r>
        <w:r w:rsidR="009F187D">
          <w:rPr>
            <w:rFonts w:asciiTheme="minorHAnsi" w:eastAsiaTheme="minorEastAsia" w:hAnsiTheme="minorHAnsi" w:cstheme="minorBidi"/>
            <w:b w:val="0"/>
            <w:sz w:val="22"/>
            <w:szCs w:val="22"/>
            <w:lang w:eastAsia="en-AU"/>
          </w:rPr>
          <w:tab/>
        </w:r>
        <w:r w:rsidR="009F187D" w:rsidRPr="00714F50">
          <w:rPr>
            <w:rStyle w:val="Hyperlink"/>
          </w:rPr>
          <w:t>Overview</w:t>
        </w:r>
        <w:r w:rsidR="009F187D">
          <w:rPr>
            <w:webHidden/>
          </w:rPr>
          <w:tab/>
        </w:r>
        <w:r w:rsidR="009F187D">
          <w:rPr>
            <w:webHidden/>
          </w:rPr>
          <w:fldChar w:fldCharType="begin"/>
        </w:r>
        <w:r w:rsidR="009F187D">
          <w:rPr>
            <w:webHidden/>
          </w:rPr>
          <w:instrText xml:space="preserve"> PAGEREF _Toc50547714 \h </w:instrText>
        </w:r>
        <w:r w:rsidR="009F187D">
          <w:rPr>
            <w:webHidden/>
          </w:rPr>
        </w:r>
        <w:r w:rsidR="009F187D">
          <w:rPr>
            <w:webHidden/>
          </w:rPr>
          <w:fldChar w:fldCharType="separate"/>
        </w:r>
        <w:r w:rsidR="009F187D">
          <w:rPr>
            <w:webHidden/>
          </w:rPr>
          <w:t>7</w:t>
        </w:r>
        <w:r w:rsidR="009F187D">
          <w:rPr>
            <w:webHidden/>
          </w:rPr>
          <w:fldChar w:fldCharType="end"/>
        </w:r>
      </w:hyperlink>
    </w:p>
    <w:p w14:paraId="7CC11A1C" w14:textId="6A79D1C9" w:rsidR="009F187D" w:rsidRDefault="0073313A">
      <w:pPr>
        <w:pStyle w:val="TOC1"/>
        <w:tabs>
          <w:tab w:val="left" w:pos="567"/>
        </w:tabs>
        <w:rPr>
          <w:rFonts w:asciiTheme="minorHAnsi" w:eastAsiaTheme="minorEastAsia" w:hAnsiTheme="minorHAnsi" w:cstheme="minorBidi"/>
          <w:b w:val="0"/>
          <w:sz w:val="22"/>
          <w:szCs w:val="22"/>
          <w:lang w:eastAsia="en-AU"/>
        </w:rPr>
      </w:pPr>
      <w:hyperlink w:anchor="_Toc50547715" w:history="1">
        <w:r w:rsidR="009F187D" w:rsidRPr="00714F50">
          <w:rPr>
            <w:rStyle w:val="Hyperlink"/>
          </w:rPr>
          <w:t>2</w:t>
        </w:r>
        <w:r w:rsidR="009F187D">
          <w:rPr>
            <w:rFonts w:asciiTheme="minorHAnsi" w:eastAsiaTheme="minorEastAsia" w:hAnsiTheme="minorHAnsi" w:cstheme="minorBidi"/>
            <w:b w:val="0"/>
            <w:sz w:val="22"/>
            <w:szCs w:val="22"/>
            <w:lang w:eastAsia="en-AU"/>
          </w:rPr>
          <w:tab/>
        </w:r>
        <w:r w:rsidR="009F187D" w:rsidRPr="00714F50">
          <w:rPr>
            <w:rStyle w:val="Hyperlink"/>
          </w:rPr>
          <w:t>Introduction</w:t>
        </w:r>
        <w:r w:rsidR="009F187D">
          <w:rPr>
            <w:webHidden/>
          </w:rPr>
          <w:tab/>
        </w:r>
        <w:r w:rsidR="009F187D">
          <w:rPr>
            <w:webHidden/>
          </w:rPr>
          <w:fldChar w:fldCharType="begin"/>
        </w:r>
        <w:r w:rsidR="009F187D">
          <w:rPr>
            <w:webHidden/>
          </w:rPr>
          <w:instrText xml:space="preserve"> PAGEREF _Toc50547715 \h </w:instrText>
        </w:r>
        <w:r w:rsidR="009F187D">
          <w:rPr>
            <w:webHidden/>
          </w:rPr>
        </w:r>
        <w:r w:rsidR="009F187D">
          <w:rPr>
            <w:webHidden/>
          </w:rPr>
          <w:fldChar w:fldCharType="separate"/>
        </w:r>
        <w:r w:rsidR="009F187D">
          <w:rPr>
            <w:webHidden/>
          </w:rPr>
          <w:t>8</w:t>
        </w:r>
        <w:r w:rsidR="009F187D">
          <w:rPr>
            <w:webHidden/>
          </w:rPr>
          <w:fldChar w:fldCharType="end"/>
        </w:r>
      </w:hyperlink>
    </w:p>
    <w:p w14:paraId="1713AC05" w14:textId="2C1A90BC" w:rsidR="009F187D" w:rsidRDefault="0073313A">
      <w:pPr>
        <w:pStyle w:val="TOC2"/>
        <w:tabs>
          <w:tab w:val="left" w:pos="567"/>
        </w:tabs>
        <w:rPr>
          <w:rFonts w:asciiTheme="minorHAnsi" w:eastAsiaTheme="minorEastAsia" w:hAnsiTheme="minorHAnsi" w:cstheme="minorBidi"/>
          <w:sz w:val="22"/>
          <w:szCs w:val="22"/>
          <w:lang w:eastAsia="en-AU"/>
        </w:rPr>
      </w:pPr>
      <w:hyperlink w:anchor="_Toc50547716" w:history="1">
        <w:r w:rsidR="009F187D" w:rsidRPr="00714F50">
          <w:rPr>
            <w:rStyle w:val="Hyperlink"/>
          </w:rPr>
          <w:t>2.1</w:t>
        </w:r>
        <w:r w:rsidR="009F187D">
          <w:rPr>
            <w:rFonts w:asciiTheme="minorHAnsi" w:eastAsiaTheme="minorEastAsia" w:hAnsiTheme="minorHAnsi" w:cstheme="minorBidi"/>
            <w:sz w:val="22"/>
            <w:szCs w:val="22"/>
            <w:lang w:eastAsia="en-AU"/>
          </w:rPr>
          <w:tab/>
        </w:r>
        <w:r w:rsidR="009F187D" w:rsidRPr="00714F50">
          <w:rPr>
            <w:rStyle w:val="Hyperlink"/>
          </w:rPr>
          <w:t>Background</w:t>
        </w:r>
        <w:r w:rsidR="009F187D">
          <w:rPr>
            <w:webHidden/>
          </w:rPr>
          <w:tab/>
        </w:r>
        <w:r w:rsidR="009F187D">
          <w:rPr>
            <w:webHidden/>
          </w:rPr>
          <w:fldChar w:fldCharType="begin"/>
        </w:r>
        <w:r w:rsidR="009F187D">
          <w:rPr>
            <w:webHidden/>
          </w:rPr>
          <w:instrText xml:space="preserve"> PAGEREF _Toc50547716 \h </w:instrText>
        </w:r>
        <w:r w:rsidR="009F187D">
          <w:rPr>
            <w:webHidden/>
          </w:rPr>
        </w:r>
        <w:r w:rsidR="009F187D">
          <w:rPr>
            <w:webHidden/>
          </w:rPr>
          <w:fldChar w:fldCharType="separate"/>
        </w:r>
        <w:r w:rsidR="009F187D">
          <w:rPr>
            <w:webHidden/>
          </w:rPr>
          <w:t>8</w:t>
        </w:r>
        <w:r w:rsidR="009F187D">
          <w:rPr>
            <w:webHidden/>
          </w:rPr>
          <w:fldChar w:fldCharType="end"/>
        </w:r>
      </w:hyperlink>
    </w:p>
    <w:p w14:paraId="68BAFB6E" w14:textId="51A53BA3" w:rsidR="009F187D" w:rsidRDefault="0073313A">
      <w:pPr>
        <w:pStyle w:val="TOC2"/>
        <w:tabs>
          <w:tab w:val="left" w:pos="567"/>
        </w:tabs>
        <w:rPr>
          <w:rFonts w:asciiTheme="minorHAnsi" w:eastAsiaTheme="minorEastAsia" w:hAnsiTheme="minorHAnsi" w:cstheme="minorBidi"/>
          <w:sz w:val="22"/>
          <w:szCs w:val="22"/>
          <w:lang w:eastAsia="en-AU"/>
        </w:rPr>
      </w:pPr>
      <w:hyperlink w:anchor="_Toc50547717" w:history="1">
        <w:r w:rsidR="009F187D" w:rsidRPr="00714F50">
          <w:rPr>
            <w:rStyle w:val="Hyperlink"/>
          </w:rPr>
          <w:t>2.2</w:t>
        </w:r>
        <w:r w:rsidR="009F187D">
          <w:rPr>
            <w:rFonts w:asciiTheme="minorHAnsi" w:eastAsiaTheme="minorEastAsia" w:hAnsiTheme="minorHAnsi" w:cstheme="minorBidi"/>
            <w:sz w:val="22"/>
            <w:szCs w:val="22"/>
            <w:lang w:eastAsia="en-AU"/>
          </w:rPr>
          <w:tab/>
        </w:r>
        <w:r w:rsidR="009F187D" w:rsidRPr="00714F50">
          <w:rPr>
            <w:rStyle w:val="Hyperlink"/>
          </w:rPr>
          <w:t>Document Purpose</w:t>
        </w:r>
        <w:r w:rsidR="009F187D">
          <w:rPr>
            <w:webHidden/>
          </w:rPr>
          <w:tab/>
        </w:r>
        <w:r w:rsidR="009F187D">
          <w:rPr>
            <w:webHidden/>
          </w:rPr>
          <w:fldChar w:fldCharType="begin"/>
        </w:r>
        <w:r w:rsidR="009F187D">
          <w:rPr>
            <w:webHidden/>
          </w:rPr>
          <w:instrText xml:space="preserve"> PAGEREF _Toc50547717 \h </w:instrText>
        </w:r>
        <w:r w:rsidR="009F187D">
          <w:rPr>
            <w:webHidden/>
          </w:rPr>
        </w:r>
        <w:r w:rsidR="009F187D">
          <w:rPr>
            <w:webHidden/>
          </w:rPr>
          <w:fldChar w:fldCharType="separate"/>
        </w:r>
        <w:r w:rsidR="009F187D">
          <w:rPr>
            <w:webHidden/>
          </w:rPr>
          <w:t>9</w:t>
        </w:r>
        <w:r w:rsidR="009F187D">
          <w:rPr>
            <w:webHidden/>
          </w:rPr>
          <w:fldChar w:fldCharType="end"/>
        </w:r>
      </w:hyperlink>
    </w:p>
    <w:p w14:paraId="684C8CF7" w14:textId="356E9B57" w:rsidR="009F187D" w:rsidRDefault="0073313A">
      <w:pPr>
        <w:pStyle w:val="TOC2"/>
        <w:tabs>
          <w:tab w:val="left" w:pos="567"/>
        </w:tabs>
        <w:rPr>
          <w:rFonts w:asciiTheme="minorHAnsi" w:eastAsiaTheme="minorEastAsia" w:hAnsiTheme="minorHAnsi" w:cstheme="minorBidi"/>
          <w:sz w:val="22"/>
          <w:szCs w:val="22"/>
          <w:lang w:eastAsia="en-AU"/>
        </w:rPr>
      </w:pPr>
      <w:hyperlink w:anchor="_Toc50547718" w:history="1">
        <w:r w:rsidR="009F187D" w:rsidRPr="00714F50">
          <w:rPr>
            <w:rStyle w:val="Hyperlink"/>
          </w:rPr>
          <w:t>2.3</w:t>
        </w:r>
        <w:r w:rsidR="009F187D">
          <w:rPr>
            <w:rFonts w:asciiTheme="minorHAnsi" w:eastAsiaTheme="minorEastAsia" w:hAnsiTheme="minorHAnsi" w:cstheme="minorBidi"/>
            <w:sz w:val="22"/>
            <w:szCs w:val="22"/>
            <w:lang w:eastAsia="en-AU"/>
          </w:rPr>
          <w:tab/>
        </w:r>
        <w:r w:rsidR="009F187D" w:rsidRPr="00714F50">
          <w:rPr>
            <w:rStyle w:val="Hyperlink"/>
          </w:rPr>
          <w:t>Scope</w:t>
        </w:r>
        <w:r w:rsidR="009F187D">
          <w:rPr>
            <w:webHidden/>
          </w:rPr>
          <w:tab/>
        </w:r>
        <w:r w:rsidR="009F187D">
          <w:rPr>
            <w:webHidden/>
          </w:rPr>
          <w:fldChar w:fldCharType="begin"/>
        </w:r>
        <w:r w:rsidR="009F187D">
          <w:rPr>
            <w:webHidden/>
          </w:rPr>
          <w:instrText xml:space="preserve"> PAGEREF _Toc50547718 \h </w:instrText>
        </w:r>
        <w:r w:rsidR="009F187D">
          <w:rPr>
            <w:webHidden/>
          </w:rPr>
        </w:r>
        <w:r w:rsidR="009F187D">
          <w:rPr>
            <w:webHidden/>
          </w:rPr>
          <w:fldChar w:fldCharType="separate"/>
        </w:r>
        <w:r w:rsidR="009F187D">
          <w:rPr>
            <w:webHidden/>
          </w:rPr>
          <w:t>9</w:t>
        </w:r>
        <w:r w:rsidR="009F187D">
          <w:rPr>
            <w:webHidden/>
          </w:rPr>
          <w:fldChar w:fldCharType="end"/>
        </w:r>
      </w:hyperlink>
    </w:p>
    <w:p w14:paraId="5BC8D00C" w14:textId="0CC39CFC" w:rsidR="009F187D" w:rsidRDefault="0073313A">
      <w:pPr>
        <w:pStyle w:val="TOC2"/>
        <w:tabs>
          <w:tab w:val="left" w:pos="567"/>
        </w:tabs>
        <w:rPr>
          <w:rFonts w:asciiTheme="minorHAnsi" w:eastAsiaTheme="minorEastAsia" w:hAnsiTheme="minorHAnsi" w:cstheme="minorBidi"/>
          <w:sz w:val="22"/>
          <w:szCs w:val="22"/>
          <w:lang w:eastAsia="en-AU"/>
        </w:rPr>
      </w:pPr>
      <w:hyperlink w:anchor="_Toc50547719" w:history="1">
        <w:r w:rsidR="009F187D" w:rsidRPr="00714F50">
          <w:rPr>
            <w:rStyle w:val="Hyperlink"/>
          </w:rPr>
          <w:t>2.4</w:t>
        </w:r>
        <w:r w:rsidR="009F187D">
          <w:rPr>
            <w:rFonts w:asciiTheme="minorHAnsi" w:eastAsiaTheme="minorEastAsia" w:hAnsiTheme="minorHAnsi" w:cstheme="minorBidi"/>
            <w:sz w:val="22"/>
            <w:szCs w:val="22"/>
            <w:lang w:eastAsia="en-AU"/>
          </w:rPr>
          <w:tab/>
        </w:r>
        <w:r w:rsidR="009F187D" w:rsidRPr="00714F50">
          <w:rPr>
            <w:rStyle w:val="Hyperlink"/>
          </w:rPr>
          <w:t>Audience/Stakeholders</w:t>
        </w:r>
        <w:r w:rsidR="009F187D">
          <w:rPr>
            <w:webHidden/>
          </w:rPr>
          <w:tab/>
        </w:r>
        <w:r w:rsidR="009F187D">
          <w:rPr>
            <w:webHidden/>
          </w:rPr>
          <w:fldChar w:fldCharType="begin"/>
        </w:r>
        <w:r w:rsidR="009F187D">
          <w:rPr>
            <w:webHidden/>
          </w:rPr>
          <w:instrText xml:space="preserve"> PAGEREF _Toc50547719 \h </w:instrText>
        </w:r>
        <w:r w:rsidR="009F187D">
          <w:rPr>
            <w:webHidden/>
          </w:rPr>
        </w:r>
        <w:r w:rsidR="009F187D">
          <w:rPr>
            <w:webHidden/>
          </w:rPr>
          <w:fldChar w:fldCharType="separate"/>
        </w:r>
        <w:r w:rsidR="009F187D">
          <w:rPr>
            <w:webHidden/>
          </w:rPr>
          <w:t>10</w:t>
        </w:r>
        <w:r w:rsidR="009F187D">
          <w:rPr>
            <w:webHidden/>
          </w:rPr>
          <w:fldChar w:fldCharType="end"/>
        </w:r>
      </w:hyperlink>
    </w:p>
    <w:p w14:paraId="41E240EA" w14:textId="7CA15552"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0" w:history="1">
        <w:r w:rsidR="009F187D" w:rsidRPr="00714F50">
          <w:rPr>
            <w:rStyle w:val="Hyperlink"/>
          </w:rPr>
          <w:t>2.5</w:t>
        </w:r>
        <w:r w:rsidR="009F187D">
          <w:rPr>
            <w:rFonts w:asciiTheme="minorHAnsi" w:eastAsiaTheme="minorEastAsia" w:hAnsiTheme="minorHAnsi" w:cstheme="minorBidi"/>
            <w:sz w:val="22"/>
            <w:szCs w:val="22"/>
            <w:lang w:eastAsia="en-AU"/>
          </w:rPr>
          <w:tab/>
        </w:r>
        <w:r w:rsidR="009F187D" w:rsidRPr="00714F50">
          <w:rPr>
            <w:rStyle w:val="Hyperlink"/>
          </w:rPr>
          <w:t>Other related specifications</w:t>
        </w:r>
        <w:r w:rsidR="009F187D">
          <w:rPr>
            <w:webHidden/>
          </w:rPr>
          <w:tab/>
        </w:r>
        <w:r w:rsidR="009F187D">
          <w:rPr>
            <w:webHidden/>
          </w:rPr>
          <w:fldChar w:fldCharType="begin"/>
        </w:r>
        <w:r w:rsidR="009F187D">
          <w:rPr>
            <w:webHidden/>
          </w:rPr>
          <w:instrText xml:space="preserve"> PAGEREF _Toc50547720 \h </w:instrText>
        </w:r>
        <w:r w:rsidR="009F187D">
          <w:rPr>
            <w:webHidden/>
          </w:rPr>
        </w:r>
        <w:r w:rsidR="009F187D">
          <w:rPr>
            <w:webHidden/>
          </w:rPr>
          <w:fldChar w:fldCharType="separate"/>
        </w:r>
        <w:r w:rsidR="009F187D">
          <w:rPr>
            <w:webHidden/>
          </w:rPr>
          <w:t>10</w:t>
        </w:r>
        <w:r w:rsidR="009F187D">
          <w:rPr>
            <w:webHidden/>
          </w:rPr>
          <w:fldChar w:fldCharType="end"/>
        </w:r>
      </w:hyperlink>
    </w:p>
    <w:p w14:paraId="1FE121B5" w14:textId="0761EF00" w:rsidR="009F187D" w:rsidRDefault="0073313A">
      <w:pPr>
        <w:pStyle w:val="TOC1"/>
        <w:tabs>
          <w:tab w:val="left" w:pos="567"/>
        </w:tabs>
        <w:rPr>
          <w:rFonts w:asciiTheme="minorHAnsi" w:eastAsiaTheme="minorEastAsia" w:hAnsiTheme="minorHAnsi" w:cstheme="minorBidi"/>
          <w:b w:val="0"/>
          <w:sz w:val="22"/>
          <w:szCs w:val="22"/>
          <w:lang w:eastAsia="en-AU"/>
        </w:rPr>
      </w:pPr>
      <w:hyperlink w:anchor="_Toc50547721" w:history="1">
        <w:r w:rsidR="009F187D" w:rsidRPr="00714F50">
          <w:rPr>
            <w:rStyle w:val="Hyperlink"/>
          </w:rPr>
          <w:t>3</w:t>
        </w:r>
        <w:r w:rsidR="009F187D">
          <w:rPr>
            <w:rFonts w:asciiTheme="minorHAnsi" w:eastAsiaTheme="minorEastAsia" w:hAnsiTheme="minorHAnsi" w:cstheme="minorBidi"/>
            <w:b w:val="0"/>
            <w:sz w:val="22"/>
            <w:szCs w:val="22"/>
            <w:lang w:eastAsia="en-AU"/>
          </w:rPr>
          <w:tab/>
        </w:r>
        <w:r w:rsidR="009F187D" w:rsidRPr="00714F50">
          <w:rPr>
            <w:rStyle w:val="Hyperlink"/>
          </w:rPr>
          <w:t>Generic Design Principles</w:t>
        </w:r>
        <w:r w:rsidR="009F187D">
          <w:rPr>
            <w:webHidden/>
          </w:rPr>
          <w:tab/>
        </w:r>
        <w:r w:rsidR="009F187D">
          <w:rPr>
            <w:webHidden/>
          </w:rPr>
          <w:fldChar w:fldCharType="begin"/>
        </w:r>
        <w:r w:rsidR="009F187D">
          <w:rPr>
            <w:webHidden/>
          </w:rPr>
          <w:instrText xml:space="preserve"> PAGEREF _Toc50547721 \h </w:instrText>
        </w:r>
        <w:r w:rsidR="009F187D">
          <w:rPr>
            <w:webHidden/>
          </w:rPr>
        </w:r>
        <w:r w:rsidR="009F187D">
          <w:rPr>
            <w:webHidden/>
          </w:rPr>
          <w:fldChar w:fldCharType="separate"/>
        </w:r>
        <w:r w:rsidR="009F187D">
          <w:rPr>
            <w:webHidden/>
          </w:rPr>
          <w:t>11</w:t>
        </w:r>
        <w:r w:rsidR="009F187D">
          <w:rPr>
            <w:webHidden/>
          </w:rPr>
          <w:fldChar w:fldCharType="end"/>
        </w:r>
      </w:hyperlink>
    </w:p>
    <w:p w14:paraId="1AD6E849" w14:textId="573F800E"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2" w:history="1">
        <w:r w:rsidR="009F187D" w:rsidRPr="00714F50">
          <w:rPr>
            <w:rStyle w:val="Hyperlink"/>
          </w:rPr>
          <w:t>3.1</w:t>
        </w:r>
        <w:r w:rsidR="009F187D">
          <w:rPr>
            <w:rFonts w:asciiTheme="minorHAnsi" w:eastAsiaTheme="minorEastAsia" w:hAnsiTheme="minorHAnsi" w:cstheme="minorBidi"/>
            <w:sz w:val="22"/>
            <w:szCs w:val="22"/>
            <w:lang w:eastAsia="en-AU"/>
          </w:rPr>
          <w:tab/>
        </w:r>
        <w:r w:rsidR="009F187D" w:rsidRPr="00714F50">
          <w:rPr>
            <w:rStyle w:val="Hyperlink"/>
          </w:rPr>
          <w:t>Health Application Solution Objectives</w:t>
        </w:r>
        <w:r w:rsidR="009F187D">
          <w:rPr>
            <w:webHidden/>
          </w:rPr>
          <w:tab/>
        </w:r>
        <w:r w:rsidR="009F187D">
          <w:rPr>
            <w:webHidden/>
          </w:rPr>
          <w:fldChar w:fldCharType="begin"/>
        </w:r>
        <w:r w:rsidR="009F187D">
          <w:rPr>
            <w:webHidden/>
          </w:rPr>
          <w:instrText xml:space="preserve"> PAGEREF _Toc50547722 \h </w:instrText>
        </w:r>
        <w:r w:rsidR="009F187D">
          <w:rPr>
            <w:webHidden/>
          </w:rPr>
        </w:r>
        <w:r w:rsidR="009F187D">
          <w:rPr>
            <w:webHidden/>
          </w:rPr>
          <w:fldChar w:fldCharType="separate"/>
        </w:r>
        <w:r w:rsidR="009F187D">
          <w:rPr>
            <w:webHidden/>
          </w:rPr>
          <w:t>11</w:t>
        </w:r>
        <w:r w:rsidR="009F187D">
          <w:rPr>
            <w:webHidden/>
          </w:rPr>
          <w:fldChar w:fldCharType="end"/>
        </w:r>
      </w:hyperlink>
    </w:p>
    <w:p w14:paraId="4199EF98" w14:textId="2D1F7946"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3" w:history="1">
        <w:r w:rsidR="009F187D" w:rsidRPr="00714F50">
          <w:rPr>
            <w:rStyle w:val="Hyperlink"/>
          </w:rPr>
          <w:t>3.2</w:t>
        </w:r>
        <w:r w:rsidR="009F187D">
          <w:rPr>
            <w:rFonts w:asciiTheme="minorHAnsi" w:eastAsiaTheme="minorEastAsia" w:hAnsiTheme="minorHAnsi" w:cstheme="minorBidi"/>
            <w:sz w:val="22"/>
            <w:szCs w:val="22"/>
            <w:lang w:eastAsia="en-AU"/>
          </w:rPr>
          <w:tab/>
        </w:r>
        <w:r w:rsidR="009F187D" w:rsidRPr="00714F50">
          <w:rPr>
            <w:rStyle w:val="Hyperlink"/>
          </w:rPr>
          <w:t>Application Initiation requirements</w:t>
        </w:r>
        <w:r w:rsidR="009F187D">
          <w:rPr>
            <w:webHidden/>
          </w:rPr>
          <w:tab/>
        </w:r>
        <w:r w:rsidR="009F187D">
          <w:rPr>
            <w:webHidden/>
          </w:rPr>
          <w:fldChar w:fldCharType="begin"/>
        </w:r>
        <w:r w:rsidR="009F187D">
          <w:rPr>
            <w:webHidden/>
          </w:rPr>
          <w:instrText xml:space="preserve"> PAGEREF _Toc50547723 \h </w:instrText>
        </w:r>
        <w:r w:rsidR="009F187D">
          <w:rPr>
            <w:webHidden/>
          </w:rPr>
        </w:r>
        <w:r w:rsidR="009F187D">
          <w:rPr>
            <w:webHidden/>
          </w:rPr>
          <w:fldChar w:fldCharType="separate"/>
        </w:r>
        <w:r w:rsidR="009F187D">
          <w:rPr>
            <w:webHidden/>
          </w:rPr>
          <w:t>11</w:t>
        </w:r>
        <w:r w:rsidR="009F187D">
          <w:rPr>
            <w:webHidden/>
          </w:rPr>
          <w:fldChar w:fldCharType="end"/>
        </w:r>
      </w:hyperlink>
    </w:p>
    <w:p w14:paraId="4989611A" w14:textId="2CD89A57"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4" w:history="1">
        <w:r w:rsidR="009F187D" w:rsidRPr="00714F50">
          <w:rPr>
            <w:rStyle w:val="Hyperlink"/>
          </w:rPr>
          <w:t>3.3</w:t>
        </w:r>
        <w:r w:rsidR="009F187D">
          <w:rPr>
            <w:rFonts w:asciiTheme="minorHAnsi" w:eastAsiaTheme="minorEastAsia" w:hAnsiTheme="minorHAnsi" w:cstheme="minorBidi"/>
            <w:sz w:val="22"/>
            <w:szCs w:val="22"/>
            <w:lang w:eastAsia="en-AU"/>
          </w:rPr>
          <w:tab/>
        </w:r>
        <w:r w:rsidR="009F187D" w:rsidRPr="00714F50">
          <w:rPr>
            <w:rStyle w:val="Hyperlink"/>
          </w:rPr>
          <w:t>Application Function requirements</w:t>
        </w:r>
        <w:r w:rsidR="009F187D">
          <w:rPr>
            <w:webHidden/>
          </w:rPr>
          <w:tab/>
        </w:r>
        <w:r w:rsidR="009F187D">
          <w:rPr>
            <w:webHidden/>
          </w:rPr>
          <w:fldChar w:fldCharType="begin"/>
        </w:r>
        <w:r w:rsidR="009F187D">
          <w:rPr>
            <w:webHidden/>
          </w:rPr>
          <w:instrText xml:space="preserve"> PAGEREF _Toc50547724 \h </w:instrText>
        </w:r>
        <w:r w:rsidR="009F187D">
          <w:rPr>
            <w:webHidden/>
          </w:rPr>
        </w:r>
        <w:r w:rsidR="009F187D">
          <w:rPr>
            <w:webHidden/>
          </w:rPr>
          <w:fldChar w:fldCharType="separate"/>
        </w:r>
        <w:r w:rsidR="009F187D">
          <w:rPr>
            <w:webHidden/>
          </w:rPr>
          <w:t>12</w:t>
        </w:r>
        <w:r w:rsidR="009F187D">
          <w:rPr>
            <w:webHidden/>
          </w:rPr>
          <w:fldChar w:fldCharType="end"/>
        </w:r>
      </w:hyperlink>
    </w:p>
    <w:p w14:paraId="365EF5D7" w14:textId="76AB30B5"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5" w:history="1">
        <w:r w:rsidR="009F187D" w:rsidRPr="00714F50">
          <w:rPr>
            <w:rStyle w:val="Hyperlink"/>
          </w:rPr>
          <w:t>3.4</w:t>
        </w:r>
        <w:r w:rsidR="009F187D">
          <w:rPr>
            <w:rFonts w:asciiTheme="minorHAnsi" w:eastAsiaTheme="minorEastAsia" w:hAnsiTheme="minorHAnsi" w:cstheme="minorBidi"/>
            <w:sz w:val="22"/>
            <w:szCs w:val="22"/>
            <w:lang w:eastAsia="en-AU"/>
          </w:rPr>
          <w:tab/>
        </w:r>
        <w:r w:rsidR="009F187D" w:rsidRPr="00714F50">
          <w:rPr>
            <w:rStyle w:val="Hyperlink"/>
          </w:rPr>
          <w:t>Governance</w:t>
        </w:r>
        <w:r w:rsidR="009F187D">
          <w:rPr>
            <w:webHidden/>
          </w:rPr>
          <w:tab/>
        </w:r>
        <w:r w:rsidR="009F187D">
          <w:rPr>
            <w:webHidden/>
          </w:rPr>
          <w:fldChar w:fldCharType="begin"/>
        </w:r>
        <w:r w:rsidR="009F187D">
          <w:rPr>
            <w:webHidden/>
          </w:rPr>
          <w:instrText xml:space="preserve"> PAGEREF _Toc50547725 \h </w:instrText>
        </w:r>
        <w:r w:rsidR="009F187D">
          <w:rPr>
            <w:webHidden/>
          </w:rPr>
        </w:r>
        <w:r w:rsidR="009F187D">
          <w:rPr>
            <w:webHidden/>
          </w:rPr>
          <w:fldChar w:fldCharType="separate"/>
        </w:r>
        <w:r w:rsidR="009F187D">
          <w:rPr>
            <w:webHidden/>
          </w:rPr>
          <w:t>13</w:t>
        </w:r>
        <w:r w:rsidR="009F187D">
          <w:rPr>
            <w:webHidden/>
          </w:rPr>
          <w:fldChar w:fldCharType="end"/>
        </w:r>
      </w:hyperlink>
    </w:p>
    <w:p w14:paraId="740A194F" w14:textId="7519FF45" w:rsidR="009F187D" w:rsidRDefault="0073313A">
      <w:pPr>
        <w:pStyle w:val="TOC1"/>
        <w:tabs>
          <w:tab w:val="left" w:pos="567"/>
        </w:tabs>
        <w:rPr>
          <w:rFonts w:asciiTheme="minorHAnsi" w:eastAsiaTheme="minorEastAsia" w:hAnsiTheme="minorHAnsi" w:cstheme="minorBidi"/>
          <w:b w:val="0"/>
          <w:sz w:val="22"/>
          <w:szCs w:val="22"/>
          <w:lang w:eastAsia="en-AU"/>
        </w:rPr>
      </w:pPr>
      <w:hyperlink w:anchor="_Toc50547726" w:history="1">
        <w:r w:rsidR="009F187D" w:rsidRPr="00714F50">
          <w:rPr>
            <w:rStyle w:val="Hyperlink"/>
          </w:rPr>
          <w:t>4</w:t>
        </w:r>
        <w:r w:rsidR="009F187D">
          <w:rPr>
            <w:rFonts w:asciiTheme="minorHAnsi" w:eastAsiaTheme="minorEastAsia" w:hAnsiTheme="minorHAnsi" w:cstheme="minorBidi"/>
            <w:b w:val="0"/>
            <w:sz w:val="22"/>
            <w:szCs w:val="22"/>
            <w:lang w:eastAsia="en-AU"/>
          </w:rPr>
          <w:tab/>
        </w:r>
        <w:r w:rsidR="009F187D" w:rsidRPr="00714F50">
          <w:rPr>
            <w:rStyle w:val="Hyperlink"/>
          </w:rPr>
          <w:t>Design elements for health application</w:t>
        </w:r>
        <w:r w:rsidR="009F187D">
          <w:rPr>
            <w:webHidden/>
          </w:rPr>
          <w:tab/>
        </w:r>
        <w:r w:rsidR="009F187D">
          <w:rPr>
            <w:webHidden/>
          </w:rPr>
          <w:fldChar w:fldCharType="begin"/>
        </w:r>
        <w:r w:rsidR="009F187D">
          <w:rPr>
            <w:webHidden/>
          </w:rPr>
          <w:instrText xml:space="preserve"> PAGEREF _Toc50547726 \h </w:instrText>
        </w:r>
        <w:r w:rsidR="009F187D">
          <w:rPr>
            <w:webHidden/>
          </w:rPr>
        </w:r>
        <w:r w:rsidR="009F187D">
          <w:rPr>
            <w:webHidden/>
          </w:rPr>
          <w:fldChar w:fldCharType="separate"/>
        </w:r>
        <w:r w:rsidR="009F187D">
          <w:rPr>
            <w:webHidden/>
          </w:rPr>
          <w:t>14</w:t>
        </w:r>
        <w:r w:rsidR="009F187D">
          <w:rPr>
            <w:webHidden/>
          </w:rPr>
          <w:fldChar w:fldCharType="end"/>
        </w:r>
      </w:hyperlink>
    </w:p>
    <w:p w14:paraId="4279F498" w14:textId="44428911"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7" w:history="1">
        <w:r w:rsidR="009F187D" w:rsidRPr="00714F50">
          <w:rPr>
            <w:rStyle w:val="Hyperlink"/>
          </w:rPr>
          <w:t>4.1</w:t>
        </w:r>
        <w:r w:rsidR="009F187D">
          <w:rPr>
            <w:rFonts w:asciiTheme="minorHAnsi" w:eastAsiaTheme="minorEastAsia" w:hAnsiTheme="minorHAnsi" w:cstheme="minorBidi"/>
            <w:sz w:val="22"/>
            <w:szCs w:val="22"/>
            <w:lang w:eastAsia="en-AU"/>
          </w:rPr>
          <w:tab/>
        </w:r>
        <w:r w:rsidR="009F187D" w:rsidRPr="00714F50">
          <w:rPr>
            <w:rStyle w:val="Hyperlink"/>
          </w:rPr>
          <w:t>EMR Results reporting and order entry</w:t>
        </w:r>
        <w:r w:rsidR="009F187D">
          <w:rPr>
            <w:webHidden/>
          </w:rPr>
          <w:tab/>
        </w:r>
        <w:r w:rsidR="009F187D">
          <w:rPr>
            <w:webHidden/>
          </w:rPr>
          <w:fldChar w:fldCharType="begin"/>
        </w:r>
        <w:r w:rsidR="009F187D">
          <w:rPr>
            <w:webHidden/>
          </w:rPr>
          <w:instrText xml:space="preserve"> PAGEREF _Toc50547727 \h </w:instrText>
        </w:r>
        <w:r w:rsidR="009F187D">
          <w:rPr>
            <w:webHidden/>
          </w:rPr>
        </w:r>
        <w:r w:rsidR="009F187D">
          <w:rPr>
            <w:webHidden/>
          </w:rPr>
          <w:fldChar w:fldCharType="separate"/>
        </w:r>
        <w:r w:rsidR="009F187D">
          <w:rPr>
            <w:webHidden/>
          </w:rPr>
          <w:t>14</w:t>
        </w:r>
        <w:r w:rsidR="009F187D">
          <w:rPr>
            <w:webHidden/>
          </w:rPr>
          <w:fldChar w:fldCharType="end"/>
        </w:r>
      </w:hyperlink>
    </w:p>
    <w:p w14:paraId="5BA93FA9" w14:textId="7DE10D84"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8" w:history="1">
        <w:r w:rsidR="009F187D" w:rsidRPr="00714F50">
          <w:rPr>
            <w:rStyle w:val="Hyperlink"/>
          </w:rPr>
          <w:t>4.2</w:t>
        </w:r>
        <w:r w:rsidR="009F187D">
          <w:rPr>
            <w:rFonts w:asciiTheme="minorHAnsi" w:eastAsiaTheme="minorEastAsia" w:hAnsiTheme="minorHAnsi" w:cstheme="minorBidi"/>
            <w:sz w:val="22"/>
            <w:szCs w:val="22"/>
            <w:lang w:eastAsia="en-AU"/>
          </w:rPr>
          <w:tab/>
        </w:r>
        <w:r w:rsidR="009F187D" w:rsidRPr="00714F50">
          <w:rPr>
            <w:rStyle w:val="Hyperlink"/>
          </w:rPr>
          <w:t>EMR Results and Orders model (EMR as a master system for generating orders)</w:t>
        </w:r>
        <w:r w:rsidR="009F187D">
          <w:rPr>
            <w:webHidden/>
          </w:rPr>
          <w:tab/>
        </w:r>
        <w:r w:rsidR="009F187D">
          <w:rPr>
            <w:webHidden/>
          </w:rPr>
          <w:fldChar w:fldCharType="begin"/>
        </w:r>
        <w:r w:rsidR="009F187D">
          <w:rPr>
            <w:webHidden/>
          </w:rPr>
          <w:instrText xml:space="preserve"> PAGEREF _Toc50547728 \h </w:instrText>
        </w:r>
        <w:r w:rsidR="009F187D">
          <w:rPr>
            <w:webHidden/>
          </w:rPr>
        </w:r>
        <w:r w:rsidR="009F187D">
          <w:rPr>
            <w:webHidden/>
          </w:rPr>
          <w:fldChar w:fldCharType="separate"/>
        </w:r>
        <w:r w:rsidR="009F187D">
          <w:rPr>
            <w:webHidden/>
          </w:rPr>
          <w:t>16</w:t>
        </w:r>
        <w:r w:rsidR="009F187D">
          <w:rPr>
            <w:webHidden/>
          </w:rPr>
          <w:fldChar w:fldCharType="end"/>
        </w:r>
      </w:hyperlink>
    </w:p>
    <w:p w14:paraId="06FC2B70" w14:textId="1D940FD0" w:rsidR="009F187D" w:rsidRDefault="0073313A">
      <w:pPr>
        <w:pStyle w:val="TOC2"/>
        <w:tabs>
          <w:tab w:val="left" w:pos="567"/>
        </w:tabs>
        <w:rPr>
          <w:rFonts w:asciiTheme="minorHAnsi" w:eastAsiaTheme="minorEastAsia" w:hAnsiTheme="minorHAnsi" w:cstheme="minorBidi"/>
          <w:sz w:val="22"/>
          <w:szCs w:val="22"/>
          <w:lang w:eastAsia="en-AU"/>
        </w:rPr>
      </w:pPr>
      <w:hyperlink w:anchor="_Toc50547729" w:history="1">
        <w:r w:rsidR="009F187D" w:rsidRPr="00714F50">
          <w:rPr>
            <w:rStyle w:val="Hyperlink"/>
          </w:rPr>
          <w:t>4.3</w:t>
        </w:r>
        <w:r w:rsidR="009F187D">
          <w:rPr>
            <w:rFonts w:asciiTheme="minorHAnsi" w:eastAsiaTheme="minorEastAsia" w:hAnsiTheme="minorHAnsi" w:cstheme="minorBidi"/>
            <w:sz w:val="22"/>
            <w:szCs w:val="22"/>
            <w:lang w:eastAsia="en-AU"/>
          </w:rPr>
          <w:tab/>
        </w:r>
        <w:r w:rsidR="009F187D" w:rsidRPr="00714F50">
          <w:rPr>
            <w:rStyle w:val="Hyperlink"/>
          </w:rPr>
          <w:t>EMR – Medications Design</w:t>
        </w:r>
        <w:r w:rsidR="009F187D">
          <w:rPr>
            <w:webHidden/>
          </w:rPr>
          <w:tab/>
        </w:r>
        <w:r w:rsidR="009F187D">
          <w:rPr>
            <w:webHidden/>
          </w:rPr>
          <w:fldChar w:fldCharType="begin"/>
        </w:r>
        <w:r w:rsidR="009F187D">
          <w:rPr>
            <w:webHidden/>
          </w:rPr>
          <w:instrText xml:space="preserve"> PAGEREF _Toc50547729 \h </w:instrText>
        </w:r>
        <w:r w:rsidR="009F187D">
          <w:rPr>
            <w:webHidden/>
          </w:rPr>
        </w:r>
        <w:r w:rsidR="009F187D">
          <w:rPr>
            <w:webHidden/>
          </w:rPr>
          <w:fldChar w:fldCharType="separate"/>
        </w:r>
        <w:r w:rsidR="009F187D">
          <w:rPr>
            <w:webHidden/>
          </w:rPr>
          <w:t>18</w:t>
        </w:r>
        <w:r w:rsidR="009F187D">
          <w:rPr>
            <w:webHidden/>
          </w:rPr>
          <w:fldChar w:fldCharType="end"/>
        </w:r>
      </w:hyperlink>
    </w:p>
    <w:p w14:paraId="131B1087" w14:textId="3FBEE9E7" w:rsidR="009F187D" w:rsidRDefault="0073313A">
      <w:pPr>
        <w:pStyle w:val="TOC2"/>
        <w:tabs>
          <w:tab w:val="left" w:pos="567"/>
        </w:tabs>
        <w:rPr>
          <w:rFonts w:asciiTheme="minorHAnsi" w:eastAsiaTheme="minorEastAsia" w:hAnsiTheme="minorHAnsi" w:cstheme="minorBidi"/>
          <w:sz w:val="22"/>
          <w:szCs w:val="22"/>
          <w:lang w:eastAsia="en-AU"/>
        </w:rPr>
      </w:pPr>
      <w:hyperlink w:anchor="_Toc50547730" w:history="1">
        <w:r w:rsidR="009F187D" w:rsidRPr="00714F50">
          <w:rPr>
            <w:rStyle w:val="Hyperlink"/>
          </w:rPr>
          <w:t>4.4</w:t>
        </w:r>
        <w:r w:rsidR="009F187D">
          <w:rPr>
            <w:rFonts w:asciiTheme="minorHAnsi" w:eastAsiaTheme="minorEastAsia" w:hAnsiTheme="minorHAnsi" w:cstheme="minorBidi"/>
            <w:sz w:val="22"/>
            <w:szCs w:val="22"/>
            <w:lang w:eastAsia="en-AU"/>
          </w:rPr>
          <w:tab/>
        </w:r>
        <w:r w:rsidR="009F187D" w:rsidRPr="00714F50">
          <w:rPr>
            <w:rStyle w:val="Hyperlink"/>
          </w:rPr>
          <w:t>EMR Medications solution design configuration</w:t>
        </w:r>
        <w:r w:rsidR="009F187D">
          <w:rPr>
            <w:webHidden/>
          </w:rPr>
          <w:tab/>
        </w:r>
        <w:r w:rsidR="009F187D">
          <w:rPr>
            <w:webHidden/>
          </w:rPr>
          <w:fldChar w:fldCharType="begin"/>
        </w:r>
        <w:r w:rsidR="009F187D">
          <w:rPr>
            <w:webHidden/>
          </w:rPr>
          <w:instrText xml:space="preserve"> PAGEREF _Toc50547730 \h </w:instrText>
        </w:r>
        <w:r w:rsidR="009F187D">
          <w:rPr>
            <w:webHidden/>
          </w:rPr>
        </w:r>
        <w:r w:rsidR="009F187D">
          <w:rPr>
            <w:webHidden/>
          </w:rPr>
          <w:fldChar w:fldCharType="separate"/>
        </w:r>
        <w:r w:rsidR="009F187D">
          <w:rPr>
            <w:webHidden/>
          </w:rPr>
          <w:t>18</w:t>
        </w:r>
        <w:r w:rsidR="009F187D">
          <w:rPr>
            <w:webHidden/>
          </w:rPr>
          <w:fldChar w:fldCharType="end"/>
        </w:r>
      </w:hyperlink>
    </w:p>
    <w:p w14:paraId="1055BE4C" w14:textId="133D1FA1" w:rsidR="009F187D" w:rsidRDefault="0073313A">
      <w:pPr>
        <w:pStyle w:val="TOC2"/>
        <w:tabs>
          <w:tab w:val="left" w:pos="567"/>
        </w:tabs>
        <w:rPr>
          <w:rFonts w:asciiTheme="minorHAnsi" w:eastAsiaTheme="minorEastAsia" w:hAnsiTheme="minorHAnsi" w:cstheme="minorBidi"/>
          <w:sz w:val="22"/>
          <w:szCs w:val="22"/>
          <w:lang w:eastAsia="en-AU"/>
        </w:rPr>
      </w:pPr>
      <w:hyperlink w:anchor="_Toc50547731" w:history="1">
        <w:r w:rsidR="009F187D" w:rsidRPr="00714F50">
          <w:rPr>
            <w:rStyle w:val="Hyperlink"/>
          </w:rPr>
          <w:t>4.5</w:t>
        </w:r>
        <w:r w:rsidR="009F187D">
          <w:rPr>
            <w:rFonts w:asciiTheme="minorHAnsi" w:eastAsiaTheme="minorEastAsia" w:hAnsiTheme="minorHAnsi" w:cstheme="minorBidi"/>
            <w:sz w:val="22"/>
            <w:szCs w:val="22"/>
            <w:lang w:eastAsia="en-AU"/>
          </w:rPr>
          <w:tab/>
        </w:r>
        <w:r w:rsidR="009F187D" w:rsidRPr="00714F50">
          <w:rPr>
            <w:rStyle w:val="Hyperlink"/>
          </w:rPr>
          <w:t>EMR Medications design constraints and assumptions</w:t>
        </w:r>
        <w:r w:rsidR="009F187D">
          <w:rPr>
            <w:webHidden/>
          </w:rPr>
          <w:tab/>
        </w:r>
        <w:r w:rsidR="009F187D">
          <w:rPr>
            <w:webHidden/>
          </w:rPr>
          <w:fldChar w:fldCharType="begin"/>
        </w:r>
        <w:r w:rsidR="009F187D">
          <w:rPr>
            <w:webHidden/>
          </w:rPr>
          <w:instrText xml:space="preserve"> PAGEREF _Toc50547731 \h </w:instrText>
        </w:r>
        <w:r w:rsidR="009F187D">
          <w:rPr>
            <w:webHidden/>
          </w:rPr>
        </w:r>
        <w:r w:rsidR="009F187D">
          <w:rPr>
            <w:webHidden/>
          </w:rPr>
          <w:fldChar w:fldCharType="separate"/>
        </w:r>
        <w:r w:rsidR="009F187D">
          <w:rPr>
            <w:webHidden/>
          </w:rPr>
          <w:t>19</w:t>
        </w:r>
        <w:r w:rsidR="009F187D">
          <w:rPr>
            <w:webHidden/>
          </w:rPr>
          <w:fldChar w:fldCharType="end"/>
        </w:r>
      </w:hyperlink>
    </w:p>
    <w:p w14:paraId="44722660" w14:textId="12585AD1" w:rsidR="009F187D" w:rsidRDefault="0073313A">
      <w:pPr>
        <w:pStyle w:val="TOC2"/>
        <w:tabs>
          <w:tab w:val="left" w:pos="567"/>
        </w:tabs>
        <w:rPr>
          <w:rFonts w:asciiTheme="minorHAnsi" w:eastAsiaTheme="minorEastAsia" w:hAnsiTheme="minorHAnsi" w:cstheme="minorBidi"/>
          <w:sz w:val="22"/>
          <w:szCs w:val="22"/>
          <w:lang w:eastAsia="en-AU"/>
        </w:rPr>
      </w:pPr>
      <w:hyperlink w:anchor="_Toc50547732" w:history="1">
        <w:r w:rsidR="009F187D" w:rsidRPr="00714F50">
          <w:rPr>
            <w:rStyle w:val="Hyperlink"/>
          </w:rPr>
          <w:t>4.6</w:t>
        </w:r>
        <w:r w:rsidR="009F187D">
          <w:rPr>
            <w:rFonts w:asciiTheme="minorHAnsi" w:eastAsiaTheme="minorEastAsia" w:hAnsiTheme="minorHAnsi" w:cstheme="minorBidi"/>
            <w:sz w:val="22"/>
            <w:szCs w:val="22"/>
            <w:lang w:eastAsia="en-AU"/>
          </w:rPr>
          <w:tab/>
        </w:r>
        <w:r w:rsidR="009F187D" w:rsidRPr="00714F50">
          <w:rPr>
            <w:rStyle w:val="Hyperlink"/>
          </w:rPr>
          <w:t>EMR Medications management model</w:t>
        </w:r>
        <w:r w:rsidR="009F187D">
          <w:rPr>
            <w:webHidden/>
          </w:rPr>
          <w:tab/>
        </w:r>
        <w:r w:rsidR="009F187D">
          <w:rPr>
            <w:webHidden/>
          </w:rPr>
          <w:fldChar w:fldCharType="begin"/>
        </w:r>
        <w:r w:rsidR="009F187D">
          <w:rPr>
            <w:webHidden/>
          </w:rPr>
          <w:instrText xml:space="preserve"> PAGEREF _Toc50547732 \h </w:instrText>
        </w:r>
        <w:r w:rsidR="009F187D">
          <w:rPr>
            <w:webHidden/>
          </w:rPr>
        </w:r>
        <w:r w:rsidR="009F187D">
          <w:rPr>
            <w:webHidden/>
          </w:rPr>
          <w:fldChar w:fldCharType="separate"/>
        </w:r>
        <w:r w:rsidR="009F187D">
          <w:rPr>
            <w:webHidden/>
          </w:rPr>
          <w:t>20</w:t>
        </w:r>
        <w:r w:rsidR="009F187D">
          <w:rPr>
            <w:webHidden/>
          </w:rPr>
          <w:fldChar w:fldCharType="end"/>
        </w:r>
      </w:hyperlink>
    </w:p>
    <w:p w14:paraId="6A3716A0" w14:textId="1767A469" w:rsidR="009F187D" w:rsidRDefault="0073313A">
      <w:pPr>
        <w:pStyle w:val="TOC2"/>
        <w:tabs>
          <w:tab w:val="left" w:pos="567"/>
        </w:tabs>
        <w:rPr>
          <w:rFonts w:asciiTheme="minorHAnsi" w:eastAsiaTheme="minorEastAsia" w:hAnsiTheme="minorHAnsi" w:cstheme="minorBidi"/>
          <w:sz w:val="22"/>
          <w:szCs w:val="22"/>
          <w:lang w:eastAsia="en-AU"/>
        </w:rPr>
      </w:pPr>
      <w:hyperlink w:anchor="_Toc50547733" w:history="1">
        <w:r w:rsidR="009F187D" w:rsidRPr="00714F50">
          <w:rPr>
            <w:rStyle w:val="Hyperlink"/>
          </w:rPr>
          <w:t>4.7</w:t>
        </w:r>
        <w:r w:rsidR="009F187D">
          <w:rPr>
            <w:rFonts w:asciiTheme="minorHAnsi" w:eastAsiaTheme="minorEastAsia" w:hAnsiTheme="minorHAnsi" w:cstheme="minorBidi"/>
            <w:sz w:val="22"/>
            <w:szCs w:val="22"/>
            <w:lang w:eastAsia="en-AU"/>
          </w:rPr>
          <w:tab/>
        </w:r>
        <w:r w:rsidR="009F187D" w:rsidRPr="00714F50">
          <w:rPr>
            <w:rStyle w:val="Hyperlink"/>
          </w:rPr>
          <w:t>Code Set Design</w:t>
        </w:r>
        <w:r w:rsidR="009F187D">
          <w:rPr>
            <w:webHidden/>
          </w:rPr>
          <w:tab/>
        </w:r>
        <w:r w:rsidR="009F187D">
          <w:rPr>
            <w:webHidden/>
          </w:rPr>
          <w:fldChar w:fldCharType="begin"/>
        </w:r>
        <w:r w:rsidR="009F187D">
          <w:rPr>
            <w:webHidden/>
          </w:rPr>
          <w:instrText xml:space="preserve"> PAGEREF _Toc50547733 \h </w:instrText>
        </w:r>
        <w:r w:rsidR="009F187D">
          <w:rPr>
            <w:webHidden/>
          </w:rPr>
        </w:r>
        <w:r w:rsidR="009F187D">
          <w:rPr>
            <w:webHidden/>
          </w:rPr>
          <w:fldChar w:fldCharType="separate"/>
        </w:r>
        <w:r w:rsidR="009F187D">
          <w:rPr>
            <w:webHidden/>
          </w:rPr>
          <w:t>24</w:t>
        </w:r>
        <w:r w:rsidR="009F187D">
          <w:rPr>
            <w:webHidden/>
          </w:rPr>
          <w:fldChar w:fldCharType="end"/>
        </w:r>
      </w:hyperlink>
    </w:p>
    <w:p w14:paraId="5E6BEB97" w14:textId="49AE652B" w:rsidR="009F187D" w:rsidRDefault="0073313A">
      <w:pPr>
        <w:pStyle w:val="TOC2"/>
        <w:tabs>
          <w:tab w:val="left" w:pos="567"/>
        </w:tabs>
        <w:rPr>
          <w:rFonts w:asciiTheme="minorHAnsi" w:eastAsiaTheme="minorEastAsia" w:hAnsiTheme="minorHAnsi" w:cstheme="minorBidi"/>
          <w:sz w:val="22"/>
          <w:szCs w:val="22"/>
          <w:lang w:eastAsia="en-AU"/>
        </w:rPr>
      </w:pPr>
      <w:hyperlink w:anchor="_Toc50547734" w:history="1">
        <w:r w:rsidR="009F187D" w:rsidRPr="00714F50">
          <w:rPr>
            <w:rStyle w:val="Hyperlink"/>
          </w:rPr>
          <w:t>4.8</w:t>
        </w:r>
        <w:r w:rsidR="009F187D">
          <w:rPr>
            <w:rFonts w:asciiTheme="minorHAnsi" w:eastAsiaTheme="minorEastAsia" w:hAnsiTheme="minorHAnsi" w:cstheme="minorBidi"/>
            <w:sz w:val="22"/>
            <w:szCs w:val="22"/>
            <w:lang w:eastAsia="en-AU"/>
          </w:rPr>
          <w:tab/>
        </w:r>
        <w:r w:rsidR="009F187D" w:rsidRPr="00714F50">
          <w:rPr>
            <w:rStyle w:val="Hyperlink"/>
          </w:rPr>
          <w:t>Standards</w:t>
        </w:r>
        <w:r w:rsidR="009F187D">
          <w:rPr>
            <w:webHidden/>
          </w:rPr>
          <w:tab/>
        </w:r>
        <w:r w:rsidR="009F187D">
          <w:rPr>
            <w:webHidden/>
          </w:rPr>
          <w:fldChar w:fldCharType="begin"/>
        </w:r>
        <w:r w:rsidR="009F187D">
          <w:rPr>
            <w:webHidden/>
          </w:rPr>
          <w:instrText xml:space="preserve"> PAGEREF _Toc50547734 \h </w:instrText>
        </w:r>
        <w:r w:rsidR="009F187D">
          <w:rPr>
            <w:webHidden/>
          </w:rPr>
        </w:r>
        <w:r w:rsidR="009F187D">
          <w:rPr>
            <w:webHidden/>
          </w:rPr>
          <w:fldChar w:fldCharType="separate"/>
        </w:r>
        <w:r w:rsidR="009F187D">
          <w:rPr>
            <w:webHidden/>
          </w:rPr>
          <w:t>26</w:t>
        </w:r>
        <w:r w:rsidR="009F187D">
          <w:rPr>
            <w:webHidden/>
          </w:rPr>
          <w:fldChar w:fldCharType="end"/>
        </w:r>
      </w:hyperlink>
    </w:p>
    <w:p w14:paraId="6D39D62C" w14:textId="71595ED4" w:rsidR="009F187D" w:rsidRDefault="0073313A">
      <w:pPr>
        <w:pStyle w:val="TOC2"/>
        <w:tabs>
          <w:tab w:val="left" w:pos="567"/>
        </w:tabs>
        <w:rPr>
          <w:rFonts w:asciiTheme="minorHAnsi" w:eastAsiaTheme="minorEastAsia" w:hAnsiTheme="minorHAnsi" w:cstheme="minorBidi"/>
          <w:sz w:val="22"/>
          <w:szCs w:val="22"/>
          <w:lang w:eastAsia="en-AU"/>
        </w:rPr>
      </w:pPr>
      <w:hyperlink w:anchor="_Toc50547735" w:history="1">
        <w:r w:rsidR="009F187D" w:rsidRPr="00714F50">
          <w:rPr>
            <w:rStyle w:val="Hyperlink"/>
          </w:rPr>
          <w:t>4.9</w:t>
        </w:r>
        <w:r w:rsidR="009F187D">
          <w:rPr>
            <w:rFonts w:asciiTheme="minorHAnsi" w:eastAsiaTheme="minorEastAsia" w:hAnsiTheme="minorHAnsi" w:cstheme="minorBidi"/>
            <w:sz w:val="22"/>
            <w:szCs w:val="22"/>
            <w:lang w:eastAsia="en-AU"/>
          </w:rPr>
          <w:tab/>
        </w:r>
        <w:r w:rsidR="009F187D" w:rsidRPr="00714F50">
          <w:rPr>
            <w:rStyle w:val="Hyperlink"/>
          </w:rPr>
          <w:t>Summary of Principles and Constraints</w:t>
        </w:r>
        <w:r w:rsidR="009F187D">
          <w:rPr>
            <w:webHidden/>
          </w:rPr>
          <w:tab/>
        </w:r>
        <w:r w:rsidR="009F187D">
          <w:rPr>
            <w:webHidden/>
          </w:rPr>
          <w:fldChar w:fldCharType="begin"/>
        </w:r>
        <w:r w:rsidR="009F187D">
          <w:rPr>
            <w:webHidden/>
          </w:rPr>
          <w:instrText xml:space="preserve"> PAGEREF _Toc50547735 \h </w:instrText>
        </w:r>
        <w:r w:rsidR="009F187D">
          <w:rPr>
            <w:webHidden/>
          </w:rPr>
        </w:r>
        <w:r w:rsidR="009F187D">
          <w:rPr>
            <w:webHidden/>
          </w:rPr>
          <w:fldChar w:fldCharType="separate"/>
        </w:r>
        <w:r w:rsidR="009F187D">
          <w:rPr>
            <w:webHidden/>
          </w:rPr>
          <w:t>27</w:t>
        </w:r>
        <w:r w:rsidR="009F187D">
          <w:rPr>
            <w:webHidden/>
          </w:rPr>
          <w:fldChar w:fldCharType="end"/>
        </w:r>
      </w:hyperlink>
    </w:p>
    <w:p w14:paraId="5EDA396A" w14:textId="0B0B1936" w:rsidR="009F187D" w:rsidRDefault="0073313A">
      <w:pPr>
        <w:pStyle w:val="TOC1"/>
        <w:rPr>
          <w:rFonts w:asciiTheme="minorHAnsi" w:eastAsiaTheme="minorEastAsia" w:hAnsiTheme="minorHAnsi" w:cstheme="minorBidi"/>
          <w:b w:val="0"/>
          <w:sz w:val="22"/>
          <w:szCs w:val="22"/>
          <w:lang w:eastAsia="en-AU"/>
        </w:rPr>
      </w:pPr>
      <w:hyperlink w:anchor="_Toc50547736" w:history="1">
        <w:r w:rsidR="009F187D" w:rsidRPr="00714F50">
          <w:rPr>
            <w:rStyle w:val="Hyperlink"/>
          </w:rPr>
          <w:t>Appendix A – Digital Health branch</w:t>
        </w:r>
        <w:r w:rsidR="009F187D">
          <w:rPr>
            <w:webHidden/>
          </w:rPr>
          <w:tab/>
        </w:r>
        <w:r w:rsidR="009F187D">
          <w:rPr>
            <w:webHidden/>
          </w:rPr>
          <w:fldChar w:fldCharType="begin"/>
        </w:r>
        <w:r w:rsidR="009F187D">
          <w:rPr>
            <w:webHidden/>
          </w:rPr>
          <w:instrText xml:space="preserve"> PAGEREF _Toc50547736 \h </w:instrText>
        </w:r>
        <w:r w:rsidR="009F187D">
          <w:rPr>
            <w:webHidden/>
          </w:rPr>
        </w:r>
        <w:r w:rsidR="009F187D">
          <w:rPr>
            <w:webHidden/>
          </w:rPr>
          <w:fldChar w:fldCharType="separate"/>
        </w:r>
        <w:r w:rsidR="009F187D">
          <w:rPr>
            <w:webHidden/>
          </w:rPr>
          <w:t>29</w:t>
        </w:r>
        <w:r w:rsidR="009F187D">
          <w:rPr>
            <w:webHidden/>
          </w:rPr>
          <w:fldChar w:fldCharType="end"/>
        </w:r>
      </w:hyperlink>
    </w:p>
    <w:p w14:paraId="74D972D8" w14:textId="1CFA4873" w:rsidR="009F187D" w:rsidRDefault="0073313A">
      <w:pPr>
        <w:pStyle w:val="TOC1"/>
        <w:rPr>
          <w:rFonts w:asciiTheme="minorHAnsi" w:eastAsiaTheme="minorEastAsia" w:hAnsiTheme="minorHAnsi" w:cstheme="minorBidi"/>
          <w:b w:val="0"/>
          <w:sz w:val="22"/>
          <w:szCs w:val="22"/>
          <w:lang w:eastAsia="en-AU"/>
        </w:rPr>
      </w:pPr>
      <w:hyperlink w:anchor="_Toc50547737" w:history="1">
        <w:r w:rsidR="009F187D" w:rsidRPr="00714F50">
          <w:rPr>
            <w:rStyle w:val="Hyperlink"/>
          </w:rPr>
          <w:t>Appendix B – Terms and Definitions</w:t>
        </w:r>
        <w:r w:rsidR="009F187D">
          <w:rPr>
            <w:webHidden/>
          </w:rPr>
          <w:tab/>
        </w:r>
        <w:r w:rsidR="009F187D">
          <w:rPr>
            <w:webHidden/>
          </w:rPr>
          <w:fldChar w:fldCharType="begin"/>
        </w:r>
        <w:r w:rsidR="009F187D">
          <w:rPr>
            <w:webHidden/>
          </w:rPr>
          <w:instrText xml:space="preserve"> PAGEREF _Toc50547737 \h </w:instrText>
        </w:r>
        <w:r w:rsidR="009F187D">
          <w:rPr>
            <w:webHidden/>
          </w:rPr>
        </w:r>
        <w:r w:rsidR="009F187D">
          <w:rPr>
            <w:webHidden/>
          </w:rPr>
          <w:fldChar w:fldCharType="separate"/>
        </w:r>
        <w:r w:rsidR="009F187D">
          <w:rPr>
            <w:webHidden/>
          </w:rPr>
          <w:t>31</w:t>
        </w:r>
        <w:r w:rsidR="009F187D">
          <w:rPr>
            <w:webHidden/>
          </w:rPr>
          <w:fldChar w:fldCharType="end"/>
        </w:r>
      </w:hyperlink>
    </w:p>
    <w:p w14:paraId="09AD0E11" w14:textId="5517B26B" w:rsidR="00774AE8" w:rsidRPr="00A62195" w:rsidRDefault="00E15DA9" w:rsidP="004C76FD">
      <w:pPr>
        <w:pStyle w:val="Heading3"/>
        <w:pageBreakBefore/>
        <w:numPr>
          <w:ilvl w:val="0"/>
          <w:numId w:val="0"/>
        </w:numPr>
        <w:ind w:left="720" w:hanging="720"/>
      </w:pPr>
      <w:r w:rsidRPr="00A62195">
        <w:lastRenderedPageBreak/>
        <w:fldChar w:fldCharType="end"/>
      </w:r>
      <w:r w:rsidR="006E50B3" w:rsidRPr="00A62195">
        <w:t xml:space="preserve">List of </w:t>
      </w:r>
      <w:r w:rsidR="000216D8">
        <w:t>T</w:t>
      </w:r>
      <w:r w:rsidR="006E50B3" w:rsidRPr="00A62195">
        <w:t>ables</w:t>
      </w:r>
    </w:p>
    <w:p w14:paraId="56B77F7A" w14:textId="2351DA57" w:rsidR="00AC0C3B" w:rsidRPr="00A62195" w:rsidRDefault="00616C5B" w:rsidP="00E91933">
      <w:pPr>
        <w:pStyle w:val="DHHSbody"/>
        <w:rPr>
          <w:rFonts w:cs="Arial"/>
        </w:rPr>
      </w:pPr>
      <w:r w:rsidRPr="00A62195">
        <w:rPr>
          <w:rFonts w:cs="Arial"/>
          <w:noProof/>
        </w:rPr>
        <w:fldChar w:fldCharType="begin"/>
      </w:r>
      <w:r w:rsidRPr="00A62195">
        <w:rPr>
          <w:rFonts w:cs="Arial"/>
        </w:rPr>
        <w:instrText xml:space="preserve"> TOC \h \z \c "Table" </w:instrText>
      </w:r>
      <w:r w:rsidRPr="00A62195">
        <w:rPr>
          <w:rFonts w:cs="Arial"/>
          <w:noProof/>
        </w:rPr>
        <w:fldChar w:fldCharType="separate"/>
      </w:r>
      <w:r w:rsidR="005F2FE5">
        <w:rPr>
          <w:rFonts w:cs="Arial"/>
          <w:b/>
          <w:bCs/>
          <w:noProof/>
          <w:lang w:val="en-US"/>
        </w:rPr>
        <w:t>No table of figures entries found.</w:t>
      </w:r>
      <w:r w:rsidRPr="00A62195">
        <w:rPr>
          <w:rFonts w:cs="Arial"/>
        </w:rPr>
        <w:fldChar w:fldCharType="end"/>
      </w:r>
    </w:p>
    <w:p w14:paraId="58A24B74" w14:textId="77777777" w:rsidR="006E50B3" w:rsidRPr="00A62195" w:rsidRDefault="006E50B3" w:rsidP="00D97EFC">
      <w:pPr>
        <w:pStyle w:val="Heading3"/>
        <w:numPr>
          <w:ilvl w:val="0"/>
          <w:numId w:val="0"/>
        </w:numPr>
        <w:ind w:left="720" w:hanging="720"/>
      </w:pPr>
      <w:r w:rsidRPr="00A62195">
        <w:t xml:space="preserve">List of </w:t>
      </w:r>
      <w:r w:rsidR="000216D8">
        <w:t>F</w:t>
      </w:r>
      <w:r w:rsidRPr="00A62195">
        <w:t>igures</w:t>
      </w:r>
    </w:p>
    <w:p w14:paraId="0A714966" w14:textId="5AC9FE89" w:rsidR="005F2FE5" w:rsidRDefault="00616C5B">
      <w:pPr>
        <w:pStyle w:val="TableofFigures"/>
        <w:tabs>
          <w:tab w:val="right" w:leader="dot" w:pos="9288"/>
        </w:tabs>
        <w:rPr>
          <w:rFonts w:asciiTheme="minorHAnsi" w:eastAsiaTheme="minorEastAsia" w:hAnsiTheme="minorHAnsi" w:cstheme="minorBidi"/>
          <w:sz w:val="22"/>
          <w:szCs w:val="22"/>
          <w:lang w:eastAsia="en-AU"/>
        </w:rPr>
      </w:pPr>
      <w:r w:rsidRPr="00A62195">
        <w:rPr>
          <w:rFonts w:cs="Arial"/>
        </w:rPr>
        <w:fldChar w:fldCharType="begin"/>
      </w:r>
      <w:r w:rsidRPr="00A62195">
        <w:rPr>
          <w:rFonts w:cs="Arial"/>
        </w:rPr>
        <w:instrText xml:space="preserve"> TOC \h \z \c "Figure" </w:instrText>
      </w:r>
      <w:r w:rsidRPr="00A62195">
        <w:rPr>
          <w:rFonts w:cs="Arial"/>
        </w:rPr>
        <w:fldChar w:fldCharType="separate"/>
      </w:r>
      <w:hyperlink r:id="rId12" w:anchor="_Toc50547766" w:history="1">
        <w:r w:rsidR="005F2FE5" w:rsidRPr="00D9594B">
          <w:rPr>
            <w:rStyle w:val="Hyperlink"/>
          </w:rPr>
          <w:t>Figure 1: Application Solution Design Governance</w:t>
        </w:r>
        <w:r w:rsidR="005F2FE5">
          <w:rPr>
            <w:webHidden/>
          </w:rPr>
          <w:tab/>
        </w:r>
        <w:r w:rsidR="005F2FE5">
          <w:rPr>
            <w:webHidden/>
          </w:rPr>
          <w:fldChar w:fldCharType="begin"/>
        </w:r>
        <w:r w:rsidR="005F2FE5">
          <w:rPr>
            <w:webHidden/>
          </w:rPr>
          <w:instrText xml:space="preserve"> PAGEREF _Toc50547766 \h </w:instrText>
        </w:r>
        <w:r w:rsidR="005F2FE5">
          <w:rPr>
            <w:webHidden/>
          </w:rPr>
        </w:r>
        <w:r w:rsidR="005F2FE5">
          <w:rPr>
            <w:webHidden/>
          </w:rPr>
          <w:fldChar w:fldCharType="separate"/>
        </w:r>
        <w:r w:rsidR="005F2FE5">
          <w:rPr>
            <w:webHidden/>
          </w:rPr>
          <w:t>13</w:t>
        </w:r>
        <w:r w:rsidR="005F2FE5">
          <w:rPr>
            <w:webHidden/>
          </w:rPr>
          <w:fldChar w:fldCharType="end"/>
        </w:r>
      </w:hyperlink>
    </w:p>
    <w:p w14:paraId="37197458" w14:textId="6FD96031" w:rsidR="005F2FE5" w:rsidRDefault="0073313A">
      <w:pPr>
        <w:pStyle w:val="TableofFigures"/>
        <w:tabs>
          <w:tab w:val="right" w:leader="dot" w:pos="9288"/>
        </w:tabs>
        <w:rPr>
          <w:rFonts w:asciiTheme="minorHAnsi" w:eastAsiaTheme="minorEastAsia" w:hAnsiTheme="minorHAnsi" w:cstheme="minorBidi"/>
          <w:sz w:val="22"/>
          <w:szCs w:val="22"/>
          <w:lang w:eastAsia="en-AU"/>
        </w:rPr>
      </w:pPr>
      <w:hyperlink w:anchor="_Toc50547767" w:history="1">
        <w:r w:rsidR="005F2FE5" w:rsidRPr="00D9594B">
          <w:rPr>
            <w:rStyle w:val="Hyperlink"/>
          </w:rPr>
          <w:t>Figure 2: Results and Orders Model (EMR as a master system for generating orders)</w:t>
        </w:r>
        <w:r w:rsidR="005F2FE5">
          <w:rPr>
            <w:webHidden/>
          </w:rPr>
          <w:tab/>
        </w:r>
        <w:r w:rsidR="005F2FE5">
          <w:rPr>
            <w:webHidden/>
          </w:rPr>
          <w:fldChar w:fldCharType="begin"/>
        </w:r>
        <w:r w:rsidR="005F2FE5">
          <w:rPr>
            <w:webHidden/>
          </w:rPr>
          <w:instrText xml:space="preserve"> PAGEREF _Toc50547767 \h </w:instrText>
        </w:r>
        <w:r w:rsidR="005F2FE5">
          <w:rPr>
            <w:webHidden/>
          </w:rPr>
        </w:r>
        <w:r w:rsidR="005F2FE5">
          <w:rPr>
            <w:webHidden/>
          </w:rPr>
          <w:fldChar w:fldCharType="separate"/>
        </w:r>
        <w:r w:rsidR="005F2FE5">
          <w:rPr>
            <w:webHidden/>
          </w:rPr>
          <w:t>17</w:t>
        </w:r>
        <w:r w:rsidR="005F2FE5">
          <w:rPr>
            <w:webHidden/>
          </w:rPr>
          <w:fldChar w:fldCharType="end"/>
        </w:r>
      </w:hyperlink>
    </w:p>
    <w:p w14:paraId="669126D6" w14:textId="0D3C49A1" w:rsidR="005F2FE5" w:rsidRDefault="0073313A">
      <w:pPr>
        <w:pStyle w:val="TableofFigures"/>
        <w:tabs>
          <w:tab w:val="right" w:leader="dot" w:pos="9288"/>
        </w:tabs>
        <w:rPr>
          <w:rFonts w:asciiTheme="minorHAnsi" w:eastAsiaTheme="minorEastAsia" w:hAnsiTheme="minorHAnsi" w:cstheme="minorBidi"/>
          <w:sz w:val="22"/>
          <w:szCs w:val="22"/>
          <w:lang w:eastAsia="en-AU"/>
        </w:rPr>
      </w:pPr>
      <w:hyperlink r:id="rId13" w:anchor="_Toc50547768" w:history="1">
        <w:r w:rsidR="005F2FE5" w:rsidRPr="00D9594B">
          <w:rPr>
            <w:rStyle w:val="Hyperlink"/>
          </w:rPr>
          <w:t>Figure 3: Patient encounter history of medications across episodes</w:t>
        </w:r>
        <w:r w:rsidR="005F2FE5">
          <w:rPr>
            <w:webHidden/>
          </w:rPr>
          <w:tab/>
        </w:r>
        <w:r w:rsidR="005F2FE5">
          <w:rPr>
            <w:webHidden/>
          </w:rPr>
          <w:fldChar w:fldCharType="begin"/>
        </w:r>
        <w:r w:rsidR="005F2FE5">
          <w:rPr>
            <w:webHidden/>
          </w:rPr>
          <w:instrText xml:space="preserve"> PAGEREF _Toc50547768 \h </w:instrText>
        </w:r>
        <w:r w:rsidR="005F2FE5">
          <w:rPr>
            <w:webHidden/>
          </w:rPr>
        </w:r>
        <w:r w:rsidR="005F2FE5">
          <w:rPr>
            <w:webHidden/>
          </w:rPr>
          <w:fldChar w:fldCharType="separate"/>
        </w:r>
        <w:r w:rsidR="005F2FE5">
          <w:rPr>
            <w:webHidden/>
          </w:rPr>
          <w:t>19</w:t>
        </w:r>
        <w:r w:rsidR="005F2FE5">
          <w:rPr>
            <w:webHidden/>
          </w:rPr>
          <w:fldChar w:fldCharType="end"/>
        </w:r>
      </w:hyperlink>
    </w:p>
    <w:p w14:paraId="698BDBE5" w14:textId="7D9BE769" w:rsidR="005F2FE5" w:rsidRDefault="0073313A">
      <w:pPr>
        <w:pStyle w:val="TableofFigures"/>
        <w:tabs>
          <w:tab w:val="right" w:leader="dot" w:pos="9288"/>
        </w:tabs>
        <w:rPr>
          <w:rFonts w:asciiTheme="minorHAnsi" w:eastAsiaTheme="minorEastAsia" w:hAnsiTheme="minorHAnsi" w:cstheme="minorBidi"/>
          <w:sz w:val="22"/>
          <w:szCs w:val="22"/>
          <w:lang w:eastAsia="en-AU"/>
        </w:rPr>
      </w:pPr>
      <w:hyperlink r:id="rId14" w:anchor="_Toc50547769" w:history="1">
        <w:r w:rsidR="005F2FE5" w:rsidRPr="00D9594B">
          <w:rPr>
            <w:rStyle w:val="Hyperlink"/>
          </w:rPr>
          <w:t>Figure 4: Allerts and Allergies model 1</w:t>
        </w:r>
        <w:r w:rsidR="005F2FE5">
          <w:rPr>
            <w:webHidden/>
          </w:rPr>
          <w:tab/>
        </w:r>
        <w:r w:rsidR="005F2FE5">
          <w:rPr>
            <w:webHidden/>
          </w:rPr>
          <w:fldChar w:fldCharType="begin"/>
        </w:r>
        <w:r w:rsidR="005F2FE5">
          <w:rPr>
            <w:webHidden/>
          </w:rPr>
          <w:instrText xml:space="preserve"> PAGEREF _Toc50547769 \h </w:instrText>
        </w:r>
        <w:r w:rsidR="005F2FE5">
          <w:rPr>
            <w:webHidden/>
          </w:rPr>
        </w:r>
        <w:r w:rsidR="005F2FE5">
          <w:rPr>
            <w:webHidden/>
          </w:rPr>
          <w:fldChar w:fldCharType="separate"/>
        </w:r>
        <w:r w:rsidR="005F2FE5">
          <w:rPr>
            <w:webHidden/>
          </w:rPr>
          <w:t>23</w:t>
        </w:r>
        <w:r w:rsidR="005F2FE5">
          <w:rPr>
            <w:webHidden/>
          </w:rPr>
          <w:fldChar w:fldCharType="end"/>
        </w:r>
      </w:hyperlink>
    </w:p>
    <w:p w14:paraId="4FFDDDE1" w14:textId="357FDF92" w:rsidR="00AC0C3B" w:rsidRPr="00A62195" w:rsidRDefault="00616C5B" w:rsidP="00E91933">
      <w:pPr>
        <w:pStyle w:val="DHHSbody"/>
        <w:sectPr w:rsidR="00AC0C3B" w:rsidRPr="00A62195" w:rsidSect="00BB1AE7">
          <w:headerReference w:type="even" r:id="rId15"/>
          <w:headerReference w:type="default" r:id="rId16"/>
          <w:footerReference w:type="even" r:id="rId17"/>
          <w:footerReference w:type="default" r:id="rId18"/>
          <w:headerReference w:type="first" r:id="rId19"/>
          <w:footerReference w:type="first" r:id="rId20"/>
          <w:pgSz w:w="11906" w:h="16838"/>
          <w:pgMar w:top="1701" w:right="1304" w:bottom="1134" w:left="1304" w:header="454" w:footer="567" w:gutter="0"/>
          <w:cols w:space="720"/>
          <w:docGrid w:linePitch="360"/>
        </w:sectPr>
      </w:pPr>
      <w:r w:rsidRPr="00A62195">
        <w:rPr>
          <w:rFonts w:eastAsia="Times New Roman" w:cs="Arial"/>
        </w:rPr>
        <w:fldChar w:fldCharType="end"/>
      </w:r>
    </w:p>
    <w:p w14:paraId="5935EE6F" w14:textId="77777777" w:rsidR="00635D99" w:rsidRDefault="00635D99" w:rsidP="00D97EFC">
      <w:pPr>
        <w:pStyle w:val="Heading1"/>
        <w:numPr>
          <w:ilvl w:val="0"/>
          <w:numId w:val="0"/>
        </w:numPr>
        <w:ind w:left="360" w:hanging="360"/>
      </w:pPr>
      <w:bookmarkStart w:id="6" w:name="_Toc495564657"/>
      <w:bookmarkStart w:id="7" w:name="_Toc499826896"/>
      <w:bookmarkStart w:id="8" w:name="_Toc50547713"/>
      <w:r>
        <w:lastRenderedPageBreak/>
        <w:t>Version control and reviews</w:t>
      </w:r>
      <w:bookmarkEnd w:id="6"/>
      <w:bookmarkEnd w:id="7"/>
      <w:bookmarkEnd w:id="8"/>
    </w:p>
    <w:p w14:paraId="7B009E1A" w14:textId="77777777" w:rsidR="00315D3F" w:rsidRPr="00315D3F" w:rsidRDefault="00315D3F" w:rsidP="00315D3F">
      <w:pPr>
        <w:rPr>
          <w:rFonts w:cs="Arial"/>
          <w:b/>
          <w:bCs/>
        </w:rPr>
      </w:pPr>
      <w:r w:rsidRPr="00315D3F">
        <w:rPr>
          <w:rFonts w:cs="Arial"/>
          <w:b/>
          <w:bCs/>
        </w:rPr>
        <w:t xml:space="preserve">Developers: </w:t>
      </w:r>
      <w:r w:rsidRPr="00315D3F">
        <w:rPr>
          <w:rFonts w:cs="Arial"/>
        </w:rPr>
        <w:t>This table identifies the developer and subject matter expert of this document:</w:t>
      </w:r>
    </w:p>
    <w:tbl>
      <w:tblPr>
        <w:tblW w:w="53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20" w:firstRow="1" w:lastRow="0" w:firstColumn="0" w:lastColumn="0" w:noHBand="1" w:noVBand="1"/>
      </w:tblPr>
      <w:tblGrid>
        <w:gridCol w:w="955"/>
        <w:gridCol w:w="1387"/>
        <w:gridCol w:w="3748"/>
        <w:gridCol w:w="3842"/>
      </w:tblGrid>
      <w:tr w:rsidR="00CC58A1" w:rsidRPr="00E57777" w14:paraId="7B0BA809" w14:textId="77777777" w:rsidTr="001F4275">
        <w:trPr>
          <w:trHeight w:val="473"/>
        </w:trPr>
        <w:tc>
          <w:tcPr>
            <w:tcW w:w="481" w:type="pct"/>
            <w:shd w:val="clear" w:color="auto" w:fill="auto"/>
          </w:tcPr>
          <w:p w14:paraId="28F9263A" w14:textId="77777777" w:rsidR="004C54E5" w:rsidRPr="00E57777" w:rsidRDefault="004C54E5" w:rsidP="00E57777">
            <w:pPr>
              <w:pStyle w:val="DHHStablecolhead"/>
              <w:rPr>
                <w:rFonts w:eastAsia="Calibri"/>
              </w:rPr>
            </w:pPr>
            <w:r w:rsidRPr="00E57777">
              <w:rPr>
                <w:rFonts w:eastAsia="Calibri"/>
              </w:rPr>
              <w:t>Version</w:t>
            </w:r>
          </w:p>
        </w:tc>
        <w:tc>
          <w:tcPr>
            <w:tcW w:w="698" w:type="pct"/>
            <w:shd w:val="clear" w:color="auto" w:fill="auto"/>
          </w:tcPr>
          <w:p w14:paraId="793C3E4E" w14:textId="77777777" w:rsidR="004C54E5" w:rsidRPr="00E57777" w:rsidRDefault="004C54E5" w:rsidP="00E57777">
            <w:pPr>
              <w:pStyle w:val="DHHStablecolhead"/>
              <w:rPr>
                <w:rFonts w:eastAsia="Calibri"/>
              </w:rPr>
            </w:pPr>
            <w:r w:rsidRPr="00E57777">
              <w:rPr>
                <w:rFonts w:eastAsia="Calibri"/>
              </w:rPr>
              <w:t>Issue Date</w:t>
            </w:r>
          </w:p>
        </w:tc>
        <w:tc>
          <w:tcPr>
            <w:tcW w:w="1887" w:type="pct"/>
            <w:shd w:val="clear" w:color="auto" w:fill="auto"/>
          </w:tcPr>
          <w:p w14:paraId="172F423B" w14:textId="77777777" w:rsidR="004C54E5" w:rsidRPr="00E57777" w:rsidRDefault="004C54E5" w:rsidP="00E57777">
            <w:pPr>
              <w:pStyle w:val="DHHStablecolhead"/>
              <w:rPr>
                <w:rFonts w:eastAsia="Calibri"/>
              </w:rPr>
            </w:pPr>
            <w:r w:rsidRPr="00E57777">
              <w:rPr>
                <w:rFonts w:eastAsia="Calibri"/>
              </w:rPr>
              <w:t>Author</w:t>
            </w:r>
          </w:p>
        </w:tc>
        <w:tc>
          <w:tcPr>
            <w:tcW w:w="1934" w:type="pct"/>
            <w:shd w:val="clear" w:color="auto" w:fill="auto"/>
          </w:tcPr>
          <w:p w14:paraId="0B0C89B5" w14:textId="77777777" w:rsidR="004C54E5" w:rsidRPr="00E57777" w:rsidRDefault="004C54E5" w:rsidP="00E57777">
            <w:pPr>
              <w:pStyle w:val="DHHStablecolhead"/>
              <w:rPr>
                <w:rFonts w:eastAsia="Calibri"/>
              </w:rPr>
            </w:pPr>
            <w:r w:rsidRPr="00E57777">
              <w:rPr>
                <w:rFonts w:eastAsia="Calibri"/>
              </w:rPr>
              <w:t xml:space="preserve">Comments </w:t>
            </w:r>
          </w:p>
        </w:tc>
      </w:tr>
      <w:tr w:rsidR="000C4F66" w:rsidRPr="000C4F66" w14:paraId="04048B14" w14:textId="77777777" w:rsidTr="001F4275">
        <w:trPr>
          <w:trHeight w:val="482"/>
        </w:trPr>
        <w:tc>
          <w:tcPr>
            <w:tcW w:w="481" w:type="pct"/>
            <w:shd w:val="clear" w:color="auto" w:fill="auto"/>
          </w:tcPr>
          <w:p w14:paraId="585A36C5" w14:textId="77777777" w:rsidR="000C4F66" w:rsidRPr="000C4F66" w:rsidRDefault="000C4F66" w:rsidP="000C4F66">
            <w:pPr>
              <w:pStyle w:val="DHHStabletext"/>
              <w:rPr>
                <w:rFonts w:eastAsia="Calibri"/>
              </w:rPr>
            </w:pPr>
            <w:r w:rsidRPr="000C4F66">
              <w:rPr>
                <w:rFonts w:eastAsia="Calibri"/>
              </w:rPr>
              <w:t>1.0</w:t>
            </w:r>
          </w:p>
        </w:tc>
        <w:tc>
          <w:tcPr>
            <w:tcW w:w="698" w:type="pct"/>
            <w:shd w:val="clear" w:color="auto" w:fill="auto"/>
          </w:tcPr>
          <w:p w14:paraId="17F419A8" w14:textId="576DEB7B" w:rsidR="000C4F66" w:rsidRPr="000C4F66" w:rsidRDefault="00232126" w:rsidP="000C4F66">
            <w:pPr>
              <w:pStyle w:val="DHHStabletext"/>
              <w:rPr>
                <w:rFonts w:eastAsia="Calibri"/>
              </w:rPr>
            </w:pPr>
            <w:r>
              <w:rPr>
                <w:rFonts w:eastAsia="Calibri"/>
              </w:rPr>
              <w:t>0</w:t>
            </w:r>
            <w:r w:rsidR="00D05655">
              <w:rPr>
                <w:rFonts w:eastAsia="Calibri"/>
              </w:rPr>
              <w:t>9</w:t>
            </w:r>
            <w:r>
              <w:rPr>
                <w:rFonts w:eastAsia="Calibri"/>
              </w:rPr>
              <w:t>/09</w:t>
            </w:r>
            <w:r w:rsidR="000C4F66" w:rsidRPr="000C4F66">
              <w:rPr>
                <w:rFonts w:eastAsia="Calibri"/>
              </w:rPr>
              <w:t>/20</w:t>
            </w:r>
          </w:p>
        </w:tc>
        <w:tc>
          <w:tcPr>
            <w:tcW w:w="1887" w:type="pct"/>
            <w:shd w:val="clear" w:color="auto" w:fill="auto"/>
          </w:tcPr>
          <w:p w14:paraId="0A88FFB3" w14:textId="5F9FAE3B" w:rsidR="000C4F66" w:rsidRPr="000C4F66" w:rsidRDefault="00455226" w:rsidP="000C4F66">
            <w:pPr>
              <w:pStyle w:val="DHHStabletext"/>
              <w:rPr>
                <w:rFonts w:eastAsia="Calibri"/>
              </w:rPr>
            </w:pPr>
            <w:r>
              <w:rPr>
                <w:rFonts w:eastAsia="Calibri"/>
              </w:rPr>
              <w:t>Digital Health branch</w:t>
            </w:r>
          </w:p>
        </w:tc>
        <w:tc>
          <w:tcPr>
            <w:tcW w:w="1934" w:type="pct"/>
            <w:shd w:val="clear" w:color="auto" w:fill="auto"/>
          </w:tcPr>
          <w:p w14:paraId="44C63C4F" w14:textId="643D5EF8" w:rsidR="000C4F66" w:rsidRPr="000C4F66" w:rsidRDefault="000C4F66" w:rsidP="000C4F66">
            <w:pPr>
              <w:pStyle w:val="DHHStabletext"/>
              <w:rPr>
                <w:rFonts w:eastAsia="Calibri"/>
              </w:rPr>
            </w:pPr>
            <w:r w:rsidRPr="000C4F66">
              <w:rPr>
                <w:rFonts w:eastAsia="Calibri"/>
              </w:rPr>
              <w:t xml:space="preserve">Final  </w:t>
            </w:r>
          </w:p>
        </w:tc>
      </w:tr>
    </w:tbl>
    <w:p w14:paraId="79FDDD26" w14:textId="39FBD6A9" w:rsidR="00635D99" w:rsidRPr="00781852" w:rsidRDefault="00635D99" w:rsidP="00781852">
      <w:pPr>
        <w:pStyle w:val="Heading3"/>
        <w:numPr>
          <w:ilvl w:val="0"/>
          <w:numId w:val="0"/>
        </w:numPr>
        <w:ind w:left="720" w:hanging="720"/>
      </w:pPr>
      <w:r w:rsidRPr="00A824C9">
        <w:rPr>
          <w:rFonts w:eastAsia="Times" w:cs="Arial"/>
          <w:noProof/>
          <w:sz w:val="20"/>
          <w:szCs w:val="20"/>
        </w:rPr>
        <w:t>Quality reviews</w:t>
      </w:r>
      <w:r w:rsidR="00781852" w:rsidRPr="00A824C9">
        <w:rPr>
          <w:rFonts w:eastAsia="Times" w:cs="Arial"/>
          <w:noProof/>
          <w:sz w:val="20"/>
          <w:szCs w:val="20"/>
        </w:rPr>
        <w:t>:</w:t>
      </w:r>
      <w:r w:rsidR="00781852">
        <w:t xml:space="preserve"> </w:t>
      </w:r>
      <w:r w:rsidRPr="00781852">
        <w:rPr>
          <w:rFonts w:eastAsia="Times" w:cs="Arial"/>
          <w:b w:val="0"/>
          <w:bCs w:val="0"/>
          <w:noProof/>
          <w:sz w:val="20"/>
          <w:szCs w:val="20"/>
        </w:rPr>
        <w:t xml:space="preserve">The table </w:t>
      </w:r>
      <w:r w:rsidR="00293B17" w:rsidRPr="00781852">
        <w:rPr>
          <w:rFonts w:eastAsia="Times" w:cs="Arial"/>
          <w:b w:val="0"/>
          <w:bCs w:val="0"/>
          <w:noProof/>
          <w:sz w:val="20"/>
          <w:szCs w:val="20"/>
        </w:rPr>
        <w:t xml:space="preserve">defines </w:t>
      </w:r>
      <w:r w:rsidRPr="00781852">
        <w:rPr>
          <w:rFonts w:eastAsia="Times" w:cs="Arial"/>
          <w:b w:val="0"/>
          <w:bCs w:val="0"/>
          <w:noProof/>
          <w:sz w:val="20"/>
          <w:szCs w:val="20"/>
        </w:rPr>
        <w:t>the reviews conducted prior to the release of this document:</w:t>
      </w:r>
    </w:p>
    <w:tbl>
      <w:tblPr>
        <w:tblW w:w="53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1045"/>
        <w:gridCol w:w="1361"/>
        <w:gridCol w:w="4960"/>
        <w:gridCol w:w="2553"/>
      </w:tblGrid>
      <w:tr w:rsidR="007A419A" w:rsidRPr="00E57777" w14:paraId="5FE87A6E" w14:textId="77777777" w:rsidTr="00A35400">
        <w:trPr>
          <w:trHeight w:val="326"/>
          <w:tblHeader/>
        </w:trPr>
        <w:tc>
          <w:tcPr>
            <w:tcW w:w="527" w:type="pct"/>
          </w:tcPr>
          <w:p w14:paraId="1B1A0281" w14:textId="77777777" w:rsidR="007A419A" w:rsidRPr="00E57777" w:rsidRDefault="007A419A" w:rsidP="0073065A">
            <w:pPr>
              <w:pStyle w:val="DHHStablecolhead"/>
              <w:rPr>
                <w:rFonts w:eastAsia="Calibri"/>
              </w:rPr>
            </w:pPr>
            <w:r w:rsidRPr="00E57777">
              <w:rPr>
                <w:rFonts w:eastAsia="Calibri"/>
              </w:rPr>
              <w:t>Version</w:t>
            </w:r>
          </w:p>
        </w:tc>
        <w:tc>
          <w:tcPr>
            <w:tcW w:w="686" w:type="pct"/>
          </w:tcPr>
          <w:p w14:paraId="4FDEC08A" w14:textId="77777777" w:rsidR="007A419A" w:rsidRPr="00E57777" w:rsidRDefault="007A419A" w:rsidP="0073065A">
            <w:pPr>
              <w:pStyle w:val="DHHStablecolhead"/>
              <w:rPr>
                <w:rFonts w:eastAsia="Calibri"/>
              </w:rPr>
            </w:pPr>
            <w:r w:rsidRPr="00E57777">
              <w:rPr>
                <w:rFonts w:eastAsia="Calibri"/>
              </w:rPr>
              <w:t>Date</w:t>
            </w:r>
          </w:p>
        </w:tc>
        <w:tc>
          <w:tcPr>
            <w:tcW w:w="2500" w:type="pct"/>
          </w:tcPr>
          <w:p w14:paraId="2F8D5862" w14:textId="77777777" w:rsidR="007A419A" w:rsidRPr="00E57777" w:rsidRDefault="007A419A" w:rsidP="0073065A">
            <w:pPr>
              <w:pStyle w:val="DHHStablecolhead"/>
              <w:rPr>
                <w:rFonts w:eastAsia="Calibri"/>
              </w:rPr>
            </w:pPr>
            <w:r>
              <w:rPr>
                <w:rFonts w:eastAsia="Calibri"/>
              </w:rPr>
              <w:t>Name</w:t>
            </w:r>
          </w:p>
        </w:tc>
        <w:tc>
          <w:tcPr>
            <w:tcW w:w="1287" w:type="pct"/>
            <w:shd w:val="clear" w:color="auto" w:fill="auto"/>
          </w:tcPr>
          <w:p w14:paraId="5C8470CE" w14:textId="77777777" w:rsidR="007A419A" w:rsidRPr="00E57777" w:rsidRDefault="007A419A" w:rsidP="0073065A">
            <w:pPr>
              <w:pStyle w:val="DHHStablecolhead"/>
              <w:rPr>
                <w:rFonts w:eastAsia="Calibri"/>
              </w:rPr>
            </w:pPr>
            <w:r>
              <w:rPr>
                <w:rFonts w:eastAsia="Calibri"/>
              </w:rPr>
              <w:t>Action</w:t>
            </w:r>
          </w:p>
        </w:tc>
      </w:tr>
      <w:tr w:rsidR="00232126" w:rsidRPr="006C5104" w14:paraId="0647AF65" w14:textId="77777777" w:rsidTr="00A35400">
        <w:trPr>
          <w:trHeight w:val="522"/>
        </w:trPr>
        <w:tc>
          <w:tcPr>
            <w:tcW w:w="527" w:type="pct"/>
            <w:vAlign w:val="center"/>
          </w:tcPr>
          <w:p w14:paraId="30254CF0" w14:textId="31DAA91B" w:rsidR="00232126" w:rsidRPr="006C5104" w:rsidRDefault="00232126" w:rsidP="006C5104">
            <w:pPr>
              <w:pStyle w:val="DHHStabletext"/>
              <w:rPr>
                <w:rFonts w:eastAsia="Calibri"/>
              </w:rPr>
            </w:pPr>
            <w:r>
              <w:rPr>
                <w:rFonts w:eastAsia="Calibri"/>
              </w:rPr>
              <w:t>0.3</w:t>
            </w:r>
          </w:p>
        </w:tc>
        <w:tc>
          <w:tcPr>
            <w:tcW w:w="686" w:type="pct"/>
            <w:vAlign w:val="center"/>
          </w:tcPr>
          <w:p w14:paraId="22055367" w14:textId="51E7875B" w:rsidR="00232126" w:rsidRPr="006C5104" w:rsidRDefault="00232126" w:rsidP="006C5104">
            <w:pPr>
              <w:pStyle w:val="DHHStabletext"/>
              <w:rPr>
                <w:rFonts w:eastAsia="Calibri"/>
              </w:rPr>
            </w:pPr>
            <w:r>
              <w:rPr>
                <w:rFonts w:eastAsia="Calibri"/>
              </w:rPr>
              <w:t>0</w:t>
            </w:r>
            <w:r w:rsidR="00E25E50">
              <w:rPr>
                <w:rFonts w:eastAsia="Calibri"/>
              </w:rPr>
              <w:t>4</w:t>
            </w:r>
            <w:r>
              <w:rPr>
                <w:rFonts w:eastAsia="Calibri"/>
              </w:rPr>
              <w:t>/09/20</w:t>
            </w:r>
          </w:p>
        </w:tc>
        <w:tc>
          <w:tcPr>
            <w:tcW w:w="2500" w:type="pct"/>
            <w:vAlign w:val="center"/>
          </w:tcPr>
          <w:p w14:paraId="415D6372" w14:textId="56402A77" w:rsidR="00232126" w:rsidRPr="006C5104" w:rsidRDefault="00232126" w:rsidP="006C5104">
            <w:pPr>
              <w:pStyle w:val="DHHStabletext"/>
              <w:rPr>
                <w:rFonts w:eastAsia="Calibri"/>
              </w:rPr>
            </w:pPr>
            <w:r>
              <w:rPr>
                <w:rFonts w:eastAsia="Calibri"/>
              </w:rPr>
              <w:t xml:space="preserve">Digital Health </w:t>
            </w:r>
            <w:r w:rsidR="006917E5">
              <w:rPr>
                <w:rFonts w:eastAsia="Calibri"/>
              </w:rPr>
              <w:t>branch (DH</w:t>
            </w:r>
            <w:r>
              <w:rPr>
                <w:rFonts w:eastAsia="Calibri"/>
              </w:rPr>
              <w:t>HS) – Final review</w:t>
            </w:r>
          </w:p>
        </w:tc>
        <w:tc>
          <w:tcPr>
            <w:tcW w:w="1287" w:type="pct"/>
            <w:shd w:val="clear" w:color="auto" w:fill="auto"/>
          </w:tcPr>
          <w:p w14:paraId="36BCDBC4" w14:textId="3D4C3CC7" w:rsidR="00232126" w:rsidRPr="006C5104" w:rsidRDefault="00232126" w:rsidP="006C5104">
            <w:pPr>
              <w:pStyle w:val="DHHStabletext"/>
              <w:rPr>
                <w:rFonts w:eastAsia="Calibri"/>
              </w:rPr>
            </w:pPr>
            <w:r>
              <w:rPr>
                <w:rFonts w:eastAsia="Calibri"/>
              </w:rPr>
              <w:t>Final editorial review</w:t>
            </w:r>
          </w:p>
        </w:tc>
      </w:tr>
      <w:tr w:rsidR="006C5104" w:rsidRPr="006C5104" w14:paraId="2FC91442" w14:textId="77777777" w:rsidTr="00A35400">
        <w:trPr>
          <w:trHeight w:val="522"/>
        </w:trPr>
        <w:tc>
          <w:tcPr>
            <w:tcW w:w="527" w:type="pct"/>
            <w:vAlign w:val="center"/>
          </w:tcPr>
          <w:p w14:paraId="27EA4DD2" w14:textId="2E32025F" w:rsidR="006C5104" w:rsidRPr="006C5104" w:rsidRDefault="006C5104" w:rsidP="006C5104">
            <w:pPr>
              <w:pStyle w:val="DHHStabletext"/>
              <w:rPr>
                <w:rFonts w:eastAsia="Calibri"/>
              </w:rPr>
            </w:pPr>
            <w:r w:rsidRPr="006C5104">
              <w:rPr>
                <w:rFonts w:eastAsia="Calibri"/>
              </w:rPr>
              <w:t>0</w:t>
            </w:r>
            <w:r w:rsidR="001F4275">
              <w:rPr>
                <w:rFonts w:eastAsia="Calibri"/>
              </w:rPr>
              <w:t>.2</w:t>
            </w:r>
          </w:p>
        </w:tc>
        <w:tc>
          <w:tcPr>
            <w:tcW w:w="686" w:type="pct"/>
            <w:vAlign w:val="center"/>
          </w:tcPr>
          <w:p w14:paraId="62B82AFB" w14:textId="77777777" w:rsidR="006C5104" w:rsidRPr="006C5104" w:rsidRDefault="006C5104" w:rsidP="006C5104">
            <w:pPr>
              <w:pStyle w:val="DHHStabletext"/>
              <w:rPr>
                <w:rFonts w:eastAsia="Calibri"/>
              </w:rPr>
            </w:pPr>
            <w:r w:rsidRPr="006C5104">
              <w:rPr>
                <w:rFonts w:eastAsia="Calibri"/>
              </w:rPr>
              <w:t>18/06/20</w:t>
            </w:r>
          </w:p>
        </w:tc>
        <w:tc>
          <w:tcPr>
            <w:tcW w:w="2500" w:type="pct"/>
            <w:vAlign w:val="center"/>
          </w:tcPr>
          <w:p w14:paraId="4E55DA24" w14:textId="77777777" w:rsidR="006C5104" w:rsidRPr="006C5104" w:rsidRDefault="006C5104" w:rsidP="006C5104">
            <w:pPr>
              <w:pStyle w:val="DHHStabletext"/>
              <w:rPr>
                <w:rFonts w:eastAsia="Calibri"/>
              </w:rPr>
            </w:pPr>
            <w:r w:rsidRPr="006C5104">
              <w:rPr>
                <w:rFonts w:eastAsia="Calibri"/>
              </w:rPr>
              <w:t>Digital Health Design and Standards Reference Group (DHDSR)</w:t>
            </w:r>
          </w:p>
        </w:tc>
        <w:tc>
          <w:tcPr>
            <w:tcW w:w="1287" w:type="pct"/>
            <w:shd w:val="clear" w:color="auto" w:fill="auto"/>
          </w:tcPr>
          <w:p w14:paraId="4E9E73B0" w14:textId="77777777" w:rsidR="006C5104" w:rsidRPr="006C5104" w:rsidRDefault="006C5104" w:rsidP="006C5104">
            <w:pPr>
              <w:pStyle w:val="DHHStabletext"/>
              <w:rPr>
                <w:rFonts w:eastAsia="Calibri"/>
              </w:rPr>
            </w:pPr>
            <w:r w:rsidRPr="006C5104">
              <w:rPr>
                <w:rFonts w:eastAsia="Calibri"/>
              </w:rPr>
              <w:t>Review and endorsement</w:t>
            </w:r>
          </w:p>
        </w:tc>
      </w:tr>
    </w:tbl>
    <w:p w14:paraId="512667E1" w14:textId="77777777" w:rsidR="00E25E50" w:rsidRDefault="00635D99" w:rsidP="00A9380E">
      <w:pPr>
        <w:pStyle w:val="Heading3"/>
        <w:numPr>
          <w:ilvl w:val="0"/>
          <w:numId w:val="0"/>
        </w:numPr>
        <w:ind w:left="720" w:hanging="720"/>
        <w:rPr>
          <w:rFonts w:eastAsia="Times" w:cs="Arial"/>
          <w:b w:val="0"/>
          <w:bCs w:val="0"/>
          <w:noProof/>
          <w:sz w:val="20"/>
          <w:szCs w:val="20"/>
        </w:rPr>
      </w:pPr>
      <w:r w:rsidRPr="00653B81">
        <w:rPr>
          <w:rFonts w:eastAsia="Times" w:cs="Arial"/>
          <w:noProof/>
          <w:sz w:val="20"/>
          <w:szCs w:val="20"/>
        </w:rPr>
        <w:t>Referenced artefacts/publications</w:t>
      </w:r>
      <w:r w:rsidR="00A9380E" w:rsidRPr="00653B81">
        <w:rPr>
          <w:rFonts w:eastAsia="Times" w:cs="Arial"/>
          <w:noProof/>
          <w:sz w:val="20"/>
          <w:szCs w:val="20"/>
        </w:rPr>
        <w:t>:</w:t>
      </w:r>
      <w:r w:rsidR="00A9380E">
        <w:t xml:space="preserve"> </w:t>
      </w:r>
      <w:r w:rsidRPr="00A9380E">
        <w:rPr>
          <w:rFonts w:eastAsia="Times" w:cs="Arial"/>
          <w:b w:val="0"/>
          <w:bCs w:val="0"/>
          <w:noProof/>
          <w:sz w:val="20"/>
          <w:szCs w:val="20"/>
        </w:rPr>
        <w:t>Th</w:t>
      </w:r>
      <w:r w:rsidR="00A9380E" w:rsidRPr="00A9380E">
        <w:rPr>
          <w:rFonts w:eastAsia="Times" w:cs="Arial"/>
          <w:b w:val="0"/>
          <w:bCs w:val="0"/>
          <w:noProof/>
          <w:sz w:val="20"/>
          <w:szCs w:val="20"/>
        </w:rPr>
        <w:t>is</w:t>
      </w:r>
      <w:r w:rsidRPr="00A9380E">
        <w:rPr>
          <w:rFonts w:eastAsia="Times" w:cs="Arial"/>
          <w:b w:val="0"/>
          <w:bCs w:val="0"/>
          <w:noProof/>
          <w:sz w:val="20"/>
          <w:szCs w:val="20"/>
        </w:rPr>
        <w:t xml:space="preserve"> table identifies the various artefacts/publications referenced or </w:t>
      </w:r>
    </w:p>
    <w:p w14:paraId="739161D4" w14:textId="366EBBC6" w:rsidR="007D1115" w:rsidRPr="00A9380E" w:rsidRDefault="00635D99" w:rsidP="00A9380E">
      <w:pPr>
        <w:pStyle w:val="Heading3"/>
        <w:numPr>
          <w:ilvl w:val="0"/>
          <w:numId w:val="0"/>
        </w:numPr>
        <w:ind w:left="720" w:hanging="720"/>
        <w:rPr>
          <w:rFonts w:eastAsia="Times" w:cs="Arial"/>
          <w:b w:val="0"/>
          <w:bCs w:val="0"/>
          <w:noProof/>
          <w:sz w:val="20"/>
          <w:szCs w:val="20"/>
        </w:rPr>
      </w:pPr>
      <w:r w:rsidRPr="00A9380E">
        <w:rPr>
          <w:rFonts w:eastAsia="Times" w:cs="Arial"/>
          <w:b w:val="0"/>
          <w:bCs w:val="0"/>
          <w:noProof/>
          <w:sz w:val="20"/>
          <w:szCs w:val="20"/>
        </w:rPr>
        <w:t>considered in this</w:t>
      </w:r>
      <w:r w:rsidR="00A9380E">
        <w:rPr>
          <w:rFonts w:eastAsia="Times" w:cs="Arial"/>
          <w:b w:val="0"/>
          <w:bCs w:val="0"/>
          <w:noProof/>
          <w:sz w:val="20"/>
          <w:szCs w:val="20"/>
        </w:rPr>
        <w:t xml:space="preserve"> </w:t>
      </w:r>
      <w:r w:rsidRPr="00A9380E">
        <w:rPr>
          <w:rFonts w:eastAsia="Times" w:cs="Arial"/>
          <w:b w:val="0"/>
          <w:bCs w:val="0"/>
          <w:noProof/>
          <w:sz w:val="20"/>
          <w:szCs w:val="20"/>
        </w:rPr>
        <w:t>document:</w:t>
      </w:r>
    </w:p>
    <w:tbl>
      <w:tblPr>
        <w:tblW w:w="53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3397"/>
        <w:gridCol w:w="2268"/>
        <w:gridCol w:w="4202"/>
      </w:tblGrid>
      <w:tr w:rsidR="00635D99" w:rsidRPr="00815099" w14:paraId="7766E4F6" w14:textId="77777777" w:rsidTr="00700484">
        <w:trPr>
          <w:trHeight w:val="105"/>
          <w:tblHeader/>
        </w:trPr>
        <w:tc>
          <w:tcPr>
            <w:tcW w:w="1721" w:type="pct"/>
            <w:shd w:val="clear" w:color="auto" w:fill="auto"/>
            <w:vAlign w:val="center"/>
            <w:hideMark/>
          </w:tcPr>
          <w:p w14:paraId="2B62F45C" w14:textId="77777777" w:rsidR="00635D99" w:rsidRPr="00815099" w:rsidRDefault="00635D99" w:rsidP="00815099">
            <w:pPr>
              <w:pStyle w:val="DHHStablecolhead"/>
              <w:rPr>
                <w:rFonts w:eastAsia="Calibri"/>
              </w:rPr>
            </w:pPr>
            <w:r w:rsidRPr="00815099">
              <w:rPr>
                <w:rFonts w:eastAsia="Calibri"/>
              </w:rPr>
              <w:t>Document Name</w:t>
            </w:r>
          </w:p>
        </w:tc>
        <w:tc>
          <w:tcPr>
            <w:tcW w:w="1149" w:type="pct"/>
            <w:shd w:val="clear" w:color="auto" w:fill="auto"/>
            <w:vAlign w:val="center"/>
            <w:hideMark/>
          </w:tcPr>
          <w:p w14:paraId="0E452818" w14:textId="77777777" w:rsidR="00635D99" w:rsidRPr="00815099" w:rsidRDefault="00635D99" w:rsidP="00815099">
            <w:pPr>
              <w:pStyle w:val="DHHStablecolhead"/>
              <w:rPr>
                <w:rFonts w:eastAsia="Calibri"/>
              </w:rPr>
            </w:pPr>
            <w:r w:rsidRPr="00815099">
              <w:rPr>
                <w:rFonts w:eastAsia="Calibri"/>
              </w:rPr>
              <w:t>Owner /Author</w:t>
            </w:r>
          </w:p>
        </w:tc>
        <w:tc>
          <w:tcPr>
            <w:tcW w:w="2129" w:type="pct"/>
            <w:shd w:val="clear" w:color="auto" w:fill="auto"/>
            <w:vAlign w:val="center"/>
            <w:hideMark/>
          </w:tcPr>
          <w:p w14:paraId="0E1FDCD1" w14:textId="77777777" w:rsidR="00635D99" w:rsidRPr="00815099" w:rsidRDefault="00635D99" w:rsidP="00815099">
            <w:pPr>
              <w:pStyle w:val="DHHStablecolhead"/>
              <w:rPr>
                <w:rFonts w:eastAsia="Calibri"/>
              </w:rPr>
            </w:pPr>
            <w:r w:rsidRPr="00815099">
              <w:rPr>
                <w:rFonts w:eastAsia="Calibri"/>
              </w:rPr>
              <w:t>Comments</w:t>
            </w:r>
          </w:p>
        </w:tc>
      </w:tr>
      <w:tr w:rsidR="005F70B4" w:rsidRPr="00034BD3" w14:paraId="42942D89" w14:textId="77777777" w:rsidTr="00700484">
        <w:trPr>
          <w:trHeight w:val="170"/>
        </w:trPr>
        <w:tc>
          <w:tcPr>
            <w:tcW w:w="1721" w:type="pct"/>
            <w:shd w:val="clear" w:color="auto" w:fill="auto"/>
          </w:tcPr>
          <w:p w14:paraId="416AA38F" w14:textId="28F46C1B" w:rsidR="005F70B4" w:rsidRPr="00815099" w:rsidRDefault="0010771D" w:rsidP="00700484">
            <w:pPr>
              <w:pStyle w:val="DHHStabletext"/>
              <w:rPr>
                <w:rFonts w:eastAsia="Calibri"/>
              </w:rPr>
            </w:pPr>
            <w:r>
              <w:rPr>
                <w:rFonts w:eastAsia="Calibri"/>
              </w:rPr>
              <w:t>Digital Design unified implementation guide</w:t>
            </w:r>
          </w:p>
        </w:tc>
        <w:tc>
          <w:tcPr>
            <w:tcW w:w="1149" w:type="pct"/>
            <w:shd w:val="clear" w:color="auto" w:fill="auto"/>
          </w:tcPr>
          <w:p w14:paraId="331177E5" w14:textId="230D43FC" w:rsidR="005F70B4" w:rsidRPr="00815099" w:rsidRDefault="004F0FF5" w:rsidP="00815099">
            <w:pPr>
              <w:pStyle w:val="DHHStabletext"/>
              <w:rPr>
                <w:rFonts w:eastAsia="Calibri"/>
              </w:rPr>
            </w:pPr>
            <w:r>
              <w:rPr>
                <w:rFonts w:eastAsia="Calibri"/>
              </w:rPr>
              <w:t>Digital Health branch</w:t>
            </w:r>
          </w:p>
        </w:tc>
        <w:tc>
          <w:tcPr>
            <w:tcW w:w="2129" w:type="pct"/>
            <w:shd w:val="clear" w:color="auto" w:fill="auto"/>
          </w:tcPr>
          <w:p w14:paraId="403168F4" w14:textId="254A2DE0" w:rsidR="0010771D" w:rsidRPr="00700484" w:rsidRDefault="0073313A" w:rsidP="00700484">
            <w:pPr>
              <w:pStyle w:val="DHHStabletext"/>
              <w:rPr>
                <w:rFonts w:eastAsia="Calibri"/>
              </w:rPr>
            </w:pPr>
            <w:hyperlink r:id="rId21" w:history="1">
              <w:r w:rsidR="0010771D">
                <w:rPr>
                  <w:rStyle w:val="Hyperlink"/>
                </w:rPr>
                <w:t>https://www2.health.vic.gov.au/hospitals-and-health-services/quality-safety-service/digital-health/dh-standards-guidelines/digital-design-unified-implementation-guide</w:t>
              </w:r>
            </w:hyperlink>
          </w:p>
        </w:tc>
      </w:tr>
      <w:tr w:rsidR="00700484" w:rsidRPr="00034BD3" w14:paraId="01367124" w14:textId="77777777" w:rsidTr="00700484">
        <w:trPr>
          <w:trHeight w:val="170"/>
        </w:trPr>
        <w:tc>
          <w:tcPr>
            <w:tcW w:w="1721" w:type="pct"/>
            <w:shd w:val="clear" w:color="auto" w:fill="auto"/>
          </w:tcPr>
          <w:p w14:paraId="1D8564A4" w14:textId="5C71A052" w:rsidR="00700484" w:rsidRPr="00D05655" w:rsidRDefault="0010771D" w:rsidP="004F0FF5">
            <w:pPr>
              <w:pStyle w:val="DHHStabletext"/>
              <w:rPr>
                <w:rFonts w:eastAsia="Calibri"/>
              </w:rPr>
            </w:pPr>
            <w:r w:rsidRPr="00D05655">
              <w:rPr>
                <w:rFonts w:eastAsia="Calibri"/>
              </w:rPr>
              <w:t>Statewide pathology and imaging catalogues</w:t>
            </w:r>
          </w:p>
        </w:tc>
        <w:tc>
          <w:tcPr>
            <w:tcW w:w="1149" w:type="pct"/>
            <w:shd w:val="clear" w:color="auto" w:fill="auto"/>
          </w:tcPr>
          <w:p w14:paraId="2172A1BA" w14:textId="50406958" w:rsidR="00700484" w:rsidRDefault="00700484" w:rsidP="00815099">
            <w:pPr>
              <w:pStyle w:val="DHHStabletext"/>
              <w:rPr>
                <w:rFonts w:eastAsia="Calibri"/>
              </w:rPr>
            </w:pPr>
            <w:r>
              <w:rPr>
                <w:rFonts w:eastAsia="Calibri"/>
              </w:rPr>
              <w:t>Digital Health branch</w:t>
            </w:r>
          </w:p>
        </w:tc>
        <w:tc>
          <w:tcPr>
            <w:tcW w:w="2129" w:type="pct"/>
            <w:shd w:val="clear" w:color="auto" w:fill="auto"/>
          </w:tcPr>
          <w:p w14:paraId="45B30E3F" w14:textId="0D0E7E05" w:rsidR="0010771D" w:rsidRPr="00815099" w:rsidRDefault="0073313A" w:rsidP="00815099">
            <w:pPr>
              <w:pStyle w:val="DHHStabletext"/>
              <w:rPr>
                <w:rFonts w:eastAsia="Calibri"/>
              </w:rPr>
            </w:pPr>
            <w:hyperlink r:id="rId22" w:history="1">
              <w:r w:rsidR="0010771D">
                <w:rPr>
                  <w:rStyle w:val="Hyperlink"/>
                </w:rPr>
                <w:t>https://www2.health.vic.gov.au/hospitals-and-health-services/quality-safety-service/digital-health/dh-standards-guidelines/statewide-pathology-imaging-catalogues</w:t>
              </w:r>
            </w:hyperlink>
          </w:p>
        </w:tc>
      </w:tr>
      <w:tr w:rsidR="00700484" w:rsidRPr="00034BD3" w14:paraId="12199401" w14:textId="77777777" w:rsidTr="00700484">
        <w:trPr>
          <w:trHeight w:val="170"/>
        </w:trPr>
        <w:tc>
          <w:tcPr>
            <w:tcW w:w="1721" w:type="pct"/>
            <w:shd w:val="clear" w:color="auto" w:fill="auto"/>
          </w:tcPr>
          <w:p w14:paraId="10359683" w14:textId="2C5E945F" w:rsidR="00700484" w:rsidRPr="00D05655" w:rsidRDefault="000903C8" w:rsidP="004F0FF5">
            <w:pPr>
              <w:pStyle w:val="DHHStabletext"/>
              <w:rPr>
                <w:rFonts w:eastAsia="Calibri"/>
              </w:rPr>
            </w:pPr>
            <w:r w:rsidRPr="00D05655">
              <w:rPr>
                <w:rFonts w:eastAsia="Calibri"/>
              </w:rPr>
              <w:t>eHealth Prescription Record v1.2.1</w:t>
            </w:r>
          </w:p>
        </w:tc>
        <w:tc>
          <w:tcPr>
            <w:tcW w:w="1149" w:type="pct"/>
            <w:shd w:val="clear" w:color="auto" w:fill="auto"/>
          </w:tcPr>
          <w:p w14:paraId="72DBD3ED" w14:textId="521632C7" w:rsidR="00700484" w:rsidRPr="000903C8" w:rsidRDefault="00700484" w:rsidP="00815099">
            <w:pPr>
              <w:pStyle w:val="DHHStabletext"/>
              <w:rPr>
                <w:rFonts w:eastAsia="Calibri"/>
                <w:b/>
                <w:bCs/>
              </w:rPr>
            </w:pPr>
            <w:r>
              <w:rPr>
                <w:rFonts w:eastAsia="Calibri"/>
              </w:rPr>
              <w:t>Digital Health branch</w:t>
            </w:r>
          </w:p>
        </w:tc>
        <w:tc>
          <w:tcPr>
            <w:tcW w:w="2129" w:type="pct"/>
            <w:shd w:val="clear" w:color="auto" w:fill="auto"/>
          </w:tcPr>
          <w:p w14:paraId="765E135B" w14:textId="7C298DD6" w:rsidR="000903C8" w:rsidRPr="00815099" w:rsidRDefault="0073313A" w:rsidP="00815099">
            <w:pPr>
              <w:pStyle w:val="DHHStabletext"/>
              <w:rPr>
                <w:rFonts w:eastAsia="Calibri"/>
              </w:rPr>
            </w:pPr>
            <w:hyperlink r:id="rId23" w:history="1">
              <w:r w:rsidR="000903C8">
                <w:rPr>
                  <w:rStyle w:val="Hyperlink"/>
                </w:rPr>
                <w:t>https://developer.digitalhealth.gov.au/specifications/clinical-documents/ep-2689-2018</w:t>
              </w:r>
            </w:hyperlink>
          </w:p>
        </w:tc>
      </w:tr>
      <w:tr w:rsidR="00C54827" w:rsidRPr="00034BD3" w14:paraId="62DA8E28" w14:textId="77777777" w:rsidTr="00700484">
        <w:trPr>
          <w:trHeight w:val="170"/>
        </w:trPr>
        <w:tc>
          <w:tcPr>
            <w:tcW w:w="1721" w:type="pct"/>
            <w:shd w:val="clear" w:color="auto" w:fill="auto"/>
          </w:tcPr>
          <w:p w14:paraId="758C7316" w14:textId="626A6EA1" w:rsidR="00C54827" w:rsidRDefault="00C54827" w:rsidP="00E25E50">
            <w:pPr>
              <w:pStyle w:val="DHHSbody"/>
            </w:pPr>
            <w:r>
              <w:t>DH</w:t>
            </w:r>
            <w:r w:rsidRPr="0019191C">
              <w:t xml:space="preserve"> Health Systems HL7 2.4 Unified Specification</w:t>
            </w:r>
          </w:p>
          <w:p w14:paraId="508811B0" w14:textId="77777777" w:rsidR="00C54827" w:rsidRDefault="00C54827" w:rsidP="004F0FF5">
            <w:pPr>
              <w:pStyle w:val="DHHStabletext"/>
              <w:rPr>
                <w:rFonts w:eastAsia="Calibri"/>
                <w:u w:val="single"/>
              </w:rPr>
            </w:pPr>
          </w:p>
        </w:tc>
        <w:tc>
          <w:tcPr>
            <w:tcW w:w="1149" w:type="pct"/>
            <w:shd w:val="clear" w:color="auto" w:fill="auto"/>
          </w:tcPr>
          <w:p w14:paraId="0F1B71B8" w14:textId="3BCE0A3F" w:rsidR="00C54827" w:rsidRDefault="00F65425" w:rsidP="00815099">
            <w:pPr>
              <w:pStyle w:val="DHHStabletext"/>
              <w:rPr>
                <w:rFonts w:eastAsia="Calibri"/>
              </w:rPr>
            </w:pPr>
            <w:r>
              <w:rPr>
                <w:rFonts w:eastAsia="Calibri"/>
              </w:rPr>
              <w:t>Digital Health branch</w:t>
            </w:r>
          </w:p>
        </w:tc>
        <w:tc>
          <w:tcPr>
            <w:tcW w:w="2129" w:type="pct"/>
            <w:shd w:val="clear" w:color="auto" w:fill="auto"/>
          </w:tcPr>
          <w:p w14:paraId="2AE65F16" w14:textId="7DB5D479" w:rsidR="00C54827" w:rsidRDefault="00C54827" w:rsidP="00815099">
            <w:pPr>
              <w:pStyle w:val="DHHStabletext"/>
            </w:pPr>
            <w:r w:rsidRPr="0019191C">
              <w:t xml:space="preserve">The HL7 event messaging specification was devised to improve interoperability with any </w:t>
            </w:r>
            <w:r>
              <w:t>Digital Health</w:t>
            </w:r>
            <w:r w:rsidRPr="0019191C">
              <w:t xml:space="preserve"> application, however the HL7 Unified event messaging specification can be adopted, adapted or referenced as a guide for any Health Service implementing an EMR.</w:t>
            </w:r>
          </w:p>
        </w:tc>
      </w:tr>
    </w:tbl>
    <w:p w14:paraId="1B3AD62F" w14:textId="2CE9E419" w:rsidR="00B64DB2" w:rsidRPr="00653B81" w:rsidRDefault="00635D99" w:rsidP="00653B81">
      <w:pPr>
        <w:pStyle w:val="Heading3"/>
        <w:numPr>
          <w:ilvl w:val="0"/>
          <w:numId w:val="0"/>
        </w:numPr>
        <w:ind w:left="720" w:hanging="720"/>
        <w:rPr>
          <w:rFonts w:eastAsia="Times" w:cs="Arial"/>
          <w:noProof/>
          <w:sz w:val="20"/>
          <w:szCs w:val="20"/>
        </w:rPr>
      </w:pPr>
      <w:r w:rsidRPr="00653B81">
        <w:rPr>
          <w:rFonts w:eastAsia="Times" w:cs="Arial"/>
          <w:noProof/>
          <w:sz w:val="20"/>
          <w:szCs w:val="20"/>
        </w:rPr>
        <w:lastRenderedPageBreak/>
        <w:t>Endorsements and approvals</w:t>
      </w:r>
      <w:r w:rsidR="00653B81">
        <w:rPr>
          <w:rFonts w:eastAsia="Times" w:cs="Arial"/>
          <w:noProof/>
          <w:sz w:val="20"/>
          <w:szCs w:val="20"/>
        </w:rPr>
        <w:t xml:space="preserve">: </w:t>
      </w:r>
      <w:r w:rsidR="00756F64" w:rsidRPr="00653B81">
        <w:rPr>
          <w:rFonts w:eastAsia="Times" w:cs="Arial"/>
          <w:b w:val="0"/>
          <w:bCs w:val="0"/>
          <w:noProof/>
          <w:sz w:val="20"/>
          <w:szCs w:val="20"/>
        </w:rPr>
        <w:t xml:space="preserve">This document </w:t>
      </w:r>
      <w:r w:rsidR="00653B81">
        <w:rPr>
          <w:rFonts w:eastAsia="Times" w:cs="Arial"/>
          <w:b w:val="0"/>
          <w:bCs w:val="0"/>
          <w:noProof/>
          <w:sz w:val="20"/>
          <w:szCs w:val="20"/>
        </w:rPr>
        <w:t>is</w:t>
      </w:r>
      <w:r w:rsidR="00756F64" w:rsidRPr="00653B81">
        <w:rPr>
          <w:rFonts w:eastAsia="Times" w:cs="Arial"/>
          <w:b w:val="0"/>
          <w:bCs w:val="0"/>
          <w:noProof/>
          <w:sz w:val="20"/>
          <w:szCs w:val="20"/>
        </w:rPr>
        <w:t xml:space="preserve"> endorsed and approved for publication </w:t>
      </w:r>
      <w:r w:rsidR="00335A03" w:rsidRPr="00653B81">
        <w:rPr>
          <w:rFonts w:eastAsia="Times" w:cs="Arial"/>
          <w:b w:val="0"/>
          <w:bCs w:val="0"/>
          <w:noProof/>
          <w:sz w:val="20"/>
          <w:szCs w:val="20"/>
        </w:rPr>
        <w:t>as follows:</w:t>
      </w:r>
    </w:p>
    <w:tbl>
      <w:tblPr>
        <w:tblW w:w="52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1063"/>
        <w:gridCol w:w="1292"/>
        <w:gridCol w:w="5067"/>
        <w:gridCol w:w="2383"/>
      </w:tblGrid>
      <w:tr w:rsidR="006B46A7" w:rsidRPr="006B46A7" w14:paraId="4C0EED57" w14:textId="77777777" w:rsidTr="005F771A">
        <w:trPr>
          <w:trHeight w:val="346"/>
          <w:tblHeader/>
        </w:trPr>
        <w:tc>
          <w:tcPr>
            <w:tcW w:w="542" w:type="pct"/>
          </w:tcPr>
          <w:p w14:paraId="0DCB6425" w14:textId="77777777" w:rsidR="006B46A7" w:rsidRPr="006B46A7" w:rsidRDefault="006B46A7" w:rsidP="006B46A7">
            <w:pPr>
              <w:pStyle w:val="DHHSbody"/>
              <w:rPr>
                <w:b/>
              </w:rPr>
            </w:pPr>
            <w:r w:rsidRPr="006B46A7">
              <w:rPr>
                <w:b/>
              </w:rPr>
              <w:t>Version</w:t>
            </w:r>
          </w:p>
        </w:tc>
        <w:tc>
          <w:tcPr>
            <w:tcW w:w="659" w:type="pct"/>
          </w:tcPr>
          <w:p w14:paraId="4ECD970A" w14:textId="77777777" w:rsidR="006B46A7" w:rsidRPr="006B46A7" w:rsidRDefault="006B46A7" w:rsidP="006B46A7">
            <w:pPr>
              <w:pStyle w:val="DHHSbody"/>
              <w:rPr>
                <w:b/>
              </w:rPr>
            </w:pPr>
            <w:r w:rsidRPr="006B46A7">
              <w:rPr>
                <w:b/>
              </w:rPr>
              <w:t>Date</w:t>
            </w:r>
          </w:p>
        </w:tc>
        <w:tc>
          <w:tcPr>
            <w:tcW w:w="2584" w:type="pct"/>
          </w:tcPr>
          <w:p w14:paraId="40282BEE" w14:textId="77777777" w:rsidR="006B46A7" w:rsidRPr="006B46A7" w:rsidRDefault="006B46A7" w:rsidP="006B46A7">
            <w:pPr>
              <w:pStyle w:val="DHHSbody"/>
              <w:rPr>
                <w:b/>
              </w:rPr>
            </w:pPr>
            <w:r w:rsidRPr="006B46A7">
              <w:rPr>
                <w:b/>
              </w:rPr>
              <w:t>Authorized Officer and role</w:t>
            </w:r>
          </w:p>
        </w:tc>
        <w:tc>
          <w:tcPr>
            <w:tcW w:w="1215" w:type="pct"/>
            <w:shd w:val="clear" w:color="auto" w:fill="auto"/>
          </w:tcPr>
          <w:p w14:paraId="602A265F" w14:textId="77777777" w:rsidR="006B46A7" w:rsidRPr="006B46A7" w:rsidRDefault="006B46A7" w:rsidP="006B46A7">
            <w:pPr>
              <w:pStyle w:val="DHHSbody"/>
              <w:rPr>
                <w:b/>
              </w:rPr>
            </w:pPr>
            <w:r w:rsidRPr="006B46A7">
              <w:rPr>
                <w:b/>
              </w:rPr>
              <w:t>Action</w:t>
            </w:r>
          </w:p>
        </w:tc>
      </w:tr>
      <w:tr w:rsidR="006B46A7" w:rsidRPr="006B46A7" w14:paraId="4298D7D9" w14:textId="77777777" w:rsidTr="005F771A">
        <w:trPr>
          <w:trHeight w:val="577"/>
        </w:trPr>
        <w:tc>
          <w:tcPr>
            <w:tcW w:w="542" w:type="pct"/>
            <w:vAlign w:val="center"/>
          </w:tcPr>
          <w:p w14:paraId="73B412D8" w14:textId="77777777" w:rsidR="006B46A7" w:rsidRPr="006B46A7" w:rsidRDefault="006B46A7" w:rsidP="006B46A7">
            <w:pPr>
              <w:pStyle w:val="DHHSbody"/>
            </w:pPr>
            <w:r w:rsidRPr="006B46A7">
              <w:t>0.4</w:t>
            </w:r>
          </w:p>
        </w:tc>
        <w:tc>
          <w:tcPr>
            <w:tcW w:w="659" w:type="pct"/>
            <w:vAlign w:val="center"/>
          </w:tcPr>
          <w:p w14:paraId="5E43EC6A" w14:textId="77777777" w:rsidR="006B46A7" w:rsidRPr="006B46A7" w:rsidRDefault="006B46A7" w:rsidP="006B46A7">
            <w:pPr>
              <w:pStyle w:val="DHHSbody"/>
            </w:pPr>
            <w:r w:rsidRPr="006B46A7">
              <w:t>18/06/20</w:t>
            </w:r>
          </w:p>
        </w:tc>
        <w:tc>
          <w:tcPr>
            <w:tcW w:w="2584" w:type="pct"/>
            <w:vAlign w:val="center"/>
          </w:tcPr>
          <w:p w14:paraId="6ED199C3" w14:textId="77777777" w:rsidR="006B46A7" w:rsidRPr="006B46A7" w:rsidRDefault="006B46A7" w:rsidP="006B46A7">
            <w:pPr>
              <w:pStyle w:val="DHHSbody"/>
            </w:pPr>
            <w:r w:rsidRPr="006B46A7">
              <w:t>Zoltan Kokai (DHDSR Chair)</w:t>
            </w:r>
          </w:p>
          <w:p w14:paraId="7A04C652" w14:textId="77777777" w:rsidR="006B46A7" w:rsidRPr="006B46A7" w:rsidRDefault="006B46A7" w:rsidP="006B46A7">
            <w:pPr>
              <w:pStyle w:val="DHHSbody"/>
            </w:pPr>
            <w:r w:rsidRPr="006B46A7">
              <w:t>Executive Director, Information Technology and Capital Projects, Eastern Health.</w:t>
            </w:r>
          </w:p>
        </w:tc>
        <w:tc>
          <w:tcPr>
            <w:tcW w:w="1215" w:type="pct"/>
            <w:shd w:val="clear" w:color="auto" w:fill="auto"/>
          </w:tcPr>
          <w:p w14:paraId="24393AFE" w14:textId="77777777" w:rsidR="006B46A7" w:rsidRPr="006B46A7" w:rsidRDefault="006B46A7" w:rsidP="006B46A7">
            <w:pPr>
              <w:pStyle w:val="DHHSbody"/>
            </w:pPr>
            <w:r w:rsidRPr="006B46A7">
              <w:t>Endorsed.</w:t>
            </w:r>
          </w:p>
        </w:tc>
      </w:tr>
      <w:tr w:rsidR="006B46A7" w:rsidRPr="006B46A7" w14:paraId="56C7B75F" w14:textId="77777777" w:rsidTr="005F771A">
        <w:trPr>
          <w:trHeight w:val="577"/>
        </w:trPr>
        <w:tc>
          <w:tcPr>
            <w:tcW w:w="542" w:type="pct"/>
            <w:vAlign w:val="center"/>
          </w:tcPr>
          <w:p w14:paraId="7C9D74CC" w14:textId="77777777" w:rsidR="006B46A7" w:rsidRPr="006B46A7" w:rsidRDefault="006B46A7" w:rsidP="006B46A7">
            <w:pPr>
              <w:pStyle w:val="DHHSbody"/>
            </w:pPr>
            <w:r w:rsidRPr="006B46A7">
              <w:t>FINAL</w:t>
            </w:r>
          </w:p>
        </w:tc>
        <w:tc>
          <w:tcPr>
            <w:tcW w:w="659" w:type="pct"/>
            <w:vAlign w:val="center"/>
          </w:tcPr>
          <w:p w14:paraId="3F96B590" w14:textId="39EC9337" w:rsidR="006B46A7" w:rsidRPr="006B46A7" w:rsidRDefault="006B46A7" w:rsidP="006B46A7">
            <w:pPr>
              <w:pStyle w:val="DHHSbody"/>
            </w:pPr>
            <w:r>
              <w:t>24</w:t>
            </w:r>
            <w:r w:rsidRPr="006B46A7">
              <w:t>/07/20</w:t>
            </w:r>
          </w:p>
        </w:tc>
        <w:tc>
          <w:tcPr>
            <w:tcW w:w="2584" w:type="pct"/>
            <w:vAlign w:val="center"/>
          </w:tcPr>
          <w:p w14:paraId="13C02E1B" w14:textId="77777777" w:rsidR="006B46A7" w:rsidRPr="006B46A7" w:rsidRDefault="006B46A7" w:rsidP="006B46A7">
            <w:pPr>
              <w:pStyle w:val="DHHSbody"/>
            </w:pPr>
            <w:r w:rsidRPr="006B46A7">
              <w:t>Neville Board,</w:t>
            </w:r>
          </w:p>
          <w:p w14:paraId="4EB57EA6" w14:textId="77777777" w:rsidR="006B46A7" w:rsidRPr="006B46A7" w:rsidRDefault="006B46A7" w:rsidP="006B46A7">
            <w:pPr>
              <w:pStyle w:val="DHHSbody"/>
            </w:pPr>
            <w:r w:rsidRPr="006B46A7">
              <w:t>Chief Digital Health Officer, Digital Health branch,</w:t>
            </w:r>
          </w:p>
          <w:p w14:paraId="23C89307" w14:textId="43D86F29" w:rsidR="006B46A7" w:rsidRPr="006B46A7" w:rsidRDefault="006B46A7" w:rsidP="006B46A7">
            <w:pPr>
              <w:pStyle w:val="DHHSbody"/>
            </w:pPr>
            <w:r w:rsidRPr="006B46A7">
              <w:t>Departmen</w:t>
            </w:r>
            <w:r>
              <w:t>t</w:t>
            </w:r>
            <w:r w:rsidRPr="006B46A7">
              <w:t xml:space="preserve"> of Health &amp; Human Services</w:t>
            </w:r>
          </w:p>
        </w:tc>
        <w:tc>
          <w:tcPr>
            <w:tcW w:w="1215" w:type="pct"/>
            <w:shd w:val="clear" w:color="auto" w:fill="auto"/>
          </w:tcPr>
          <w:p w14:paraId="60BD3C85" w14:textId="77777777" w:rsidR="006B46A7" w:rsidRPr="006B46A7" w:rsidRDefault="006B46A7" w:rsidP="006B46A7">
            <w:pPr>
              <w:pStyle w:val="DHHSbody"/>
            </w:pPr>
            <w:r w:rsidRPr="006B46A7">
              <w:t>Endorsed.</w:t>
            </w:r>
          </w:p>
        </w:tc>
      </w:tr>
    </w:tbl>
    <w:p w14:paraId="1F798962" w14:textId="77777777" w:rsidR="00335A03" w:rsidRDefault="00335A03" w:rsidP="00B64DB2">
      <w:pPr>
        <w:pStyle w:val="DHHSbody"/>
      </w:pPr>
    </w:p>
    <w:p w14:paraId="3B378026" w14:textId="2812C3E6" w:rsidR="0030083D" w:rsidRDefault="00077A04" w:rsidP="0098513A">
      <w:pPr>
        <w:pStyle w:val="Heading1"/>
        <w:pageBreakBefore/>
        <w:ind w:left="431" w:hanging="431"/>
      </w:pPr>
      <w:bookmarkStart w:id="9" w:name="_Toc50547714"/>
      <w:bookmarkStart w:id="10" w:name="_Toc499826897"/>
      <w:r>
        <w:lastRenderedPageBreak/>
        <w:t>Overview</w:t>
      </w:r>
      <w:bookmarkEnd w:id="9"/>
    </w:p>
    <w:p w14:paraId="78FEBDAD" w14:textId="03C1AE0E" w:rsidR="00B6494F" w:rsidRPr="008713D4" w:rsidRDefault="0079741F" w:rsidP="008713D4">
      <w:pPr>
        <w:pStyle w:val="DHHSbody"/>
      </w:pPr>
      <w:r w:rsidRPr="008713D4">
        <w:t xml:space="preserve">This </w:t>
      </w:r>
      <w:r w:rsidR="00280E00">
        <w:t>guide</w:t>
      </w:r>
      <w:r w:rsidR="00280E00" w:rsidRPr="008713D4">
        <w:t xml:space="preserve"> </w:t>
      </w:r>
      <w:r w:rsidR="005D25AC" w:rsidRPr="008713D4">
        <w:t>defines</w:t>
      </w:r>
      <w:r w:rsidR="00B80509" w:rsidRPr="008713D4">
        <w:t xml:space="preserve"> the principles and design considerations to </w:t>
      </w:r>
      <w:r w:rsidR="00334E92" w:rsidRPr="008713D4">
        <w:t xml:space="preserve">successfully </w:t>
      </w:r>
      <w:r w:rsidR="00B80509" w:rsidRPr="008713D4">
        <w:t>implement and manage key Clinical and E</w:t>
      </w:r>
      <w:r w:rsidR="0006321C">
        <w:t>lectronic Medical Record (E</w:t>
      </w:r>
      <w:r w:rsidR="00B80509" w:rsidRPr="008713D4">
        <w:t>MR</w:t>
      </w:r>
      <w:r w:rsidR="0006321C">
        <w:t>)</w:t>
      </w:r>
      <w:r w:rsidR="00B80509" w:rsidRPr="008713D4">
        <w:t xml:space="preserve"> applications within a complex </w:t>
      </w:r>
      <w:r w:rsidR="003365FD">
        <w:t>digital environment</w:t>
      </w:r>
      <w:r w:rsidR="00DF3C9E" w:rsidRPr="008713D4">
        <w:t>.</w:t>
      </w:r>
    </w:p>
    <w:p w14:paraId="59B7E85E" w14:textId="3C0EE2E0" w:rsidR="00B6494F" w:rsidRPr="008713D4" w:rsidRDefault="00B6494F" w:rsidP="008713D4">
      <w:pPr>
        <w:pStyle w:val="DHHSbody"/>
      </w:pPr>
      <w:r>
        <w:t xml:space="preserve">eHealth is a complex </w:t>
      </w:r>
      <w:r w:rsidR="00DF3C9E">
        <w:t xml:space="preserve">environment </w:t>
      </w:r>
      <w:r w:rsidR="001F1D18">
        <w:t>in which</w:t>
      </w:r>
      <w:r w:rsidR="00DF3C9E">
        <w:t xml:space="preserve"> </w:t>
      </w:r>
      <w:r w:rsidR="001F1D18">
        <w:t xml:space="preserve">many </w:t>
      </w:r>
      <w:r w:rsidR="00DF3C9E">
        <w:t xml:space="preserve">healthcare applications interact with </w:t>
      </w:r>
      <w:r w:rsidR="00BF37B5">
        <w:t>each other</w:t>
      </w:r>
      <w:r w:rsidR="001F1D18">
        <w:t>.</w:t>
      </w:r>
      <w:r w:rsidR="00DF3C9E">
        <w:t xml:space="preserve"> </w:t>
      </w:r>
      <w:r w:rsidR="001F1D18">
        <w:t xml:space="preserve">In addition, </w:t>
      </w:r>
      <w:r w:rsidR="00DF3C9E">
        <w:t xml:space="preserve">national initiatives </w:t>
      </w:r>
      <w:r w:rsidR="001F1D18">
        <w:t xml:space="preserve">require interaction with </w:t>
      </w:r>
      <w:r w:rsidR="00DF3C9E">
        <w:t>national identifiers (IHI, H</w:t>
      </w:r>
      <w:r w:rsidR="03968B9F">
        <w:t>P</w:t>
      </w:r>
      <w:r w:rsidR="00DF3C9E">
        <w:t>I-O, HPI-I) and the My</w:t>
      </w:r>
      <w:r w:rsidR="00B75568">
        <w:t xml:space="preserve"> </w:t>
      </w:r>
      <w:r w:rsidR="00DF3C9E">
        <w:t xml:space="preserve">Health </w:t>
      </w:r>
      <w:r w:rsidR="00B75568">
        <w:t>R</w:t>
      </w:r>
      <w:r w:rsidR="00DF3C9E">
        <w:t>ecord.</w:t>
      </w:r>
    </w:p>
    <w:p w14:paraId="663B54E2" w14:textId="62346A46" w:rsidR="00B80509" w:rsidRPr="008713D4" w:rsidRDefault="00280E00" w:rsidP="008713D4">
      <w:pPr>
        <w:pStyle w:val="DHHSbody"/>
      </w:pPr>
      <w:r>
        <w:t xml:space="preserve">The guide </w:t>
      </w:r>
      <w:r w:rsidR="0046545E">
        <w:t xml:space="preserve">aims to </w:t>
      </w:r>
      <w:r w:rsidR="00DF3C9E" w:rsidRPr="008713D4">
        <w:t xml:space="preserve">provides a foundation for health services </w:t>
      </w:r>
      <w:r w:rsidR="005C639E">
        <w:t xml:space="preserve">as they traverse through their digital health journey. </w:t>
      </w:r>
    </w:p>
    <w:p w14:paraId="6CC8C123" w14:textId="2E724F63" w:rsidR="00B6494F" w:rsidRDefault="00280E00" w:rsidP="0098513A">
      <w:pPr>
        <w:pStyle w:val="DHHSbody"/>
      </w:pPr>
      <w:r>
        <w:t xml:space="preserve">The </w:t>
      </w:r>
      <w:r w:rsidR="00BF37B5">
        <w:t>guide covers:</w:t>
      </w:r>
    </w:p>
    <w:p w14:paraId="43063BF1" w14:textId="036DBEDD" w:rsidR="00B6494F" w:rsidRDefault="0046545E" w:rsidP="008B2CDD">
      <w:pPr>
        <w:pStyle w:val="DHHSbody"/>
        <w:numPr>
          <w:ilvl w:val="0"/>
          <w:numId w:val="26"/>
        </w:numPr>
      </w:pPr>
      <w:r>
        <w:t>A</w:t>
      </w:r>
      <w:r w:rsidR="00B6494F">
        <w:t xml:space="preserve">pplication </w:t>
      </w:r>
      <w:r w:rsidR="00B80509">
        <w:t xml:space="preserve">initiation requirements, </w:t>
      </w:r>
      <w:r w:rsidR="00B6494F">
        <w:t>which are standard requirements to successfully implement a</w:t>
      </w:r>
      <w:r w:rsidR="00915CAF">
        <w:t xml:space="preserve"> digital health</w:t>
      </w:r>
      <w:r w:rsidR="00B6494F">
        <w:t xml:space="preserve"> project</w:t>
      </w:r>
      <w:r w:rsidR="00981E63">
        <w:t>.</w:t>
      </w:r>
    </w:p>
    <w:p w14:paraId="26AE25DE" w14:textId="419CB79F" w:rsidR="00B6494F" w:rsidRDefault="00B6494F" w:rsidP="008B2CDD">
      <w:pPr>
        <w:pStyle w:val="DHHSbody"/>
        <w:numPr>
          <w:ilvl w:val="0"/>
          <w:numId w:val="26"/>
        </w:numPr>
      </w:pPr>
      <w:r>
        <w:t>Function</w:t>
      </w:r>
      <w:r w:rsidR="0046545E">
        <w:t>al</w:t>
      </w:r>
      <w:r>
        <w:t xml:space="preserve"> requirements to ensure the application</w:t>
      </w:r>
      <w:r w:rsidR="0046545E">
        <w:t xml:space="preserve"> delivers</w:t>
      </w:r>
      <w:r>
        <w:t xml:space="preserve"> key </w:t>
      </w:r>
      <w:r w:rsidR="0046545E">
        <w:t xml:space="preserve">clinical </w:t>
      </w:r>
      <w:r>
        <w:t>scope</w:t>
      </w:r>
      <w:r w:rsidR="0046545E">
        <w:t>.</w:t>
      </w:r>
    </w:p>
    <w:p w14:paraId="39CF1AE8" w14:textId="02F54C58" w:rsidR="00B6494F" w:rsidRDefault="00B6494F" w:rsidP="008B2CDD">
      <w:pPr>
        <w:pStyle w:val="DHHSbody"/>
        <w:numPr>
          <w:ilvl w:val="0"/>
          <w:numId w:val="26"/>
        </w:numPr>
      </w:pPr>
      <w:r>
        <w:t>Governance to manage delivery of the application within the complex environment</w:t>
      </w:r>
      <w:r w:rsidR="00981E63">
        <w:t>.</w:t>
      </w:r>
    </w:p>
    <w:p w14:paraId="378C177F" w14:textId="01326675" w:rsidR="00B80509" w:rsidRDefault="00981E63" w:rsidP="008B2CDD">
      <w:pPr>
        <w:pStyle w:val="DHHSbody"/>
        <w:numPr>
          <w:ilvl w:val="0"/>
          <w:numId w:val="26"/>
        </w:numPr>
      </w:pPr>
      <w:r>
        <w:t>Solution guid</w:t>
      </w:r>
      <w:r w:rsidR="00280E00">
        <w:t>ance</w:t>
      </w:r>
      <w:r>
        <w:t xml:space="preserve"> for key clinical application</w:t>
      </w:r>
      <w:r w:rsidR="00700484">
        <w:t>s</w:t>
      </w:r>
      <w:r>
        <w:t xml:space="preserve"> i.e. </w:t>
      </w:r>
      <w:r w:rsidR="00B6494F">
        <w:t>Design configuration, constraints and assumptions for EMR, Alerts and Allergy Design</w:t>
      </w:r>
      <w:r>
        <w:t xml:space="preserve"> (</w:t>
      </w:r>
      <w:r w:rsidR="00700484">
        <w:t>as a</w:t>
      </w:r>
      <w:r>
        <w:t>n example).</w:t>
      </w:r>
    </w:p>
    <w:p w14:paraId="491148B6" w14:textId="059157B2" w:rsidR="005D25AC" w:rsidRPr="008713D4" w:rsidRDefault="00B80509" w:rsidP="008713D4">
      <w:pPr>
        <w:pStyle w:val="DHHSbody"/>
      </w:pPr>
      <w:r w:rsidRPr="008713D4">
        <w:t xml:space="preserve">Also included are the international, national and local Victorian standards appropriate for the implementation </w:t>
      </w:r>
      <w:r w:rsidR="00F00213" w:rsidRPr="008713D4">
        <w:t>of</w:t>
      </w:r>
      <w:r w:rsidRPr="008713D4">
        <w:t xml:space="preserve"> key clinical applications.</w:t>
      </w:r>
    </w:p>
    <w:p w14:paraId="371F4556" w14:textId="77777777" w:rsidR="00622B70" w:rsidRPr="00B64DB2" w:rsidRDefault="007B11F0" w:rsidP="0030083D">
      <w:pPr>
        <w:pStyle w:val="Heading1"/>
        <w:pageBreakBefore/>
        <w:ind w:left="431" w:hanging="431"/>
      </w:pPr>
      <w:bookmarkStart w:id="11" w:name="_Toc50547715"/>
      <w:r w:rsidRPr="00A62195">
        <w:lastRenderedPageBreak/>
        <w:t>Introduction</w:t>
      </w:r>
      <w:bookmarkEnd w:id="10"/>
      <w:bookmarkEnd w:id="11"/>
    </w:p>
    <w:p w14:paraId="604DBE03" w14:textId="77777777" w:rsidR="00395C0B" w:rsidRPr="00A62195" w:rsidRDefault="00E56870" w:rsidP="009F7785">
      <w:pPr>
        <w:pStyle w:val="Heading2"/>
        <w:ind w:left="578" w:hanging="578"/>
      </w:pPr>
      <w:bookmarkStart w:id="12" w:name="_Toc50547716"/>
      <w:bookmarkStart w:id="13" w:name="_Toc492985752"/>
      <w:r>
        <w:t>Background</w:t>
      </w:r>
      <w:bookmarkEnd w:id="12"/>
    </w:p>
    <w:p w14:paraId="24C272D2" w14:textId="3BCC5C6E" w:rsidR="00001562" w:rsidRDefault="00001562" w:rsidP="00A034D1">
      <w:pPr>
        <w:pStyle w:val="DHHSbody"/>
        <w:rPr>
          <w:lang w:eastAsia="en-AU"/>
        </w:rPr>
      </w:pPr>
      <w:r>
        <w:rPr>
          <w:lang w:eastAsia="en-AU"/>
        </w:rPr>
        <w:t>The Victorian Department of Health and Human Services (t</w:t>
      </w:r>
      <w:r w:rsidR="001C3585">
        <w:rPr>
          <w:lang w:eastAsia="en-AU"/>
        </w:rPr>
        <w:t>he department</w:t>
      </w:r>
      <w:r>
        <w:rPr>
          <w:lang w:eastAsia="en-AU"/>
        </w:rPr>
        <w:t>)</w:t>
      </w:r>
      <w:r w:rsidR="001C3585">
        <w:rPr>
          <w:lang w:eastAsia="en-AU"/>
        </w:rPr>
        <w:t xml:space="preserve"> </w:t>
      </w:r>
      <w:r w:rsidR="001F1D18">
        <w:rPr>
          <w:lang w:eastAsia="en-AU"/>
        </w:rPr>
        <w:t>specif</w:t>
      </w:r>
      <w:r>
        <w:rPr>
          <w:lang w:eastAsia="en-AU"/>
        </w:rPr>
        <w:t>ies</w:t>
      </w:r>
      <w:r w:rsidR="001F1D18">
        <w:rPr>
          <w:lang w:eastAsia="en-AU"/>
        </w:rPr>
        <w:t xml:space="preserve"> </w:t>
      </w:r>
      <w:r w:rsidR="0046545E">
        <w:rPr>
          <w:lang w:eastAsia="en-AU"/>
        </w:rPr>
        <w:t xml:space="preserve">digital health </w:t>
      </w:r>
      <w:r w:rsidR="001C3585">
        <w:rPr>
          <w:lang w:eastAsia="en-AU"/>
        </w:rPr>
        <w:t>standards and guides to the Victorian Public Health Sector (VPHS)</w:t>
      </w:r>
      <w:r w:rsidR="001F1D18">
        <w:rPr>
          <w:lang w:eastAsia="en-AU"/>
        </w:rPr>
        <w:t>.</w:t>
      </w:r>
      <w:r w:rsidR="001C3585">
        <w:rPr>
          <w:lang w:eastAsia="en-AU"/>
        </w:rPr>
        <w:t xml:space="preserve"> </w:t>
      </w:r>
      <w:r w:rsidR="001F1D18">
        <w:rPr>
          <w:lang w:eastAsia="en-AU"/>
        </w:rPr>
        <w:t xml:space="preserve">These </w:t>
      </w:r>
      <w:r>
        <w:rPr>
          <w:lang w:eastAsia="en-AU"/>
        </w:rPr>
        <w:t xml:space="preserve">standards </w:t>
      </w:r>
      <w:r w:rsidR="00280E00">
        <w:rPr>
          <w:lang w:eastAsia="en-AU"/>
        </w:rPr>
        <w:t xml:space="preserve">and guides </w:t>
      </w:r>
      <w:r w:rsidR="001C3585">
        <w:rPr>
          <w:lang w:eastAsia="en-AU"/>
        </w:rPr>
        <w:t xml:space="preserve">not only support inter-operability within the state in the current environment, but position health services to better receive and implement national initiatives, like My Health Record. </w:t>
      </w:r>
      <w:r>
        <w:rPr>
          <w:lang w:eastAsia="en-AU"/>
        </w:rPr>
        <w:t xml:space="preserve">The Digital Health branch has worked with the Australian Digital </w:t>
      </w:r>
      <w:r w:rsidR="00280E00">
        <w:rPr>
          <w:lang w:eastAsia="en-AU"/>
        </w:rPr>
        <w:t>H</w:t>
      </w:r>
      <w:r>
        <w:rPr>
          <w:lang w:eastAsia="en-AU"/>
        </w:rPr>
        <w:t xml:space="preserve">ealth Agency (ADHA) over the past </w:t>
      </w:r>
      <w:r w:rsidR="00280E00">
        <w:rPr>
          <w:lang w:eastAsia="en-AU"/>
        </w:rPr>
        <w:t>decade</w:t>
      </w:r>
      <w:r>
        <w:rPr>
          <w:lang w:eastAsia="en-AU"/>
        </w:rPr>
        <w:t xml:space="preserve">, to provide a foundation for better national inter-operability. The branch has delivered the Digital </w:t>
      </w:r>
      <w:r w:rsidR="00655C68">
        <w:rPr>
          <w:lang w:eastAsia="en-AU"/>
        </w:rPr>
        <w:t>Design Unified Implementation</w:t>
      </w:r>
      <w:r>
        <w:rPr>
          <w:rStyle w:val="FootnoteReference"/>
          <w:lang w:eastAsia="en-AU"/>
        </w:rPr>
        <w:footnoteReference w:id="2"/>
      </w:r>
      <w:r w:rsidR="00280E00">
        <w:rPr>
          <w:lang w:eastAsia="en-AU"/>
        </w:rPr>
        <w:t xml:space="preserve">, </w:t>
      </w:r>
      <w:r>
        <w:rPr>
          <w:lang w:eastAsia="en-AU"/>
        </w:rPr>
        <w:t>Medications catalogues and design principles localised to the Victorian health care environment.</w:t>
      </w:r>
    </w:p>
    <w:p w14:paraId="6B7AA4CC" w14:textId="469308FD" w:rsidR="00280E00" w:rsidRDefault="00A034D1" w:rsidP="00A034D1">
      <w:pPr>
        <w:pStyle w:val="DHBodyText"/>
        <w:ind w:left="0"/>
      </w:pPr>
      <w:r>
        <w:t xml:space="preserve">Health services can determine functional requirements for their future applications. This document addresses key considerations and design principles to successfully implement and manage applications in the health service. It provides guidance to health services, to ensure implementation and management of applications comply with the principles listed here and adhere to the common standards across the solutions. </w:t>
      </w:r>
    </w:p>
    <w:p w14:paraId="430FCE80" w14:textId="3EE2E3A1" w:rsidR="00001562" w:rsidRDefault="00A034D1" w:rsidP="00CC036B">
      <w:pPr>
        <w:pStyle w:val="DHBodyText"/>
        <w:ind w:left="0"/>
      </w:pPr>
      <w:r>
        <w:t xml:space="preserve">This document was developed by Digital Health branch of </w:t>
      </w:r>
      <w:r w:rsidRPr="00681D50">
        <w:t>DHHS (F</w:t>
      </w:r>
      <w:r w:rsidRPr="00FB5994">
        <w:t>or more information on the digital health branch refer to appendix A) and</w:t>
      </w:r>
      <w:r>
        <w:rPr>
          <w:b/>
          <w:bCs/>
        </w:rPr>
        <w:t xml:space="preserve"> </w:t>
      </w:r>
      <w:r>
        <w:t xml:space="preserve">should be included in any tender for a new key application. For further clarification of this standards, the Digital Health branch can be contacted on </w:t>
      </w:r>
      <w:hyperlink r:id="rId24" w:history="1">
        <w:r w:rsidRPr="00633878">
          <w:rPr>
            <w:rStyle w:val="Hyperlink"/>
          </w:rPr>
          <w:t>digitalhealth@dhhs.vic.gov.au</w:t>
        </w:r>
      </w:hyperlink>
      <w:r>
        <w:t xml:space="preserve">, or as per the contact details available on the DHHS Digital Health’s website. </w:t>
      </w:r>
    </w:p>
    <w:p w14:paraId="69F676F8" w14:textId="77777777" w:rsidR="001C3585" w:rsidRDefault="001C3585" w:rsidP="001C3585">
      <w:pPr>
        <w:pStyle w:val="BodyText"/>
        <w:rPr>
          <w:lang w:eastAsia="en-AU"/>
        </w:rPr>
      </w:pPr>
      <w:r>
        <w:rPr>
          <w:lang w:eastAsia="en-AU"/>
        </w:rPr>
        <w:t xml:space="preserve">More information on ADHA and Victorian standards can be found at: </w:t>
      </w:r>
    </w:p>
    <w:p w14:paraId="2F3EEE5F" w14:textId="06987B64" w:rsidR="001C3585" w:rsidRDefault="0073313A" w:rsidP="008B2CDD">
      <w:pPr>
        <w:pStyle w:val="DHHSbody"/>
        <w:numPr>
          <w:ilvl w:val="0"/>
          <w:numId w:val="30"/>
        </w:numPr>
        <w:rPr>
          <w:lang w:eastAsia="en-AU"/>
        </w:rPr>
      </w:pPr>
      <w:hyperlink r:id="rId25" w:history="1">
        <w:r w:rsidR="00700484" w:rsidRPr="00633878">
          <w:rPr>
            <w:rStyle w:val="Hyperlink"/>
            <w:lang w:eastAsia="en-AU"/>
          </w:rPr>
          <w:t>https://www.digitalhealth.gov.au/</w:t>
        </w:r>
      </w:hyperlink>
    </w:p>
    <w:p w14:paraId="22C26480" w14:textId="3FEBA365" w:rsidR="00CC036B" w:rsidRDefault="0073313A" w:rsidP="008B2CDD">
      <w:pPr>
        <w:pStyle w:val="DHHSbody"/>
        <w:numPr>
          <w:ilvl w:val="0"/>
          <w:numId w:val="30"/>
        </w:numPr>
        <w:rPr>
          <w:lang w:eastAsia="en-AU"/>
        </w:rPr>
      </w:pPr>
      <w:hyperlink r:id="rId26" w:history="1">
        <w:r w:rsidR="00CC036B">
          <w:rPr>
            <w:rStyle w:val="Hyperlink"/>
          </w:rPr>
          <w:t>https://www2.health.vic.gov.au/hospitals-and-health-services/quality-safety-service/digital-health/dh-standards-guidelines</w:t>
        </w:r>
      </w:hyperlink>
    </w:p>
    <w:p w14:paraId="217F7566" w14:textId="12EDE09D" w:rsidR="00082A7C" w:rsidRDefault="00082A7C" w:rsidP="00082A7C">
      <w:pPr>
        <w:pStyle w:val="BodyText"/>
        <w:rPr>
          <w:lang w:eastAsia="en-AU"/>
        </w:rPr>
      </w:pPr>
      <w:r>
        <w:rPr>
          <w:lang w:eastAsia="en-AU"/>
        </w:rPr>
        <w:t>Australian Digital Health Agency has deliver</w:t>
      </w:r>
      <w:r w:rsidR="001F1D18">
        <w:rPr>
          <w:lang w:eastAsia="en-AU"/>
        </w:rPr>
        <w:t>ed</w:t>
      </w:r>
      <w:r>
        <w:rPr>
          <w:lang w:eastAsia="en-AU"/>
        </w:rPr>
        <w:t xml:space="preserve"> a suite of national eHealth services in conjunction with technology partners. The services include:</w:t>
      </w:r>
    </w:p>
    <w:p w14:paraId="31C78AA5" w14:textId="0D4D73ED" w:rsidR="00082A7C" w:rsidRDefault="00082A7C" w:rsidP="00884833">
      <w:pPr>
        <w:pStyle w:val="BodyText"/>
        <w:numPr>
          <w:ilvl w:val="0"/>
          <w:numId w:val="10"/>
        </w:numPr>
        <w:tabs>
          <w:tab w:val="clear" w:pos="360"/>
          <w:tab w:val="num" w:pos="1080"/>
        </w:tabs>
        <w:rPr>
          <w:lang w:eastAsia="en-AU"/>
        </w:rPr>
      </w:pPr>
      <w:r>
        <w:rPr>
          <w:lang w:eastAsia="en-AU"/>
        </w:rPr>
        <w:t xml:space="preserve">My Health Record </w:t>
      </w:r>
    </w:p>
    <w:p w14:paraId="4F1EA572" w14:textId="77777777" w:rsidR="00082A7C" w:rsidRDefault="00082A7C" w:rsidP="00884833">
      <w:pPr>
        <w:pStyle w:val="BodyText"/>
        <w:numPr>
          <w:ilvl w:val="0"/>
          <w:numId w:val="10"/>
        </w:numPr>
        <w:tabs>
          <w:tab w:val="clear" w:pos="360"/>
          <w:tab w:val="num" w:pos="720"/>
        </w:tabs>
        <w:rPr>
          <w:lang w:eastAsia="en-AU"/>
        </w:rPr>
      </w:pPr>
      <w:r>
        <w:rPr>
          <w:lang w:eastAsia="en-AU"/>
        </w:rPr>
        <w:t>The Healthcare Identifiers (HI) Service, supporting access to national identifiers for patients, healthcare provider organisations (i.e. health services) and healthcare provider individuals (i.e. clinicians).</w:t>
      </w:r>
    </w:p>
    <w:p w14:paraId="65BDE785" w14:textId="77777777" w:rsidR="00082A7C" w:rsidRDefault="00082A7C" w:rsidP="00884833">
      <w:pPr>
        <w:pStyle w:val="BodyText"/>
        <w:numPr>
          <w:ilvl w:val="0"/>
          <w:numId w:val="10"/>
        </w:numPr>
        <w:tabs>
          <w:tab w:val="clear" w:pos="360"/>
          <w:tab w:val="num" w:pos="720"/>
        </w:tabs>
        <w:rPr>
          <w:lang w:eastAsia="en-AU"/>
        </w:rPr>
      </w:pPr>
      <w:r>
        <w:rPr>
          <w:lang w:eastAsia="en-AU"/>
        </w:rPr>
        <w:t>Electronic Transfer of Prescriptions (eTP) – delivery pending</w:t>
      </w:r>
      <w:r>
        <w:rPr>
          <w:rStyle w:val="FootnoteReference"/>
          <w:lang w:eastAsia="en-AU"/>
        </w:rPr>
        <w:footnoteReference w:id="3"/>
      </w:r>
    </w:p>
    <w:p w14:paraId="4167C2BE" w14:textId="0C248BD3" w:rsidR="00082A7C" w:rsidRDefault="00082A7C" w:rsidP="00884833">
      <w:pPr>
        <w:pStyle w:val="BodyText"/>
        <w:numPr>
          <w:ilvl w:val="0"/>
          <w:numId w:val="10"/>
        </w:numPr>
        <w:tabs>
          <w:tab w:val="clear" w:pos="360"/>
          <w:tab w:val="num" w:pos="720"/>
        </w:tabs>
        <w:rPr>
          <w:lang w:eastAsia="en-AU"/>
        </w:rPr>
      </w:pPr>
      <w:r>
        <w:rPr>
          <w:lang w:eastAsia="en-AU"/>
        </w:rPr>
        <w:t>The National Authentication Service for Health (NASH)</w:t>
      </w:r>
    </w:p>
    <w:p w14:paraId="52348D93" w14:textId="77777777" w:rsidR="00082A7C" w:rsidRDefault="00082A7C" w:rsidP="006423EA">
      <w:pPr>
        <w:pStyle w:val="BodyText"/>
        <w:numPr>
          <w:ilvl w:val="1"/>
          <w:numId w:val="10"/>
        </w:numPr>
        <w:tabs>
          <w:tab w:val="clear" w:pos="1080"/>
          <w:tab w:val="num" w:pos="1440"/>
        </w:tabs>
        <w:rPr>
          <w:lang w:eastAsia="en-AU"/>
        </w:rPr>
      </w:pPr>
      <w:r>
        <w:rPr>
          <w:lang w:eastAsia="en-AU"/>
        </w:rPr>
        <w:t>Discharge Summary</w:t>
      </w:r>
    </w:p>
    <w:p w14:paraId="45282747" w14:textId="77777777" w:rsidR="00082A7C" w:rsidRDefault="00082A7C" w:rsidP="006423EA">
      <w:pPr>
        <w:pStyle w:val="BodyText"/>
        <w:numPr>
          <w:ilvl w:val="1"/>
          <w:numId w:val="10"/>
        </w:numPr>
        <w:tabs>
          <w:tab w:val="clear" w:pos="1080"/>
          <w:tab w:val="num" w:pos="1440"/>
        </w:tabs>
        <w:rPr>
          <w:lang w:eastAsia="en-AU"/>
        </w:rPr>
      </w:pPr>
      <w:r>
        <w:rPr>
          <w:lang w:eastAsia="en-AU"/>
        </w:rPr>
        <w:t>Electronic Referral</w:t>
      </w:r>
    </w:p>
    <w:p w14:paraId="3077B7B2" w14:textId="77777777" w:rsidR="00082A7C" w:rsidRDefault="00082A7C" w:rsidP="006423EA">
      <w:pPr>
        <w:pStyle w:val="BodyText"/>
        <w:numPr>
          <w:ilvl w:val="1"/>
          <w:numId w:val="10"/>
        </w:numPr>
        <w:tabs>
          <w:tab w:val="clear" w:pos="1080"/>
          <w:tab w:val="num" w:pos="1440"/>
        </w:tabs>
        <w:rPr>
          <w:lang w:eastAsia="en-AU"/>
        </w:rPr>
      </w:pPr>
      <w:r>
        <w:rPr>
          <w:lang w:eastAsia="en-AU"/>
        </w:rPr>
        <w:t>Shared Health Summary</w:t>
      </w:r>
    </w:p>
    <w:p w14:paraId="7BCEE687" w14:textId="77777777" w:rsidR="00082A7C" w:rsidRDefault="00082A7C" w:rsidP="006423EA">
      <w:pPr>
        <w:pStyle w:val="BodyText"/>
        <w:numPr>
          <w:ilvl w:val="1"/>
          <w:numId w:val="10"/>
        </w:numPr>
        <w:tabs>
          <w:tab w:val="clear" w:pos="1080"/>
          <w:tab w:val="num" w:pos="1440"/>
        </w:tabs>
        <w:rPr>
          <w:lang w:eastAsia="en-AU"/>
        </w:rPr>
      </w:pPr>
      <w:r>
        <w:rPr>
          <w:lang w:eastAsia="en-AU"/>
        </w:rPr>
        <w:t>Event Summary</w:t>
      </w:r>
    </w:p>
    <w:p w14:paraId="4B6EB218" w14:textId="50775DBE" w:rsidR="00082A7C" w:rsidRDefault="00082A7C" w:rsidP="006423EA">
      <w:pPr>
        <w:pStyle w:val="BodyText"/>
        <w:numPr>
          <w:ilvl w:val="1"/>
          <w:numId w:val="10"/>
        </w:numPr>
        <w:tabs>
          <w:tab w:val="clear" w:pos="1080"/>
          <w:tab w:val="num" w:pos="1440"/>
        </w:tabs>
        <w:rPr>
          <w:lang w:eastAsia="en-AU"/>
        </w:rPr>
      </w:pPr>
      <w:r>
        <w:rPr>
          <w:lang w:eastAsia="en-AU"/>
        </w:rPr>
        <w:t>Specialist letter</w:t>
      </w:r>
    </w:p>
    <w:p w14:paraId="0E541319" w14:textId="072DC88A" w:rsidR="00A034D1" w:rsidRDefault="00A034D1" w:rsidP="006423EA">
      <w:pPr>
        <w:pStyle w:val="BodyText"/>
        <w:numPr>
          <w:ilvl w:val="1"/>
          <w:numId w:val="10"/>
        </w:numPr>
        <w:tabs>
          <w:tab w:val="clear" w:pos="1080"/>
          <w:tab w:val="num" w:pos="1440"/>
        </w:tabs>
        <w:rPr>
          <w:lang w:eastAsia="en-AU"/>
        </w:rPr>
      </w:pPr>
      <w:r>
        <w:rPr>
          <w:lang w:eastAsia="en-AU"/>
        </w:rPr>
        <w:t>Diagnostic Imaging Report</w:t>
      </w:r>
    </w:p>
    <w:p w14:paraId="02730B69" w14:textId="795E184B" w:rsidR="00A034D1" w:rsidRDefault="00A034D1" w:rsidP="006423EA">
      <w:pPr>
        <w:pStyle w:val="BodyText"/>
        <w:numPr>
          <w:ilvl w:val="1"/>
          <w:numId w:val="10"/>
        </w:numPr>
        <w:tabs>
          <w:tab w:val="clear" w:pos="1080"/>
          <w:tab w:val="num" w:pos="1440"/>
        </w:tabs>
        <w:rPr>
          <w:lang w:eastAsia="en-AU"/>
        </w:rPr>
      </w:pPr>
      <w:r>
        <w:rPr>
          <w:lang w:eastAsia="en-AU"/>
        </w:rPr>
        <w:lastRenderedPageBreak/>
        <w:t>Pathology Report</w:t>
      </w:r>
    </w:p>
    <w:p w14:paraId="29D6FA3F" w14:textId="32289C32" w:rsidR="00A034D1" w:rsidRDefault="00A034D1" w:rsidP="006423EA">
      <w:pPr>
        <w:pStyle w:val="BodyText"/>
        <w:numPr>
          <w:ilvl w:val="1"/>
          <w:numId w:val="10"/>
        </w:numPr>
        <w:tabs>
          <w:tab w:val="clear" w:pos="1080"/>
          <w:tab w:val="num" w:pos="1440"/>
        </w:tabs>
        <w:rPr>
          <w:lang w:eastAsia="en-AU"/>
        </w:rPr>
      </w:pPr>
      <w:r>
        <w:rPr>
          <w:lang w:eastAsia="en-AU"/>
        </w:rPr>
        <w:t>Prescription and Dispense Records</w:t>
      </w:r>
    </w:p>
    <w:p w14:paraId="06AE1F18" w14:textId="77777777" w:rsidR="00A034D1" w:rsidRDefault="00A034D1" w:rsidP="00A034D1">
      <w:pPr>
        <w:pStyle w:val="BodyText"/>
        <w:ind w:left="720"/>
        <w:rPr>
          <w:lang w:eastAsia="en-AU"/>
        </w:rPr>
      </w:pPr>
    </w:p>
    <w:p w14:paraId="18122932" w14:textId="59AA414C" w:rsidR="00F84578" w:rsidRPr="00A62195" w:rsidRDefault="002F36A8" w:rsidP="003838B0">
      <w:pPr>
        <w:pStyle w:val="Heading2"/>
      </w:pPr>
      <w:bookmarkStart w:id="14" w:name="_Toc50547717"/>
      <w:r>
        <w:t xml:space="preserve">Document </w:t>
      </w:r>
      <w:r w:rsidR="00F84578">
        <w:t>Purpose</w:t>
      </w:r>
      <w:bookmarkEnd w:id="14"/>
    </w:p>
    <w:p w14:paraId="560A4E87" w14:textId="1C3D617D" w:rsidR="008713D4" w:rsidRDefault="00A65CA7" w:rsidP="008713D4">
      <w:pPr>
        <w:pStyle w:val="DHHSbody"/>
      </w:pPr>
      <w:r w:rsidRPr="008713D4">
        <w:t xml:space="preserve">The purpose of this document is to provide guidance and </w:t>
      </w:r>
      <w:r w:rsidR="0050784C">
        <w:t xml:space="preserve">identify pertinent </w:t>
      </w:r>
      <w:r w:rsidRPr="008713D4">
        <w:t xml:space="preserve">considerations to successfully implement and manage key </w:t>
      </w:r>
      <w:r w:rsidR="0050784C">
        <w:t xml:space="preserve">clinical </w:t>
      </w:r>
      <w:r w:rsidRPr="008713D4">
        <w:t xml:space="preserve">applications </w:t>
      </w:r>
      <w:r w:rsidR="0050784C">
        <w:t>in acute health services</w:t>
      </w:r>
      <w:r w:rsidRPr="008713D4">
        <w:t>.</w:t>
      </w:r>
    </w:p>
    <w:p w14:paraId="0BC3330B" w14:textId="724E3D33" w:rsidR="00A65CA7" w:rsidRPr="008713D4" w:rsidRDefault="00A65CA7" w:rsidP="008713D4">
      <w:pPr>
        <w:pStyle w:val="DHHSbody"/>
      </w:pPr>
      <w:r w:rsidRPr="008713D4">
        <w:t>Th</w:t>
      </w:r>
      <w:r w:rsidR="00A5058A" w:rsidRPr="008713D4">
        <w:t xml:space="preserve">e </w:t>
      </w:r>
      <w:r w:rsidRPr="008713D4">
        <w:t xml:space="preserve">guide </w:t>
      </w:r>
      <w:r w:rsidR="008713D4" w:rsidRPr="008713D4">
        <w:t>includes</w:t>
      </w:r>
      <w:r w:rsidRPr="008713D4">
        <w:t xml:space="preserve"> the following:</w:t>
      </w:r>
    </w:p>
    <w:p w14:paraId="15060FCB" w14:textId="0E89DF8A" w:rsidR="00A5058A" w:rsidRDefault="00A5058A" w:rsidP="008B2CDD">
      <w:pPr>
        <w:pStyle w:val="ListParagraph"/>
        <w:numPr>
          <w:ilvl w:val="0"/>
          <w:numId w:val="11"/>
        </w:numPr>
        <w:jc w:val="left"/>
        <w:rPr>
          <w:rFonts w:ascii="Arial" w:hAnsi="Arial" w:cs="Arial"/>
          <w:sz w:val="20"/>
          <w:szCs w:val="20"/>
        </w:rPr>
      </w:pPr>
      <w:r w:rsidRPr="0E6BF28C">
        <w:rPr>
          <w:rFonts w:ascii="Arial" w:hAnsi="Arial" w:cs="Arial"/>
          <w:sz w:val="20"/>
          <w:szCs w:val="20"/>
        </w:rPr>
        <w:t>Defines generic design principles which are based on an overview of common healthcare applications and how this suite of products interacts with the national initiatives, including national identifiers (IHI, H</w:t>
      </w:r>
      <w:r w:rsidR="51567CD1" w:rsidRPr="0E6BF28C">
        <w:rPr>
          <w:rFonts w:ascii="Arial" w:hAnsi="Arial" w:cs="Arial"/>
          <w:sz w:val="20"/>
          <w:szCs w:val="20"/>
        </w:rPr>
        <w:t>P</w:t>
      </w:r>
      <w:r w:rsidRPr="0E6BF28C">
        <w:rPr>
          <w:rFonts w:ascii="Arial" w:hAnsi="Arial" w:cs="Arial"/>
          <w:sz w:val="20"/>
          <w:szCs w:val="20"/>
        </w:rPr>
        <w:t>I-O, HPI-I) and the MyHealth record.</w:t>
      </w:r>
    </w:p>
    <w:p w14:paraId="436A25EB" w14:textId="5BD2090A" w:rsidR="008465E8" w:rsidRPr="00C47E59" w:rsidRDefault="00A5058A" w:rsidP="008B2CDD">
      <w:pPr>
        <w:pStyle w:val="ListParagraph"/>
        <w:numPr>
          <w:ilvl w:val="0"/>
          <w:numId w:val="11"/>
        </w:numPr>
        <w:jc w:val="left"/>
        <w:rPr>
          <w:rFonts w:ascii="Arial" w:hAnsi="Arial" w:cs="Arial"/>
          <w:sz w:val="20"/>
          <w:szCs w:val="20"/>
        </w:rPr>
      </w:pPr>
      <w:r>
        <w:rPr>
          <w:rFonts w:ascii="Arial" w:hAnsi="Arial" w:cs="Arial"/>
          <w:sz w:val="20"/>
          <w:szCs w:val="20"/>
        </w:rPr>
        <w:t>Includes a</w:t>
      </w:r>
      <w:r w:rsidR="001C3585">
        <w:rPr>
          <w:rFonts w:ascii="Arial" w:hAnsi="Arial" w:cs="Arial"/>
          <w:sz w:val="20"/>
          <w:szCs w:val="20"/>
        </w:rPr>
        <w:t xml:space="preserve"> more detailed overview of the introduction to an Electronic Medical record (EMR) and how the suite of modules will interact with other health services applications</w:t>
      </w:r>
      <w:r w:rsidR="008465E8">
        <w:rPr>
          <w:rFonts w:ascii="Arial" w:hAnsi="Arial" w:cs="Arial"/>
          <w:sz w:val="20"/>
          <w:szCs w:val="20"/>
        </w:rPr>
        <w:t xml:space="preserve"> </w:t>
      </w:r>
      <w:r w:rsidR="00F96A71">
        <w:rPr>
          <w:rFonts w:ascii="Arial" w:hAnsi="Arial" w:cs="Arial"/>
          <w:sz w:val="20"/>
          <w:szCs w:val="20"/>
        </w:rPr>
        <w:t>(</w:t>
      </w:r>
      <w:r w:rsidR="008465E8">
        <w:rPr>
          <w:rFonts w:ascii="Arial" w:hAnsi="Arial" w:cs="Arial"/>
          <w:sz w:val="20"/>
          <w:szCs w:val="20"/>
        </w:rPr>
        <w:t>i.e. PAS</w:t>
      </w:r>
      <w:r w:rsidR="00F96A71">
        <w:rPr>
          <w:rFonts w:ascii="Arial" w:hAnsi="Arial" w:cs="Arial"/>
          <w:sz w:val="20"/>
          <w:szCs w:val="20"/>
        </w:rPr>
        <w:t>)</w:t>
      </w:r>
    </w:p>
    <w:p w14:paraId="42036E50" w14:textId="045C3E55" w:rsidR="00263725" w:rsidRDefault="00AE17EF" w:rsidP="008B2CDD">
      <w:pPr>
        <w:pStyle w:val="ListParagraph"/>
        <w:numPr>
          <w:ilvl w:val="0"/>
          <w:numId w:val="11"/>
        </w:numPr>
        <w:jc w:val="left"/>
      </w:pPr>
      <w:r>
        <w:rPr>
          <w:rFonts w:ascii="Arial" w:hAnsi="Arial" w:cs="Arial"/>
          <w:sz w:val="20"/>
          <w:szCs w:val="20"/>
        </w:rPr>
        <w:t>Contributes to the digital maturity of the application being implemented for the health service.</w:t>
      </w:r>
    </w:p>
    <w:p w14:paraId="2916BB5C" w14:textId="77777777" w:rsidR="00214A41" w:rsidRPr="00A62195" w:rsidRDefault="00214A41" w:rsidP="00214A41">
      <w:pPr>
        <w:pStyle w:val="Heading2"/>
      </w:pPr>
      <w:bookmarkStart w:id="15" w:name="_Toc50547718"/>
      <w:r>
        <w:t>Scope</w:t>
      </w:r>
      <w:bookmarkEnd w:id="15"/>
    </w:p>
    <w:p w14:paraId="681E6F1E" w14:textId="77777777" w:rsidR="00214A41" w:rsidRPr="00A62195" w:rsidRDefault="00214A41" w:rsidP="00214A41">
      <w:pPr>
        <w:pStyle w:val="Heading3"/>
      </w:pPr>
      <w:r w:rsidRPr="00A62195">
        <w:t xml:space="preserve">In </w:t>
      </w:r>
      <w:r>
        <w:t>S</w:t>
      </w:r>
      <w:r w:rsidRPr="00A62195">
        <w:t>cope</w:t>
      </w:r>
    </w:p>
    <w:p w14:paraId="7299C2AA" w14:textId="0549A9C6" w:rsidR="00E0417D" w:rsidRPr="008713D4" w:rsidRDefault="00E0417D" w:rsidP="008713D4">
      <w:pPr>
        <w:pStyle w:val="DHHSbody"/>
      </w:pPr>
      <w:r w:rsidRPr="008713D4">
        <w:t>T</w:t>
      </w:r>
      <w:r w:rsidR="00214A41" w:rsidRPr="008713D4">
        <w:t>h</w:t>
      </w:r>
      <w:r w:rsidR="00C01942" w:rsidRPr="008713D4">
        <w:t>e</w:t>
      </w:r>
      <w:r w:rsidR="00214A41" w:rsidRPr="008713D4">
        <w:t xml:space="preserve"> </w:t>
      </w:r>
      <w:r w:rsidR="00280E00">
        <w:t>guide</w:t>
      </w:r>
      <w:r w:rsidR="00280E00" w:rsidRPr="008713D4">
        <w:t xml:space="preserve"> </w:t>
      </w:r>
      <w:r w:rsidRPr="008713D4">
        <w:t>include</w:t>
      </w:r>
      <w:r w:rsidR="00413F5C" w:rsidRPr="008713D4">
        <w:t>s</w:t>
      </w:r>
      <w:r w:rsidRPr="008713D4">
        <w:t xml:space="preserve"> the following:</w:t>
      </w:r>
    </w:p>
    <w:p w14:paraId="539AFF17" w14:textId="60BE886F" w:rsidR="009D5941" w:rsidRDefault="009D5941" w:rsidP="008B2CDD">
      <w:pPr>
        <w:pStyle w:val="DHHSbody"/>
        <w:numPr>
          <w:ilvl w:val="0"/>
          <w:numId w:val="12"/>
        </w:numPr>
      </w:pPr>
      <w:r>
        <w:t>Application initiation requirements and Governance</w:t>
      </w:r>
    </w:p>
    <w:p w14:paraId="0FCDDBC3" w14:textId="3E1C028F" w:rsidR="009013AF" w:rsidRDefault="009013AF" w:rsidP="008B2CDD">
      <w:pPr>
        <w:pStyle w:val="DHHSbody"/>
        <w:numPr>
          <w:ilvl w:val="0"/>
          <w:numId w:val="12"/>
        </w:numPr>
      </w:pPr>
      <w:r>
        <w:t>Principles for interaction of common healthcare applications with national initiatives</w:t>
      </w:r>
      <w:r w:rsidR="00EB081C">
        <w:t>.</w:t>
      </w:r>
    </w:p>
    <w:p w14:paraId="79518061" w14:textId="18EB3015" w:rsidR="00C203C0" w:rsidRDefault="00D43582" w:rsidP="008B2CDD">
      <w:pPr>
        <w:pStyle w:val="DHHSbody"/>
        <w:numPr>
          <w:ilvl w:val="0"/>
          <w:numId w:val="12"/>
        </w:numPr>
      </w:pPr>
      <w:r>
        <w:t>Detailed overview of Electronic Medical Record (EMR) and interaction to health service applications</w:t>
      </w:r>
      <w:r w:rsidR="00EB081C">
        <w:t>.</w:t>
      </w:r>
    </w:p>
    <w:p w14:paraId="75095BC8" w14:textId="77777777" w:rsidR="007B11F0" w:rsidRPr="00A62195" w:rsidRDefault="007B11F0" w:rsidP="00036B24">
      <w:pPr>
        <w:pStyle w:val="Heading2"/>
        <w:pageBreakBefore/>
        <w:ind w:left="578" w:hanging="578"/>
      </w:pPr>
      <w:bookmarkStart w:id="16" w:name="_Toc50547719"/>
      <w:r w:rsidRPr="00A62195">
        <w:lastRenderedPageBreak/>
        <w:t>Audience</w:t>
      </w:r>
      <w:bookmarkEnd w:id="13"/>
      <w:r w:rsidR="00FE2865">
        <w:t>/Stakeholders</w:t>
      </w:r>
      <w:bookmarkEnd w:id="16"/>
    </w:p>
    <w:p w14:paraId="0312F20F" w14:textId="50DF39C5" w:rsidR="00C203C0" w:rsidRDefault="006E6861" w:rsidP="00C203C0">
      <w:pPr>
        <w:pStyle w:val="DHHSbullet1lastline"/>
        <w:numPr>
          <w:ilvl w:val="0"/>
          <w:numId w:val="0"/>
        </w:numPr>
      </w:pPr>
      <w:r>
        <w:t xml:space="preserve">The intended audience for this document </w:t>
      </w:r>
      <w:r w:rsidR="00D4549A">
        <w:t>includes</w:t>
      </w:r>
      <w:r>
        <w:t>:</w:t>
      </w:r>
    </w:p>
    <w:p w14:paraId="08DCDA3B" w14:textId="5FB4F65D" w:rsidR="00C203C0" w:rsidRDefault="00C203C0" w:rsidP="00A04EB8">
      <w:pPr>
        <w:pStyle w:val="DHHSbullet1lastline"/>
        <w:numPr>
          <w:ilvl w:val="0"/>
          <w:numId w:val="7"/>
        </w:numPr>
      </w:pPr>
      <w:r>
        <w:t xml:space="preserve">Victoria </w:t>
      </w:r>
      <w:r w:rsidR="00A35400">
        <w:t xml:space="preserve">public </w:t>
      </w:r>
      <w:r w:rsidR="0050784C">
        <w:t>h</w:t>
      </w:r>
      <w:r>
        <w:t xml:space="preserve">ealth </w:t>
      </w:r>
      <w:r w:rsidR="0050784C">
        <w:t>s</w:t>
      </w:r>
      <w:r>
        <w:t>ervices</w:t>
      </w:r>
    </w:p>
    <w:p w14:paraId="1BACC66E" w14:textId="77777777" w:rsidR="00C203C0" w:rsidRDefault="00C203C0" w:rsidP="00A04EB8">
      <w:pPr>
        <w:pStyle w:val="DHHSbullet1lastline"/>
        <w:numPr>
          <w:ilvl w:val="0"/>
          <w:numId w:val="7"/>
        </w:numPr>
      </w:pPr>
      <w:r>
        <w:t>Digital Health branch</w:t>
      </w:r>
    </w:p>
    <w:p w14:paraId="4E452EE3" w14:textId="7C7BDE34" w:rsidR="00C203C0" w:rsidRDefault="00C203C0" w:rsidP="00A04EB8">
      <w:pPr>
        <w:pStyle w:val="DHHSbullet1lastline"/>
        <w:numPr>
          <w:ilvl w:val="0"/>
          <w:numId w:val="7"/>
        </w:numPr>
      </w:pPr>
      <w:r>
        <w:t xml:space="preserve">DHHS Health Sector </w:t>
      </w:r>
      <w:r w:rsidR="0050784C">
        <w:t>Solutions Unit</w:t>
      </w:r>
    </w:p>
    <w:p w14:paraId="4F248940" w14:textId="2C7858F2" w:rsidR="00C203C0" w:rsidRDefault="00C203C0" w:rsidP="00A04EB8">
      <w:pPr>
        <w:pStyle w:val="DHHSbullet1lastline"/>
        <w:numPr>
          <w:ilvl w:val="0"/>
          <w:numId w:val="7"/>
        </w:numPr>
      </w:pPr>
      <w:r>
        <w:t>DHHS Health Technology Solutions</w:t>
      </w:r>
    </w:p>
    <w:p w14:paraId="1FF9148E" w14:textId="319660DB" w:rsidR="00CC1548" w:rsidRDefault="00CC1548" w:rsidP="00CC1548">
      <w:pPr>
        <w:pStyle w:val="DHHSbullet1lastline"/>
        <w:numPr>
          <w:ilvl w:val="0"/>
          <w:numId w:val="0"/>
        </w:numPr>
        <w:ind w:left="284" w:hanging="284"/>
      </w:pPr>
    </w:p>
    <w:p w14:paraId="26B8A62E" w14:textId="77777777" w:rsidR="00CC1548" w:rsidRDefault="00CC1548" w:rsidP="00CC1548">
      <w:pPr>
        <w:pStyle w:val="Heading2"/>
      </w:pPr>
      <w:bookmarkStart w:id="17" w:name="_Toc50547720"/>
      <w:r>
        <w:t>Other related specifications</w:t>
      </w:r>
      <w:bookmarkEnd w:id="17"/>
    </w:p>
    <w:p w14:paraId="14CBF5A0" w14:textId="77777777" w:rsidR="00CC1548" w:rsidRDefault="00CC1548" w:rsidP="00CC1548">
      <w:pPr>
        <w:pStyle w:val="DHHSbody"/>
        <w:rPr>
          <w:lang w:eastAsia="en-AU"/>
        </w:rPr>
      </w:pPr>
      <w:r>
        <w:rPr>
          <w:lang w:eastAsia="en-AU"/>
        </w:rPr>
        <w:t>Other related specifications to this guide include:</w:t>
      </w:r>
    </w:p>
    <w:p w14:paraId="6F9AB677" w14:textId="77777777" w:rsidR="00CC1548" w:rsidRDefault="00CC1548" w:rsidP="00CC1548">
      <w:pPr>
        <w:pStyle w:val="DHHSbody"/>
        <w:numPr>
          <w:ilvl w:val="0"/>
          <w:numId w:val="8"/>
        </w:numPr>
        <w:rPr>
          <w:lang w:eastAsia="en-AU"/>
        </w:rPr>
      </w:pPr>
      <w:r>
        <w:rPr>
          <w:lang w:eastAsia="en-AU"/>
        </w:rPr>
        <w:t>SNOMED-CT</w:t>
      </w:r>
    </w:p>
    <w:p w14:paraId="1D56EE0A" w14:textId="77777777" w:rsidR="00CC1548" w:rsidRDefault="00CC1548" w:rsidP="00CC1548">
      <w:pPr>
        <w:pStyle w:val="DHHSbody"/>
        <w:numPr>
          <w:ilvl w:val="0"/>
          <w:numId w:val="8"/>
        </w:numPr>
        <w:rPr>
          <w:lang w:eastAsia="en-AU"/>
        </w:rPr>
      </w:pPr>
      <w:r>
        <w:rPr>
          <w:lang w:eastAsia="en-AU"/>
        </w:rPr>
        <w:t>ICD-10</w:t>
      </w:r>
      <w:r>
        <w:rPr>
          <w:rStyle w:val="FootnoteReference"/>
          <w:lang w:eastAsia="en-AU"/>
        </w:rPr>
        <w:footnoteReference w:id="4"/>
      </w:r>
    </w:p>
    <w:p w14:paraId="2AF6C462" w14:textId="77777777" w:rsidR="00CC1548" w:rsidRDefault="00CC1548" w:rsidP="00CC1548">
      <w:pPr>
        <w:pStyle w:val="DHHSbody"/>
        <w:numPr>
          <w:ilvl w:val="0"/>
          <w:numId w:val="8"/>
        </w:numPr>
        <w:rPr>
          <w:lang w:eastAsia="en-AU"/>
        </w:rPr>
      </w:pPr>
      <w:r>
        <w:rPr>
          <w:lang w:eastAsia="en-AU"/>
        </w:rPr>
        <w:t>Pharmaceutical Benefit Scheme (PBS)</w:t>
      </w:r>
    </w:p>
    <w:p w14:paraId="57D8B9C5" w14:textId="77777777" w:rsidR="00CC1548" w:rsidRDefault="00CC1548" w:rsidP="00CC1548">
      <w:pPr>
        <w:pStyle w:val="DHHSbody"/>
        <w:numPr>
          <w:ilvl w:val="0"/>
          <w:numId w:val="8"/>
        </w:numPr>
        <w:rPr>
          <w:lang w:eastAsia="en-AU"/>
        </w:rPr>
      </w:pPr>
      <w:r>
        <w:rPr>
          <w:lang w:eastAsia="en-AU"/>
        </w:rPr>
        <w:t>Australian Medicines Terminology (AMT)</w:t>
      </w:r>
    </w:p>
    <w:p w14:paraId="305B9010" w14:textId="77777777" w:rsidR="00CC1548" w:rsidRDefault="00CC1548" w:rsidP="00CC1548">
      <w:pPr>
        <w:pStyle w:val="DHHSbody"/>
        <w:numPr>
          <w:ilvl w:val="0"/>
          <w:numId w:val="8"/>
        </w:numPr>
        <w:rPr>
          <w:lang w:eastAsia="en-AU"/>
        </w:rPr>
      </w:pPr>
      <w:r>
        <w:rPr>
          <w:lang w:eastAsia="en-AU"/>
        </w:rPr>
        <w:t>National Human Service Directory</w:t>
      </w:r>
    </w:p>
    <w:p w14:paraId="43B272F4" w14:textId="77777777" w:rsidR="00CC1548" w:rsidRDefault="00CC1548" w:rsidP="00CC1548">
      <w:pPr>
        <w:pStyle w:val="DHHSbody"/>
        <w:numPr>
          <w:ilvl w:val="0"/>
          <w:numId w:val="8"/>
        </w:numPr>
        <w:rPr>
          <w:lang w:eastAsia="en-AU"/>
        </w:rPr>
      </w:pPr>
      <w:r>
        <w:rPr>
          <w:lang w:eastAsia="en-AU"/>
        </w:rPr>
        <w:t>HL7 2.4</w:t>
      </w:r>
    </w:p>
    <w:p w14:paraId="710E8028" w14:textId="77777777" w:rsidR="00CC1548" w:rsidRDefault="00CC1548" w:rsidP="00C61923">
      <w:pPr>
        <w:pStyle w:val="DHHSbullet1lastline"/>
        <w:numPr>
          <w:ilvl w:val="0"/>
          <w:numId w:val="0"/>
        </w:numPr>
        <w:ind w:left="284" w:hanging="284"/>
      </w:pPr>
    </w:p>
    <w:p w14:paraId="3028286A" w14:textId="5A188560" w:rsidR="00A05489" w:rsidRDefault="00971AFA" w:rsidP="00A05489">
      <w:pPr>
        <w:pStyle w:val="Heading1"/>
        <w:pageBreakBefore/>
        <w:ind w:left="431" w:hanging="431"/>
      </w:pPr>
      <w:bookmarkStart w:id="18" w:name="_Toc50547721"/>
      <w:r>
        <w:lastRenderedPageBreak/>
        <w:t>Generic Design Principles</w:t>
      </w:r>
      <w:bookmarkEnd w:id="18"/>
    </w:p>
    <w:p w14:paraId="53DC7907" w14:textId="59FFAD4C" w:rsidR="000061A9" w:rsidRDefault="000061A9" w:rsidP="000061A9">
      <w:pPr>
        <w:pStyle w:val="Heading2"/>
      </w:pPr>
      <w:bookmarkStart w:id="19" w:name="_Toc50547722"/>
      <w:r>
        <w:t>Health Application Solution Objectives</w:t>
      </w:r>
      <w:bookmarkEnd w:id="19"/>
    </w:p>
    <w:p w14:paraId="4C1BD756" w14:textId="77777777" w:rsidR="000061A9" w:rsidRPr="0019191C" w:rsidRDefault="000061A9" w:rsidP="000061A9">
      <w:pPr>
        <w:pStyle w:val="DHHSbody"/>
      </w:pPr>
      <w:r>
        <w:t>Health Application Solution objectives g</w:t>
      </w:r>
      <w:r w:rsidRPr="0019191C">
        <w:t xml:space="preserve">enerally have </w:t>
      </w:r>
      <w:r>
        <w:t>some</w:t>
      </w:r>
      <w:r w:rsidRPr="0019191C">
        <w:t xml:space="preserve"> common objectives that drive the solution and its design. Typical objectives include:</w:t>
      </w:r>
    </w:p>
    <w:p w14:paraId="6320D741" w14:textId="77777777" w:rsidR="000061A9" w:rsidRPr="0019191C" w:rsidRDefault="000061A9" w:rsidP="008B2CDD">
      <w:pPr>
        <w:pStyle w:val="DHHSbody"/>
        <w:numPr>
          <w:ilvl w:val="0"/>
          <w:numId w:val="31"/>
        </w:numPr>
      </w:pPr>
      <w:r w:rsidRPr="0019191C">
        <w:t>Increase the quality and safety of care and improve health outcomes for patients and health services</w:t>
      </w:r>
    </w:p>
    <w:p w14:paraId="7DEED0B8" w14:textId="77777777" w:rsidR="000061A9" w:rsidRPr="0019191C" w:rsidRDefault="000061A9" w:rsidP="008B2CDD">
      <w:pPr>
        <w:pStyle w:val="DHHSbody"/>
        <w:numPr>
          <w:ilvl w:val="0"/>
          <w:numId w:val="31"/>
        </w:numPr>
      </w:pPr>
      <w:r w:rsidRPr="0019191C">
        <w:t>Increase the efficiency of healthcare provision</w:t>
      </w:r>
    </w:p>
    <w:p w14:paraId="4DCA2990" w14:textId="77777777" w:rsidR="000061A9" w:rsidRPr="0019191C" w:rsidRDefault="000061A9" w:rsidP="008B2CDD">
      <w:pPr>
        <w:pStyle w:val="DHHSbody"/>
        <w:numPr>
          <w:ilvl w:val="0"/>
          <w:numId w:val="31"/>
        </w:numPr>
      </w:pPr>
      <w:r w:rsidRPr="0019191C">
        <w:t>Increase the effective management and utilisation of resources</w:t>
      </w:r>
    </w:p>
    <w:p w14:paraId="5FA969EE" w14:textId="260CF42A" w:rsidR="000061A9" w:rsidRPr="0019191C" w:rsidRDefault="000061A9" w:rsidP="008B2CDD">
      <w:pPr>
        <w:pStyle w:val="DHHSbody"/>
        <w:numPr>
          <w:ilvl w:val="0"/>
          <w:numId w:val="31"/>
        </w:numPr>
      </w:pPr>
      <w:r w:rsidRPr="0019191C">
        <w:t>Attract, retain and support a highly skilled workforce</w:t>
      </w:r>
    </w:p>
    <w:p w14:paraId="0151A987" w14:textId="77777777" w:rsidR="000061A9" w:rsidRPr="0019191C" w:rsidRDefault="000061A9" w:rsidP="008B2CDD">
      <w:pPr>
        <w:pStyle w:val="DHHSbody"/>
        <w:numPr>
          <w:ilvl w:val="0"/>
          <w:numId w:val="31"/>
        </w:numPr>
      </w:pPr>
      <w:r w:rsidRPr="0019191C">
        <w:t>Build a unified and integrated healthcare system</w:t>
      </w:r>
    </w:p>
    <w:p w14:paraId="34E16042" w14:textId="77777777" w:rsidR="000061A9" w:rsidRPr="0019191C" w:rsidRDefault="000061A9" w:rsidP="008B2CDD">
      <w:pPr>
        <w:pStyle w:val="DHHSbody"/>
        <w:numPr>
          <w:ilvl w:val="0"/>
          <w:numId w:val="31"/>
        </w:numPr>
      </w:pPr>
      <w:r w:rsidRPr="0019191C">
        <w:t>Develop a more consumer-oriented healthcare system</w:t>
      </w:r>
    </w:p>
    <w:p w14:paraId="22528C48" w14:textId="5965AE36" w:rsidR="000061A9" w:rsidRDefault="000061A9" w:rsidP="000061A9">
      <w:pPr>
        <w:pStyle w:val="DHHSbody"/>
      </w:pPr>
      <w:r>
        <w:t>For</w:t>
      </w:r>
      <w:r w:rsidRPr="0019191C">
        <w:t xml:space="preserve"> these </w:t>
      </w:r>
      <w:r>
        <w:t>objectives</w:t>
      </w:r>
      <w:r w:rsidRPr="0019191C">
        <w:t xml:space="preserve"> to be realised, appropriate governance </w:t>
      </w:r>
      <w:r>
        <w:t>structures need to be in place.</w:t>
      </w:r>
    </w:p>
    <w:p w14:paraId="0FA32EC5" w14:textId="4BAF6215" w:rsidR="00A05489" w:rsidRDefault="009C0B86" w:rsidP="00A05489">
      <w:pPr>
        <w:pStyle w:val="Heading2"/>
      </w:pPr>
      <w:bookmarkStart w:id="20" w:name="_Toc50547723"/>
      <w:r>
        <w:t xml:space="preserve">Application </w:t>
      </w:r>
      <w:r w:rsidR="004E3276">
        <w:t>Initiation</w:t>
      </w:r>
      <w:r>
        <w:t xml:space="preserve"> </w:t>
      </w:r>
      <w:r w:rsidR="00861324">
        <w:t>requirements</w:t>
      </w:r>
      <w:bookmarkEnd w:id="20"/>
    </w:p>
    <w:p w14:paraId="02460141" w14:textId="644B2A2D" w:rsidR="00F5389A" w:rsidRPr="0019191C" w:rsidRDefault="00F5389A" w:rsidP="008713D4">
      <w:pPr>
        <w:pStyle w:val="DHHSbody"/>
      </w:pPr>
      <w:r w:rsidRPr="0019191C">
        <w:t>While health service ICT projects will var</w:t>
      </w:r>
      <w:r w:rsidR="00116288">
        <w:t>y</w:t>
      </w:r>
      <w:r w:rsidRPr="0019191C">
        <w:t xml:space="preserve"> depending on business requirements, there are several basic </w:t>
      </w:r>
      <w:r w:rsidR="007D4616">
        <w:t>initiation requirements</w:t>
      </w:r>
      <w:r w:rsidRPr="0019191C">
        <w:t xml:space="preserve"> which should be included in any project. </w:t>
      </w:r>
      <w:r w:rsidR="00BB5B59">
        <w:t xml:space="preserve">When initiating a </w:t>
      </w:r>
      <w:r w:rsidRPr="0019191C">
        <w:t>typical health</w:t>
      </w:r>
      <w:r w:rsidRPr="0019191C">
        <w:rPr>
          <w:i/>
        </w:rPr>
        <w:t xml:space="preserve"> </w:t>
      </w:r>
      <w:r w:rsidRPr="0019191C">
        <w:t>service project for</w:t>
      </w:r>
      <w:r w:rsidRPr="0019191C">
        <w:rPr>
          <w:i/>
        </w:rPr>
        <w:t xml:space="preserve"> </w:t>
      </w:r>
      <w:r w:rsidRPr="0019191C">
        <w:t>application configuration/implementation and/or overall solution design</w:t>
      </w:r>
      <w:r w:rsidR="00BB5B59">
        <w:t xml:space="preserve">, </w:t>
      </w:r>
      <w:r w:rsidR="00460A0D">
        <w:t>consideration</w:t>
      </w:r>
      <w:r w:rsidR="00BB5B59">
        <w:t xml:space="preserve"> should be given to the following</w:t>
      </w:r>
      <w:r w:rsidR="00F37255">
        <w:t>s:</w:t>
      </w:r>
    </w:p>
    <w:p w14:paraId="0EE8AA95" w14:textId="0E6806B0" w:rsidR="008D22F5" w:rsidRDefault="008D22F5" w:rsidP="008B2CDD">
      <w:pPr>
        <w:pStyle w:val="DHHSbody"/>
        <w:numPr>
          <w:ilvl w:val="0"/>
          <w:numId w:val="32"/>
        </w:numPr>
      </w:pPr>
      <w:bookmarkStart w:id="21" w:name="_Hlk536108273"/>
      <w:r>
        <w:t xml:space="preserve">Confirm </w:t>
      </w:r>
      <w:r w:rsidRPr="0019191C">
        <w:t>executive endorsement to support the project</w:t>
      </w:r>
      <w:r>
        <w:t xml:space="preserve"> through a strong high-level project brief.</w:t>
      </w:r>
    </w:p>
    <w:p w14:paraId="7D43DEF1" w14:textId="27D2DC82" w:rsidR="00F5389A" w:rsidRDefault="00176CB2" w:rsidP="008B2CDD">
      <w:pPr>
        <w:pStyle w:val="DHHSbody"/>
        <w:numPr>
          <w:ilvl w:val="0"/>
          <w:numId w:val="32"/>
        </w:numPr>
      </w:pPr>
      <w:r>
        <w:t>B</w:t>
      </w:r>
      <w:r w:rsidR="00351F83">
        <w:t>usiness r</w:t>
      </w:r>
      <w:r w:rsidR="00F5389A" w:rsidRPr="0019191C">
        <w:t>equirements and scope</w:t>
      </w:r>
      <w:r w:rsidR="005705D7">
        <w:t xml:space="preserve">: </w:t>
      </w:r>
      <w:r w:rsidR="00200364">
        <w:t>The relevant stakeholders should review and approve the high-level business requirements through established approach</w:t>
      </w:r>
      <w:r w:rsidR="009D5941">
        <w:t>es</w:t>
      </w:r>
      <w:r w:rsidR="00200364">
        <w:t xml:space="preserve">. </w:t>
      </w:r>
      <w:r w:rsidR="00BB4551">
        <w:t xml:space="preserve">Confirm </w:t>
      </w:r>
      <w:r w:rsidR="00116288">
        <w:t>approv</w:t>
      </w:r>
      <w:r w:rsidR="00351F83">
        <w:t>al</w:t>
      </w:r>
      <w:r>
        <w:t xml:space="preserve"> </w:t>
      </w:r>
      <w:r w:rsidR="00F5389A" w:rsidRPr="0019191C">
        <w:t xml:space="preserve">prior to product selection </w:t>
      </w:r>
      <w:r w:rsidR="00116288">
        <w:t>and/</w:t>
      </w:r>
      <w:r w:rsidR="00F5389A" w:rsidRPr="0019191C">
        <w:t>or solution development</w:t>
      </w:r>
      <w:r w:rsidR="005705D7">
        <w:t xml:space="preserve"> with key business stakeholders and representatives of key user groups.</w:t>
      </w:r>
    </w:p>
    <w:p w14:paraId="3D94AAB7" w14:textId="24BEA15E" w:rsidR="00200364" w:rsidRDefault="00200364" w:rsidP="008B2CDD">
      <w:pPr>
        <w:pStyle w:val="DHHSbody"/>
        <w:numPr>
          <w:ilvl w:val="0"/>
          <w:numId w:val="32"/>
        </w:numPr>
      </w:pPr>
      <w:r w:rsidRPr="0019191C">
        <w:t xml:space="preserve">Initial projected expenditure </w:t>
      </w:r>
      <w:r>
        <w:t xml:space="preserve">should be </w:t>
      </w:r>
      <w:r w:rsidRPr="0019191C">
        <w:t>outlined to determine the magnitude and cost of the desired outcome</w:t>
      </w:r>
      <w:r>
        <w:t>. Details to be provided/supplied in the Business Case.</w:t>
      </w:r>
    </w:p>
    <w:p w14:paraId="1C180E43" w14:textId="61275596" w:rsidR="00934230" w:rsidRPr="0019191C" w:rsidRDefault="00934230" w:rsidP="008B2CDD">
      <w:pPr>
        <w:pStyle w:val="DHHSbody"/>
        <w:numPr>
          <w:ilvl w:val="0"/>
          <w:numId w:val="32"/>
        </w:numPr>
      </w:pPr>
      <w:r>
        <w:t xml:space="preserve">Develop and get approval for an </w:t>
      </w:r>
      <w:r w:rsidRPr="0019191C">
        <w:t xml:space="preserve">appropriate business case </w:t>
      </w:r>
      <w:r>
        <w:t>to include</w:t>
      </w:r>
      <w:r w:rsidRPr="0019191C">
        <w:t xml:space="preserve"> justification for the project, governance structures and process, funding, resourcing, duration and appropriate scope definitions</w:t>
      </w:r>
      <w:r>
        <w:t>.</w:t>
      </w:r>
    </w:p>
    <w:p w14:paraId="15FCAD2C" w14:textId="42C11A87" w:rsidR="00082F55" w:rsidRDefault="00082F55" w:rsidP="008B2CDD">
      <w:pPr>
        <w:pStyle w:val="DHHSbody"/>
        <w:numPr>
          <w:ilvl w:val="0"/>
          <w:numId w:val="32"/>
        </w:numPr>
      </w:pPr>
      <w:r>
        <w:t>Perform a</w:t>
      </w:r>
      <w:r w:rsidRPr="0019191C">
        <w:t xml:space="preserve"> high</w:t>
      </w:r>
      <w:r>
        <w:t>-</w:t>
      </w:r>
      <w:r w:rsidRPr="0019191C">
        <w:t>level gap analysis and feasibility process including a high</w:t>
      </w:r>
      <w:r>
        <w:t>-</w:t>
      </w:r>
      <w:r w:rsidRPr="0019191C">
        <w:t>level design process in the form o</w:t>
      </w:r>
      <w:r>
        <w:t>f</w:t>
      </w:r>
      <w:r w:rsidRPr="0019191C">
        <w:t xml:space="preserve"> an architecture. </w:t>
      </w:r>
      <w:r>
        <w:t>Also, define a</w:t>
      </w:r>
      <w:r w:rsidRPr="0019191C">
        <w:t xml:space="preserve"> view of the current and future state vision. This process determines the cost impacts, areas of business change, and associated changes within the health service environment that would need to change </w:t>
      </w:r>
      <w:r w:rsidR="000B5E67" w:rsidRPr="0019191C">
        <w:t>because of</w:t>
      </w:r>
      <w:r w:rsidRPr="0019191C">
        <w:t xml:space="preserve"> the initiative.</w:t>
      </w:r>
    </w:p>
    <w:p w14:paraId="6EB7F65E" w14:textId="021AD0DD" w:rsidR="00200364" w:rsidRPr="0019191C" w:rsidRDefault="004B4D62" w:rsidP="008B2CDD">
      <w:pPr>
        <w:pStyle w:val="DHHSbody"/>
        <w:numPr>
          <w:ilvl w:val="0"/>
          <w:numId w:val="32"/>
        </w:numPr>
      </w:pPr>
      <w:r>
        <w:t>Once the project is approved and executive endorsement is confirmed, initiate funding arrangement</w:t>
      </w:r>
      <w:r w:rsidR="008713D4">
        <w:t>s</w:t>
      </w:r>
      <w:r>
        <w:t xml:space="preserve">, </w:t>
      </w:r>
      <w:r w:rsidR="008713D4">
        <w:t xml:space="preserve">proceed to </w:t>
      </w:r>
      <w:r>
        <w:t>product selection,</w:t>
      </w:r>
      <w:r w:rsidR="008713D4">
        <w:t xml:space="preserve"> undertake</w:t>
      </w:r>
      <w:r>
        <w:t xml:space="preserve"> p</w:t>
      </w:r>
      <w:r w:rsidR="00200364" w:rsidRPr="0019191C">
        <w:t>rocurement</w:t>
      </w:r>
      <w:r>
        <w:t xml:space="preserve"> </w:t>
      </w:r>
      <w:r w:rsidR="00200364" w:rsidRPr="0019191C">
        <w:t xml:space="preserve">and </w:t>
      </w:r>
      <w:r w:rsidR="008713D4">
        <w:t xml:space="preserve">move to the </w:t>
      </w:r>
      <w:r>
        <w:t>delivery/</w:t>
      </w:r>
      <w:r w:rsidR="00B75568" w:rsidRPr="0019191C">
        <w:t>development</w:t>
      </w:r>
      <w:r w:rsidR="00B75568">
        <w:t xml:space="preserve"> phase.</w:t>
      </w:r>
    </w:p>
    <w:p w14:paraId="49AD5B64" w14:textId="24218FC0" w:rsidR="00173E42" w:rsidRPr="00834F5C" w:rsidRDefault="000D6598" w:rsidP="004E22B0">
      <w:pPr>
        <w:pStyle w:val="Heading2"/>
        <w:pageBreakBefore/>
        <w:ind w:left="578" w:hanging="578"/>
      </w:pPr>
      <w:bookmarkStart w:id="22" w:name="_Toc50547724"/>
      <w:bookmarkEnd w:id="21"/>
      <w:r w:rsidRPr="00024FF1">
        <w:lastRenderedPageBreak/>
        <w:t>Application</w:t>
      </w:r>
      <w:r w:rsidRPr="00834F5C">
        <w:t xml:space="preserve"> Function</w:t>
      </w:r>
      <w:r w:rsidR="00173E42" w:rsidRPr="00834F5C">
        <w:t xml:space="preserve"> requirements</w:t>
      </w:r>
      <w:bookmarkEnd w:id="22"/>
    </w:p>
    <w:p w14:paraId="4D9C6E3B" w14:textId="0171227E" w:rsidR="000D6598" w:rsidRPr="0019191C" w:rsidRDefault="000D6598" w:rsidP="008713D4">
      <w:pPr>
        <w:pStyle w:val="DHHSbody"/>
      </w:pPr>
      <w:r w:rsidRPr="0019191C">
        <w:t>The project needs to clearly articulate the solution scope, specifically itemising what is in scope and what is out of scope and list cost impacts.</w:t>
      </w:r>
      <w:r w:rsidR="00971AFA">
        <w:t xml:space="preserve"> Examples of such items in scope are:</w:t>
      </w:r>
    </w:p>
    <w:p w14:paraId="053DA1CF" w14:textId="3CB77860" w:rsidR="000D6598" w:rsidRPr="0019191C" w:rsidRDefault="000D6598" w:rsidP="004E4869">
      <w:pPr>
        <w:pStyle w:val="DHbody"/>
        <w:numPr>
          <w:ilvl w:val="0"/>
          <w:numId w:val="9"/>
        </w:numPr>
        <w:tabs>
          <w:tab w:val="clear" w:pos="360"/>
          <w:tab w:val="num" w:pos="1080"/>
        </w:tabs>
        <w:ind w:left="720"/>
      </w:pPr>
      <w:r w:rsidRPr="0019191C">
        <w:t>Implementation of an enterprise/national patient master index</w:t>
      </w:r>
      <w:r w:rsidR="00790D26">
        <w:t>.</w:t>
      </w:r>
    </w:p>
    <w:p w14:paraId="2875238B" w14:textId="6591CA26" w:rsidR="000D6598" w:rsidRPr="0019191C" w:rsidRDefault="000D6598" w:rsidP="004E4869">
      <w:pPr>
        <w:pStyle w:val="DHbody"/>
        <w:numPr>
          <w:ilvl w:val="0"/>
          <w:numId w:val="9"/>
        </w:numPr>
        <w:tabs>
          <w:tab w:val="clear" w:pos="360"/>
          <w:tab w:val="num" w:pos="1080"/>
        </w:tabs>
        <w:ind w:left="720"/>
      </w:pPr>
      <w:r w:rsidRPr="0019191C">
        <w:t>Implementation of a data warehouse or consolidated reporting solution</w:t>
      </w:r>
      <w:r w:rsidR="00790D26">
        <w:t>.</w:t>
      </w:r>
    </w:p>
    <w:p w14:paraId="30E15ED1" w14:textId="2504F464" w:rsidR="000D6598" w:rsidRPr="0019191C" w:rsidRDefault="000D6598" w:rsidP="004E4869">
      <w:pPr>
        <w:pStyle w:val="DHbody"/>
        <w:numPr>
          <w:ilvl w:val="0"/>
          <w:numId w:val="9"/>
        </w:numPr>
        <w:tabs>
          <w:tab w:val="clear" w:pos="360"/>
          <w:tab w:val="num" w:pos="1080"/>
        </w:tabs>
        <w:ind w:left="720"/>
      </w:pPr>
      <w:r w:rsidRPr="0019191C">
        <w:t>Any interfaces required outside of agreed functional and contract scope</w:t>
      </w:r>
      <w:r w:rsidR="00790D26">
        <w:t>.</w:t>
      </w:r>
    </w:p>
    <w:p w14:paraId="50FF512A" w14:textId="4A2058F9" w:rsidR="000D6598" w:rsidRPr="0019191C" w:rsidRDefault="000D6598" w:rsidP="004E4869">
      <w:pPr>
        <w:pStyle w:val="DHbody"/>
        <w:numPr>
          <w:ilvl w:val="0"/>
          <w:numId w:val="9"/>
        </w:numPr>
        <w:tabs>
          <w:tab w:val="clear" w:pos="360"/>
          <w:tab w:val="num" w:pos="1080"/>
        </w:tabs>
        <w:ind w:left="720"/>
      </w:pPr>
      <w:r w:rsidRPr="0019191C">
        <w:t>EMR integration with specialist clinical applications (for example, ICU and cardiology).</w:t>
      </w:r>
    </w:p>
    <w:p w14:paraId="6DD99EE8" w14:textId="5F50E03D" w:rsidR="000D6598" w:rsidRPr="0019191C" w:rsidRDefault="000D6598" w:rsidP="004E4869">
      <w:pPr>
        <w:pStyle w:val="DHbody"/>
        <w:numPr>
          <w:ilvl w:val="0"/>
          <w:numId w:val="9"/>
        </w:numPr>
        <w:tabs>
          <w:tab w:val="clear" w:pos="360"/>
          <w:tab w:val="num" w:pos="1080"/>
        </w:tabs>
        <w:ind w:left="720"/>
      </w:pPr>
      <w:r w:rsidRPr="0019191C">
        <w:t>Department of Health activity reporting systems.</w:t>
      </w:r>
    </w:p>
    <w:p w14:paraId="5C12EA18" w14:textId="04634369" w:rsidR="00C47E59" w:rsidRDefault="00F5389A" w:rsidP="008713D4">
      <w:pPr>
        <w:pStyle w:val="DHHSbody"/>
      </w:pPr>
      <w:r w:rsidRPr="0019191C">
        <w:t xml:space="preserve">From this point, application design, integration design, business change activity, and overall solution design can progress. These activities </w:t>
      </w:r>
      <w:r w:rsidR="00790D26">
        <w:t xml:space="preserve">may </w:t>
      </w:r>
      <w:r w:rsidRPr="0019191C">
        <w:t xml:space="preserve">follow a typical </w:t>
      </w:r>
      <w:r w:rsidR="00532C8B">
        <w:t>S</w:t>
      </w:r>
      <w:r w:rsidRPr="0019191C">
        <w:t xml:space="preserve">oftware </w:t>
      </w:r>
      <w:r w:rsidR="00532C8B">
        <w:t>D</w:t>
      </w:r>
      <w:r w:rsidRPr="0019191C">
        <w:t xml:space="preserve">evelopment </w:t>
      </w:r>
      <w:r w:rsidR="00532C8B">
        <w:t>L</w:t>
      </w:r>
      <w:r w:rsidRPr="0019191C">
        <w:t xml:space="preserve">ife </w:t>
      </w:r>
      <w:r w:rsidR="00532C8B">
        <w:t>C</w:t>
      </w:r>
      <w:r w:rsidRPr="0019191C">
        <w:t>ycle (SDLC)</w:t>
      </w:r>
      <w:r w:rsidR="00790D26">
        <w:t xml:space="preserve"> or any other appropriate project delivery methodology</w:t>
      </w:r>
      <w:r w:rsidRPr="0019191C">
        <w:t>.</w:t>
      </w:r>
    </w:p>
    <w:p w14:paraId="5CAB935A" w14:textId="76976A4A" w:rsidR="00460A0D" w:rsidRDefault="00460A0D" w:rsidP="00B71967">
      <w:pPr>
        <w:pStyle w:val="Heading2"/>
        <w:pageBreakBefore/>
        <w:ind w:left="578" w:hanging="578"/>
      </w:pPr>
      <w:bookmarkStart w:id="23" w:name="_Toc50547725"/>
      <w:r>
        <w:lastRenderedPageBreak/>
        <w:t>Governance</w:t>
      </w:r>
      <w:bookmarkEnd w:id="23"/>
    </w:p>
    <w:p w14:paraId="70980FBC" w14:textId="5EA1080A" w:rsidR="000D2978" w:rsidRDefault="009851FE" w:rsidP="009851FE">
      <w:pPr>
        <w:pStyle w:val="Heading3"/>
      </w:pPr>
      <w:r>
        <w:t>Application Solution design governance</w:t>
      </w:r>
    </w:p>
    <w:p w14:paraId="3ED9534F" w14:textId="208AA857" w:rsidR="00AA5ADC" w:rsidRPr="0019191C" w:rsidRDefault="00AA5ADC" w:rsidP="008713D4">
      <w:pPr>
        <w:pStyle w:val="DHHSbody"/>
      </w:pPr>
      <w:r w:rsidRPr="0019191C">
        <w:t>A typical health</w:t>
      </w:r>
      <w:r w:rsidRPr="0019191C">
        <w:rPr>
          <w:i/>
        </w:rPr>
        <w:t xml:space="preserve"> </w:t>
      </w:r>
      <w:r w:rsidRPr="0019191C">
        <w:t>service project for</w:t>
      </w:r>
      <w:r w:rsidRPr="0019191C">
        <w:rPr>
          <w:i/>
        </w:rPr>
        <w:t xml:space="preserve"> </w:t>
      </w:r>
      <w:r w:rsidRPr="0019191C">
        <w:t xml:space="preserve">application configuration/implementation and/or overall solution design should include </w:t>
      </w:r>
      <w:r w:rsidR="00790D26">
        <w:t xml:space="preserve">a </w:t>
      </w:r>
      <w:r w:rsidRPr="0019191C">
        <w:t>governance process.</w:t>
      </w:r>
    </w:p>
    <w:p w14:paraId="3D40CE78" w14:textId="35085641" w:rsidR="00460A0D" w:rsidRPr="0019191C" w:rsidRDefault="00460A0D" w:rsidP="008713D4">
      <w:pPr>
        <w:pStyle w:val="DHHSbody"/>
      </w:pPr>
      <w:r w:rsidRPr="0019191C">
        <w:t xml:space="preserve">A </w:t>
      </w:r>
      <w:r w:rsidR="009D5941">
        <w:t>P</w:t>
      </w:r>
      <w:r w:rsidRPr="0019191C">
        <w:t>roduct</w:t>
      </w:r>
      <w:r w:rsidR="009D5941">
        <w:t xml:space="preserve"> or Project</w:t>
      </w:r>
      <w:r w:rsidRPr="0019191C">
        <w:t xml:space="preserve"> </w:t>
      </w:r>
      <w:r w:rsidR="009D5941">
        <w:t>P</w:t>
      </w:r>
      <w:r w:rsidRPr="0019191C">
        <w:t>lanning Group (PPG) for each heath service application to work together with integration services should be established to ensure that application functions are designed appropriately and can interface with applications from across the health</w:t>
      </w:r>
      <w:r w:rsidRPr="00C47E59">
        <w:t xml:space="preserve"> </w:t>
      </w:r>
      <w:r w:rsidRPr="0019191C">
        <w:t xml:space="preserve">service product set. A solution architecture role provides support and guidance to assist health services achieve strategic business goals that impact on the solution design. </w:t>
      </w:r>
      <w:r w:rsidR="00842E36" w:rsidRPr="0019191C">
        <w:t>Typically,</w:t>
      </w:r>
      <w:r w:rsidRPr="0019191C">
        <w:t xml:space="preserve"> the following types of groups govern design. Each group has a defined set of responsibilities, operational scope and context.</w:t>
      </w:r>
    </w:p>
    <w:p w14:paraId="7A3DA536" w14:textId="0D002C2D" w:rsidR="00460A0D" w:rsidRPr="0019191C" w:rsidRDefault="00460A0D" w:rsidP="008B2CDD">
      <w:pPr>
        <w:pStyle w:val="DHbody"/>
        <w:numPr>
          <w:ilvl w:val="0"/>
          <w:numId w:val="13"/>
        </w:numPr>
        <w:tabs>
          <w:tab w:val="clear" w:pos="720"/>
          <w:tab w:val="num" w:pos="1080"/>
        </w:tabs>
      </w:pPr>
      <w:r w:rsidRPr="0019191C">
        <w:rPr>
          <w:b/>
        </w:rPr>
        <w:t>Health Service PPG</w:t>
      </w:r>
      <w:r w:rsidRPr="0019191C">
        <w:t>: Initial implementation configuration and product specific enhancements to applications are managed by the relevant project team and/or project/product planning group</w:t>
      </w:r>
      <w:r w:rsidR="00937C41">
        <w:t>.</w:t>
      </w:r>
      <w:r w:rsidRPr="0019191C">
        <w:t xml:space="preserve"> </w:t>
      </w:r>
    </w:p>
    <w:p w14:paraId="29F7FDBB" w14:textId="5AAB7012" w:rsidR="00460A0D" w:rsidRPr="0019191C" w:rsidRDefault="00460A0D" w:rsidP="008B2CDD">
      <w:pPr>
        <w:pStyle w:val="DHbody"/>
        <w:numPr>
          <w:ilvl w:val="0"/>
          <w:numId w:val="13"/>
        </w:numPr>
        <w:tabs>
          <w:tab w:val="clear" w:pos="720"/>
          <w:tab w:val="num" w:pos="1080"/>
        </w:tabs>
      </w:pPr>
      <w:r w:rsidRPr="0019191C">
        <w:rPr>
          <w:b/>
        </w:rPr>
        <w:t>Health Service Integration Services</w:t>
      </w:r>
      <w:r w:rsidRPr="0019191C">
        <w:t>: A group or role of this nature is responsible for the design and design principles of any interfaces across health service applications. Interfaces should follow the business and functional requirement where practical and feasible</w:t>
      </w:r>
      <w:r w:rsidR="00937C41">
        <w:t>.</w:t>
      </w:r>
    </w:p>
    <w:p w14:paraId="29CDC52E" w14:textId="11B3C962" w:rsidR="00460A0D" w:rsidRDefault="00E17368" w:rsidP="008B2CDD">
      <w:pPr>
        <w:pStyle w:val="DHbody"/>
        <w:numPr>
          <w:ilvl w:val="0"/>
          <w:numId w:val="13"/>
        </w:numPr>
        <w:tabs>
          <w:tab w:val="clear" w:pos="720"/>
          <w:tab w:val="num" w:pos="1080"/>
        </w:tabs>
      </w:pPr>
      <w:r>
        <w:rPr>
          <w:noProof/>
        </w:rPr>
        <mc:AlternateContent>
          <mc:Choice Requires="wps">
            <w:drawing>
              <wp:anchor distT="0" distB="0" distL="114300" distR="114300" simplePos="0" relativeHeight="251682816" behindDoc="0" locked="0" layoutInCell="1" allowOverlap="1" wp14:anchorId="217DC871" wp14:editId="7E08697C">
                <wp:simplePos x="0" y="0"/>
                <wp:positionH relativeFrom="margin">
                  <wp:align>left</wp:align>
                </wp:positionH>
                <wp:positionV relativeFrom="paragraph">
                  <wp:posOffset>750570</wp:posOffset>
                </wp:positionV>
                <wp:extent cx="3009900"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09900" cy="323850"/>
                        </a:xfrm>
                        <a:prstGeom prst="rect">
                          <a:avLst/>
                        </a:prstGeom>
                        <a:solidFill>
                          <a:prstClr val="white"/>
                        </a:solidFill>
                        <a:ln>
                          <a:noFill/>
                        </a:ln>
                      </wps:spPr>
                      <wps:txbx>
                        <w:txbxContent>
                          <w:p w14:paraId="1F3AA0F5" w14:textId="1BBF65EB" w:rsidR="005F2FE5" w:rsidRPr="003D4952" w:rsidRDefault="005F2FE5" w:rsidP="00E17368">
                            <w:pPr>
                              <w:pStyle w:val="Caption"/>
                            </w:pPr>
                            <w:bookmarkStart w:id="24" w:name="_Toc50547766"/>
                            <w:r>
                              <w:t xml:space="preserve">Figure </w:t>
                            </w:r>
                            <w:r>
                              <w:fldChar w:fldCharType="begin"/>
                            </w:r>
                            <w:r>
                              <w:instrText xml:space="preserve"> SEQ Figure \* ARABIC </w:instrText>
                            </w:r>
                            <w:r>
                              <w:fldChar w:fldCharType="separate"/>
                            </w:r>
                            <w:r>
                              <w:t>1</w:t>
                            </w:r>
                            <w:r>
                              <w:fldChar w:fldCharType="end"/>
                            </w:r>
                            <w:r>
                              <w:t>: Application Solution Design Governance</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C871" id="Text Box 15" o:spid="_x0000_s1027" type="#_x0000_t202" style="position:absolute;left:0;text-align:left;margin-left:0;margin-top:59.1pt;width:237pt;height:25.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" stroked="f">
                <v:textbox inset="0,0,0,0">
                  <w:txbxContent>
                    <w:p w14:paraId="1F3AA0F5" w14:textId="1BBF65EB" w:rsidR="005F2FE5" w:rsidRPr="003D4952" w:rsidRDefault="005F2FE5" w:rsidP="00E17368">
                      <w:pPr>
                        <w:pStyle w:val="Caption"/>
                      </w:pPr>
                      <w:bookmarkStart w:id="25" w:name="_Toc50547766"/>
                      <w:r>
                        <w:t xml:space="preserve">Figure </w:t>
                      </w:r>
                      <w:r>
                        <w:fldChar w:fldCharType="begin"/>
                      </w:r>
                      <w:r>
                        <w:instrText xml:space="preserve"> SEQ Figure \* ARABIC </w:instrText>
                      </w:r>
                      <w:r>
                        <w:fldChar w:fldCharType="separate"/>
                      </w:r>
                      <w:r>
                        <w:t>1</w:t>
                      </w:r>
                      <w:r>
                        <w:fldChar w:fldCharType="end"/>
                      </w:r>
                      <w:r>
                        <w:t>: Application Solution Design Governance</w:t>
                      </w:r>
                      <w:bookmarkEnd w:id="25"/>
                    </w:p>
                  </w:txbxContent>
                </v:textbox>
                <w10:wrap anchorx="margin"/>
              </v:shape>
            </w:pict>
          </mc:Fallback>
        </mc:AlternateContent>
      </w:r>
      <w:r w:rsidR="00460A0D" w:rsidRPr="0019191C">
        <w:rPr>
          <w:b/>
        </w:rPr>
        <w:t xml:space="preserve">Heath Service Application Solution </w:t>
      </w:r>
      <w:r w:rsidR="001943CA">
        <w:rPr>
          <w:b/>
        </w:rPr>
        <w:t xml:space="preserve">Architecture </w:t>
      </w:r>
      <w:r w:rsidR="00790D26">
        <w:rPr>
          <w:b/>
        </w:rPr>
        <w:t>r</w:t>
      </w:r>
      <w:r w:rsidR="00460A0D" w:rsidRPr="0019191C">
        <w:rPr>
          <w:b/>
        </w:rPr>
        <w:t>ole/</w:t>
      </w:r>
      <w:r w:rsidR="00790D26">
        <w:rPr>
          <w:b/>
        </w:rPr>
        <w:t>g</w:t>
      </w:r>
      <w:r w:rsidR="00460A0D" w:rsidRPr="0019191C">
        <w:rPr>
          <w:b/>
        </w:rPr>
        <w:t>roup (SA):</w:t>
      </w:r>
      <w:r w:rsidR="00460A0D" w:rsidRPr="0019191C">
        <w:t xml:space="preserve"> This group/role governs the use of business solution architecture for the health</w:t>
      </w:r>
      <w:r w:rsidR="00460A0D" w:rsidRPr="0019191C">
        <w:rPr>
          <w:i/>
        </w:rPr>
        <w:t xml:space="preserve"> </w:t>
      </w:r>
      <w:r w:rsidR="00460A0D" w:rsidRPr="0019191C">
        <w:t>service solution suite of applications and the functional interoperability. The SA should evolve the solution design toward alignment with national strategies.</w:t>
      </w:r>
    </w:p>
    <w:p w14:paraId="38C37E8A" w14:textId="3B4B1C3A" w:rsidR="00EB1826" w:rsidRDefault="00EB1826" w:rsidP="00EB1826">
      <w:pPr>
        <w:pStyle w:val="DHbody"/>
      </w:pPr>
    </w:p>
    <w:p w14:paraId="4B86BBDB" w14:textId="166C8389" w:rsidR="00E17368" w:rsidRDefault="00E17368" w:rsidP="00EB1826">
      <w:pPr>
        <w:pStyle w:val="DHbody"/>
      </w:pPr>
    </w:p>
    <w:p w14:paraId="5BFEE846" w14:textId="6AA2F93F" w:rsidR="00E17368" w:rsidRDefault="00E17368" w:rsidP="00EB1826">
      <w:pPr>
        <w:pStyle w:val="DHbody"/>
      </w:pPr>
    </w:p>
    <w:p w14:paraId="6EAE1747" w14:textId="0C48CEBE" w:rsidR="00E17368" w:rsidRDefault="00E17368" w:rsidP="00EB1826">
      <w:pPr>
        <w:pStyle w:val="DHbody"/>
      </w:pPr>
    </w:p>
    <w:p w14:paraId="6030045F" w14:textId="1B051D2C" w:rsidR="00E17368" w:rsidRDefault="00E17368" w:rsidP="00EB1826">
      <w:pPr>
        <w:pStyle w:val="DHbody"/>
      </w:pPr>
    </w:p>
    <w:p w14:paraId="2E3CE180" w14:textId="267A1543" w:rsidR="00E17368" w:rsidRDefault="00E17368" w:rsidP="00EB1826">
      <w:pPr>
        <w:pStyle w:val="DHbody"/>
      </w:pPr>
    </w:p>
    <w:p w14:paraId="348E7F1C" w14:textId="16C66514" w:rsidR="00E17368" w:rsidRDefault="00E17368" w:rsidP="00EB1826">
      <w:pPr>
        <w:pStyle w:val="DHbody"/>
      </w:pPr>
    </w:p>
    <w:p w14:paraId="5420665D" w14:textId="59C49568" w:rsidR="00E17368" w:rsidRDefault="00E17368" w:rsidP="00EB1826">
      <w:pPr>
        <w:pStyle w:val="DHbody"/>
      </w:pPr>
    </w:p>
    <w:p w14:paraId="65A4A0BB" w14:textId="3799EBA6" w:rsidR="00E17368" w:rsidRDefault="00E17368" w:rsidP="00EB1826">
      <w:pPr>
        <w:pStyle w:val="DHbody"/>
      </w:pPr>
    </w:p>
    <w:p w14:paraId="26F208BC" w14:textId="7B3EA3D2" w:rsidR="00E17368" w:rsidRDefault="00E17368" w:rsidP="00EB1826">
      <w:pPr>
        <w:pStyle w:val="DHbody"/>
      </w:pPr>
    </w:p>
    <w:p w14:paraId="57A07B18" w14:textId="0AA5BA49" w:rsidR="00E17368" w:rsidRDefault="00E17368" w:rsidP="00EB1826">
      <w:pPr>
        <w:pStyle w:val="DHbody"/>
      </w:pPr>
    </w:p>
    <w:p w14:paraId="12E8370C" w14:textId="423EE47F" w:rsidR="00E17368" w:rsidRDefault="00E17368" w:rsidP="00EB1826">
      <w:pPr>
        <w:pStyle w:val="DHbody"/>
      </w:pPr>
    </w:p>
    <w:p w14:paraId="01D0A3EC" w14:textId="07A2AF9F" w:rsidR="00E17368" w:rsidRDefault="00E17368" w:rsidP="00EB1826">
      <w:pPr>
        <w:pStyle w:val="DHbody"/>
      </w:pPr>
    </w:p>
    <w:p w14:paraId="07382E2C" w14:textId="3857BCBA" w:rsidR="00E17368" w:rsidRDefault="00E17368" w:rsidP="00EB1826">
      <w:pPr>
        <w:pStyle w:val="DHbody"/>
      </w:pPr>
    </w:p>
    <w:p w14:paraId="18F00DA7" w14:textId="236CD4F5" w:rsidR="00E17368" w:rsidRDefault="00E17368" w:rsidP="00EB1826">
      <w:pPr>
        <w:pStyle w:val="DHbody"/>
      </w:pPr>
    </w:p>
    <w:p w14:paraId="21328303" w14:textId="4B52E707" w:rsidR="00E17368" w:rsidRDefault="00E17368" w:rsidP="00EB1826">
      <w:pPr>
        <w:pStyle w:val="DHbody"/>
      </w:pPr>
    </w:p>
    <w:p w14:paraId="31FA815F" w14:textId="710AE7E7" w:rsidR="00E17368" w:rsidRDefault="00E17368" w:rsidP="00EB1826">
      <w:pPr>
        <w:pStyle w:val="DHbody"/>
      </w:pPr>
    </w:p>
    <w:p w14:paraId="4A6F8AFE" w14:textId="1C728FC3" w:rsidR="00E17368" w:rsidRDefault="00E17368" w:rsidP="00EB1826">
      <w:pPr>
        <w:pStyle w:val="DHbody"/>
      </w:pPr>
      <w:r>
        <w:rPr>
          <w:noProof/>
        </w:rPr>
        <w:drawing>
          <wp:anchor distT="0" distB="0" distL="114300" distR="114300" simplePos="0" relativeHeight="251680768" behindDoc="0" locked="0" layoutInCell="1" allowOverlap="1" wp14:anchorId="679B2B57" wp14:editId="14EBC173">
            <wp:simplePos x="0" y="0"/>
            <wp:positionH relativeFrom="column">
              <wp:posOffset>635</wp:posOffset>
            </wp:positionH>
            <wp:positionV relativeFrom="paragraph">
              <wp:posOffset>-3764280</wp:posOffset>
            </wp:positionV>
            <wp:extent cx="5734050" cy="38957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4050" cy="3895725"/>
                    </a:xfrm>
                    <a:prstGeom prst="rect">
                      <a:avLst/>
                    </a:prstGeom>
                  </pic:spPr>
                </pic:pic>
              </a:graphicData>
            </a:graphic>
            <wp14:sizeRelH relativeFrom="page">
              <wp14:pctWidth>0</wp14:pctWidth>
            </wp14:sizeRelH>
            <wp14:sizeRelV relativeFrom="page">
              <wp14:pctHeight>0</wp14:pctHeight>
            </wp14:sizeRelV>
          </wp:anchor>
        </w:drawing>
      </w:r>
    </w:p>
    <w:p w14:paraId="5A0CD0F1" w14:textId="77777777" w:rsidR="00E17368" w:rsidRDefault="00E17368" w:rsidP="00EB1826">
      <w:pPr>
        <w:pStyle w:val="DHbody"/>
      </w:pPr>
    </w:p>
    <w:p w14:paraId="5E944CC9" w14:textId="40B58FDA" w:rsidR="006E3614" w:rsidRPr="0019191C" w:rsidRDefault="006E3614" w:rsidP="004872C4">
      <w:pPr>
        <w:pStyle w:val="Heading1"/>
        <w:ind w:left="431" w:hanging="431"/>
      </w:pPr>
      <w:bookmarkStart w:id="26" w:name="_Toc50547726"/>
      <w:r w:rsidRPr="0019191C">
        <w:lastRenderedPageBreak/>
        <w:t xml:space="preserve">Design </w:t>
      </w:r>
      <w:r w:rsidR="00A8110C">
        <w:t>e</w:t>
      </w:r>
      <w:r w:rsidRPr="0019191C">
        <w:t>lements</w:t>
      </w:r>
      <w:r w:rsidR="00BA5172">
        <w:t xml:space="preserve"> for </w:t>
      </w:r>
      <w:r w:rsidR="00150FD6">
        <w:t>h</w:t>
      </w:r>
      <w:r w:rsidR="00BA5172">
        <w:t>ealth</w:t>
      </w:r>
      <w:r w:rsidR="00A8110C">
        <w:t xml:space="preserve"> application</w:t>
      </w:r>
      <w:bookmarkEnd w:id="26"/>
    </w:p>
    <w:p w14:paraId="4E4500A9" w14:textId="71DB2FB7" w:rsidR="006E3614" w:rsidRPr="00270A97" w:rsidRDefault="006E3614" w:rsidP="00047102">
      <w:pPr>
        <w:pStyle w:val="DHHSbody"/>
        <w:rPr>
          <w:b/>
          <w:bCs/>
          <w:u w:val="single"/>
        </w:rPr>
      </w:pPr>
      <w:r w:rsidRPr="0019191C">
        <w:t>Th</w:t>
      </w:r>
      <w:r w:rsidR="00BA5172">
        <w:t>is section describes the design elements for EMR, a key health application. Th</w:t>
      </w:r>
      <w:r w:rsidRPr="0019191C">
        <w:t>e following solution design elements are integral to developing an EMR solution.</w:t>
      </w:r>
    </w:p>
    <w:p w14:paraId="4D772EE4" w14:textId="1F712BBE" w:rsidR="000A2A30" w:rsidRDefault="000A2A30" w:rsidP="008713D4">
      <w:pPr>
        <w:pStyle w:val="DHHSbody"/>
      </w:pPr>
      <w:r w:rsidRPr="000A2A30">
        <w:t>Within Victorian public health services, the term EMR refers to a patient-centred system that staff can use to fulfil their patient-care duties without using paper medical records and which is created and resides within a single healthcare organisation.</w:t>
      </w:r>
    </w:p>
    <w:p w14:paraId="483736D3" w14:textId="12A6CB5E" w:rsidR="006E3614" w:rsidRPr="0019191C" w:rsidRDefault="006E3614" w:rsidP="008713D4">
      <w:pPr>
        <w:pStyle w:val="DHHSbody"/>
      </w:pPr>
      <w:r w:rsidRPr="0019191C">
        <w:t xml:space="preserve">An EMR is an electronic record that contains </w:t>
      </w:r>
      <w:r w:rsidR="00441960" w:rsidRPr="0019191C">
        <w:t>enough</w:t>
      </w:r>
      <w:r w:rsidRPr="0019191C">
        <w:t xml:space="preserve"> information to identify the patient to whom it relates and information relevant to that patient's treatment</w:t>
      </w:r>
      <w:r w:rsidR="007E7025">
        <w:t>.</w:t>
      </w:r>
      <w:r w:rsidR="0010047E">
        <w:t xml:space="preserve"> An EMR </w:t>
      </w:r>
      <w:r w:rsidR="009E4F1F">
        <w:t xml:space="preserve">record is </w:t>
      </w:r>
      <w:r w:rsidR="00806319">
        <w:t xml:space="preserve">a </w:t>
      </w:r>
      <w:r w:rsidR="009E4F1F" w:rsidRPr="0019191C">
        <w:t>transformation of a patient’s paper medical record into</w:t>
      </w:r>
      <w:r w:rsidR="00806319">
        <w:t xml:space="preserve"> an electronic form</w:t>
      </w:r>
      <w:r w:rsidRPr="0019191C">
        <w:t>. This includes medical history, the results of any physical examination or tests performed, clinical notes, emergency visits and information relating to allergies or other factors that may require special consideration. Transforming the patient’s record into an electronic version adds further clarification for clinicians including decision support, drug interactions, duplicate drug checking and alerts.</w:t>
      </w:r>
      <w:r w:rsidR="00047102">
        <w:t xml:space="preserve"> </w:t>
      </w:r>
    </w:p>
    <w:p w14:paraId="093F17EB" w14:textId="105C7797" w:rsidR="006E3614" w:rsidRPr="0019191C" w:rsidRDefault="006E3614" w:rsidP="008713D4">
      <w:pPr>
        <w:pStyle w:val="DHHSbody"/>
        <w:rPr>
          <w:color w:val="000000"/>
          <w:szCs w:val="18"/>
          <w:lang w:eastAsia="en-AU"/>
        </w:rPr>
      </w:pPr>
      <w:r w:rsidRPr="0019191C">
        <w:rPr>
          <w:szCs w:val="18"/>
        </w:rPr>
        <w:t>To achieve the Health ICT project objectives and princip</w:t>
      </w:r>
      <w:r w:rsidR="00F34B39">
        <w:rPr>
          <w:szCs w:val="18"/>
        </w:rPr>
        <w:t>le</w:t>
      </w:r>
      <w:r w:rsidRPr="0019191C">
        <w:rPr>
          <w:szCs w:val="18"/>
        </w:rPr>
        <w:t xml:space="preserve">s, health services </w:t>
      </w:r>
      <w:r w:rsidR="008713D4">
        <w:rPr>
          <w:szCs w:val="18"/>
        </w:rPr>
        <w:t xml:space="preserve">can </w:t>
      </w:r>
      <w:r w:rsidRPr="0019191C">
        <w:rPr>
          <w:szCs w:val="18"/>
        </w:rPr>
        <w:t>adopt a similar model to the HIM</w:t>
      </w:r>
      <w:r w:rsidR="00B75568">
        <w:rPr>
          <w:szCs w:val="18"/>
        </w:rPr>
        <w:t>S</w:t>
      </w:r>
      <w:r w:rsidRPr="0019191C">
        <w:rPr>
          <w:szCs w:val="18"/>
        </w:rPr>
        <w:t xml:space="preserve">S </w:t>
      </w:r>
      <w:r w:rsidR="008713D4">
        <w:rPr>
          <w:szCs w:val="18"/>
        </w:rPr>
        <w:t>EMRAM</w:t>
      </w:r>
      <w:r w:rsidR="004C71BA">
        <w:rPr>
          <w:rStyle w:val="FootnoteReference"/>
          <w:szCs w:val="18"/>
        </w:rPr>
        <w:footnoteReference w:id="5"/>
      </w:r>
      <w:r w:rsidR="008713D4">
        <w:rPr>
          <w:szCs w:val="18"/>
        </w:rPr>
        <w:t xml:space="preserve"> </w:t>
      </w:r>
      <w:r w:rsidRPr="0019191C">
        <w:rPr>
          <w:szCs w:val="18"/>
        </w:rPr>
        <w:t>model</w:t>
      </w:r>
      <w:r w:rsidRPr="0019191C">
        <w:rPr>
          <w:color w:val="000000"/>
          <w:szCs w:val="18"/>
          <w:lang w:eastAsia="en-AU"/>
        </w:rPr>
        <w:t xml:space="preserve"> to track EMR progress.</w:t>
      </w:r>
    </w:p>
    <w:p w14:paraId="193417BB" w14:textId="282BD8CF" w:rsidR="006E3614" w:rsidRPr="0019191C" w:rsidRDefault="006E3614" w:rsidP="008713D4">
      <w:pPr>
        <w:pStyle w:val="DHHSbody"/>
      </w:pPr>
      <w:r w:rsidRPr="0019191C">
        <w:t xml:space="preserve">The introduction of an EMR to a health service enables </w:t>
      </w:r>
      <w:r w:rsidR="00F34B39">
        <w:t>some</w:t>
      </w:r>
      <w:r w:rsidRPr="0019191C">
        <w:t xml:space="preserve"> common objectives and benefits to be realised.</w:t>
      </w:r>
    </w:p>
    <w:p w14:paraId="6B925993" w14:textId="77777777" w:rsidR="006E3614" w:rsidRPr="0019191C" w:rsidRDefault="006E3614" w:rsidP="008713D4">
      <w:pPr>
        <w:pStyle w:val="DHHSbody"/>
      </w:pPr>
      <w:r w:rsidRPr="0019191C">
        <w:t>Some key benefits realised by the introduction of an EMR are:</w:t>
      </w:r>
    </w:p>
    <w:p w14:paraId="68834706" w14:textId="77777777" w:rsidR="006E3614" w:rsidRPr="0019191C" w:rsidRDefault="006E3614" w:rsidP="008B2CDD">
      <w:pPr>
        <w:pStyle w:val="DHHSbody"/>
        <w:numPr>
          <w:ilvl w:val="0"/>
          <w:numId w:val="33"/>
        </w:numPr>
      </w:pPr>
      <w:r w:rsidRPr="0019191C">
        <w:t>Reduction in the occurrence of medical adverse events</w:t>
      </w:r>
    </w:p>
    <w:p w14:paraId="0F489D4E" w14:textId="1AF08D69" w:rsidR="006E3614" w:rsidRPr="0019191C" w:rsidRDefault="006E3614" w:rsidP="008B2CDD">
      <w:pPr>
        <w:pStyle w:val="DHHSbody"/>
        <w:numPr>
          <w:ilvl w:val="0"/>
          <w:numId w:val="33"/>
        </w:numPr>
      </w:pPr>
      <w:r w:rsidRPr="0019191C">
        <w:t>Reduced risks to businesses</w:t>
      </w:r>
      <w:r w:rsidR="008C2E52">
        <w:t xml:space="preserve"> e</w:t>
      </w:r>
      <w:r w:rsidR="001D6C5A">
        <w:t>.</w:t>
      </w:r>
      <w:r w:rsidR="008C2E52">
        <w:t>g. quality &amp; safety</w:t>
      </w:r>
      <w:r w:rsidR="00532C8B">
        <w:t xml:space="preserve"> including patient safety</w:t>
      </w:r>
    </w:p>
    <w:p w14:paraId="6FC770EE" w14:textId="77777777" w:rsidR="006E3614" w:rsidRPr="0019191C" w:rsidRDefault="006E3614" w:rsidP="008B2CDD">
      <w:pPr>
        <w:pStyle w:val="DHHSbody"/>
        <w:numPr>
          <w:ilvl w:val="0"/>
          <w:numId w:val="33"/>
        </w:numPr>
      </w:pPr>
      <w:r w:rsidRPr="0019191C">
        <w:t>Reduced time locating/collecting patient information</w:t>
      </w:r>
    </w:p>
    <w:p w14:paraId="5144521F" w14:textId="77777777" w:rsidR="006E3614" w:rsidRPr="0019191C" w:rsidRDefault="006E3614" w:rsidP="008B2CDD">
      <w:pPr>
        <w:pStyle w:val="DHHSbody"/>
        <w:numPr>
          <w:ilvl w:val="0"/>
          <w:numId w:val="33"/>
        </w:numPr>
      </w:pPr>
      <w:r w:rsidRPr="0019191C">
        <w:t>Reduction in transcription, legibility and omission errors</w:t>
      </w:r>
    </w:p>
    <w:p w14:paraId="76ECF6AF" w14:textId="79CC5BC3" w:rsidR="006E3614" w:rsidRPr="0019191C" w:rsidRDefault="00532C8B" w:rsidP="008B2CDD">
      <w:pPr>
        <w:pStyle w:val="DHHSbody"/>
        <w:numPr>
          <w:ilvl w:val="0"/>
          <w:numId w:val="33"/>
        </w:numPr>
      </w:pPr>
      <w:r>
        <w:t>Enables delivery of clinically relevant information at the point of care</w:t>
      </w:r>
    </w:p>
    <w:p w14:paraId="238921B3" w14:textId="6D1A8F52" w:rsidR="006E3614" w:rsidRPr="0019191C" w:rsidRDefault="006E3614" w:rsidP="008B2CDD">
      <w:pPr>
        <w:pStyle w:val="DHHSbody"/>
        <w:numPr>
          <w:ilvl w:val="0"/>
          <w:numId w:val="33"/>
        </w:numPr>
      </w:pPr>
      <w:r w:rsidRPr="0019191C">
        <w:t>Reduction in the number of administrative tasks, leading to efficiencies in providing services</w:t>
      </w:r>
    </w:p>
    <w:p w14:paraId="59EBA795" w14:textId="77777777" w:rsidR="005C0629" w:rsidRPr="0019191C" w:rsidRDefault="005C0629" w:rsidP="005C0629">
      <w:pPr>
        <w:pStyle w:val="DHHSbody"/>
      </w:pPr>
      <w:r w:rsidRPr="0019191C">
        <w:t>The cornerstone of most health ICT programs is the interoperability between systems</w:t>
      </w:r>
      <w:r>
        <w:t>,</w:t>
      </w:r>
      <w:r w:rsidRPr="0019191C">
        <w:t xml:space="preserve"> and the use of an overarching design facilitates this delivery.</w:t>
      </w:r>
    </w:p>
    <w:p w14:paraId="22F9EB5E" w14:textId="183A276D" w:rsidR="00F6062A" w:rsidRPr="00A8110C" w:rsidRDefault="006E3614" w:rsidP="008713D4">
      <w:pPr>
        <w:pStyle w:val="DHHSbody"/>
      </w:pPr>
      <w:r w:rsidRPr="0019191C">
        <w:t>The introduction of EMR</w:t>
      </w:r>
      <w:r w:rsidR="00D268EE">
        <w:t>s and clinical systems</w:t>
      </w:r>
      <w:r w:rsidRPr="0019191C">
        <w:t xml:space="preserve"> </w:t>
      </w:r>
      <w:r w:rsidR="00D268EE">
        <w:t>is associated with a lift in a h</w:t>
      </w:r>
      <w:r w:rsidR="003C70C8">
        <w:t>e</w:t>
      </w:r>
      <w:r w:rsidR="00D268EE">
        <w:t>alth service’s digital maturity. EMRs</w:t>
      </w:r>
      <w:r w:rsidR="001671C7">
        <w:t xml:space="preserve"> will ge</w:t>
      </w:r>
      <w:r w:rsidRPr="0019191C">
        <w:t>nerally include the following functions</w:t>
      </w:r>
      <w:r w:rsidR="00A8110C">
        <w:t xml:space="preserve"> and s</w:t>
      </w:r>
      <w:r w:rsidR="00F6062A" w:rsidRPr="00A8110C">
        <w:t>pecialist EMR modules</w:t>
      </w:r>
      <w:r w:rsidR="00A8110C">
        <w:t>.</w:t>
      </w:r>
    </w:p>
    <w:p w14:paraId="50A56F6C" w14:textId="75E614AC" w:rsidR="006E3614" w:rsidRPr="0019191C" w:rsidRDefault="00A21718" w:rsidP="009D3AD0">
      <w:pPr>
        <w:pStyle w:val="Heading2"/>
      </w:pPr>
      <w:bookmarkStart w:id="27" w:name="_Toc333583669"/>
      <w:bookmarkStart w:id="28" w:name="_Toc335731427"/>
      <w:bookmarkStart w:id="29" w:name="_Toc50547727"/>
      <w:r>
        <w:t xml:space="preserve">EMR </w:t>
      </w:r>
      <w:r w:rsidR="006E3614" w:rsidRPr="0019191C">
        <w:t xml:space="preserve">Results </w:t>
      </w:r>
      <w:r w:rsidR="00D268EE">
        <w:t xml:space="preserve">reporting </w:t>
      </w:r>
      <w:r w:rsidR="006E3614" w:rsidRPr="0019191C">
        <w:t xml:space="preserve">and </w:t>
      </w:r>
      <w:r w:rsidR="00E41BF2">
        <w:t>o</w:t>
      </w:r>
      <w:r w:rsidR="006E3614" w:rsidRPr="0019191C">
        <w:t>rder</w:t>
      </w:r>
      <w:r w:rsidR="00D268EE">
        <w:t xml:space="preserve"> entry</w:t>
      </w:r>
      <w:bookmarkEnd w:id="27"/>
      <w:bookmarkEnd w:id="28"/>
      <w:bookmarkEnd w:id="29"/>
    </w:p>
    <w:p w14:paraId="5177030F" w14:textId="77777777" w:rsidR="00F6062A" w:rsidRDefault="006E3614" w:rsidP="008B5783">
      <w:pPr>
        <w:pStyle w:val="DHHSbody"/>
      </w:pPr>
      <w:r w:rsidRPr="0019191C">
        <w:t>Health service EMRs are the designated application</w:t>
      </w:r>
      <w:r w:rsidR="005C639E">
        <w:t>s</w:t>
      </w:r>
      <w:r w:rsidRPr="0019191C">
        <w:t xml:space="preserve"> for </w:t>
      </w:r>
      <w:r w:rsidR="0023550C" w:rsidRPr="0019191C">
        <w:t xml:space="preserve">initiating orders </w:t>
      </w:r>
      <w:r w:rsidR="0023550C">
        <w:t xml:space="preserve">and </w:t>
      </w:r>
      <w:r w:rsidRPr="0019191C">
        <w:t xml:space="preserve">receiving </w:t>
      </w:r>
      <w:r w:rsidR="00D4522D" w:rsidRPr="0019191C">
        <w:t>results</w:t>
      </w:r>
      <w:r w:rsidR="00D4522D">
        <w:t>.</w:t>
      </w:r>
      <w:r w:rsidRPr="0019191C">
        <w:t xml:space="preserve"> An EMR implementation scope should ideally be restricted to one pathology system and one imaging system. </w:t>
      </w:r>
    </w:p>
    <w:p w14:paraId="3D1F9610" w14:textId="144D65E9" w:rsidR="00560700" w:rsidRDefault="00F6062A" w:rsidP="008B5783">
      <w:pPr>
        <w:pStyle w:val="DHHSbody"/>
      </w:pPr>
      <w:r>
        <w:t xml:space="preserve">The EMR should be </w:t>
      </w:r>
      <w:r w:rsidR="006E3614" w:rsidRPr="0019191C">
        <w:t xml:space="preserve">designed to </w:t>
      </w:r>
      <w:r w:rsidR="00D268EE">
        <w:t xml:space="preserve">bring together, for the treating clinical team, </w:t>
      </w:r>
      <w:r>
        <w:t>and</w:t>
      </w:r>
      <w:r w:rsidR="006E3614" w:rsidRPr="0019191C">
        <w:t xml:space="preserve"> pathology </w:t>
      </w:r>
      <w:r w:rsidR="00D268EE">
        <w:t xml:space="preserve">and </w:t>
      </w:r>
      <w:r w:rsidR="006E3614" w:rsidRPr="0019191C">
        <w:t xml:space="preserve">imaging systems within a health service. The design parameters for this to be achieved should be reviewed during a health service implementation planning study process which can </w:t>
      </w:r>
      <w:r w:rsidR="002F7231">
        <w:t xml:space="preserve">be </w:t>
      </w:r>
      <w:r w:rsidR="006E3614" w:rsidRPr="0019191C">
        <w:t xml:space="preserve">undertaken in conjunction with the Department of Health </w:t>
      </w:r>
      <w:r w:rsidR="005E262D">
        <w:t xml:space="preserve">&amp; Human Services </w:t>
      </w:r>
      <w:r w:rsidR="006E3614" w:rsidRPr="0019191C">
        <w:t>(D</w:t>
      </w:r>
      <w:r w:rsidR="00F54835">
        <w:t>H</w:t>
      </w:r>
      <w:r w:rsidR="006E3614" w:rsidRPr="0019191C">
        <w:t>H</w:t>
      </w:r>
      <w:r w:rsidR="00F54835">
        <w:t>S</w:t>
      </w:r>
      <w:r w:rsidR="006E3614" w:rsidRPr="0019191C">
        <w:t>).</w:t>
      </w:r>
      <w:bookmarkStart w:id="30" w:name="_Toc239071284"/>
      <w:bookmarkStart w:id="31" w:name="_Toc333583670"/>
      <w:bookmarkStart w:id="32" w:name="_Toc335731428"/>
    </w:p>
    <w:p w14:paraId="784B4B4C" w14:textId="1A43C1F4" w:rsidR="00735921" w:rsidRDefault="00735921" w:rsidP="008B5783">
      <w:pPr>
        <w:pStyle w:val="DHHSbody"/>
        <w:rPr>
          <w:b/>
          <w:bCs/>
        </w:rPr>
      </w:pPr>
      <w:r>
        <w:br/>
      </w:r>
    </w:p>
    <w:p w14:paraId="205FBA69" w14:textId="6B79AC49" w:rsidR="00560700" w:rsidRPr="00735921" w:rsidRDefault="00A21718" w:rsidP="008B2CDD">
      <w:pPr>
        <w:pStyle w:val="DHbody"/>
        <w:numPr>
          <w:ilvl w:val="0"/>
          <w:numId w:val="13"/>
        </w:numPr>
        <w:rPr>
          <w:b/>
          <w:bCs/>
        </w:rPr>
      </w:pPr>
      <w:r w:rsidRPr="00735921">
        <w:rPr>
          <w:b/>
          <w:bCs/>
        </w:rPr>
        <w:lastRenderedPageBreak/>
        <w:t xml:space="preserve">Order Entry Solution </w:t>
      </w:r>
      <w:r w:rsidR="009A14C4">
        <w:rPr>
          <w:b/>
          <w:bCs/>
        </w:rPr>
        <w:t>d</w:t>
      </w:r>
      <w:r w:rsidRPr="00735921">
        <w:rPr>
          <w:b/>
          <w:bCs/>
        </w:rPr>
        <w:t xml:space="preserve">esign </w:t>
      </w:r>
      <w:r w:rsidR="009A14C4">
        <w:rPr>
          <w:b/>
          <w:bCs/>
        </w:rPr>
        <w:t>c</w:t>
      </w:r>
      <w:r w:rsidRPr="00735921">
        <w:rPr>
          <w:b/>
          <w:bCs/>
        </w:rPr>
        <w:t>onfiguration</w:t>
      </w:r>
    </w:p>
    <w:bookmarkEnd w:id="30"/>
    <w:bookmarkEnd w:id="31"/>
    <w:bookmarkEnd w:id="32"/>
    <w:p w14:paraId="6A0F1215" w14:textId="77777777" w:rsidR="00BB27C8" w:rsidRDefault="00560700" w:rsidP="00BB27C8">
      <w:pPr>
        <w:pStyle w:val="DHHSbody"/>
        <w:ind w:firstLine="360"/>
      </w:pPr>
      <w:r w:rsidRPr="00A21718">
        <w:t>T</w:t>
      </w:r>
      <w:r w:rsidR="006E3614" w:rsidRPr="00A21718">
        <w:t>he recommended design for a centralised EMR order</w:t>
      </w:r>
      <w:r w:rsidR="00C93271" w:rsidRPr="00A21718">
        <w:t xml:space="preserve"> entry</w:t>
      </w:r>
      <w:r w:rsidR="006E3614" w:rsidRPr="00A21718">
        <w:t xml:space="preserve"> and result </w:t>
      </w:r>
      <w:r w:rsidR="00C93271" w:rsidRPr="00A21718">
        <w:t xml:space="preserve">reporting </w:t>
      </w:r>
      <w:r w:rsidR="006E3614" w:rsidRPr="00A21718">
        <w:t>solution should</w:t>
      </w:r>
    </w:p>
    <w:p w14:paraId="4EB18C2D" w14:textId="5F359D3F" w:rsidR="006E3614" w:rsidRPr="00A21718" w:rsidRDefault="00E1598C" w:rsidP="00BB27C8">
      <w:pPr>
        <w:pStyle w:val="DHHSbody"/>
        <w:ind w:firstLine="360"/>
      </w:pPr>
      <w:r w:rsidRPr="00A21718">
        <w:t xml:space="preserve">apply </w:t>
      </w:r>
      <w:r w:rsidR="006E3614" w:rsidRPr="00A21718">
        <w:t>the following parameters:</w:t>
      </w:r>
    </w:p>
    <w:p w14:paraId="4FE59BD3" w14:textId="63DB9EF1" w:rsidR="006E3614" w:rsidRPr="00BB27C8" w:rsidRDefault="006E3614" w:rsidP="008B2CDD">
      <w:pPr>
        <w:pStyle w:val="DHbody"/>
        <w:numPr>
          <w:ilvl w:val="0"/>
          <w:numId w:val="15"/>
        </w:numPr>
        <w:tabs>
          <w:tab w:val="clear" w:pos="1080"/>
          <w:tab w:val="num" w:pos="1440"/>
        </w:tabs>
        <w:rPr>
          <w:rFonts w:cs="Arial"/>
        </w:rPr>
      </w:pPr>
      <w:r w:rsidRPr="0019191C">
        <w:rPr>
          <w:rFonts w:cs="Arial"/>
        </w:rPr>
        <w:t xml:space="preserve">Orders should </w:t>
      </w:r>
      <w:r w:rsidR="00E1031A">
        <w:rPr>
          <w:rFonts w:cs="Arial"/>
        </w:rPr>
        <w:t xml:space="preserve">only </w:t>
      </w:r>
      <w:r w:rsidRPr="0019191C">
        <w:rPr>
          <w:rFonts w:cs="Arial"/>
        </w:rPr>
        <w:t>be initiated from the EMR. This is a fundamental quality design principle to ensure that there is a single source of truth for all orders. The reason for this design princip</w:t>
      </w:r>
      <w:r w:rsidR="002B24DD">
        <w:rPr>
          <w:rFonts w:cs="Arial"/>
        </w:rPr>
        <w:t>le</w:t>
      </w:r>
      <w:r w:rsidRPr="0019191C">
        <w:rPr>
          <w:rFonts w:cs="Arial"/>
        </w:rPr>
        <w:t xml:space="preserve"> is to ensure that clinical decisions support can be facilitated in relation to this process, including drug monitoring and duplicate ordering checking. Although health services may wish to initiate orders from other systems, such as emergency, this approach is not recommended when utilising an EMR as there is an added risk of not being able to check duplicate orders</w:t>
      </w:r>
      <w:r w:rsidR="00BB27C8">
        <w:rPr>
          <w:rFonts w:cs="Arial"/>
        </w:rPr>
        <w:t xml:space="preserve">. </w:t>
      </w:r>
      <w:r w:rsidRPr="00BB27C8">
        <w:rPr>
          <w:rFonts w:cs="Arial"/>
        </w:rPr>
        <w:t>In the Victorian context, pathology results are typically capable of being received as discrete</w:t>
      </w:r>
      <w:r w:rsidR="00BB27C8">
        <w:rPr>
          <w:rFonts w:cs="Arial"/>
        </w:rPr>
        <w:t xml:space="preserve"> </w:t>
      </w:r>
      <w:r w:rsidRPr="00BB27C8">
        <w:rPr>
          <w:rFonts w:cs="Arial"/>
        </w:rPr>
        <w:t>information; it is common for other results to be received as a report</w:t>
      </w:r>
      <w:r w:rsidR="00BB27C8" w:rsidRPr="00BB27C8">
        <w:rPr>
          <w:rFonts w:cs="Arial"/>
        </w:rPr>
        <w:t xml:space="preserve">. </w:t>
      </w:r>
      <w:r w:rsidRPr="00BB27C8">
        <w:rPr>
          <w:rFonts w:cs="Arial"/>
        </w:rPr>
        <w:t>Where pathology and</w:t>
      </w:r>
      <w:r w:rsidR="00BB27C8">
        <w:rPr>
          <w:rFonts w:cs="Arial"/>
        </w:rPr>
        <w:t xml:space="preserve"> </w:t>
      </w:r>
      <w:r w:rsidRPr="00BB27C8">
        <w:rPr>
          <w:rFonts w:cs="Arial"/>
        </w:rPr>
        <w:t>imaging department software has the capability to initiate orders, this functionality should</w:t>
      </w:r>
      <w:r w:rsidR="00BB27C8">
        <w:rPr>
          <w:rFonts w:cs="Arial"/>
        </w:rPr>
        <w:t xml:space="preserve"> </w:t>
      </w:r>
      <w:r w:rsidRPr="00BB27C8">
        <w:rPr>
          <w:rFonts w:cs="Arial"/>
        </w:rPr>
        <w:t xml:space="preserve">only be accepted </w:t>
      </w:r>
      <w:r w:rsidR="00E1031A" w:rsidRPr="00BB27C8">
        <w:rPr>
          <w:rFonts w:cs="Arial"/>
        </w:rPr>
        <w:t>for</w:t>
      </w:r>
      <w:r w:rsidRPr="00BB27C8">
        <w:rPr>
          <w:rFonts w:cs="Arial"/>
        </w:rPr>
        <w:t xml:space="preserve"> add-on or reflex orders</w:t>
      </w:r>
      <w:r w:rsidR="00BB27C8">
        <w:rPr>
          <w:rFonts w:cs="Arial"/>
        </w:rPr>
        <w:t>.</w:t>
      </w:r>
    </w:p>
    <w:p w14:paraId="46BF1119" w14:textId="53303C94" w:rsidR="006E3614" w:rsidRPr="0019191C" w:rsidRDefault="006E3614" w:rsidP="008B2CDD">
      <w:pPr>
        <w:pStyle w:val="DHbody"/>
        <w:numPr>
          <w:ilvl w:val="0"/>
          <w:numId w:val="15"/>
        </w:numPr>
        <w:tabs>
          <w:tab w:val="clear" w:pos="1080"/>
          <w:tab w:val="num" w:pos="1440"/>
        </w:tabs>
        <w:rPr>
          <w:rFonts w:cs="Arial"/>
        </w:rPr>
      </w:pPr>
      <w:r w:rsidRPr="0019191C">
        <w:rPr>
          <w:rFonts w:cs="Arial"/>
        </w:rPr>
        <w:t xml:space="preserve">An EMR should reference a </w:t>
      </w:r>
      <w:r w:rsidR="00692DC8" w:rsidRPr="0019191C">
        <w:rPr>
          <w:rFonts w:cs="Arial"/>
        </w:rPr>
        <w:t>state-wide</w:t>
      </w:r>
      <w:r w:rsidRPr="0019191C">
        <w:rPr>
          <w:rFonts w:cs="Arial"/>
        </w:rPr>
        <w:t xml:space="preserve"> or national pathology and imaging catalogue</w:t>
      </w:r>
      <w:r w:rsidR="00C93271">
        <w:rPr>
          <w:rFonts w:cs="Arial"/>
        </w:rPr>
        <w:t>.</w:t>
      </w:r>
      <w:r w:rsidRPr="0019191C">
        <w:rPr>
          <w:rFonts w:cs="Arial"/>
        </w:rPr>
        <w:t xml:space="preserve"> Decision support</w:t>
      </w:r>
      <w:r w:rsidR="005C639E">
        <w:rPr>
          <w:rFonts w:cs="Arial"/>
        </w:rPr>
        <w:t xml:space="preserve"> </w:t>
      </w:r>
      <w:r w:rsidR="00BB27C8">
        <w:rPr>
          <w:rFonts w:cs="Arial"/>
        </w:rPr>
        <w:t xml:space="preserve">is </w:t>
      </w:r>
      <w:r w:rsidR="005C639E">
        <w:rPr>
          <w:rFonts w:cs="Arial"/>
        </w:rPr>
        <w:t xml:space="preserve">a key </w:t>
      </w:r>
      <w:r w:rsidRPr="0019191C">
        <w:rPr>
          <w:rFonts w:cs="Arial"/>
        </w:rPr>
        <w:t xml:space="preserve">EMR capability and reporting </w:t>
      </w:r>
      <w:r w:rsidR="005C639E">
        <w:rPr>
          <w:rFonts w:cs="Arial"/>
        </w:rPr>
        <w:t>can be</w:t>
      </w:r>
      <w:r w:rsidR="005C639E" w:rsidRPr="0019191C">
        <w:rPr>
          <w:rFonts w:cs="Arial"/>
        </w:rPr>
        <w:t xml:space="preserve"> </w:t>
      </w:r>
      <w:r w:rsidRPr="0019191C">
        <w:rPr>
          <w:rFonts w:cs="Arial"/>
        </w:rPr>
        <w:t xml:space="preserve">severely compromised without this standardisation in place. </w:t>
      </w:r>
      <w:r w:rsidR="005C639E">
        <w:rPr>
          <w:rFonts w:cs="Arial"/>
        </w:rPr>
        <w:t>DHHS</w:t>
      </w:r>
      <w:r w:rsidRPr="0019191C">
        <w:rPr>
          <w:rFonts w:cs="Arial"/>
        </w:rPr>
        <w:t xml:space="preserve"> can provide information on Victorian pathology and imaging catalogue definitions should Victorian health services be adopting an EMR</w:t>
      </w:r>
      <w:r w:rsidR="00FD44E1">
        <w:rPr>
          <w:rFonts w:cs="Arial"/>
        </w:rPr>
        <w:t>.</w:t>
      </w:r>
    </w:p>
    <w:p w14:paraId="2AFFD236" w14:textId="66F8D2A0" w:rsidR="006E3614" w:rsidRPr="0019191C" w:rsidRDefault="006E3614" w:rsidP="008B2CDD">
      <w:pPr>
        <w:pStyle w:val="DHbody"/>
        <w:numPr>
          <w:ilvl w:val="0"/>
          <w:numId w:val="15"/>
        </w:numPr>
        <w:tabs>
          <w:tab w:val="clear" w:pos="1080"/>
          <w:tab w:val="num" w:pos="1440"/>
        </w:tabs>
        <w:rPr>
          <w:rFonts w:cs="Arial"/>
        </w:rPr>
      </w:pPr>
      <w:r w:rsidRPr="0019191C">
        <w:rPr>
          <w:rFonts w:cs="Arial"/>
        </w:rPr>
        <w:t xml:space="preserve">EMR should act as the master and allocate relevant unique identifiers for orders and results. </w:t>
      </w:r>
      <w:r w:rsidR="009904BB">
        <w:rPr>
          <w:rFonts w:cs="Arial"/>
        </w:rPr>
        <w:t xml:space="preserve">For example, </w:t>
      </w:r>
      <w:r w:rsidRPr="0019191C">
        <w:rPr>
          <w:rFonts w:cs="Arial"/>
        </w:rPr>
        <w:t>the placer, accession and order identifiers</w:t>
      </w:r>
      <w:r w:rsidR="00B219C5">
        <w:rPr>
          <w:rFonts w:cs="Arial"/>
        </w:rPr>
        <w:t>.</w:t>
      </w:r>
    </w:p>
    <w:p w14:paraId="33302B33" w14:textId="72B52E72" w:rsidR="006E3614" w:rsidRDefault="006E3614" w:rsidP="008B2CDD">
      <w:pPr>
        <w:pStyle w:val="DHbody"/>
        <w:numPr>
          <w:ilvl w:val="0"/>
          <w:numId w:val="15"/>
        </w:numPr>
        <w:tabs>
          <w:tab w:val="clear" w:pos="1080"/>
          <w:tab w:val="num" w:pos="1440"/>
        </w:tabs>
        <w:rPr>
          <w:rFonts w:cs="Arial"/>
        </w:rPr>
      </w:pPr>
      <w:r w:rsidRPr="0019191C">
        <w:rPr>
          <w:rFonts w:cs="Arial"/>
        </w:rPr>
        <w:t>Ideally, “send out” test orders should be transmitted by hosted pathology or imaging third party application</w:t>
      </w:r>
      <w:r w:rsidR="009904BB">
        <w:rPr>
          <w:rFonts w:cs="Arial"/>
        </w:rPr>
        <w:t>s</w:t>
      </w:r>
      <w:r w:rsidRPr="0019191C">
        <w:rPr>
          <w:rFonts w:cs="Arial"/>
        </w:rPr>
        <w:t xml:space="preserve"> and not by the “send out” </w:t>
      </w:r>
      <w:r w:rsidR="009904BB" w:rsidRPr="0019191C">
        <w:rPr>
          <w:rFonts w:cs="Arial"/>
        </w:rPr>
        <w:t>lab</w:t>
      </w:r>
      <w:r w:rsidR="009904BB">
        <w:rPr>
          <w:rFonts w:cs="Arial"/>
        </w:rPr>
        <w:t>oratories</w:t>
      </w:r>
      <w:r w:rsidRPr="0019191C">
        <w:rPr>
          <w:rFonts w:cs="Arial"/>
        </w:rPr>
        <w:t xml:space="preserve"> </w:t>
      </w:r>
      <w:r w:rsidR="009904BB">
        <w:rPr>
          <w:rFonts w:cs="Arial"/>
        </w:rPr>
        <w:t>to avoid</w:t>
      </w:r>
      <w:r w:rsidR="009904BB" w:rsidRPr="0019191C">
        <w:rPr>
          <w:rFonts w:cs="Arial"/>
        </w:rPr>
        <w:t xml:space="preserve"> </w:t>
      </w:r>
      <w:r w:rsidRPr="0019191C">
        <w:rPr>
          <w:rFonts w:cs="Arial"/>
        </w:rPr>
        <w:t>duplication.</w:t>
      </w:r>
    </w:p>
    <w:p w14:paraId="68A09DDB" w14:textId="167E434D" w:rsidR="00263D56" w:rsidRPr="00735921" w:rsidRDefault="005C646A" w:rsidP="008B2CDD">
      <w:pPr>
        <w:pStyle w:val="DHbody"/>
        <w:numPr>
          <w:ilvl w:val="0"/>
          <w:numId w:val="13"/>
        </w:numPr>
        <w:tabs>
          <w:tab w:val="clear" w:pos="720"/>
          <w:tab w:val="num" w:pos="1080"/>
        </w:tabs>
        <w:rPr>
          <w:b/>
          <w:bCs/>
        </w:rPr>
      </w:pPr>
      <w:r w:rsidRPr="00735921">
        <w:rPr>
          <w:b/>
          <w:bCs/>
        </w:rPr>
        <w:t xml:space="preserve">Results and Order </w:t>
      </w:r>
      <w:r w:rsidR="00263D56" w:rsidRPr="00735921">
        <w:rPr>
          <w:b/>
          <w:bCs/>
        </w:rPr>
        <w:t xml:space="preserve">Design </w:t>
      </w:r>
      <w:r w:rsidR="009A14C4">
        <w:rPr>
          <w:b/>
          <w:bCs/>
        </w:rPr>
        <w:t>c</w:t>
      </w:r>
      <w:r w:rsidR="00263D56" w:rsidRPr="00735921">
        <w:rPr>
          <w:b/>
          <w:bCs/>
        </w:rPr>
        <w:t xml:space="preserve">onstraints and </w:t>
      </w:r>
      <w:r w:rsidR="009A14C4">
        <w:rPr>
          <w:b/>
          <w:bCs/>
        </w:rPr>
        <w:t>a</w:t>
      </w:r>
      <w:r w:rsidR="00263D56" w:rsidRPr="00735921">
        <w:rPr>
          <w:b/>
          <w:bCs/>
        </w:rPr>
        <w:t>ssumptions</w:t>
      </w:r>
    </w:p>
    <w:p w14:paraId="4E33DA76" w14:textId="2BC3C1F4" w:rsidR="006E3614" w:rsidRPr="0019191C" w:rsidRDefault="006E3614" w:rsidP="00423FEC">
      <w:pPr>
        <w:pStyle w:val="DHbody"/>
        <w:ind w:left="720"/>
        <w:rPr>
          <w:rFonts w:cs="Arial"/>
        </w:rPr>
      </w:pPr>
      <w:r w:rsidRPr="0019191C">
        <w:rPr>
          <w:rFonts w:cs="Arial"/>
        </w:rPr>
        <w:t>The following constraints currently apply to results and ordering design</w:t>
      </w:r>
      <w:r w:rsidR="005C646A">
        <w:rPr>
          <w:rFonts w:cs="Arial"/>
        </w:rPr>
        <w:t xml:space="preserve"> in an EMR</w:t>
      </w:r>
      <w:r w:rsidRPr="0019191C">
        <w:rPr>
          <w:rFonts w:cs="Arial"/>
        </w:rPr>
        <w:t>:</w:t>
      </w:r>
    </w:p>
    <w:p w14:paraId="3650D0E3" w14:textId="77777777" w:rsidR="006E3614" w:rsidRPr="0019191C" w:rsidRDefault="006E3614" w:rsidP="008B2CDD">
      <w:pPr>
        <w:pStyle w:val="DHbody"/>
        <w:numPr>
          <w:ilvl w:val="0"/>
          <w:numId w:val="15"/>
        </w:numPr>
        <w:tabs>
          <w:tab w:val="clear" w:pos="1080"/>
          <w:tab w:val="num" w:pos="1440"/>
        </w:tabs>
        <w:rPr>
          <w:rFonts w:cs="Arial"/>
        </w:rPr>
      </w:pPr>
      <w:r w:rsidRPr="003C274E">
        <w:rPr>
          <w:rFonts w:cs="Arial"/>
        </w:rPr>
        <w:t>Transmitting orders and results from multiple pathology/imaging services is discouraged</w:t>
      </w:r>
      <w:r w:rsidRPr="0019191C">
        <w:rPr>
          <w:rFonts w:cs="Arial"/>
        </w:rPr>
        <w:t xml:space="preserve">. Although it is possible for a health service to have multiple providers, the following parameters need to be considered: </w:t>
      </w:r>
    </w:p>
    <w:p w14:paraId="556A5D25" w14:textId="053A6043" w:rsidR="006E3614" w:rsidRPr="0019191C" w:rsidRDefault="006E3614" w:rsidP="008B2CDD">
      <w:pPr>
        <w:pStyle w:val="DHbody"/>
        <w:numPr>
          <w:ilvl w:val="1"/>
          <w:numId w:val="15"/>
        </w:numPr>
        <w:tabs>
          <w:tab w:val="clear" w:pos="1800"/>
          <w:tab w:val="num" w:pos="2160"/>
        </w:tabs>
        <w:rPr>
          <w:rFonts w:cs="Arial"/>
        </w:rPr>
      </w:pPr>
      <w:r w:rsidRPr="0019191C">
        <w:rPr>
          <w:rFonts w:cs="Arial"/>
        </w:rPr>
        <w:t xml:space="preserve">The EMR should treat multiple pathology or imaging services at a health </w:t>
      </w:r>
      <w:r w:rsidR="0079741F" w:rsidRPr="0019191C">
        <w:rPr>
          <w:rFonts w:cs="Arial"/>
        </w:rPr>
        <w:t>service</w:t>
      </w:r>
      <w:r w:rsidRPr="0019191C">
        <w:rPr>
          <w:rFonts w:cs="Arial"/>
        </w:rPr>
        <w:t xml:space="preserve"> as if they are one. Victoria has defined a state</w:t>
      </w:r>
      <w:r w:rsidR="0058699B">
        <w:rPr>
          <w:rFonts w:cs="Arial"/>
        </w:rPr>
        <w:t>-</w:t>
      </w:r>
      <w:r w:rsidRPr="0019191C">
        <w:rPr>
          <w:rFonts w:cs="Arial"/>
        </w:rPr>
        <w:t>wide pathology and imaging catalogue</w:t>
      </w:r>
      <w:r w:rsidR="00CB6793">
        <w:rPr>
          <w:rStyle w:val="FootnoteReference"/>
          <w:rFonts w:cs="Arial"/>
        </w:rPr>
        <w:footnoteReference w:id="6"/>
      </w:r>
      <w:r w:rsidRPr="0019191C">
        <w:rPr>
          <w:rFonts w:cs="Arial"/>
        </w:rPr>
        <w:t xml:space="preserve">. Ideally catalogue test codes should not overlap across two or more result providers. Each catalogue item should be unique to </w:t>
      </w:r>
      <w:r w:rsidR="009904BB">
        <w:rPr>
          <w:rFonts w:cs="Arial"/>
        </w:rPr>
        <w:t xml:space="preserve">each </w:t>
      </w:r>
      <w:r w:rsidRPr="0019191C">
        <w:rPr>
          <w:rFonts w:cs="Arial"/>
        </w:rPr>
        <w:t xml:space="preserve">pathology/imaging systems. If the same test </w:t>
      </w:r>
      <w:r w:rsidRPr="0019191C">
        <w:rPr>
          <w:rFonts w:cs="Arial"/>
          <w:color w:val="000000"/>
          <w:szCs w:val="18"/>
          <w:lang w:eastAsia="en-AU"/>
        </w:rPr>
        <w:t xml:space="preserve">was ordered simultaneously and received </w:t>
      </w:r>
      <w:r w:rsidR="009904BB">
        <w:rPr>
          <w:rFonts w:cs="Arial"/>
          <w:color w:val="000000"/>
          <w:szCs w:val="18"/>
          <w:lang w:eastAsia="en-AU"/>
        </w:rPr>
        <w:t>by</w:t>
      </w:r>
      <w:r w:rsidR="009904BB" w:rsidRPr="0019191C">
        <w:rPr>
          <w:rFonts w:cs="Arial"/>
        </w:rPr>
        <w:t xml:space="preserve"> </w:t>
      </w:r>
      <w:r w:rsidRPr="0019191C">
        <w:rPr>
          <w:rFonts w:cs="Arial"/>
        </w:rPr>
        <w:t xml:space="preserve">multiple pathology/imaging systems, then it </w:t>
      </w:r>
      <w:r w:rsidR="009904BB">
        <w:rPr>
          <w:rFonts w:cs="Arial"/>
        </w:rPr>
        <w:t>would</w:t>
      </w:r>
      <w:r w:rsidR="009904BB" w:rsidRPr="0019191C">
        <w:rPr>
          <w:rFonts w:cs="Arial"/>
        </w:rPr>
        <w:t xml:space="preserve"> </w:t>
      </w:r>
      <w:r w:rsidRPr="0019191C">
        <w:rPr>
          <w:rFonts w:cs="Arial"/>
        </w:rPr>
        <w:t>not be possible to resolve/compare testing information, (reference ranges, etc). Consequently, results would display varying reference ranges and abnormal predictors would vary. The issue is more prominent for high volume cumulative result views.</w:t>
      </w:r>
    </w:p>
    <w:p w14:paraId="6C84359F" w14:textId="6466367E" w:rsidR="006E3614" w:rsidRPr="0019191C" w:rsidRDefault="00B219C5" w:rsidP="008B2CDD">
      <w:pPr>
        <w:pStyle w:val="DHbody"/>
        <w:numPr>
          <w:ilvl w:val="1"/>
          <w:numId w:val="15"/>
        </w:numPr>
        <w:tabs>
          <w:tab w:val="clear" w:pos="1800"/>
          <w:tab w:val="num" w:pos="2160"/>
        </w:tabs>
        <w:rPr>
          <w:rFonts w:cs="Arial"/>
        </w:rPr>
      </w:pPr>
      <w:r>
        <w:rPr>
          <w:rFonts w:cs="Arial"/>
        </w:rPr>
        <w:t>H</w:t>
      </w:r>
      <w:r w:rsidR="006E3614" w:rsidRPr="0019191C">
        <w:rPr>
          <w:rFonts w:cs="Arial"/>
        </w:rPr>
        <w:t xml:space="preserve">ealth service will need to determine the relevant rules for routing orders to the correct pathology/imaging system. </w:t>
      </w:r>
    </w:p>
    <w:p w14:paraId="270A0528" w14:textId="77777777" w:rsidR="006E3614" w:rsidRPr="0019191C" w:rsidRDefault="006E3614" w:rsidP="008B2CDD">
      <w:pPr>
        <w:pStyle w:val="DHbody"/>
        <w:numPr>
          <w:ilvl w:val="1"/>
          <w:numId w:val="16"/>
        </w:numPr>
        <w:rPr>
          <w:rFonts w:cs="Arial"/>
        </w:rPr>
      </w:pPr>
      <w:r w:rsidRPr="0019191C">
        <w:rPr>
          <w:rFonts w:cs="Arial"/>
        </w:rPr>
        <w:t>Add-on, reflex and send-out tests must also be managed uniquely across multiple providers. The same add-on, reflex or send-out cannot be initiated across multiple systems.</w:t>
      </w:r>
    </w:p>
    <w:p w14:paraId="467494B1" w14:textId="69E72DB2" w:rsidR="006E3614" w:rsidRPr="0019191C" w:rsidRDefault="00692DC8" w:rsidP="008B2CDD">
      <w:pPr>
        <w:pStyle w:val="DHbody"/>
        <w:numPr>
          <w:ilvl w:val="1"/>
          <w:numId w:val="16"/>
        </w:numPr>
        <w:rPr>
          <w:rFonts w:cs="Arial"/>
        </w:rPr>
      </w:pPr>
      <w:r w:rsidRPr="009A14C4">
        <w:rPr>
          <w:rFonts w:cs="Arial"/>
          <w:bCs/>
        </w:rPr>
        <w:t>State-wide</w:t>
      </w:r>
      <w:r w:rsidR="006E3614" w:rsidRPr="009A14C4">
        <w:rPr>
          <w:rFonts w:cs="Arial"/>
          <w:bCs/>
        </w:rPr>
        <w:t xml:space="preserve"> pathology and imaging catalogues</w:t>
      </w:r>
      <w:r w:rsidR="009A14C4">
        <w:rPr>
          <w:rFonts w:cs="Arial"/>
          <w:bCs/>
        </w:rPr>
        <w:t>:</w:t>
      </w:r>
      <w:r w:rsidR="006E3614" w:rsidRPr="0019191C">
        <w:rPr>
          <w:rFonts w:cs="Arial"/>
        </w:rPr>
        <w:t xml:space="preserve"> Victoria has defined a </w:t>
      </w:r>
      <w:r w:rsidR="00260C66" w:rsidRPr="0019191C">
        <w:rPr>
          <w:rFonts w:cs="Arial"/>
        </w:rPr>
        <w:t>state-wide</w:t>
      </w:r>
      <w:r w:rsidR="006E3614" w:rsidRPr="0019191C">
        <w:rPr>
          <w:rFonts w:cs="Arial"/>
        </w:rPr>
        <w:t xml:space="preserve"> definition for pathology and imaging catalogues. The catalogue was created by a </w:t>
      </w:r>
      <w:r w:rsidR="006E3614" w:rsidRPr="0019191C">
        <w:rPr>
          <w:rFonts w:cs="Arial"/>
        </w:rPr>
        <w:lastRenderedPageBreak/>
        <w:t>Pathology and Imaging Clinical System Working Group. This group has representation from health services across Victoria. It was determined by th</w:t>
      </w:r>
      <w:r w:rsidR="00F00237">
        <w:rPr>
          <w:rFonts w:cs="Arial"/>
        </w:rPr>
        <w:t>is</w:t>
      </w:r>
      <w:r w:rsidR="006E3614" w:rsidRPr="0019191C">
        <w:rPr>
          <w:rFonts w:cs="Arial"/>
        </w:rPr>
        <w:t xml:space="preserve"> </w:t>
      </w:r>
      <w:r w:rsidR="00F00237">
        <w:rPr>
          <w:rFonts w:cs="Arial"/>
        </w:rPr>
        <w:t xml:space="preserve">working </w:t>
      </w:r>
      <w:r w:rsidR="006E3614" w:rsidRPr="0019191C">
        <w:rPr>
          <w:rFonts w:cs="Arial"/>
        </w:rPr>
        <w:t>group</w:t>
      </w:r>
      <w:r w:rsidR="007957F1">
        <w:rPr>
          <w:rFonts w:cs="Arial"/>
        </w:rPr>
        <w:t xml:space="preserve">, that to </w:t>
      </w:r>
      <w:r w:rsidR="006E3614" w:rsidRPr="0019191C">
        <w:rPr>
          <w:rFonts w:cs="Arial"/>
        </w:rPr>
        <w:t xml:space="preserve">adequately address the </w:t>
      </w:r>
      <w:r w:rsidR="00F00237">
        <w:rPr>
          <w:rFonts w:cs="Arial"/>
        </w:rPr>
        <w:t xml:space="preserve">unique </w:t>
      </w:r>
      <w:r w:rsidR="006E3614" w:rsidRPr="0019191C">
        <w:rPr>
          <w:rFonts w:cs="Arial"/>
        </w:rPr>
        <w:t>requirement</w:t>
      </w:r>
      <w:r w:rsidR="00F00237">
        <w:rPr>
          <w:rFonts w:cs="Arial"/>
        </w:rPr>
        <w:t>s</w:t>
      </w:r>
      <w:r w:rsidR="006E3614" w:rsidRPr="0019191C">
        <w:rPr>
          <w:rFonts w:cs="Arial"/>
        </w:rPr>
        <w:t xml:space="preserve"> of pathology or imaging</w:t>
      </w:r>
      <w:r w:rsidR="00F00237">
        <w:rPr>
          <w:rFonts w:cs="Arial"/>
        </w:rPr>
        <w:t xml:space="preserve"> for Victoria</w:t>
      </w:r>
      <w:r w:rsidR="007957F1">
        <w:rPr>
          <w:rFonts w:cs="Arial"/>
        </w:rPr>
        <w:t xml:space="preserve">, </w:t>
      </w:r>
      <w:r w:rsidR="00F00237">
        <w:rPr>
          <w:rFonts w:cs="Arial"/>
        </w:rPr>
        <w:t>a</w:t>
      </w:r>
      <w:r w:rsidR="006E3614" w:rsidRPr="0019191C">
        <w:rPr>
          <w:rFonts w:cs="Arial"/>
        </w:rPr>
        <w:t xml:space="preserve"> Victorian catalogue was </w:t>
      </w:r>
      <w:r w:rsidR="007957F1">
        <w:rPr>
          <w:rFonts w:cs="Arial"/>
        </w:rPr>
        <w:t>required</w:t>
      </w:r>
      <w:r w:rsidR="006E3614" w:rsidRPr="0019191C">
        <w:rPr>
          <w:rFonts w:cs="Arial"/>
        </w:rPr>
        <w:t>. This process was performed in consultation with</w:t>
      </w:r>
      <w:r w:rsidR="00F00237">
        <w:rPr>
          <w:rFonts w:cs="Arial"/>
        </w:rPr>
        <w:t xml:space="preserve"> the</w:t>
      </w:r>
      <w:r w:rsidR="006E3614" w:rsidRPr="0019191C">
        <w:rPr>
          <w:rFonts w:cs="Arial"/>
        </w:rPr>
        <w:t xml:space="preserve"> </w:t>
      </w:r>
      <w:r w:rsidR="00B67F73">
        <w:rPr>
          <w:rFonts w:cs="Arial"/>
        </w:rPr>
        <w:t>ADHA</w:t>
      </w:r>
      <w:r w:rsidR="006E3614" w:rsidRPr="0019191C">
        <w:rPr>
          <w:rFonts w:cs="Arial"/>
        </w:rPr>
        <w:t xml:space="preserve">. It is recommended that any health services embarking on an EMR </w:t>
      </w:r>
      <w:r w:rsidR="007957F1">
        <w:rPr>
          <w:rFonts w:cs="Arial"/>
        </w:rPr>
        <w:t xml:space="preserve">journey </w:t>
      </w:r>
      <w:r w:rsidR="006E3614" w:rsidRPr="0019191C">
        <w:rPr>
          <w:rFonts w:cs="Arial"/>
        </w:rPr>
        <w:t>should consider the state</w:t>
      </w:r>
      <w:r w:rsidR="0080428F">
        <w:rPr>
          <w:rFonts w:cs="Arial"/>
        </w:rPr>
        <w:t>-</w:t>
      </w:r>
      <w:r w:rsidR="006E3614" w:rsidRPr="0019191C">
        <w:rPr>
          <w:rFonts w:cs="Arial"/>
        </w:rPr>
        <w:t xml:space="preserve">wide pathology and imaging catalogue </w:t>
      </w:r>
      <w:r w:rsidR="0000539B" w:rsidRPr="0019191C">
        <w:rPr>
          <w:rFonts w:cs="Arial"/>
        </w:rPr>
        <w:t>and</w:t>
      </w:r>
      <w:r w:rsidR="006E3614" w:rsidRPr="0019191C">
        <w:rPr>
          <w:rFonts w:cs="Arial"/>
        </w:rPr>
        <w:t xml:space="preserve"> should map local pathology</w:t>
      </w:r>
      <w:r w:rsidR="00F00237">
        <w:rPr>
          <w:rFonts w:cs="Arial"/>
        </w:rPr>
        <w:t xml:space="preserve"> and imaging</w:t>
      </w:r>
      <w:r w:rsidR="006E3614" w:rsidRPr="0019191C">
        <w:rPr>
          <w:rFonts w:cs="Arial"/>
        </w:rPr>
        <w:t xml:space="preserve"> system codes to the </w:t>
      </w:r>
      <w:r w:rsidR="00003CDD" w:rsidRPr="0019191C">
        <w:rPr>
          <w:rFonts w:cs="Arial"/>
        </w:rPr>
        <w:t>state-wide</w:t>
      </w:r>
      <w:r w:rsidR="006E3614" w:rsidRPr="0019191C">
        <w:rPr>
          <w:rFonts w:cs="Arial"/>
        </w:rPr>
        <w:t xml:space="preserve"> pathology and imaging catalogues. </w:t>
      </w:r>
    </w:p>
    <w:p w14:paraId="65975B8C" w14:textId="699751D3" w:rsidR="00C96BD3" w:rsidRPr="00C96BD3" w:rsidRDefault="006E3614" w:rsidP="008B2CDD">
      <w:pPr>
        <w:pStyle w:val="DHbody"/>
        <w:numPr>
          <w:ilvl w:val="1"/>
          <w:numId w:val="16"/>
        </w:numPr>
        <w:rPr>
          <w:rFonts w:cs="Arial"/>
        </w:rPr>
      </w:pPr>
      <w:r w:rsidRPr="0019191C">
        <w:rPr>
          <w:rFonts w:cs="Arial"/>
          <w:b/>
        </w:rPr>
        <w:t>Pathology and imaging - patient details</w:t>
      </w:r>
      <w:r w:rsidRPr="0019191C">
        <w:rPr>
          <w:rFonts w:cs="Arial"/>
        </w:rPr>
        <w:t xml:space="preserve">. An EMR relies on accurate and unique patient identifier details across a health service. It is critical that the health service patient administration system (PAS) is the trusted source for patient identifiers and associated details, and that the pathology and imaging system is </w:t>
      </w:r>
      <w:r w:rsidR="00711AE0">
        <w:rPr>
          <w:rFonts w:cs="Arial"/>
        </w:rPr>
        <w:t>integrated</w:t>
      </w:r>
      <w:r w:rsidR="00F00237" w:rsidRPr="0019191C">
        <w:rPr>
          <w:rFonts w:cs="Arial"/>
        </w:rPr>
        <w:t xml:space="preserve"> </w:t>
      </w:r>
      <w:r w:rsidRPr="0019191C">
        <w:rPr>
          <w:rFonts w:cs="Arial"/>
        </w:rPr>
        <w:t>with the PAS/EMR. A publish and subscribe messaging methodology must b</w:t>
      </w:r>
      <w:r w:rsidR="00A06036">
        <w:rPr>
          <w:rFonts w:cs="Arial"/>
        </w:rPr>
        <w:t>e</w:t>
      </w:r>
      <w:r w:rsidRPr="0019191C">
        <w:rPr>
          <w:rFonts w:cs="Arial"/>
        </w:rPr>
        <w:t xml:space="preserve"> used for this synchronisation. This enables immediate and efficient synchronisation. Query-based methodologies are only accurate at the time that information is requested, leading to lack of concurrency of information and therefore potential inaccuracy in the calculation of clinical result information. Query-based methodologies in this context typically have unnecessary heavy messaging loads and have an impact on system performance.</w:t>
      </w:r>
    </w:p>
    <w:p w14:paraId="74C99FF6" w14:textId="15162796" w:rsidR="006E3614" w:rsidRPr="00C96BD3" w:rsidRDefault="005C646A" w:rsidP="009D3AD0">
      <w:pPr>
        <w:pStyle w:val="Heading2"/>
      </w:pPr>
      <w:bookmarkStart w:id="33" w:name="_Toc239071286"/>
      <w:bookmarkStart w:id="34" w:name="_Toc333583672"/>
      <w:bookmarkStart w:id="35" w:name="_Toc335731430"/>
      <w:bookmarkStart w:id="36" w:name="_Toc50547728"/>
      <w:r>
        <w:t xml:space="preserve">EMR </w:t>
      </w:r>
      <w:r w:rsidR="006E3614" w:rsidRPr="00C96BD3">
        <w:t xml:space="preserve">Results and Orders </w:t>
      </w:r>
      <w:r w:rsidR="00E41BF2">
        <w:t>m</w:t>
      </w:r>
      <w:r w:rsidR="006E3614" w:rsidRPr="00C96BD3">
        <w:t>odel</w:t>
      </w:r>
      <w:bookmarkEnd w:id="33"/>
      <w:bookmarkEnd w:id="34"/>
      <w:bookmarkEnd w:id="35"/>
      <w:r w:rsidR="00353240">
        <w:t xml:space="preserve"> </w:t>
      </w:r>
      <w:r w:rsidR="00353240" w:rsidRPr="00353240">
        <w:t>(EMR as a master system for generating orders)</w:t>
      </w:r>
      <w:bookmarkEnd w:id="36"/>
    </w:p>
    <w:p w14:paraId="50CA45BB" w14:textId="3F7442C0" w:rsidR="000C330A" w:rsidRDefault="006E3614" w:rsidP="006E3614">
      <w:pPr>
        <w:pStyle w:val="DHbody"/>
        <w:rPr>
          <w:rFonts w:cs="Arial"/>
        </w:rPr>
      </w:pPr>
      <w:r w:rsidRPr="0019191C">
        <w:rPr>
          <w:rFonts w:cs="Arial"/>
        </w:rPr>
        <w:t xml:space="preserve">The model below shows the flow of information for an EMR. The model includes other systems connected to a health service as an example. The EMR should be the master system for generating all </w:t>
      </w:r>
    </w:p>
    <w:p w14:paraId="760A860B" w14:textId="743C6C9B" w:rsidR="006E3614" w:rsidRPr="0019191C" w:rsidRDefault="006E3614" w:rsidP="006E3614">
      <w:pPr>
        <w:pStyle w:val="DHbody"/>
        <w:rPr>
          <w:rFonts w:cs="Arial"/>
        </w:rPr>
      </w:pPr>
      <w:r w:rsidRPr="0019191C">
        <w:rPr>
          <w:rFonts w:cs="Arial"/>
        </w:rPr>
        <w:t xml:space="preserve">orders. </w:t>
      </w:r>
    </w:p>
    <w:p w14:paraId="3C6F5DC3" w14:textId="051663F0" w:rsidR="00627237" w:rsidRDefault="00134DA3" w:rsidP="00134DA3">
      <w:pPr>
        <w:pStyle w:val="DHbody"/>
        <w:tabs>
          <w:tab w:val="left" w:pos="3068"/>
        </w:tabs>
        <w:rPr>
          <w:rFonts w:cs="Arial"/>
        </w:rPr>
      </w:pPr>
      <w:r>
        <w:rPr>
          <w:rFonts w:cs="Arial"/>
        </w:rPr>
        <w:tab/>
      </w:r>
    </w:p>
    <w:p w14:paraId="47BE422A" w14:textId="68FD2982" w:rsidR="00627237" w:rsidRDefault="00627237" w:rsidP="006E3614">
      <w:pPr>
        <w:pStyle w:val="DHbody"/>
        <w:rPr>
          <w:rFonts w:cs="Arial"/>
        </w:rPr>
      </w:pPr>
    </w:p>
    <w:p w14:paraId="2B43D2C0" w14:textId="77777777" w:rsidR="00A34E33" w:rsidRDefault="00A34E33" w:rsidP="00627237">
      <w:pPr>
        <w:pStyle w:val="DHbody"/>
        <w:pageBreakBefore/>
        <w:rPr>
          <w:rFonts w:cs="Arial"/>
        </w:rPr>
        <w:sectPr w:rsidR="00A34E33" w:rsidSect="00BB1AE7">
          <w:headerReference w:type="even" r:id="rId28"/>
          <w:headerReference w:type="default" r:id="rId29"/>
          <w:footerReference w:type="even" r:id="rId30"/>
          <w:footerReference w:type="default" r:id="rId31"/>
          <w:footerReference w:type="first" r:id="rId32"/>
          <w:pgSz w:w="11907" w:h="16839" w:code="9"/>
          <w:pgMar w:top="1701" w:right="1304" w:bottom="1134" w:left="1304" w:header="454" w:footer="510" w:gutter="0"/>
          <w:cols w:space="720"/>
          <w:docGrid w:linePitch="360"/>
        </w:sectPr>
      </w:pPr>
    </w:p>
    <w:p w14:paraId="1A0BDF3D" w14:textId="7385804B" w:rsidR="00134DA3" w:rsidRDefault="009E4172" w:rsidP="00134DA3">
      <w:pPr>
        <w:pStyle w:val="Caption"/>
        <w:keepNext/>
        <w:jc w:val="left"/>
      </w:pPr>
      <w:bookmarkStart w:id="37" w:name="_Toc50547767"/>
      <w:bookmarkStart w:id="38" w:name="_Toc239071287"/>
      <w:bookmarkStart w:id="39" w:name="_Toc333583673"/>
      <w:bookmarkStart w:id="40" w:name="_Toc335731431"/>
      <w:r>
        <w:lastRenderedPageBreak/>
        <w:t xml:space="preserve">Figure </w:t>
      </w:r>
      <w:r>
        <w:fldChar w:fldCharType="begin"/>
      </w:r>
      <w:r>
        <w:instrText xml:space="preserve"> SEQ Figure \* ARABIC </w:instrText>
      </w:r>
      <w:r>
        <w:fldChar w:fldCharType="separate"/>
      </w:r>
      <w:r w:rsidR="00E41BF2">
        <w:t>2</w:t>
      </w:r>
      <w:r>
        <w:fldChar w:fldCharType="end"/>
      </w:r>
      <w:r w:rsidRPr="00285451">
        <w:t>: Results and Orders Model (EMR as a master system for generating orders)</w:t>
      </w:r>
      <w:bookmarkEnd w:id="37"/>
    </w:p>
    <w:p w14:paraId="4577FE17" w14:textId="12EC9D46" w:rsidR="00134DA3" w:rsidRPr="00134DA3" w:rsidRDefault="00C52FD0" w:rsidP="00134DA3">
      <w:r>
        <w:drawing>
          <wp:inline distT="0" distB="0" distL="0" distR="0" wp14:anchorId="1A5A3C02" wp14:editId="1622F235">
            <wp:extent cx="7054965" cy="5603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054965" cy="5603358"/>
                    </a:xfrm>
                    <a:prstGeom prst="rect">
                      <a:avLst/>
                    </a:prstGeom>
                  </pic:spPr>
                </pic:pic>
              </a:graphicData>
            </a:graphic>
          </wp:inline>
        </w:drawing>
      </w:r>
    </w:p>
    <w:p w14:paraId="06F7C1A5" w14:textId="6B4507E0" w:rsidR="00134DA3" w:rsidRPr="00134DA3" w:rsidRDefault="00134DA3" w:rsidP="00134DA3">
      <w:pPr>
        <w:pStyle w:val="DHHSbody"/>
        <w:rPr>
          <w:lang w:eastAsia="en-AU"/>
        </w:rPr>
        <w:sectPr w:rsidR="00134DA3" w:rsidRPr="00134DA3" w:rsidSect="00A34E33">
          <w:pgSz w:w="16839" w:h="11907" w:orient="landscape" w:code="9"/>
          <w:pgMar w:top="1304" w:right="1701" w:bottom="1304" w:left="1134" w:header="454" w:footer="510" w:gutter="0"/>
          <w:cols w:space="720"/>
          <w:docGrid w:linePitch="360"/>
        </w:sectPr>
      </w:pPr>
    </w:p>
    <w:p w14:paraId="1C3A0DC9" w14:textId="2BD4FAD3" w:rsidR="003560F9" w:rsidRPr="0019191C" w:rsidRDefault="003560F9" w:rsidP="00386EEC">
      <w:pPr>
        <w:pStyle w:val="Heading2"/>
      </w:pPr>
      <w:bookmarkStart w:id="41" w:name="_Toc50547729"/>
      <w:r w:rsidRPr="0019191C">
        <w:lastRenderedPageBreak/>
        <w:t>EMR – Medications Design</w:t>
      </w:r>
      <w:bookmarkEnd w:id="38"/>
      <w:bookmarkEnd w:id="39"/>
      <w:bookmarkEnd w:id="40"/>
      <w:bookmarkEnd w:id="41"/>
    </w:p>
    <w:p w14:paraId="7A2FA8DD" w14:textId="08F67048" w:rsidR="003560F9" w:rsidRPr="0019191C" w:rsidRDefault="003560F9" w:rsidP="003560F9">
      <w:pPr>
        <w:pStyle w:val="DHbody"/>
        <w:rPr>
          <w:rFonts w:cs="Arial"/>
        </w:rPr>
      </w:pPr>
      <w:r w:rsidRPr="7FB53F93">
        <w:rPr>
          <w:rFonts w:cs="Arial"/>
        </w:rPr>
        <w:t xml:space="preserve">The health service EMR is usually the designated master system for medications management. This includes discharge medications, medications history, electronic medication administration for inpatients, and inpatient and outpatient medication orders. One of the core principles of any EMR is to reduce medication errors. For this to be realised and managed effectively, a single source of truth for this information should be nominated, otherwise there is potential for repeat/or contradicting administration or prescription orders for a patient. It is recommended that an EMR should rely on </w:t>
      </w:r>
      <w:r w:rsidR="00B0149C">
        <w:rPr>
          <w:rFonts w:cs="Arial"/>
        </w:rPr>
        <w:t>or be mapped to</w:t>
      </w:r>
      <w:r w:rsidR="00722D20">
        <w:rPr>
          <w:rFonts w:cs="Arial"/>
        </w:rPr>
        <w:t xml:space="preserve"> </w:t>
      </w:r>
      <w:r w:rsidRPr="7FB53F93">
        <w:rPr>
          <w:rFonts w:cs="Arial"/>
        </w:rPr>
        <w:t xml:space="preserve">the </w:t>
      </w:r>
      <w:r w:rsidR="004D0217" w:rsidRPr="7FB53F93">
        <w:rPr>
          <w:rFonts w:cs="Arial"/>
        </w:rPr>
        <w:t xml:space="preserve">ADHA’s </w:t>
      </w:r>
      <w:r w:rsidRPr="7FB53F93">
        <w:rPr>
          <w:rFonts w:cs="Arial"/>
        </w:rPr>
        <w:t>medication catalogue, AMT (Australian Medicines Terminology), and associated SMOMED content. AMT has been developed and proven to be “fit for purpose”</w:t>
      </w:r>
      <w:r w:rsidR="002C534A">
        <w:rPr>
          <w:rFonts w:cs="Arial"/>
        </w:rPr>
        <w:t>,</w:t>
      </w:r>
      <w:r w:rsidRPr="7FB53F93">
        <w:rPr>
          <w:rFonts w:cs="Arial"/>
        </w:rPr>
        <w:t xml:space="preserve"> unambiguously identifying Therapeutic Goods Administration (TGA) identified 'registrable' medicines</w:t>
      </w:r>
      <w:r w:rsidR="002C534A">
        <w:rPr>
          <w:rFonts w:cs="Arial"/>
        </w:rPr>
        <w:t>,</w:t>
      </w:r>
      <w:r w:rsidRPr="7FB53F93">
        <w:rPr>
          <w:rFonts w:cs="Arial"/>
        </w:rPr>
        <w:t xml:space="preserve"> marketed for clinicians in Australia</w:t>
      </w:r>
      <w:r w:rsidR="002C534A">
        <w:rPr>
          <w:rFonts w:cs="Arial"/>
        </w:rPr>
        <w:t>; t</w:t>
      </w:r>
      <w:r w:rsidRPr="7FB53F93">
        <w:rPr>
          <w:rFonts w:cs="Arial"/>
        </w:rPr>
        <w:t>hat provides the following activities:</w:t>
      </w:r>
      <w:smartTag w:uri="urn:schemas-microsoft-com:office:smarttags" w:element="place"/>
      <w:smartTag w:uri="urn:schemas-microsoft-com:office:smarttags" w:element="country-region"/>
    </w:p>
    <w:p w14:paraId="116E261E" w14:textId="77777777" w:rsidR="003560F9" w:rsidRPr="0019191C" w:rsidRDefault="003560F9" w:rsidP="008B2CDD">
      <w:pPr>
        <w:pStyle w:val="DHbody"/>
        <w:numPr>
          <w:ilvl w:val="0"/>
          <w:numId w:val="18"/>
        </w:numPr>
      </w:pPr>
      <w:r w:rsidRPr="0019191C">
        <w:t>Prescribing</w:t>
      </w:r>
    </w:p>
    <w:p w14:paraId="49B8FBE1" w14:textId="77777777" w:rsidR="003560F9" w:rsidRPr="0019191C" w:rsidRDefault="003560F9" w:rsidP="008B2CDD">
      <w:pPr>
        <w:pStyle w:val="DHbody"/>
        <w:numPr>
          <w:ilvl w:val="0"/>
          <w:numId w:val="18"/>
        </w:numPr>
      </w:pPr>
      <w:r w:rsidRPr="0019191C">
        <w:t>Recording</w:t>
      </w:r>
    </w:p>
    <w:p w14:paraId="58A3BC4E" w14:textId="77777777" w:rsidR="003560F9" w:rsidRPr="0019191C" w:rsidRDefault="003560F9" w:rsidP="008B2CDD">
      <w:pPr>
        <w:pStyle w:val="DHbody"/>
        <w:numPr>
          <w:ilvl w:val="0"/>
          <w:numId w:val="18"/>
        </w:numPr>
      </w:pPr>
      <w:r w:rsidRPr="0019191C">
        <w:t>Review</w:t>
      </w:r>
    </w:p>
    <w:p w14:paraId="1C7BE6D0" w14:textId="77777777" w:rsidR="003560F9" w:rsidRPr="0019191C" w:rsidRDefault="003560F9" w:rsidP="008B2CDD">
      <w:pPr>
        <w:pStyle w:val="DHbody"/>
        <w:numPr>
          <w:ilvl w:val="0"/>
          <w:numId w:val="18"/>
        </w:numPr>
      </w:pPr>
      <w:r w:rsidRPr="0019191C">
        <w:t>Supply</w:t>
      </w:r>
    </w:p>
    <w:p w14:paraId="5852714F" w14:textId="77777777" w:rsidR="003560F9" w:rsidRPr="0019191C" w:rsidRDefault="003560F9" w:rsidP="008B2CDD">
      <w:pPr>
        <w:pStyle w:val="DHbody"/>
        <w:numPr>
          <w:ilvl w:val="0"/>
          <w:numId w:val="18"/>
        </w:numPr>
      </w:pPr>
      <w:r w:rsidRPr="0019191C">
        <w:t>Administration and communication of the above in a discharge summary.</w:t>
      </w:r>
    </w:p>
    <w:p w14:paraId="6DD1C2EE" w14:textId="17BD3670" w:rsidR="003560F9" w:rsidRPr="0019191C" w:rsidRDefault="005C646A" w:rsidP="00386EEC">
      <w:pPr>
        <w:pStyle w:val="Heading2"/>
      </w:pPr>
      <w:bookmarkStart w:id="42" w:name="_Toc237754685"/>
      <w:bookmarkStart w:id="43" w:name="_Toc239071288"/>
      <w:bookmarkStart w:id="44" w:name="_Toc333583674"/>
      <w:bookmarkStart w:id="45" w:name="_Toc335731432"/>
      <w:bookmarkStart w:id="46" w:name="_Toc50547730"/>
      <w:r>
        <w:t xml:space="preserve">EMR Medications </w:t>
      </w:r>
      <w:r w:rsidR="00E41BF2">
        <w:t>s</w:t>
      </w:r>
      <w:r w:rsidR="003560F9" w:rsidRPr="0019191C">
        <w:t xml:space="preserve">olution </w:t>
      </w:r>
      <w:r w:rsidR="00E41BF2">
        <w:t>d</w:t>
      </w:r>
      <w:r w:rsidR="003560F9" w:rsidRPr="0019191C">
        <w:t xml:space="preserve">esign </w:t>
      </w:r>
      <w:bookmarkEnd w:id="42"/>
      <w:r w:rsidR="00E41BF2">
        <w:t>c</w:t>
      </w:r>
      <w:r w:rsidR="003560F9" w:rsidRPr="0019191C">
        <w:t>onfiguration</w:t>
      </w:r>
      <w:bookmarkEnd w:id="43"/>
      <w:bookmarkEnd w:id="44"/>
      <w:bookmarkEnd w:id="45"/>
      <w:bookmarkEnd w:id="46"/>
    </w:p>
    <w:p w14:paraId="23301F7F" w14:textId="28796A47" w:rsidR="003560F9" w:rsidRPr="0019191C" w:rsidRDefault="003560F9" w:rsidP="003560F9">
      <w:pPr>
        <w:pStyle w:val="DHbody"/>
        <w:ind w:left="360"/>
        <w:rPr>
          <w:rFonts w:cs="Arial"/>
        </w:rPr>
      </w:pPr>
      <w:r w:rsidRPr="0019191C">
        <w:rPr>
          <w:rFonts w:cs="Arial"/>
        </w:rPr>
        <w:t xml:space="preserve">A health service EMR medications design should </w:t>
      </w:r>
      <w:r w:rsidR="004208F1">
        <w:rPr>
          <w:rFonts w:cs="Arial"/>
        </w:rPr>
        <w:t>adhere to</w:t>
      </w:r>
      <w:r w:rsidR="004208F1" w:rsidRPr="0019191C">
        <w:rPr>
          <w:rFonts w:cs="Arial"/>
        </w:rPr>
        <w:t xml:space="preserve"> </w:t>
      </w:r>
      <w:r w:rsidRPr="0019191C">
        <w:rPr>
          <w:rFonts w:cs="Arial"/>
        </w:rPr>
        <w:t>the</w:t>
      </w:r>
      <w:r w:rsidR="005C646A">
        <w:rPr>
          <w:rFonts w:cs="Arial"/>
        </w:rPr>
        <w:t xml:space="preserve"> following</w:t>
      </w:r>
      <w:r w:rsidRPr="0019191C">
        <w:rPr>
          <w:rFonts w:cs="Arial"/>
        </w:rPr>
        <w:t xml:space="preserve"> design parameters:</w:t>
      </w:r>
    </w:p>
    <w:p w14:paraId="08350882" w14:textId="0C037DC1" w:rsidR="003560F9" w:rsidRPr="0019191C" w:rsidRDefault="003560F9" w:rsidP="008B2CDD">
      <w:pPr>
        <w:pStyle w:val="DHbody"/>
        <w:numPr>
          <w:ilvl w:val="0"/>
          <w:numId w:val="19"/>
        </w:numPr>
        <w:rPr>
          <w:rFonts w:cs="Arial"/>
        </w:rPr>
      </w:pPr>
      <w:r w:rsidRPr="0019191C">
        <w:rPr>
          <w:rFonts w:cs="Arial"/>
        </w:rPr>
        <w:t>Medication orders (for both inpatients and outpatients) and other associated medication functions should ideally be initiated in the EMR</w:t>
      </w:r>
      <w:r w:rsidR="00DB2635">
        <w:rPr>
          <w:rFonts w:cs="Arial"/>
        </w:rPr>
        <w:t>.</w:t>
      </w:r>
    </w:p>
    <w:p w14:paraId="75940DA2" w14:textId="77777777" w:rsidR="003560F9" w:rsidRPr="0019191C" w:rsidRDefault="003560F9" w:rsidP="008B2CDD">
      <w:pPr>
        <w:pStyle w:val="DHbody"/>
        <w:numPr>
          <w:ilvl w:val="0"/>
          <w:numId w:val="19"/>
        </w:numPr>
        <w:rPr>
          <w:rFonts w:cs="Arial"/>
        </w:rPr>
      </w:pPr>
      <w:r w:rsidRPr="0019191C">
        <w:rPr>
          <w:rFonts w:cs="Arial"/>
        </w:rPr>
        <w:t xml:space="preserve">The EMR should be designed to share the following controlled information with other applications, for specific business processes: </w:t>
      </w:r>
    </w:p>
    <w:p w14:paraId="4BDBF8B6" w14:textId="4B320E9A" w:rsidR="003560F9" w:rsidRPr="0019191C" w:rsidRDefault="003560F9" w:rsidP="008B2CDD">
      <w:pPr>
        <w:pStyle w:val="DHbody"/>
        <w:numPr>
          <w:ilvl w:val="1"/>
          <w:numId w:val="19"/>
        </w:numPr>
        <w:rPr>
          <w:rFonts w:cs="Arial"/>
        </w:rPr>
      </w:pPr>
      <w:r w:rsidRPr="0019191C">
        <w:rPr>
          <w:rFonts w:cs="Arial"/>
        </w:rPr>
        <w:t xml:space="preserve">The EMR design should include a very simple and standard interface to a pharmacy application for business continuity around stock control and other administrative </w:t>
      </w:r>
      <w:r w:rsidR="00CB2A48" w:rsidRPr="0019191C">
        <w:rPr>
          <w:rFonts w:cs="Arial"/>
        </w:rPr>
        <w:t>non-clinical</w:t>
      </w:r>
      <w:r w:rsidRPr="0019191C">
        <w:rPr>
          <w:rFonts w:cs="Arial"/>
        </w:rPr>
        <w:t xml:space="preserve"> functions</w:t>
      </w:r>
    </w:p>
    <w:p w14:paraId="50E13782" w14:textId="77777777" w:rsidR="003560F9" w:rsidRPr="0019191C" w:rsidRDefault="003560F9" w:rsidP="008B2CDD">
      <w:pPr>
        <w:pStyle w:val="DHbody"/>
        <w:numPr>
          <w:ilvl w:val="1"/>
          <w:numId w:val="19"/>
        </w:numPr>
        <w:rPr>
          <w:rFonts w:cs="Arial"/>
        </w:rPr>
      </w:pPr>
      <w:r w:rsidRPr="0019191C">
        <w:rPr>
          <w:rFonts w:cs="Arial"/>
        </w:rPr>
        <w:t xml:space="preserve">Medication history and current medications on discharge should be included in the discharge summary for distribution to general practitioners and other providers </w:t>
      </w:r>
    </w:p>
    <w:p w14:paraId="6B1B4473" w14:textId="7CFC1985" w:rsidR="003560F9" w:rsidRPr="0019191C" w:rsidRDefault="003560F9" w:rsidP="008B2CDD">
      <w:pPr>
        <w:pStyle w:val="DHbody"/>
        <w:numPr>
          <w:ilvl w:val="0"/>
          <w:numId w:val="19"/>
        </w:numPr>
        <w:rPr>
          <w:rFonts w:cs="Arial"/>
        </w:rPr>
      </w:pPr>
      <w:r w:rsidRPr="7FB53F93">
        <w:rPr>
          <w:rFonts w:cs="Arial"/>
        </w:rPr>
        <w:t xml:space="preserve">Prescriptions that are for outpatient visits </w:t>
      </w:r>
      <w:r w:rsidR="113C534E" w:rsidRPr="7FB53F93">
        <w:rPr>
          <w:rFonts w:cs="Arial"/>
        </w:rPr>
        <w:t>may</w:t>
      </w:r>
      <w:r w:rsidRPr="7FB53F93">
        <w:rPr>
          <w:rFonts w:cs="Arial"/>
        </w:rPr>
        <w:t xml:space="preserve"> be printed for the patient. Patients may choose to use the hospital pharmacy or local pharmacy to dispense medications for this order. Community/Outpatient prescriptions in electronic format should follow </w:t>
      </w:r>
      <w:r w:rsidR="009C7C82" w:rsidRPr="7FB53F93">
        <w:rPr>
          <w:rFonts w:cs="Arial"/>
        </w:rPr>
        <w:t xml:space="preserve">ADHA </w:t>
      </w:r>
      <w:r w:rsidRPr="7FB53F93">
        <w:rPr>
          <w:rFonts w:cs="Arial"/>
        </w:rPr>
        <w:t xml:space="preserve">electronic transfer of prescriptions (ETP) </w:t>
      </w:r>
      <w:r w:rsidR="39F274A3" w:rsidRPr="7FB53F93">
        <w:rPr>
          <w:rFonts w:cs="Arial"/>
        </w:rPr>
        <w:t xml:space="preserve">or ePrescribing </w:t>
      </w:r>
      <w:r w:rsidRPr="7FB53F93">
        <w:rPr>
          <w:rFonts w:cs="Arial"/>
        </w:rPr>
        <w:t>standards</w:t>
      </w:r>
      <w:r w:rsidR="00DB2635">
        <w:rPr>
          <w:rFonts w:cs="Arial"/>
        </w:rPr>
        <w:t>.</w:t>
      </w:r>
    </w:p>
    <w:p w14:paraId="101DE1E5" w14:textId="6E6BFD4C" w:rsidR="003560F9" w:rsidRPr="0019191C" w:rsidRDefault="003560F9" w:rsidP="008B2CDD">
      <w:pPr>
        <w:pStyle w:val="DHbody"/>
        <w:numPr>
          <w:ilvl w:val="0"/>
          <w:numId w:val="19"/>
        </w:numPr>
        <w:rPr>
          <w:rFonts w:cs="Arial"/>
        </w:rPr>
      </w:pPr>
      <w:r w:rsidRPr="7FB53F93">
        <w:rPr>
          <w:rFonts w:cs="Arial"/>
        </w:rPr>
        <w:t xml:space="preserve">Prescriptions orders for discharge </w:t>
      </w:r>
      <w:r w:rsidR="189BC085" w:rsidRPr="7FB53F93">
        <w:rPr>
          <w:rFonts w:cs="Arial"/>
        </w:rPr>
        <w:t>may</w:t>
      </w:r>
      <w:r w:rsidRPr="7FB53F93">
        <w:rPr>
          <w:rFonts w:cs="Arial"/>
        </w:rPr>
        <w:t xml:space="preserve"> also be printed and may be validated by the clinical pharmacist within the EMR</w:t>
      </w:r>
      <w:r w:rsidR="00DB2635">
        <w:rPr>
          <w:rFonts w:cs="Arial"/>
        </w:rPr>
        <w:t>.</w:t>
      </w:r>
    </w:p>
    <w:p w14:paraId="656FDA3E" w14:textId="3FE141B9" w:rsidR="003560F9" w:rsidRPr="0019191C" w:rsidRDefault="003560F9" w:rsidP="008B2CDD">
      <w:pPr>
        <w:pStyle w:val="DHbody"/>
        <w:numPr>
          <w:ilvl w:val="0"/>
          <w:numId w:val="19"/>
        </w:numPr>
        <w:rPr>
          <w:rFonts w:cs="Arial"/>
        </w:rPr>
      </w:pPr>
      <w:r w:rsidRPr="0019191C">
        <w:rPr>
          <w:rFonts w:cs="Arial"/>
        </w:rPr>
        <w:t xml:space="preserve">Dispensing label generation should remain in the pharmacy system. Ideally medication orders should be clinically validated for appropriate product detail assignment in the EMR, this detail would then be messaged to the pharmacy system </w:t>
      </w:r>
      <w:r w:rsidR="00D718E5" w:rsidRPr="0019191C">
        <w:rPr>
          <w:rFonts w:cs="Arial"/>
        </w:rPr>
        <w:t>for</w:t>
      </w:r>
      <w:r w:rsidRPr="0019191C">
        <w:rPr>
          <w:rFonts w:cs="Arial"/>
        </w:rPr>
        <w:t xml:space="preserve"> dispensing label generation, stock control, billing and other functions</w:t>
      </w:r>
      <w:r w:rsidR="00DB2635">
        <w:rPr>
          <w:rFonts w:cs="Arial"/>
        </w:rPr>
        <w:t>.</w:t>
      </w:r>
    </w:p>
    <w:p w14:paraId="7BBDADF8" w14:textId="3FA32C73" w:rsidR="003560F9" w:rsidRPr="00817B6A" w:rsidRDefault="003560F9" w:rsidP="008B2CDD">
      <w:pPr>
        <w:pStyle w:val="DHbody"/>
        <w:numPr>
          <w:ilvl w:val="0"/>
          <w:numId w:val="19"/>
        </w:numPr>
        <w:rPr>
          <w:rFonts w:cs="Arial"/>
        </w:rPr>
      </w:pPr>
      <w:r w:rsidRPr="0019191C">
        <w:rPr>
          <w:rFonts w:cs="Arial"/>
        </w:rPr>
        <w:t>Discharge medication information is available for inclusion in the discharge summary. The EMR is used to create discharge summaries, this information can be distributed to general practitioners via electronic or manual means</w:t>
      </w:r>
      <w:r w:rsidR="00DB2635">
        <w:rPr>
          <w:rFonts w:cs="Arial"/>
        </w:rPr>
        <w:t>.</w:t>
      </w:r>
    </w:p>
    <w:p w14:paraId="36C800E6" w14:textId="391D2547" w:rsidR="003560F9" w:rsidRPr="0019191C" w:rsidRDefault="003560F9" w:rsidP="008B2CDD">
      <w:pPr>
        <w:pStyle w:val="DHbody"/>
        <w:numPr>
          <w:ilvl w:val="0"/>
          <w:numId w:val="19"/>
        </w:numPr>
        <w:rPr>
          <w:rFonts w:cs="Arial"/>
        </w:rPr>
      </w:pPr>
      <w:r w:rsidRPr="0019191C">
        <w:rPr>
          <w:rFonts w:cs="Arial"/>
        </w:rPr>
        <w:t xml:space="preserve">The </w:t>
      </w:r>
      <w:r w:rsidR="002C534A">
        <w:rPr>
          <w:rFonts w:cs="Arial"/>
        </w:rPr>
        <w:t>p</w:t>
      </w:r>
      <w:r w:rsidRPr="0019191C">
        <w:rPr>
          <w:rFonts w:cs="Arial"/>
        </w:rPr>
        <w:t xml:space="preserve">harmacy application should not be used to perform clinical decisions support practices as there are </w:t>
      </w:r>
      <w:r w:rsidR="00CB2A48" w:rsidRPr="0019191C">
        <w:rPr>
          <w:rFonts w:cs="Arial"/>
        </w:rPr>
        <w:t>several</w:t>
      </w:r>
      <w:r w:rsidRPr="0019191C">
        <w:rPr>
          <w:rFonts w:cs="Arial"/>
        </w:rPr>
        <w:t xml:space="preserve"> core decision support functions and data items that are managed by an EMR such as:</w:t>
      </w:r>
    </w:p>
    <w:p w14:paraId="31D7507F" w14:textId="77777777" w:rsidR="003560F9" w:rsidRPr="0019191C" w:rsidRDefault="003560F9" w:rsidP="008B2CDD">
      <w:pPr>
        <w:pStyle w:val="DHbody"/>
        <w:numPr>
          <w:ilvl w:val="1"/>
          <w:numId w:val="19"/>
        </w:numPr>
        <w:rPr>
          <w:rFonts w:cs="Arial"/>
        </w:rPr>
      </w:pPr>
      <w:r w:rsidRPr="0019191C">
        <w:rPr>
          <w:rFonts w:cs="Arial"/>
        </w:rPr>
        <w:lastRenderedPageBreak/>
        <w:t xml:space="preserve">Clinical alerts, allergies checking and documentation </w:t>
      </w:r>
    </w:p>
    <w:p w14:paraId="2C37E2EB" w14:textId="77777777" w:rsidR="003560F9" w:rsidRPr="0019191C" w:rsidRDefault="003560F9" w:rsidP="008B2CDD">
      <w:pPr>
        <w:pStyle w:val="DHbody"/>
        <w:numPr>
          <w:ilvl w:val="1"/>
          <w:numId w:val="19"/>
        </w:numPr>
        <w:rPr>
          <w:rFonts w:cs="Arial"/>
        </w:rPr>
      </w:pPr>
      <w:r w:rsidRPr="0019191C">
        <w:rPr>
          <w:rFonts w:cs="Arial"/>
        </w:rPr>
        <w:t xml:space="preserve">Drug–to-drug interaction checking </w:t>
      </w:r>
    </w:p>
    <w:p w14:paraId="77090F7C" w14:textId="77777777" w:rsidR="003560F9" w:rsidRPr="0019191C" w:rsidRDefault="003560F9" w:rsidP="008B2CDD">
      <w:pPr>
        <w:pStyle w:val="DHbody"/>
        <w:numPr>
          <w:ilvl w:val="1"/>
          <w:numId w:val="19"/>
        </w:numPr>
        <w:rPr>
          <w:rFonts w:cs="Arial"/>
        </w:rPr>
      </w:pPr>
      <w:r w:rsidRPr="0019191C">
        <w:rPr>
          <w:rFonts w:cs="Arial"/>
        </w:rPr>
        <w:t xml:space="preserve">Drug duplication checking </w:t>
      </w:r>
    </w:p>
    <w:p w14:paraId="31A3F824" w14:textId="77777777" w:rsidR="003560F9" w:rsidRPr="0019191C" w:rsidRDefault="003560F9" w:rsidP="008B2CDD">
      <w:pPr>
        <w:pStyle w:val="DHbody"/>
        <w:numPr>
          <w:ilvl w:val="1"/>
          <w:numId w:val="19"/>
        </w:numPr>
        <w:rPr>
          <w:rFonts w:cs="Arial"/>
        </w:rPr>
      </w:pPr>
      <w:r w:rsidRPr="0019191C">
        <w:rPr>
          <w:rFonts w:cs="Arial"/>
        </w:rPr>
        <w:t>Dose range checking</w:t>
      </w:r>
    </w:p>
    <w:p w14:paraId="7A734CB9" w14:textId="77777777" w:rsidR="003560F9" w:rsidRPr="0019191C" w:rsidRDefault="003560F9" w:rsidP="008B2CDD">
      <w:pPr>
        <w:pStyle w:val="DHbody"/>
        <w:numPr>
          <w:ilvl w:val="0"/>
          <w:numId w:val="19"/>
        </w:numPr>
        <w:rPr>
          <w:rFonts w:cs="Arial"/>
        </w:rPr>
      </w:pPr>
      <w:r w:rsidRPr="0019191C">
        <w:rPr>
          <w:rFonts w:cs="Arial"/>
        </w:rPr>
        <w:t xml:space="preserve">The national AMT and SNOMED content should be utilised for the decision support functions. </w:t>
      </w:r>
    </w:p>
    <w:p w14:paraId="7C7C0967" w14:textId="5D21B969" w:rsidR="003560F9" w:rsidRPr="0019191C" w:rsidRDefault="005C646A" w:rsidP="00386EEC">
      <w:pPr>
        <w:pStyle w:val="Heading2"/>
      </w:pPr>
      <w:bookmarkStart w:id="47" w:name="_Toc239071289"/>
      <w:bookmarkStart w:id="48" w:name="_Toc333583675"/>
      <w:bookmarkStart w:id="49" w:name="_Toc335731433"/>
      <w:bookmarkStart w:id="50" w:name="_Toc50547731"/>
      <w:r>
        <w:t xml:space="preserve">EMR Medications </w:t>
      </w:r>
      <w:r w:rsidR="00E41BF2">
        <w:t>d</w:t>
      </w:r>
      <w:r w:rsidR="003560F9" w:rsidRPr="0019191C">
        <w:t xml:space="preserve">esign </w:t>
      </w:r>
      <w:r w:rsidR="00E41BF2">
        <w:t>c</w:t>
      </w:r>
      <w:r w:rsidR="003560F9" w:rsidRPr="0019191C">
        <w:t xml:space="preserve">onstraints and </w:t>
      </w:r>
      <w:r w:rsidR="00E41BF2">
        <w:t>a</w:t>
      </w:r>
      <w:r w:rsidR="003560F9" w:rsidRPr="0019191C">
        <w:t>ssumptions</w:t>
      </w:r>
      <w:bookmarkEnd w:id="47"/>
      <w:bookmarkEnd w:id="48"/>
      <w:bookmarkEnd w:id="49"/>
      <w:bookmarkEnd w:id="50"/>
    </w:p>
    <w:p w14:paraId="3D81AA5B" w14:textId="77571373" w:rsidR="003560F9" w:rsidRPr="0019191C" w:rsidRDefault="003560F9" w:rsidP="003560F9">
      <w:pPr>
        <w:pStyle w:val="DHbody"/>
        <w:rPr>
          <w:rFonts w:cs="Arial"/>
        </w:rPr>
      </w:pPr>
      <w:r w:rsidRPr="0019191C">
        <w:rPr>
          <w:rFonts w:cs="Arial"/>
        </w:rPr>
        <w:t xml:space="preserve">The following constraints currently apply to the </w:t>
      </w:r>
      <w:r w:rsidR="00B71987">
        <w:rPr>
          <w:rFonts w:cs="Arial"/>
        </w:rPr>
        <w:t xml:space="preserve">design of </w:t>
      </w:r>
      <w:r w:rsidRPr="0019191C">
        <w:rPr>
          <w:rFonts w:cs="Arial"/>
        </w:rPr>
        <w:t>medication ordering:</w:t>
      </w:r>
    </w:p>
    <w:p w14:paraId="32713B4D" w14:textId="5BAC9202" w:rsidR="003560F9" w:rsidRDefault="003560F9" w:rsidP="003560F9">
      <w:pPr>
        <w:pStyle w:val="DHbody"/>
        <w:rPr>
          <w:rFonts w:cs="Arial"/>
        </w:rPr>
      </w:pPr>
      <w:r w:rsidRPr="0019191C">
        <w:rPr>
          <w:rFonts w:cs="Arial"/>
          <w:b/>
        </w:rPr>
        <w:t>Sharing medication details across multiple systems:</w:t>
      </w:r>
      <w:r w:rsidRPr="0019191C">
        <w:rPr>
          <w:rFonts w:cs="Arial"/>
        </w:rPr>
        <w:t xml:space="preserve"> There is a requirement amongst clinicians to view ordered and administered medications longitudinally across episodes. The illustration below displays a patient encounter history where medications </w:t>
      </w:r>
      <w:r w:rsidR="005C646A">
        <w:rPr>
          <w:rFonts w:cs="Arial"/>
        </w:rPr>
        <w:t xml:space="preserve">are </w:t>
      </w:r>
      <w:r w:rsidRPr="0019191C">
        <w:rPr>
          <w:rFonts w:cs="Arial"/>
        </w:rPr>
        <w:t>cross multiple encounters. When an enterprise application is selected the view of medications longitudinally is significantly improved.</w:t>
      </w:r>
      <w:r w:rsidR="007324D2">
        <w:rPr>
          <w:rFonts w:cs="Arial"/>
        </w:rPr>
        <w:t xml:space="preserve"> </w:t>
      </w:r>
    </w:p>
    <w:p w14:paraId="4A94E2B5" w14:textId="593A24F0" w:rsidR="003560F9" w:rsidRDefault="007324D2" w:rsidP="003560F9">
      <w:pPr>
        <w:pStyle w:val="DHbody"/>
        <w:rPr>
          <w:rFonts w:cs="Arial"/>
        </w:rPr>
      </w:pPr>
      <w:r>
        <w:rPr>
          <w:noProof/>
        </w:rPr>
        <mc:AlternateContent>
          <mc:Choice Requires="wps">
            <w:drawing>
              <wp:anchor distT="0" distB="0" distL="114300" distR="114300" simplePos="0" relativeHeight="251685888" behindDoc="0" locked="0" layoutInCell="1" allowOverlap="1" wp14:anchorId="354E5B70" wp14:editId="27F1DA82">
                <wp:simplePos x="0" y="0"/>
                <wp:positionH relativeFrom="column">
                  <wp:posOffset>1954</wp:posOffset>
                </wp:positionH>
                <wp:positionV relativeFrom="paragraph">
                  <wp:posOffset>126072</wp:posOffset>
                </wp:positionV>
                <wp:extent cx="3967089" cy="316523"/>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3967089" cy="316523"/>
                        </a:xfrm>
                        <a:prstGeom prst="rect">
                          <a:avLst/>
                        </a:prstGeom>
                        <a:solidFill>
                          <a:prstClr val="white"/>
                        </a:solidFill>
                        <a:ln>
                          <a:noFill/>
                        </a:ln>
                      </wps:spPr>
                      <wps:txbx>
                        <w:txbxContent>
                          <w:p w14:paraId="431F7697" w14:textId="7A886184" w:rsidR="005F2FE5" w:rsidRPr="003650F4" w:rsidRDefault="005F2FE5" w:rsidP="007324D2">
                            <w:pPr>
                              <w:pStyle w:val="Caption"/>
                            </w:pPr>
                            <w:bookmarkStart w:id="51" w:name="_Toc50547768"/>
                            <w:r>
                              <w:t xml:space="preserve">Figure </w:t>
                            </w:r>
                            <w:r>
                              <w:fldChar w:fldCharType="begin"/>
                            </w:r>
                            <w:r>
                              <w:instrText xml:space="preserve"> SEQ Figure \* ARABIC </w:instrText>
                            </w:r>
                            <w:r>
                              <w:fldChar w:fldCharType="separate"/>
                            </w:r>
                            <w:r>
                              <w:t>3</w:t>
                            </w:r>
                            <w:r>
                              <w:fldChar w:fldCharType="end"/>
                            </w:r>
                            <w:r>
                              <w:t>: Patient encounter history of medications across episodes</w:t>
                            </w:r>
                            <w:bookmarkEnd w:id="5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5B70" id="Text Box 23" o:spid="_x0000_s1028" type="#_x0000_t202" style="position:absolute;margin-left:.15pt;margin-top:9.95pt;width:312.35pt;height:2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" stroked="f">
                <v:textbox inset="0,0,0,0">
                  <w:txbxContent>
                    <w:p w14:paraId="431F7697" w14:textId="7A886184" w:rsidR="005F2FE5" w:rsidRPr="003650F4" w:rsidRDefault="005F2FE5" w:rsidP="007324D2">
                      <w:pPr>
                        <w:pStyle w:val="Caption"/>
                      </w:pPr>
                      <w:bookmarkStart w:id="52" w:name="_Toc50547768"/>
                      <w:r>
                        <w:t xml:space="preserve">Figure </w:t>
                      </w:r>
                      <w:r>
                        <w:fldChar w:fldCharType="begin"/>
                      </w:r>
                      <w:r>
                        <w:instrText xml:space="preserve"> SEQ Figure \* ARABIC </w:instrText>
                      </w:r>
                      <w:r>
                        <w:fldChar w:fldCharType="separate"/>
                      </w:r>
                      <w:r>
                        <w:t>3</w:t>
                      </w:r>
                      <w:r>
                        <w:fldChar w:fldCharType="end"/>
                      </w:r>
                      <w:r>
                        <w:t>: Patient encounter history of medications across episodes</w:t>
                      </w:r>
                      <w:bookmarkEnd w:id="52"/>
                    </w:p>
                  </w:txbxContent>
                </v:textbox>
              </v:shape>
            </w:pict>
          </mc:Fallback>
        </mc:AlternateContent>
      </w:r>
      <w:r w:rsidR="00417005">
        <w:rPr>
          <w:noProof/>
        </w:rPr>
        <mc:AlternateContent>
          <mc:Choice Requires="wps">
            <w:drawing>
              <wp:anchor distT="0" distB="0" distL="114300" distR="114300" simplePos="0" relativeHeight="251678720" behindDoc="0" locked="0" layoutInCell="1" allowOverlap="1" wp14:anchorId="295E85DC" wp14:editId="4850C598">
                <wp:simplePos x="0" y="0"/>
                <wp:positionH relativeFrom="margin">
                  <wp:align>left</wp:align>
                </wp:positionH>
                <wp:positionV relativeFrom="paragraph">
                  <wp:posOffset>12065</wp:posOffset>
                </wp:positionV>
                <wp:extent cx="4286250" cy="3333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86250" cy="333375"/>
                        </a:xfrm>
                        <a:prstGeom prst="rect">
                          <a:avLst/>
                        </a:prstGeom>
                        <a:solidFill>
                          <a:prstClr val="white"/>
                        </a:solidFill>
                        <a:ln>
                          <a:noFill/>
                        </a:ln>
                      </wps:spPr>
                      <wps:txbx>
                        <w:txbxContent>
                          <w:p w14:paraId="7AC86974" w14:textId="01856B2D" w:rsidR="005F2FE5" w:rsidRPr="002E0E85" w:rsidRDefault="005F2FE5" w:rsidP="00417005">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85DC" id="Text Box 12" o:spid="_x0000_s1029" type="#_x0000_t202" style="position:absolute;margin-left:0;margin-top:.95pt;width:337.5pt;height:26.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" stroked="f">
                <v:textbox inset="0,0,0,0">
                  <w:txbxContent>
                    <w:p w14:paraId="7AC86974" w14:textId="01856B2D" w:rsidR="005F2FE5" w:rsidRPr="002E0E85" w:rsidRDefault="005F2FE5" w:rsidP="00417005">
                      <w:pPr>
                        <w:pStyle w:val="Caption"/>
                      </w:pPr>
                    </w:p>
                  </w:txbxContent>
                </v:textbox>
                <w10:wrap anchorx="margin"/>
              </v:shape>
            </w:pict>
          </mc:Fallback>
        </mc:AlternateContent>
      </w:r>
    </w:p>
    <w:p w14:paraId="2AC79FBC" w14:textId="77777777" w:rsidR="00417005" w:rsidRPr="0019191C" w:rsidRDefault="00417005" w:rsidP="003560F9">
      <w:pPr>
        <w:pStyle w:val="DHbody"/>
        <w:rPr>
          <w:rFonts w:cs="Arial"/>
        </w:rPr>
      </w:pPr>
    </w:p>
    <w:p w14:paraId="4CCA1C5C" w14:textId="4B4D69BD" w:rsidR="003560F9" w:rsidRPr="0019191C" w:rsidRDefault="003560F9" w:rsidP="003560F9">
      <w:pPr>
        <w:pStyle w:val="DHbody"/>
        <w:rPr>
          <w:rFonts w:cs="Arial"/>
        </w:rPr>
      </w:pPr>
    </w:p>
    <w:p w14:paraId="00AED0C3" w14:textId="77777777" w:rsidR="003560F9" w:rsidRPr="0019191C" w:rsidRDefault="003560F9" w:rsidP="003560F9">
      <w:pPr>
        <w:pStyle w:val="DHbody"/>
        <w:rPr>
          <w:rFonts w:cs="Arial"/>
        </w:rPr>
      </w:pPr>
    </w:p>
    <w:p w14:paraId="4D8B8C6D" w14:textId="77777777" w:rsidR="003560F9" w:rsidRPr="0019191C" w:rsidRDefault="003560F9" w:rsidP="003560F9">
      <w:pPr>
        <w:pStyle w:val="DHbody"/>
        <w:rPr>
          <w:rFonts w:cs="Arial"/>
        </w:rPr>
      </w:pPr>
    </w:p>
    <w:p w14:paraId="7D97054A" w14:textId="77777777" w:rsidR="003560F9" w:rsidRPr="0019191C" w:rsidRDefault="003560F9" w:rsidP="003560F9">
      <w:pPr>
        <w:pStyle w:val="DHbody"/>
        <w:rPr>
          <w:rFonts w:cs="Arial"/>
        </w:rPr>
      </w:pPr>
    </w:p>
    <w:p w14:paraId="25B2EF6E" w14:textId="77777777" w:rsidR="003560F9" w:rsidRPr="0019191C" w:rsidRDefault="003560F9" w:rsidP="003560F9">
      <w:pPr>
        <w:pStyle w:val="DHbody"/>
        <w:rPr>
          <w:rFonts w:cs="Arial"/>
        </w:rPr>
      </w:pPr>
    </w:p>
    <w:p w14:paraId="5C981910" w14:textId="06990F97" w:rsidR="003560F9" w:rsidRPr="0019191C" w:rsidRDefault="003560F9" w:rsidP="003560F9">
      <w:pPr>
        <w:pStyle w:val="DHbody"/>
        <w:rPr>
          <w:rFonts w:cs="Arial"/>
        </w:rPr>
      </w:pPr>
    </w:p>
    <w:p w14:paraId="52066D4D" w14:textId="77777777" w:rsidR="003560F9" w:rsidRPr="0019191C" w:rsidRDefault="003560F9" w:rsidP="003560F9">
      <w:pPr>
        <w:pStyle w:val="DHbody"/>
        <w:rPr>
          <w:rFonts w:cs="Arial"/>
        </w:rPr>
      </w:pPr>
    </w:p>
    <w:p w14:paraId="5B9C11CA" w14:textId="77777777" w:rsidR="003560F9" w:rsidRPr="0019191C" w:rsidRDefault="003560F9" w:rsidP="003560F9">
      <w:pPr>
        <w:pStyle w:val="DHbody"/>
        <w:rPr>
          <w:rFonts w:cs="Arial"/>
        </w:rPr>
      </w:pPr>
    </w:p>
    <w:p w14:paraId="0D636507" w14:textId="77777777" w:rsidR="003560F9" w:rsidRPr="0019191C" w:rsidRDefault="003560F9" w:rsidP="003560F9">
      <w:pPr>
        <w:pStyle w:val="DHbody"/>
        <w:rPr>
          <w:rFonts w:cs="Arial"/>
        </w:rPr>
      </w:pPr>
    </w:p>
    <w:p w14:paraId="39276D93" w14:textId="77777777" w:rsidR="003560F9" w:rsidRPr="0019191C" w:rsidRDefault="003560F9" w:rsidP="003560F9">
      <w:pPr>
        <w:pStyle w:val="DHbody"/>
        <w:rPr>
          <w:rFonts w:cs="Arial"/>
        </w:rPr>
      </w:pPr>
    </w:p>
    <w:p w14:paraId="38A36470" w14:textId="280E1306" w:rsidR="003560F9" w:rsidRDefault="003560F9" w:rsidP="003560F9">
      <w:pPr>
        <w:pStyle w:val="DHbody"/>
        <w:rPr>
          <w:rFonts w:cs="Arial"/>
        </w:rPr>
      </w:pPr>
    </w:p>
    <w:p w14:paraId="3EFC9410" w14:textId="7AC8FD34" w:rsidR="005B7D20" w:rsidRDefault="005B7D20" w:rsidP="003560F9">
      <w:pPr>
        <w:pStyle w:val="DHbody"/>
        <w:rPr>
          <w:rFonts w:cs="Arial"/>
        </w:rPr>
      </w:pPr>
    </w:p>
    <w:p w14:paraId="0BA6BA77" w14:textId="164C2367" w:rsidR="005B7D20" w:rsidRDefault="005B7D20" w:rsidP="003560F9">
      <w:pPr>
        <w:pStyle w:val="DHbody"/>
        <w:rPr>
          <w:rFonts w:cs="Arial"/>
        </w:rPr>
      </w:pPr>
    </w:p>
    <w:p w14:paraId="01F6D46E" w14:textId="7540214D" w:rsidR="005B7D20" w:rsidRDefault="005B7D20" w:rsidP="003560F9">
      <w:pPr>
        <w:pStyle w:val="DHbody"/>
        <w:rPr>
          <w:rFonts w:cs="Arial"/>
        </w:rPr>
      </w:pPr>
    </w:p>
    <w:p w14:paraId="384A80A9" w14:textId="1244172F" w:rsidR="005B7D20" w:rsidRDefault="005B7D20" w:rsidP="003560F9">
      <w:pPr>
        <w:pStyle w:val="DHbody"/>
        <w:rPr>
          <w:rFonts w:cs="Arial"/>
        </w:rPr>
      </w:pPr>
      <w:r w:rsidRPr="005B7D20">
        <w:rPr>
          <w:noProof/>
        </w:rPr>
        <w:drawing>
          <wp:anchor distT="0" distB="0" distL="114300" distR="114300" simplePos="0" relativeHeight="251676672" behindDoc="0" locked="0" layoutInCell="1" allowOverlap="1" wp14:anchorId="1860E707" wp14:editId="54B324B4">
            <wp:simplePos x="0" y="0"/>
            <wp:positionH relativeFrom="column">
              <wp:posOffset>635</wp:posOffset>
            </wp:positionH>
            <wp:positionV relativeFrom="paragraph">
              <wp:posOffset>-3521710</wp:posOffset>
            </wp:positionV>
            <wp:extent cx="5904865" cy="3655695"/>
            <wp:effectExtent l="0" t="0" r="63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04865" cy="3655695"/>
                    </a:xfrm>
                    <a:prstGeom prst="rect">
                      <a:avLst/>
                    </a:prstGeom>
                  </pic:spPr>
                </pic:pic>
              </a:graphicData>
            </a:graphic>
            <wp14:sizeRelH relativeFrom="page">
              <wp14:pctWidth>0</wp14:pctWidth>
            </wp14:sizeRelH>
            <wp14:sizeRelV relativeFrom="page">
              <wp14:pctHeight>0</wp14:pctHeight>
            </wp14:sizeRelV>
          </wp:anchor>
        </w:drawing>
      </w:r>
    </w:p>
    <w:p w14:paraId="0FA6EF60" w14:textId="4D93520B" w:rsidR="003560F9" w:rsidRPr="0019191C" w:rsidRDefault="003560F9" w:rsidP="003560F9">
      <w:pPr>
        <w:pStyle w:val="DHbody"/>
        <w:rPr>
          <w:rFonts w:cs="Arial"/>
          <w:b/>
        </w:rPr>
      </w:pPr>
      <w:r w:rsidRPr="0019191C">
        <w:rPr>
          <w:rFonts w:cs="Arial"/>
        </w:rPr>
        <w:t>It is possible to easily duplicate or mimic medication orders and administration details in multiple interconnected clinical applications without causing significant clinical risk.</w:t>
      </w:r>
    </w:p>
    <w:p w14:paraId="1239E3F6" w14:textId="5CF096F7" w:rsidR="003560F9" w:rsidRPr="0019191C" w:rsidRDefault="003560F9" w:rsidP="003560F9">
      <w:pPr>
        <w:pStyle w:val="DHbody"/>
        <w:rPr>
          <w:rFonts w:cs="Arial"/>
        </w:rPr>
      </w:pPr>
      <w:r w:rsidRPr="0019191C">
        <w:rPr>
          <w:rFonts w:cs="Arial"/>
        </w:rPr>
        <w:t xml:space="preserve">It is recommended that an EMR is the master system for medications management. This includes discharge medications, medications history, electronic medication administration for inpatients and outpatient medication orders. </w:t>
      </w:r>
    </w:p>
    <w:p w14:paraId="3EEC6E69" w14:textId="0795FAD2" w:rsidR="003560F9" w:rsidRPr="0019191C" w:rsidRDefault="003560F9" w:rsidP="003560F9">
      <w:pPr>
        <w:pStyle w:val="DHbody"/>
        <w:rPr>
          <w:rFonts w:cs="Arial"/>
        </w:rPr>
      </w:pPr>
      <w:r w:rsidRPr="0019191C">
        <w:rPr>
          <w:rFonts w:cs="Arial"/>
          <w:b/>
        </w:rPr>
        <w:t>AMT</w:t>
      </w:r>
      <w:r w:rsidRPr="0019191C">
        <w:rPr>
          <w:rFonts w:cs="Arial"/>
        </w:rPr>
        <w:t xml:space="preserve"> - Medication information is based on </w:t>
      </w:r>
      <w:r w:rsidR="00F6062A" w:rsidRPr="00F6062A">
        <w:rPr>
          <w:rFonts w:cs="Arial"/>
        </w:rPr>
        <w:t>the Australian Medicines Terminology (</w:t>
      </w:r>
      <w:r w:rsidRPr="0019191C">
        <w:rPr>
          <w:rFonts w:cs="Arial"/>
        </w:rPr>
        <w:t>AMT</w:t>
      </w:r>
      <w:r w:rsidR="00BD1323">
        <w:rPr>
          <w:rFonts w:cs="Arial"/>
        </w:rPr>
        <w:t>)</w:t>
      </w:r>
      <w:r w:rsidRPr="0019191C">
        <w:rPr>
          <w:rFonts w:cs="Arial"/>
        </w:rPr>
        <w:t xml:space="preserve">. Currently there are limited applications that are using this content. </w:t>
      </w:r>
      <w:smartTag w:uri="urn:schemas-microsoft-com:office:smarttags" w:element="State">
        <w:smartTag w:uri="urn:schemas-microsoft-com:office:smarttags" w:element="place">
          <w:r w:rsidRPr="0019191C">
            <w:rPr>
              <w:rFonts w:cs="Arial"/>
            </w:rPr>
            <w:t>Victoria</w:t>
          </w:r>
        </w:smartTag>
      </w:smartTag>
      <w:r w:rsidRPr="0019191C">
        <w:rPr>
          <w:rFonts w:cs="Arial"/>
        </w:rPr>
        <w:t xml:space="preserve"> has worked closely with pharmacy vendors to ensure that the correct level of interoperability is available for this content. Medication information can initially be distributed in discharge summaries as textual report details for the reasons above. Distribution of this information to other applications requires application vendors to have a good understanding of the </w:t>
      </w:r>
      <w:r w:rsidRPr="0019191C">
        <w:rPr>
          <w:rFonts w:cs="Arial"/>
        </w:rPr>
        <w:lastRenderedPageBreak/>
        <w:t xml:space="preserve">AMT. It should be noted that the AMT is complex to </w:t>
      </w:r>
      <w:r w:rsidR="00232D65" w:rsidRPr="0019191C">
        <w:rPr>
          <w:rFonts w:cs="Arial"/>
        </w:rPr>
        <w:t>adopt,</w:t>
      </w:r>
      <w:r w:rsidRPr="0019191C">
        <w:rPr>
          <w:rFonts w:cs="Arial"/>
        </w:rPr>
        <w:t xml:space="preserve"> and it is anticipated that this maturity level will be adopted over </w:t>
      </w:r>
      <w:r w:rsidR="003F60CD" w:rsidRPr="0019191C">
        <w:rPr>
          <w:rFonts w:cs="Arial"/>
        </w:rPr>
        <w:t>a period</w:t>
      </w:r>
      <w:r w:rsidRPr="0019191C">
        <w:rPr>
          <w:rFonts w:cs="Arial"/>
        </w:rPr>
        <w:t>.</w:t>
      </w:r>
    </w:p>
    <w:p w14:paraId="0F548BC3" w14:textId="508B1ACA" w:rsidR="003560F9" w:rsidRPr="0019191C" w:rsidRDefault="003A4D2E" w:rsidP="00386EEC">
      <w:pPr>
        <w:pStyle w:val="Heading2"/>
      </w:pPr>
      <w:bookmarkStart w:id="53" w:name="_Toc239071290"/>
      <w:bookmarkStart w:id="54" w:name="_Toc333583676"/>
      <w:bookmarkStart w:id="55" w:name="_Toc335731434"/>
      <w:bookmarkStart w:id="56" w:name="_Toc50547732"/>
      <w:r>
        <w:t xml:space="preserve">EMR </w:t>
      </w:r>
      <w:r w:rsidR="003560F9" w:rsidRPr="0019191C">
        <w:t xml:space="preserve">Medications </w:t>
      </w:r>
      <w:r w:rsidR="00E41BF2">
        <w:t>m</w:t>
      </w:r>
      <w:r w:rsidR="003560F9" w:rsidRPr="0019191C">
        <w:t xml:space="preserve">anagement </w:t>
      </w:r>
      <w:r w:rsidR="00E41BF2">
        <w:t>m</w:t>
      </w:r>
      <w:r w:rsidR="003560F9" w:rsidRPr="0019191C">
        <w:t>odel</w:t>
      </w:r>
      <w:bookmarkEnd w:id="53"/>
      <w:bookmarkEnd w:id="54"/>
      <w:bookmarkEnd w:id="55"/>
      <w:bookmarkEnd w:id="56"/>
    </w:p>
    <w:p w14:paraId="3982749B" w14:textId="2D41C57B" w:rsidR="003560F9" w:rsidRPr="0019191C" w:rsidRDefault="003560F9" w:rsidP="003560F9">
      <w:pPr>
        <w:pStyle w:val="DHbody"/>
        <w:rPr>
          <w:rFonts w:cs="Arial"/>
        </w:rPr>
      </w:pPr>
      <w:r w:rsidRPr="0019191C">
        <w:rPr>
          <w:rFonts w:cs="Arial"/>
        </w:rPr>
        <w:t>The model below shows the typical medications management functions that should be performed within an EMR which includes pharmacy integration with a closed loop</w:t>
      </w:r>
      <w:r w:rsidRPr="0019191C">
        <w:rPr>
          <w:rFonts w:cs="Arial"/>
          <w:i/>
        </w:rPr>
        <w:t xml:space="preserve"> </w:t>
      </w:r>
      <w:r w:rsidRPr="0019191C">
        <w:rPr>
          <w:rFonts w:cs="Arial"/>
        </w:rPr>
        <w:t>design. A considerable change in business practice (around the use of IT systems) has been defined. This model has been reviewed, designed and endorsed by a state</w:t>
      </w:r>
      <w:r w:rsidR="00CE0E87">
        <w:rPr>
          <w:rFonts w:cs="Arial"/>
        </w:rPr>
        <w:t>-</w:t>
      </w:r>
      <w:r w:rsidRPr="0019191C">
        <w:rPr>
          <w:rFonts w:cs="Arial"/>
        </w:rPr>
        <w:t xml:space="preserve">wide pharmacy reference group. The following model represents typical functions between a clinical and pharmacy system, should a health service adopt a consolidated model then the relevant HL7 </w:t>
      </w:r>
      <w:r w:rsidR="00E35E86">
        <w:rPr>
          <w:rFonts w:cs="Arial"/>
        </w:rPr>
        <w:t>e</w:t>
      </w:r>
      <w:r w:rsidRPr="0019191C">
        <w:rPr>
          <w:rFonts w:cs="Arial"/>
        </w:rPr>
        <w:t>ncoded order message would not be required, it is anticipated that this model would be a future state, and would only be adopted if the single vendor could comply with Australian billing and reporting requirements.</w:t>
      </w:r>
    </w:p>
    <w:p w14:paraId="71BE6615" w14:textId="52768862" w:rsidR="003F5DB1" w:rsidRPr="0019191C" w:rsidRDefault="003F5DB1" w:rsidP="003560F9">
      <w:pPr>
        <w:pStyle w:val="DHbody"/>
        <w:rPr>
          <w:rFonts w:cs="Arial"/>
          <w:b/>
        </w:rPr>
      </w:pPr>
      <w:r>
        <w:rPr>
          <w:noProof/>
        </w:rPr>
        <mc:AlternateContent>
          <mc:Choice Requires="wps">
            <w:drawing>
              <wp:anchor distT="0" distB="0" distL="114300" distR="114300" simplePos="0" relativeHeight="251667456" behindDoc="0" locked="0" layoutInCell="1" allowOverlap="1" wp14:anchorId="52CC2BBB" wp14:editId="0A9BA32A">
                <wp:simplePos x="0" y="0"/>
                <wp:positionH relativeFrom="column">
                  <wp:posOffset>106308</wp:posOffset>
                </wp:positionH>
                <wp:positionV relativeFrom="paragraph">
                  <wp:posOffset>14593</wp:posOffset>
                </wp:positionV>
                <wp:extent cx="5105400"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105400" cy="635"/>
                        </a:xfrm>
                        <a:prstGeom prst="rect">
                          <a:avLst/>
                        </a:prstGeom>
                        <a:solidFill>
                          <a:prstClr val="white"/>
                        </a:solidFill>
                        <a:ln>
                          <a:noFill/>
                        </a:ln>
                      </wps:spPr>
                      <wps:txbx>
                        <w:txbxContent>
                          <w:p w14:paraId="1872CA0F" w14:textId="02894EC2" w:rsidR="005F2FE5" w:rsidRPr="00F866D6" w:rsidRDefault="005F2FE5" w:rsidP="003F5DB1">
                            <w:pPr>
                              <w:pStyle w:val="Caption"/>
                            </w:pPr>
                            <w:r>
                              <w:t>Figure 3: Medications Management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CC2BBB" id="Text Box 9" o:spid="_x0000_s1030" type="#_x0000_t202" style="position:absolute;margin-left:8.35pt;margin-top:1.15pt;width:402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" stroked="f">
                <v:textbox style="mso-fit-shape-to-text:t" inset="0,0,0,0">
                  <w:txbxContent>
                    <w:p w14:paraId="1872CA0F" w14:textId="02894EC2" w:rsidR="005F2FE5" w:rsidRPr="00F866D6" w:rsidRDefault="005F2FE5" w:rsidP="003F5DB1">
                      <w:pPr>
                        <w:pStyle w:val="Caption"/>
                      </w:pPr>
                      <w:r>
                        <w:t>Figure 3: Medications Management Model</w:t>
                      </w:r>
                    </w:p>
                  </w:txbxContent>
                </v:textbox>
              </v:shape>
            </w:pict>
          </mc:Fallback>
        </mc:AlternateContent>
      </w:r>
    </w:p>
    <w:p w14:paraId="56FFE6EA" w14:textId="2082BC17" w:rsidR="003560F9" w:rsidRPr="0019191C" w:rsidRDefault="003F5DB1" w:rsidP="003560F9">
      <w:pPr>
        <w:pStyle w:val="DHbody"/>
        <w:rPr>
          <w:rFonts w:cs="Arial"/>
        </w:rPr>
      </w:pPr>
      <w:r w:rsidRPr="0019191C">
        <w:rPr>
          <w:noProof/>
        </w:rPr>
        <w:drawing>
          <wp:anchor distT="0" distB="0" distL="114300" distR="114300" simplePos="0" relativeHeight="251662336" behindDoc="0" locked="0" layoutInCell="1" allowOverlap="1" wp14:anchorId="15A682A6" wp14:editId="0219EB56">
            <wp:simplePos x="0" y="0"/>
            <wp:positionH relativeFrom="column">
              <wp:posOffset>114935</wp:posOffset>
            </wp:positionH>
            <wp:positionV relativeFrom="paragraph">
              <wp:posOffset>118110</wp:posOffset>
            </wp:positionV>
            <wp:extent cx="5105400" cy="381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054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A7554" w14:textId="79AB13CD" w:rsidR="003560F9" w:rsidRPr="0019191C" w:rsidRDefault="003560F9" w:rsidP="003560F9">
      <w:pPr>
        <w:pStyle w:val="DHbody"/>
        <w:rPr>
          <w:rFonts w:cs="Arial"/>
        </w:rPr>
      </w:pPr>
      <w:r w:rsidRPr="0019191C">
        <w:rPr>
          <w:rFonts w:cs="Arial"/>
        </w:rPr>
        <w:t xml:space="preserve"> </w:t>
      </w:r>
      <w:r w:rsidRPr="0019191C">
        <w:rPr>
          <w:rFonts w:cs="Arial"/>
        </w:rPr>
        <w:br w:type="page"/>
      </w:r>
    </w:p>
    <w:p w14:paraId="6D83D494" w14:textId="4AE4637D" w:rsidR="003560F9" w:rsidRPr="0019191C" w:rsidRDefault="003A4D2E" w:rsidP="009A2817">
      <w:pPr>
        <w:pStyle w:val="Heading3"/>
      </w:pPr>
      <w:bookmarkStart w:id="57" w:name="_Toc239071295"/>
      <w:bookmarkStart w:id="58" w:name="_Toc333583677"/>
      <w:bookmarkStart w:id="59" w:name="_Toc335731435"/>
      <w:r>
        <w:lastRenderedPageBreak/>
        <w:t xml:space="preserve">EMR </w:t>
      </w:r>
      <w:r w:rsidR="003560F9" w:rsidRPr="0019191C">
        <w:t>Alerts and Allergy Design</w:t>
      </w:r>
      <w:bookmarkEnd w:id="57"/>
      <w:bookmarkEnd w:id="58"/>
      <w:bookmarkEnd w:id="59"/>
    </w:p>
    <w:p w14:paraId="757F3363" w14:textId="279FE39D" w:rsidR="003560F9" w:rsidRPr="0019191C" w:rsidRDefault="003560F9" w:rsidP="003560F9">
      <w:pPr>
        <w:pStyle w:val="DHbody"/>
        <w:rPr>
          <w:rFonts w:cs="Arial"/>
        </w:rPr>
      </w:pPr>
      <w:r w:rsidRPr="0019191C">
        <w:rPr>
          <w:rFonts w:cs="Arial"/>
        </w:rPr>
        <w:t>The introduction of a robust and comprehensive EMR with decision support for health service application solutions has changed the manner this information is captured and distributed across applications. In the past allergies and alerts were typically captured in emergency department systems and</w:t>
      </w:r>
      <w:r w:rsidR="00644DAB">
        <w:rPr>
          <w:rFonts w:cs="Arial"/>
        </w:rPr>
        <w:t xml:space="preserve"> </w:t>
      </w:r>
      <w:r w:rsidR="00FF0F96">
        <w:rPr>
          <w:rFonts w:cs="Arial"/>
        </w:rPr>
        <w:t>in</w:t>
      </w:r>
      <w:r w:rsidR="003A4D2E">
        <w:rPr>
          <w:rFonts w:cs="Arial"/>
        </w:rPr>
        <w:t xml:space="preserve"> </w:t>
      </w:r>
      <w:r w:rsidR="00E35E86">
        <w:rPr>
          <w:rFonts w:cs="Arial"/>
        </w:rPr>
        <w:t>PAS</w:t>
      </w:r>
      <w:r w:rsidRPr="0019191C">
        <w:rPr>
          <w:rFonts w:cs="Arial"/>
        </w:rPr>
        <w:t xml:space="preserve">. An analysis and assessment of the quality and consistency of this information has shown that very basic and unstructured information is generally captured in these applications. </w:t>
      </w:r>
    </w:p>
    <w:p w14:paraId="2BE36676" w14:textId="6BBF56E8" w:rsidR="003560F9" w:rsidRPr="0019191C" w:rsidRDefault="003560F9" w:rsidP="003560F9">
      <w:pPr>
        <w:pStyle w:val="DHbody"/>
        <w:rPr>
          <w:rFonts w:cs="Arial"/>
        </w:rPr>
      </w:pPr>
      <w:r w:rsidRPr="0019191C">
        <w:rPr>
          <w:rFonts w:cs="Arial"/>
        </w:rPr>
        <w:t xml:space="preserve">The groups reviewed and defined a revised business process for capturing alerts and allergies: an EMR should be used as the central system for the capture of clinical alerts and allergies and the </w:t>
      </w:r>
      <w:r w:rsidR="00E35E86">
        <w:rPr>
          <w:rFonts w:cs="Arial"/>
        </w:rPr>
        <w:t>PAS</w:t>
      </w:r>
      <w:r w:rsidRPr="0019191C">
        <w:rPr>
          <w:rFonts w:cs="Arial"/>
        </w:rPr>
        <w:t xml:space="preserve"> should be used to capture administrative alerts. Applications such as pharmacy and emergency will receive allergies from an EMR system. The EMR system is usually the master system for this information. Conversely, it is recognised that in certain circumstances alert information will be recorded in the PAS and those alerts maybe similar. An example of an alert recorded in both applications includes: “patient in wheelchair” or “violent patient”. Where this is recognised as a potential risk, health services should refer to their best business practice guide/s.</w:t>
      </w:r>
    </w:p>
    <w:p w14:paraId="4DDE7C55" w14:textId="412C16A3" w:rsidR="003560F9" w:rsidRPr="0019191C" w:rsidRDefault="003A4D2E" w:rsidP="00067C86">
      <w:pPr>
        <w:pStyle w:val="Heading3"/>
      </w:pPr>
      <w:bookmarkStart w:id="60" w:name="_Toc239071296"/>
      <w:bookmarkStart w:id="61" w:name="_Toc333583678"/>
      <w:bookmarkStart w:id="62" w:name="_Toc335731436"/>
      <w:r>
        <w:t xml:space="preserve">EMR Alerts and Allergies </w:t>
      </w:r>
      <w:r w:rsidR="00E41BF2">
        <w:t>s</w:t>
      </w:r>
      <w:r w:rsidR="003560F9" w:rsidRPr="0019191C">
        <w:t xml:space="preserve">olution </w:t>
      </w:r>
      <w:r w:rsidR="00E41BF2">
        <w:t>d</w:t>
      </w:r>
      <w:r w:rsidR="003560F9" w:rsidRPr="0019191C">
        <w:t xml:space="preserve">esign </w:t>
      </w:r>
      <w:r w:rsidR="00E41BF2">
        <w:t>c</w:t>
      </w:r>
      <w:r w:rsidR="003560F9" w:rsidRPr="0019191C">
        <w:t>onfiguration</w:t>
      </w:r>
      <w:bookmarkEnd w:id="60"/>
      <w:bookmarkEnd w:id="61"/>
      <w:bookmarkEnd w:id="62"/>
    </w:p>
    <w:p w14:paraId="6B549CF2" w14:textId="14A9AA7E" w:rsidR="003560F9" w:rsidRPr="0019191C" w:rsidRDefault="003560F9" w:rsidP="00FF0F96">
      <w:pPr>
        <w:pStyle w:val="DHbody"/>
        <w:rPr>
          <w:rFonts w:cs="Arial"/>
        </w:rPr>
      </w:pPr>
      <w:r w:rsidRPr="0019191C">
        <w:rPr>
          <w:rFonts w:cs="Arial"/>
        </w:rPr>
        <w:t>A hea</w:t>
      </w:r>
      <w:r w:rsidR="00E35E86">
        <w:rPr>
          <w:rFonts w:cs="Arial"/>
        </w:rPr>
        <w:t>l</w:t>
      </w:r>
      <w:r w:rsidRPr="0019191C">
        <w:rPr>
          <w:rFonts w:cs="Arial"/>
        </w:rPr>
        <w:t>th service EMR</w:t>
      </w:r>
      <w:r w:rsidR="00E35E86">
        <w:rPr>
          <w:rFonts w:cs="Arial"/>
        </w:rPr>
        <w:t>’s</w:t>
      </w:r>
      <w:r w:rsidRPr="0019191C">
        <w:rPr>
          <w:rFonts w:cs="Arial"/>
        </w:rPr>
        <w:t xml:space="preserve"> alert and allergy design should follow the </w:t>
      </w:r>
      <w:r w:rsidR="009032BE">
        <w:rPr>
          <w:rFonts w:cs="Arial"/>
        </w:rPr>
        <w:t>below</w:t>
      </w:r>
      <w:r w:rsidR="009032BE" w:rsidRPr="0019191C">
        <w:rPr>
          <w:rFonts w:cs="Arial"/>
        </w:rPr>
        <w:t xml:space="preserve"> </w:t>
      </w:r>
      <w:r w:rsidRPr="0019191C">
        <w:rPr>
          <w:rFonts w:cs="Arial"/>
        </w:rPr>
        <w:t>design parameters:</w:t>
      </w:r>
    </w:p>
    <w:p w14:paraId="2815E87A" w14:textId="77777777" w:rsidR="003560F9" w:rsidRPr="0019191C" w:rsidRDefault="003560F9" w:rsidP="008B2CDD">
      <w:pPr>
        <w:pStyle w:val="DHbody"/>
        <w:numPr>
          <w:ilvl w:val="0"/>
          <w:numId w:val="20"/>
        </w:numPr>
        <w:rPr>
          <w:rFonts w:cs="Arial"/>
        </w:rPr>
      </w:pPr>
      <w:r w:rsidRPr="0019191C">
        <w:rPr>
          <w:rFonts w:cs="Arial"/>
        </w:rPr>
        <w:t>The EMR should be used to manage clinical alerts and allergies, this compliments active decisions support functionality, such as drug interaction checking</w:t>
      </w:r>
    </w:p>
    <w:p w14:paraId="6B844DD6" w14:textId="77777777" w:rsidR="003560F9" w:rsidRPr="0019191C" w:rsidRDefault="003560F9" w:rsidP="008B2CDD">
      <w:pPr>
        <w:pStyle w:val="DHbody"/>
        <w:numPr>
          <w:ilvl w:val="0"/>
          <w:numId w:val="20"/>
        </w:numPr>
        <w:rPr>
          <w:rFonts w:cs="Arial"/>
        </w:rPr>
      </w:pPr>
      <w:r w:rsidRPr="0019191C">
        <w:rPr>
          <w:rFonts w:cs="Arial"/>
        </w:rPr>
        <w:t xml:space="preserve">The health service PAS should be used to manage administrative alerts </w:t>
      </w:r>
    </w:p>
    <w:p w14:paraId="4DAAE973" w14:textId="69FF4A1D" w:rsidR="003560F9" w:rsidRPr="0019191C" w:rsidRDefault="003560F9" w:rsidP="008B2CDD">
      <w:pPr>
        <w:pStyle w:val="DHbody"/>
        <w:numPr>
          <w:ilvl w:val="0"/>
          <w:numId w:val="20"/>
        </w:numPr>
        <w:rPr>
          <w:rFonts w:cs="Arial"/>
        </w:rPr>
      </w:pPr>
      <w:r w:rsidRPr="0019191C">
        <w:rPr>
          <w:rFonts w:cs="Arial"/>
        </w:rPr>
        <w:t>A community Client Management System (CMS) will be used to manage clinical and administrative alerts</w:t>
      </w:r>
    </w:p>
    <w:p w14:paraId="30CAD165" w14:textId="77777777" w:rsidR="003560F9" w:rsidRPr="0019191C" w:rsidRDefault="003560F9" w:rsidP="008B2CDD">
      <w:pPr>
        <w:pStyle w:val="DHbody"/>
        <w:numPr>
          <w:ilvl w:val="0"/>
          <w:numId w:val="20"/>
        </w:numPr>
        <w:rPr>
          <w:rFonts w:cs="Arial"/>
        </w:rPr>
      </w:pPr>
      <w:r w:rsidRPr="0019191C">
        <w:rPr>
          <w:rFonts w:cs="Arial"/>
        </w:rPr>
        <w:t>The EMR will publish alert and allergy details to other local applications such as emergency department systems</w:t>
      </w:r>
    </w:p>
    <w:p w14:paraId="6FCFE9C1" w14:textId="77777777" w:rsidR="003560F9" w:rsidRPr="0019191C" w:rsidRDefault="003560F9" w:rsidP="008B2CDD">
      <w:pPr>
        <w:pStyle w:val="DHbody"/>
        <w:numPr>
          <w:ilvl w:val="0"/>
          <w:numId w:val="20"/>
        </w:numPr>
        <w:rPr>
          <w:rFonts w:cs="Arial"/>
        </w:rPr>
      </w:pPr>
      <w:r w:rsidRPr="0019191C">
        <w:rPr>
          <w:rFonts w:cs="Arial"/>
        </w:rPr>
        <w:t>It is recommended that an EMR will be the central system for orders (pathology, imaging and medications), results, drug interaction checking and other clinical functions. It will be the single trusted system for managing structured clinical alerts and allergies. Alerts and allergy information should not be received from other applications, refer to the “Design Constraints and Assumptions” for further details on this design.</w:t>
      </w:r>
    </w:p>
    <w:p w14:paraId="164777B1" w14:textId="55397E24" w:rsidR="003560F9" w:rsidRPr="0019191C" w:rsidRDefault="003A4D2E" w:rsidP="00067C86">
      <w:pPr>
        <w:pStyle w:val="Heading3"/>
      </w:pPr>
      <w:bookmarkStart w:id="63" w:name="_Toc239071297"/>
      <w:bookmarkStart w:id="64" w:name="_Toc333583679"/>
      <w:bookmarkStart w:id="65" w:name="_Toc335731437"/>
      <w:r>
        <w:t xml:space="preserve">EMR Alert and Allergies </w:t>
      </w:r>
      <w:r w:rsidR="00E41BF2">
        <w:t>d</w:t>
      </w:r>
      <w:r w:rsidR="003560F9" w:rsidRPr="0019191C">
        <w:t xml:space="preserve">esign </w:t>
      </w:r>
      <w:r w:rsidR="00E41BF2">
        <w:t>c</w:t>
      </w:r>
      <w:r w:rsidR="003560F9" w:rsidRPr="0019191C">
        <w:t xml:space="preserve">onstraints and </w:t>
      </w:r>
      <w:r w:rsidR="00E41BF2">
        <w:t>a</w:t>
      </w:r>
      <w:r w:rsidR="003560F9" w:rsidRPr="0019191C">
        <w:t>ssumptions</w:t>
      </w:r>
      <w:bookmarkEnd w:id="63"/>
      <w:bookmarkEnd w:id="64"/>
      <w:bookmarkEnd w:id="65"/>
    </w:p>
    <w:p w14:paraId="4EC78E67" w14:textId="42C04E84" w:rsidR="003560F9" w:rsidRPr="0019191C" w:rsidRDefault="003560F9" w:rsidP="00FF0F96">
      <w:pPr>
        <w:pStyle w:val="DHbody"/>
        <w:rPr>
          <w:rFonts w:cs="Arial"/>
        </w:rPr>
      </w:pPr>
      <w:r w:rsidRPr="0019191C">
        <w:rPr>
          <w:rFonts w:cs="Arial"/>
        </w:rPr>
        <w:t>The following constraints currently apply to the alert and allergy design</w:t>
      </w:r>
      <w:r w:rsidR="000E0EDC">
        <w:rPr>
          <w:rFonts w:cs="Arial"/>
        </w:rPr>
        <w:t xml:space="preserve"> in an EMR</w:t>
      </w:r>
      <w:r w:rsidRPr="0019191C">
        <w:rPr>
          <w:rFonts w:cs="Arial"/>
        </w:rPr>
        <w:t>:</w:t>
      </w:r>
    </w:p>
    <w:p w14:paraId="58AEDBBC" w14:textId="4BFE718C" w:rsidR="003560F9" w:rsidRPr="0019191C" w:rsidRDefault="003560F9" w:rsidP="008B2CDD">
      <w:pPr>
        <w:pStyle w:val="DHbody"/>
        <w:numPr>
          <w:ilvl w:val="0"/>
          <w:numId w:val="20"/>
        </w:numPr>
        <w:rPr>
          <w:rFonts w:cs="Arial"/>
        </w:rPr>
      </w:pPr>
      <w:r w:rsidRPr="0019191C">
        <w:rPr>
          <w:rFonts w:cs="Arial"/>
        </w:rPr>
        <w:t>It is recognised that relevant alert and allergy information may</w:t>
      </w:r>
      <w:r w:rsidR="00E12DFF">
        <w:rPr>
          <w:rFonts w:cs="Arial"/>
        </w:rPr>
        <w:t xml:space="preserve"> </w:t>
      </w:r>
      <w:r w:rsidRPr="0019191C">
        <w:rPr>
          <w:rFonts w:cs="Arial"/>
        </w:rPr>
        <w:t xml:space="preserve">be available in </w:t>
      </w:r>
      <w:r w:rsidR="000E0EDC">
        <w:rPr>
          <w:rFonts w:cs="Arial"/>
        </w:rPr>
        <w:t xml:space="preserve">a </w:t>
      </w:r>
      <w:r w:rsidRPr="0019191C">
        <w:rPr>
          <w:rFonts w:cs="Arial"/>
        </w:rPr>
        <w:t xml:space="preserve">health service </w:t>
      </w:r>
      <w:r w:rsidR="00DA1120">
        <w:rPr>
          <w:rFonts w:cs="Arial"/>
        </w:rPr>
        <w:t>PAS</w:t>
      </w:r>
      <w:r w:rsidRPr="0019191C">
        <w:rPr>
          <w:rFonts w:cs="Arial"/>
        </w:rPr>
        <w:t>. During an EMR implementation</w:t>
      </w:r>
      <w:r w:rsidR="00DA1120">
        <w:rPr>
          <w:rFonts w:cs="Arial"/>
        </w:rPr>
        <w:t>,</w:t>
      </w:r>
      <w:r w:rsidRPr="0019191C">
        <w:rPr>
          <w:rFonts w:cs="Arial"/>
        </w:rPr>
        <w:t xml:space="preserve"> indicators (from the PAS or other system) can be migrated (via a data migration processes) to the EMR to indicate that details in the PAS should be reviewed. These indicators can be disabled once this information is reviewed and updated into the EMR, ongoing management of clinical alerts and allergies should be managed in the EMR.</w:t>
      </w:r>
    </w:p>
    <w:p w14:paraId="47309EBA" w14:textId="77777777" w:rsidR="003560F9" w:rsidRPr="0019191C" w:rsidRDefault="003560F9" w:rsidP="008B2CDD">
      <w:pPr>
        <w:pStyle w:val="DHbody"/>
        <w:numPr>
          <w:ilvl w:val="0"/>
          <w:numId w:val="20"/>
        </w:numPr>
        <w:rPr>
          <w:rFonts w:cs="Arial"/>
        </w:rPr>
      </w:pPr>
      <w:r w:rsidRPr="0019191C">
        <w:rPr>
          <w:rFonts w:cs="Arial"/>
        </w:rPr>
        <w:t xml:space="preserve">There are significant technical limitations with sharing alert and allergy information across current Victorian health applications: </w:t>
      </w:r>
    </w:p>
    <w:p w14:paraId="2F4620D6" w14:textId="77777777" w:rsidR="003560F9" w:rsidRPr="0019191C" w:rsidRDefault="003560F9" w:rsidP="008B2CDD">
      <w:pPr>
        <w:pStyle w:val="DHbody"/>
        <w:numPr>
          <w:ilvl w:val="1"/>
          <w:numId w:val="21"/>
        </w:numPr>
        <w:rPr>
          <w:rFonts w:cs="Arial"/>
        </w:rPr>
      </w:pPr>
      <w:r w:rsidRPr="0019191C">
        <w:rPr>
          <w:rFonts w:cs="Arial"/>
        </w:rPr>
        <w:t>The introduction of an EMR should utilise the currently agreed Victorian catalogue and national sources for this information as a base e.g.:</w:t>
      </w:r>
    </w:p>
    <w:p w14:paraId="30666E5C" w14:textId="77777777" w:rsidR="003560F9" w:rsidRPr="0019191C" w:rsidRDefault="003560F9" w:rsidP="008B2CDD">
      <w:pPr>
        <w:pStyle w:val="DHbody"/>
        <w:numPr>
          <w:ilvl w:val="2"/>
          <w:numId w:val="21"/>
        </w:numPr>
        <w:rPr>
          <w:rFonts w:cs="Arial"/>
        </w:rPr>
      </w:pPr>
      <w:r w:rsidRPr="0019191C">
        <w:rPr>
          <w:rFonts w:cs="Arial"/>
        </w:rPr>
        <w:t xml:space="preserve">The food allergies catalogue has been agreed across </w:t>
      </w:r>
      <w:smartTag w:uri="urn:schemas-microsoft-com:office:smarttags" w:element="State">
        <w:smartTag w:uri="urn:schemas-microsoft-com:office:smarttags" w:element="place">
          <w:r w:rsidRPr="0019191C">
            <w:rPr>
              <w:rFonts w:cs="Arial"/>
            </w:rPr>
            <w:t>Victoria</w:t>
          </w:r>
        </w:smartTag>
      </w:smartTag>
      <w:r w:rsidRPr="0019191C">
        <w:rPr>
          <w:rFonts w:cs="Arial"/>
        </w:rPr>
        <w:t xml:space="preserve"> </w:t>
      </w:r>
    </w:p>
    <w:p w14:paraId="64A4973C" w14:textId="77777777" w:rsidR="003560F9" w:rsidRPr="0019191C" w:rsidRDefault="003560F9" w:rsidP="008B2CDD">
      <w:pPr>
        <w:pStyle w:val="DHbody"/>
        <w:numPr>
          <w:ilvl w:val="2"/>
          <w:numId w:val="21"/>
        </w:numPr>
        <w:rPr>
          <w:rFonts w:cs="Arial"/>
        </w:rPr>
      </w:pPr>
      <w:r w:rsidRPr="0019191C">
        <w:rPr>
          <w:rFonts w:cs="Arial"/>
        </w:rPr>
        <w:t>The medication alerts and allergies are provided in SNOMED and the decision support engine should be sourced/related to the AMT.</w:t>
      </w:r>
    </w:p>
    <w:p w14:paraId="6348AC6F" w14:textId="40B2EF30" w:rsidR="003560F9" w:rsidRPr="0019191C" w:rsidRDefault="003560F9" w:rsidP="008B2CDD">
      <w:pPr>
        <w:pStyle w:val="DHbody"/>
        <w:numPr>
          <w:ilvl w:val="1"/>
          <w:numId w:val="21"/>
        </w:numPr>
        <w:rPr>
          <w:rFonts w:cs="Arial"/>
        </w:rPr>
      </w:pPr>
      <w:r w:rsidRPr="0019191C">
        <w:rPr>
          <w:rFonts w:cs="Arial"/>
        </w:rPr>
        <w:lastRenderedPageBreak/>
        <w:t>Many applications across Victoria are not capable of storing codified alerts and allergies, many of the applications in Victoria current</w:t>
      </w:r>
      <w:r w:rsidR="00A86A07">
        <w:rPr>
          <w:rFonts w:cs="Arial"/>
        </w:rPr>
        <w:t>ly</w:t>
      </w:r>
      <w:r w:rsidRPr="0019191C">
        <w:rPr>
          <w:rFonts w:cs="Arial"/>
        </w:rPr>
        <w:t xml:space="preserve"> store unstructured alert and allergy information.</w:t>
      </w:r>
    </w:p>
    <w:p w14:paraId="760BFD8F" w14:textId="7B56F686" w:rsidR="003560F9" w:rsidRPr="0019191C" w:rsidRDefault="003560F9" w:rsidP="008B2CDD">
      <w:pPr>
        <w:pStyle w:val="DHbody"/>
        <w:numPr>
          <w:ilvl w:val="1"/>
          <w:numId w:val="21"/>
        </w:numPr>
        <w:rPr>
          <w:rFonts w:cs="Arial"/>
        </w:rPr>
      </w:pPr>
      <w:r w:rsidRPr="0019191C">
        <w:rPr>
          <w:rFonts w:cs="Arial"/>
        </w:rPr>
        <w:t xml:space="preserve">Many applications across </w:t>
      </w:r>
      <w:smartTag w:uri="urn:schemas-microsoft-com:office:smarttags" w:element="State">
        <w:smartTag w:uri="urn:schemas-microsoft-com:office:smarttags" w:element="place">
          <w:r w:rsidRPr="0019191C">
            <w:rPr>
              <w:rFonts w:cs="Arial"/>
            </w:rPr>
            <w:t>Victoria</w:t>
          </w:r>
        </w:smartTag>
      </w:smartTag>
      <w:r w:rsidRPr="0019191C">
        <w:rPr>
          <w:rFonts w:cs="Arial"/>
        </w:rPr>
        <w:t xml:space="preserve"> have technical limitations in receiving allergies from an EMR. An EMR typically utilises a robust and mature HL7 structure to ensure that this information is synchronised accurately, in many instances current applications either do</w:t>
      </w:r>
      <w:r w:rsidR="00DA1120">
        <w:rPr>
          <w:rFonts w:cs="Arial"/>
        </w:rPr>
        <w:t xml:space="preserve"> not</w:t>
      </w:r>
      <w:r w:rsidRPr="0019191C">
        <w:rPr>
          <w:rFonts w:cs="Arial"/>
        </w:rPr>
        <w:t xml:space="preserve"> receive allergy details or work to an older HL7 paradigm. There is an intrinsic risk in ensuring accurate synchronisation of this information. To perform full alert and allergy functionality, when receiving this HL7 information, systems such as an emergency system must either be able to load the SNOMED-CT or “other” and associated food allergies catalogue or receive this information for display. This is complex functionality and is not anticipated to be implemented by vendors in a short timeframe, or without significant cost. </w:t>
      </w:r>
    </w:p>
    <w:p w14:paraId="65090C0E" w14:textId="7E60B0DA" w:rsidR="00A06036" w:rsidRPr="00817B6A" w:rsidRDefault="003560F9" w:rsidP="008B2CDD">
      <w:pPr>
        <w:pStyle w:val="DHbody"/>
        <w:numPr>
          <w:ilvl w:val="1"/>
          <w:numId w:val="21"/>
        </w:numPr>
        <w:rPr>
          <w:rFonts w:cs="Arial"/>
        </w:rPr>
      </w:pPr>
      <w:r w:rsidRPr="0019191C">
        <w:rPr>
          <w:rFonts w:cs="Arial"/>
        </w:rPr>
        <w:t xml:space="preserve">With the introduction of an enterprise EMR system, it is not recommended that clinical alerts and allergies continue to be </w:t>
      </w:r>
      <w:r w:rsidR="00036B24" w:rsidRPr="0019191C">
        <w:rPr>
          <w:rFonts w:cs="Arial"/>
        </w:rPr>
        <w:t>entered</w:t>
      </w:r>
      <w:r w:rsidR="00A86A07">
        <w:rPr>
          <w:rFonts w:cs="Arial"/>
        </w:rPr>
        <w:t xml:space="preserve"> </w:t>
      </w:r>
      <w:r w:rsidR="00DA1120">
        <w:rPr>
          <w:rFonts w:cs="Arial"/>
        </w:rPr>
        <w:t xml:space="preserve">into </w:t>
      </w:r>
      <w:r w:rsidRPr="0019191C">
        <w:rPr>
          <w:rFonts w:cs="Arial"/>
        </w:rPr>
        <w:t>the PAS, emergency, pharmacy or other application, without suitable business process design.</w:t>
      </w:r>
    </w:p>
    <w:p w14:paraId="5C07A859" w14:textId="31D413E5" w:rsidR="003560F9" w:rsidRPr="0019191C" w:rsidRDefault="000E0EDC" w:rsidP="00067C86">
      <w:pPr>
        <w:pStyle w:val="Heading3"/>
      </w:pPr>
      <w:bookmarkStart w:id="66" w:name="_Toc239071298"/>
      <w:bookmarkStart w:id="67" w:name="_Toc333583680"/>
      <w:bookmarkStart w:id="68" w:name="_Toc335731438"/>
      <w:r>
        <w:t xml:space="preserve">EMR </w:t>
      </w:r>
      <w:r w:rsidR="003560F9" w:rsidRPr="0019191C">
        <w:t xml:space="preserve">Alerts and Allergies </w:t>
      </w:r>
      <w:r w:rsidR="00E41BF2">
        <w:t>m</w:t>
      </w:r>
      <w:r w:rsidR="003560F9" w:rsidRPr="0019191C">
        <w:t>odel</w:t>
      </w:r>
      <w:bookmarkEnd w:id="66"/>
      <w:bookmarkEnd w:id="67"/>
      <w:bookmarkEnd w:id="68"/>
    </w:p>
    <w:p w14:paraId="2CD24F53" w14:textId="47565AC5" w:rsidR="003560F9" w:rsidRDefault="003560F9" w:rsidP="00C92F04">
      <w:pPr>
        <w:pStyle w:val="DHbody"/>
        <w:ind w:left="720"/>
        <w:rPr>
          <w:rFonts w:cs="Arial"/>
        </w:rPr>
      </w:pPr>
      <w:r w:rsidRPr="7FB53F93">
        <w:rPr>
          <w:rFonts w:cs="Arial"/>
        </w:rPr>
        <w:t>The model below shows the flow of information for alert and allergy details. Codified clinical alerts and allergies are published to a health service for use in any applications, the diagram below shows this information being utilised in a pharmacy application as an example.</w:t>
      </w:r>
    </w:p>
    <w:p w14:paraId="56E51E24" w14:textId="5ADCDCEB" w:rsidR="00CD2489" w:rsidRPr="0019191C" w:rsidRDefault="00CD2489" w:rsidP="00C92F04">
      <w:pPr>
        <w:pStyle w:val="DHbody"/>
        <w:ind w:left="720"/>
        <w:rPr>
          <w:rFonts w:cs="Arial"/>
        </w:rPr>
      </w:pPr>
    </w:p>
    <w:p w14:paraId="1B39F9B2" w14:textId="37DB6A6D" w:rsidR="003560F9" w:rsidRPr="0019191C" w:rsidRDefault="00E41BF2" w:rsidP="003560F9">
      <w:pPr>
        <w:pStyle w:val="DHbody"/>
        <w:rPr>
          <w:rFonts w:cs="Arial"/>
        </w:rPr>
      </w:pPr>
      <w:r>
        <w:rPr>
          <w:noProof/>
        </w:rPr>
        <w:lastRenderedPageBreak/>
        <mc:AlternateContent>
          <mc:Choice Requires="wps">
            <w:drawing>
              <wp:anchor distT="0" distB="0" distL="114300" distR="114300" simplePos="0" relativeHeight="251687936" behindDoc="0" locked="0" layoutInCell="1" allowOverlap="1" wp14:anchorId="778E9EB4" wp14:editId="23E2FF67">
                <wp:simplePos x="0" y="0"/>
                <wp:positionH relativeFrom="column">
                  <wp:posOffset>1270</wp:posOffset>
                </wp:positionH>
                <wp:positionV relativeFrom="paragraph">
                  <wp:posOffset>3810</wp:posOffset>
                </wp:positionV>
                <wp:extent cx="2508885" cy="297180"/>
                <wp:effectExtent l="0" t="0" r="5715" b="7620"/>
                <wp:wrapSquare wrapText="bothSides"/>
                <wp:docPr id="8" name="Text Box 8"/>
                <wp:cNvGraphicFramePr/>
                <a:graphic xmlns:a="http://schemas.openxmlformats.org/drawingml/2006/main">
                  <a:graphicData uri="http://schemas.microsoft.com/office/word/2010/wordprocessingShape">
                    <wps:wsp>
                      <wps:cNvSpPr txBox="1"/>
                      <wps:spPr>
                        <a:xfrm>
                          <a:off x="0" y="0"/>
                          <a:ext cx="2508885" cy="297180"/>
                        </a:xfrm>
                        <a:prstGeom prst="rect">
                          <a:avLst/>
                        </a:prstGeom>
                        <a:solidFill>
                          <a:prstClr val="white"/>
                        </a:solidFill>
                        <a:ln>
                          <a:noFill/>
                        </a:ln>
                      </wps:spPr>
                      <wps:txbx>
                        <w:txbxContent>
                          <w:p w14:paraId="37DD34C5" w14:textId="603E8E10" w:rsidR="005F2FE5" w:rsidRPr="00C72E80" w:rsidRDefault="005F2FE5" w:rsidP="00E41BF2">
                            <w:pPr>
                              <w:pStyle w:val="Caption"/>
                            </w:pPr>
                            <w:bookmarkStart w:id="69" w:name="_Toc50547769"/>
                            <w:r>
                              <w:t xml:space="preserve">Figure </w:t>
                            </w:r>
                            <w:r>
                              <w:fldChar w:fldCharType="begin"/>
                            </w:r>
                            <w:r>
                              <w:instrText xml:space="preserve"> SEQ Figure \* ARABIC </w:instrText>
                            </w:r>
                            <w:r>
                              <w:fldChar w:fldCharType="separate"/>
                            </w:r>
                            <w:r>
                              <w:t>4</w:t>
                            </w:r>
                            <w:r>
                              <w:fldChar w:fldCharType="end"/>
                            </w:r>
                            <w:r>
                              <w:t>: Allerts and Allergies model 1</w:t>
                            </w:r>
                            <w:bookmarkEnd w:id="6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E9EB4" id="Text Box 8" o:spid="_x0000_s1031" type="#_x0000_t202" style="position:absolute;margin-left:.1pt;margin-top:.3pt;width:197.55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" stroked="f">
                <v:textbox inset="0,0,0,0">
                  <w:txbxContent>
                    <w:p w14:paraId="37DD34C5" w14:textId="603E8E10" w:rsidR="005F2FE5" w:rsidRPr="00C72E80" w:rsidRDefault="005F2FE5" w:rsidP="00E41BF2">
                      <w:pPr>
                        <w:pStyle w:val="Caption"/>
                      </w:pPr>
                      <w:bookmarkStart w:id="70" w:name="_Toc50547769"/>
                      <w:r>
                        <w:t xml:space="preserve">Figure </w:t>
                      </w:r>
                      <w:r>
                        <w:fldChar w:fldCharType="begin"/>
                      </w:r>
                      <w:r>
                        <w:instrText xml:space="preserve"> SEQ Figure \* ARABIC </w:instrText>
                      </w:r>
                      <w:r>
                        <w:fldChar w:fldCharType="separate"/>
                      </w:r>
                      <w:r>
                        <w:t>4</w:t>
                      </w:r>
                      <w:r>
                        <w:fldChar w:fldCharType="end"/>
                      </w:r>
                      <w:r>
                        <w:t>: Allerts and Allergies model 1</w:t>
                      </w:r>
                      <w:bookmarkEnd w:id="70"/>
                    </w:p>
                  </w:txbxContent>
                </v:textbox>
                <w10:wrap type="square"/>
              </v:shape>
            </w:pict>
          </mc:Fallback>
        </mc:AlternateContent>
      </w:r>
      <w:r w:rsidR="005238B8" w:rsidRPr="008B27AD">
        <w:rPr>
          <w:noProof/>
        </w:rPr>
        <w:drawing>
          <wp:anchor distT="0" distB="0" distL="114300" distR="114300" simplePos="0" relativeHeight="251683840" behindDoc="1" locked="0" layoutInCell="1" allowOverlap="1" wp14:anchorId="2282E229" wp14:editId="05A7B942">
            <wp:simplePos x="0" y="0"/>
            <wp:positionH relativeFrom="column">
              <wp:posOffset>1905</wp:posOffset>
            </wp:positionH>
            <wp:positionV relativeFrom="paragraph">
              <wp:posOffset>345440</wp:posOffset>
            </wp:positionV>
            <wp:extent cx="6442710" cy="514159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42710" cy="5141595"/>
                    </a:xfrm>
                    <a:prstGeom prst="rect">
                      <a:avLst/>
                    </a:prstGeom>
                  </pic:spPr>
                </pic:pic>
              </a:graphicData>
            </a:graphic>
            <wp14:sizeRelH relativeFrom="margin">
              <wp14:pctWidth>0</wp14:pctWidth>
            </wp14:sizeRelH>
            <wp14:sizeRelV relativeFrom="margin">
              <wp14:pctHeight>0</wp14:pctHeight>
            </wp14:sizeRelV>
          </wp:anchor>
        </w:drawing>
      </w:r>
    </w:p>
    <w:p w14:paraId="412C63BE" w14:textId="4552A40A" w:rsidR="00515547" w:rsidRDefault="00515547" w:rsidP="003560F9">
      <w:pPr>
        <w:pStyle w:val="DHbody"/>
        <w:rPr>
          <w:rFonts w:cs="Arial"/>
          <w:sz w:val="28"/>
        </w:rPr>
      </w:pPr>
    </w:p>
    <w:p w14:paraId="66AE431D" w14:textId="4651AEFD" w:rsidR="00515547" w:rsidRDefault="00515547" w:rsidP="003560F9">
      <w:pPr>
        <w:pStyle w:val="DHbody"/>
        <w:rPr>
          <w:rFonts w:cs="Arial"/>
          <w:sz w:val="28"/>
        </w:rPr>
      </w:pPr>
    </w:p>
    <w:p w14:paraId="46B2F8A0" w14:textId="5AF8EE5C" w:rsidR="00515547" w:rsidRDefault="00515547" w:rsidP="003560F9">
      <w:pPr>
        <w:pStyle w:val="DHbody"/>
        <w:rPr>
          <w:rFonts w:cs="Arial"/>
          <w:sz w:val="28"/>
        </w:rPr>
      </w:pPr>
    </w:p>
    <w:p w14:paraId="1ADD3044" w14:textId="3291694F" w:rsidR="00515547" w:rsidRDefault="00515547" w:rsidP="003560F9">
      <w:pPr>
        <w:pStyle w:val="DHbody"/>
        <w:rPr>
          <w:rFonts w:cs="Arial"/>
          <w:sz w:val="28"/>
        </w:rPr>
      </w:pPr>
    </w:p>
    <w:p w14:paraId="0F81D5EB" w14:textId="02F84029" w:rsidR="00515547" w:rsidRDefault="00515547" w:rsidP="003560F9">
      <w:pPr>
        <w:pStyle w:val="DHbody"/>
        <w:rPr>
          <w:rFonts w:cs="Arial"/>
          <w:sz w:val="28"/>
        </w:rPr>
      </w:pPr>
    </w:p>
    <w:p w14:paraId="08C229AF" w14:textId="1BC5C850" w:rsidR="00515547" w:rsidRDefault="00515547" w:rsidP="003560F9">
      <w:pPr>
        <w:pStyle w:val="DHbody"/>
        <w:rPr>
          <w:rFonts w:cs="Arial"/>
          <w:sz w:val="28"/>
        </w:rPr>
      </w:pPr>
    </w:p>
    <w:p w14:paraId="0DA27634" w14:textId="2C9D689E" w:rsidR="00515547" w:rsidRDefault="00515547" w:rsidP="003560F9">
      <w:pPr>
        <w:pStyle w:val="DHbody"/>
        <w:rPr>
          <w:rFonts w:cs="Arial"/>
          <w:sz w:val="28"/>
        </w:rPr>
      </w:pPr>
    </w:p>
    <w:p w14:paraId="2DC34EAD" w14:textId="69A52FFA" w:rsidR="00515547" w:rsidRDefault="00515547" w:rsidP="003560F9">
      <w:pPr>
        <w:pStyle w:val="DHbody"/>
        <w:rPr>
          <w:rFonts w:cs="Arial"/>
          <w:sz w:val="28"/>
        </w:rPr>
      </w:pPr>
    </w:p>
    <w:p w14:paraId="0A20B298" w14:textId="2370163C" w:rsidR="00515547" w:rsidRDefault="00515547" w:rsidP="003560F9">
      <w:pPr>
        <w:pStyle w:val="DHbody"/>
        <w:rPr>
          <w:rFonts w:cs="Arial"/>
          <w:sz w:val="28"/>
        </w:rPr>
      </w:pPr>
    </w:p>
    <w:p w14:paraId="196FA6E8" w14:textId="4F642BE1" w:rsidR="003560F9" w:rsidRPr="0019191C" w:rsidRDefault="003560F9" w:rsidP="00FD4CAE">
      <w:pPr>
        <w:pStyle w:val="Heading2"/>
        <w:pageBreakBefore/>
        <w:ind w:left="578" w:hanging="578"/>
      </w:pPr>
      <w:bookmarkStart w:id="71" w:name="_Toc333583681"/>
      <w:bookmarkStart w:id="72" w:name="_Toc335731439"/>
      <w:bookmarkStart w:id="73" w:name="_Toc50547733"/>
      <w:r w:rsidRPr="0019191C">
        <w:lastRenderedPageBreak/>
        <w:t>Code Set Design</w:t>
      </w:r>
      <w:bookmarkEnd w:id="71"/>
      <w:bookmarkEnd w:id="72"/>
      <w:bookmarkEnd w:id="73"/>
    </w:p>
    <w:p w14:paraId="6B62D7BD" w14:textId="1471269D" w:rsidR="003560F9" w:rsidRPr="0019191C" w:rsidRDefault="000E0EDC" w:rsidP="00064994">
      <w:pPr>
        <w:pStyle w:val="Heading3"/>
      </w:pPr>
      <w:bookmarkStart w:id="74" w:name="_Toc333583682"/>
      <w:bookmarkStart w:id="75" w:name="_Toc335731440"/>
      <w:r>
        <w:t xml:space="preserve">Code Set </w:t>
      </w:r>
      <w:r w:rsidR="003D2254">
        <w:t>s</w:t>
      </w:r>
      <w:r w:rsidR="003560F9" w:rsidRPr="0019191C">
        <w:t xml:space="preserve">olution </w:t>
      </w:r>
      <w:r w:rsidR="003D2254">
        <w:t>d</w:t>
      </w:r>
      <w:r w:rsidR="003560F9" w:rsidRPr="0019191C">
        <w:t xml:space="preserve">esign </w:t>
      </w:r>
      <w:r w:rsidR="003D2254">
        <w:t>c</w:t>
      </w:r>
      <w:r w:rsidR="003560F9" w:rsidRPr="0019191C">
        <w:t>onfiguration</w:t>
      </w:r>
      <w:bookmarkEnd w:id="74"/>
      <w:bookmarkEnd w:id="75"/>
    </w:p>
    <w:p w14:paraId="49FB561C" w14:textId="76A9FF61" w:rsidR="003560F9" w:rsidRPr="0019191C" w:rsidRDefault="003560F9" w:rsidP="003560F9">
      <w:pPr>
        <w:pStyle w:val="DHbody"/>
        <w:rPr>
          <w:rFonts w:cs="Arial"/>
        </w:rPr>
      </w:pPr>
      <w:r w:rsidRPr="0019191C">
        <w:rPr>
          <w:rFonts w:cs="Arial"/>
        </w:rPr>
        <w:t xml:space="preserve">The VPHS has an explicit need to share information across </w:t>
      </w:r>
      <w:r w:rsidR="00C71AD3" w:rsidRPr="0019191C">
        <w:rPr>
          <w:rFonts w:cs="Arial"/>
        </w:rPr>
        <w:t>several</w:t>
      </w:r>
      <w:r w:rsidRPr="0019191C">
        <w:rPr>
          <w:rFonts w:cs="Arial"/>
        </w:rPr>
        <w:t xml:space="preserve"> healthcare applications as well as between general practice vendors and other more widely used hospital systems. This requirement is further re-enforced with the future need to have interoperability and consistency across national eHealth initiatives. The VPHS, via </w:t>
      </w:r>
      <w:r w:rsidR="00E63D20">
        <w:rPr>
          <w:rFonts w:cs="Arial"/>
        </w:rPr>
        <w:t>D</w:t>
      </w:r>
      <w:r w:rsidR="000E0EDC">
        <w:rPr>
          <w:rFonts w:cs="Arial"/>
        </w:rPr>
        <w:t>igital Health</w:t>
      </w:r>
      <w:r w:rsidRPr="0019191C">
        <w:rPr>
          <w:rFonts w:cs="Arial"/>
        </w:rPr>
        <w:t xml:space="preserve">, have established a base for </w:t>
      </w:r>
      <w:r w:rsidR="00C71AD3" w:rsidRPr="0019191C">
        <w:rPr>
          <w:rFonts w:cs="Arial"/>
        </w:rPr>
        <w:t>several</w:t>
      </w:r>
      <w:r w:rsidRPr="0019191C">
        <w:rPr>
          <w:rFonts w:cs="Arial"/>
        </w:rPr>
        <w:t xml:space="preserve"> key code</w:t>
      </w:r>
      <w:r w:rsidR="00DA1120">
        <w:rPr>
          <w:rFonts w:cs="Arial"/>
        </w:rPr>
        <w:t>-</w:t>
      </w:r>
      <w:r w:rsidRPr="0019191C">
        <w:rPr>
          <w:rFonts w:cs="Arial"/>
        </w:rPr>
        <w:t xml:space="preserve">sets </w:t>
      </w:r>
      <w:r w:rsidR="0047655B" w:rsidRPr="0019191C">
        <w:rPr>
          <w:rFonts w:cs="Arial"/>
        </w:rPr>
        <w:t>to</w:t>
      </w:r>
      <w:r w:rsidRPr="0019191C">
        <w:rPr>
          <w:rFonts w:cs="Arial"/>
        </w:rPr>
        <w:t xml:space="preserve"> align with HL7 and other standards, which can be used by the sector to form the basis of an integrated environment for the future.</w:t>
      </w:r>
      <w:r w:rsidR="006917E5">
        <w:rPr>
          <w:rFonts w:cs="Arial"/>
        </w:rPr>
        <w:t xml:space="preserve"> </w:t>
      </w:r>
    </w:p>
    <w:p w14:paraId="4A23521A" w14:textId="75341F32" w:rsidR="003560F9" w:rsidRPr="0019191C" w:rsidRDefault="003560F9" w:rsidP="003560F9">
      <w:pPr>
        <w:pStyle w:val="DHbody"/>
        <w:rPr>
          <w:rFonts w:cs="Arial"/>
        </w:rPr>
      </w:pPr>
      <w:r w:rsidRPr="0019191C">
        <w:rPr>
          <w:rFonts w:cs="Arial"/>
        </w:rPr>
        <w:t>Key applications such as patient and client management systems and EMR applications via HL7 Australian Standards, require a mandatory foundation to enable this interoperability. This standard allows health services to standardise code</w:t>
      </w:r>
      <w:r w:rsidR="00DA1120">
        <w:rPr>
          <w:rFonts w:cs="Arial"/>
        </w:rPr>
        <w:t>-</w:t>
      </w:r>
      <w:r w:rsidRPr="0019191C">
        <w:rPr>
          <w:rFonts w:cs="Arial"/>
        </w:rPr>
        <w:t>set data values to allow for greater interoperability of these applications. Put simply, for specific code</w:t>
      </w:r>
      <w:r w:rsidR="00DA1120">
        <w:rPr>
          <w:rFonts w:cs="Arial"/>
        </w:rPr>
        <w:t>-</w:t>
      </w:r>
      <w:r w:rsidRPr="0019191C">
        <w:rPr>
          <w:rFonts w:cs="Arial"/>
        </w:rPr>
        <w:t>sets and values that are transmitted via HL7 from one application to another, it can be ensured via standardisation that the meaning of those values is the same across healthcare applications</w:t>
      </w:r>
      <w:r w:rsidR="006917E5">
        <w:rPr>
          <w:rFonts w:cs="Arial"/>
        </w:rPr>
        <w:t>.</w:t>
      </w:r>
    </w:p>
    <w:p w14:paraId="481198CB" w14:textId="1005CC11" w:rsidR="003560F9" w:rsidRPr="0019191C" w:rsidRDefault="003560F9" w:rsidP="003560F9">
      <w:pPr>
        <w:pStyle w:val="DHbody"/>
        <w:rPr>
          <w:rFonts w:cs="Arial"/>
        </w:rPr>
      </w:pPr>
      <w:r w:rsidRPr="0019191C">
        <w:rPr>
          <w:rFonts w:cs="Arial"/>
        </w:rPr>
        <w:t>Where possible, and a standard exists, code</w:t>
      </w:r>
      <w:r w:rsidR="00DA1120">
        <w:rPr>
          <w:rFonts w:cs="Arial"/>
        </w:rPr>
        <w:t>-</w:t>
      </w:r>
      <w:r w:rsidRPr="0019191C">
        <w:rPr>
          <w:rFonts w:cs="Arial"/>
        </w:rPr>
        <w:t>sets are set in line with Australian Standards. This approach has been successful with large majority of code</w:t>
      </w:r>
      <w:r w:rsidR="00DA1120">
        <w:rPr>
          <w:rFonts w:cs="Arial"/>
        </w:rPr>
        <w:t>-</w:t>
      </w:r>
      <w:r w:rsidRPr="0019191C">
        <w:rPr>
          <w:rFonts w:cs="Arial"/>
        </w:rPr>
        <w:t>sets that are used across the VPHS.</w:t>
      </w:r>
    </w:p>
    <w:p w14:paraId="661F8C6B" w14:textId="07DA86E2" w:rsidR="003560F9" w:rsidRPr="0019191C" w:rsidRDefault="003560F9" w:rsidP="003560F9">
      <w:pPr>
        <w:pStyle w:val="DHbody"/>
        <w:rPr>
          <w:rFonts w:cs="Arial"/>
        </w:rPr>
      </w:pPr>
      <w:r w:rsidRPr="0019191C">
        <w:rPr>
          <w:rFonts w:cs="Arial"/>
        </w:rPr>
        <w:t>Standardised code</w:t>
      </w:r>
      <w:r w:rsidR="00DA1120">
        <w:rPr>
          <w:rFonts w:cs="Arial"/>
        </w:rPr>
        <w:t>-</w:t>
      </w:r>
      <w:r w:rsidRPr="0019191C">
        <w:rPr>
          <w:rFonts w:cs="Arial"/>
        </w:rPr>
        <w:t>sets across all Victorian Public Health Services allows for greater interoperability and ensures the referential integrity of the data is maintain</w:t>
      </w:r>
      <w:r w:rsidR="009E78FA">
        <w:rPr>
          <w:rFonts w:cs="Arial"/>
        </w:rPr>
        <w:t>ed</w:t>
      </w:r>
      <w:r w:rsidRPr="0019191C">
        <w:rPr>
          <w:rFonts w:cs="Arial"/>
        </w:rPr>
        <w:t xml:space="preserve"> through a consistent and transparent process. This is a foundation element for EMR, EHR and reporting capability.</w:t>
      </w:r>
    </w:p>
    <w:p w14:paraId="635ADB8E" w14:textId="1A6F78EC" w:rsidR="003560F9" w:rsidRPr="0019191C" w:rsidRDefault="000E0EDC" w:rsidP="001514EA">
      <w:pPr>
        <w:pStyle w:val="Heading3"/>
      </w:pPr>
      <w:bookmarkStart w:id="76" w:name="_Toc333583683"/>
      <w:bookmarkStart w:id="77" w:name="_Toc335731441"/>
      <w:r>
        <w:t xml:space="preserve">Code Set </w:t>
      </w:r>
      <w:r w:rsidR="003D2254">
        <w:t>d</w:t>
      </w:r>
      <w:r w:rsidR="003560F9" w:rsidRPr="0019191C">
        <w:t xml:space="preserve">esign </w:t>
      </w:r>
      <w:r w:rsidR="003D2254">
        <w:t>c</w:t>
      </w:r>
      <w:r w:rsidR="003560F9" w:rsidRPr="0019191C">
        <w:t xml:space="preserve">onstraints and </w:t>
      </w:r>
      <w:r w:rsidR="003D2254">
        <w:t>a</w:t>
      </w:r>
      <w:r w:rsidR="003560F9" w:rsidRPr="0019191C">
        <w:t>ssumptions</w:t>
      </w:r>
      <w:bookmarkEnd w:id="76"/>
      <w:bookmarkEnd w:id="77"/>
    </w:p>
    <w:p w14:paraId="2FA5CC00" w14:textId="3B434B3E" w:rsidR="003560F9" w:rsidRPr="0019191C" w:rsidRDefault="003560F9" w:rsidP="003560F9">
      <w:pPr>
        <w:pStyle w:val="DHbody"/>
        <w:rPr>
          <w:rFonts w:cs="Arial"/>
        </w:rPr>
      </w:pPr>
      <w:r w:rsidRPr="0019191C">
        <w:rPr>
          <w:rFonts w:cs="Arial"/>
        </w:rPr>
        <w:t>Code</w:t>
      </w:r>
      <w:r w:rsidR="00803098">
        <w:rPr>
          <w:rFonts w:cs="Arial"/>
        </w:rPr>
        <w:t>-</w:t>
      </w:r>
      <w:r w:rsidRPr="0019191C">
        <w:rPr>
          <w:rFonts w:cs="Arial"/>
        </w:rPr>
        <w:t xml:space="preserve">sets are constantly evolving and are utilised by </w:t>
      </w:r>
      <w:r w:rsidR="009E78FA" w:rsidRPr="0019191C">
        <w:rPr>
          <w:rFonts w:cs="Arial"/>
        </w:rPr>
        <w:t>many</w:t>
      </w:r>
      <w:r w:rsidRPr="0019191C">
        <w:rPr>
          <w:rFonts w:cs="Arial"/>
        </w:rPr>
        <w:t xml:space="preserve"> applications within the health care setting. Given the individual requirements of each health service, it is difficult to get alignment for all code</w:t>
      </w:r>
      <w:r w:rsidR="00803098">
        <w:rPr>
          <w:rFonts w:cs="Arial"/>
        </w:rPr>
        <w:t>-</w:t>
      </w:r>
      <w:r w:rsidRPr="0019191C">
        <w:rPr>
          <w:rFonts w:cs="Arial"/>
        </w:rPr>
        <w:t>sets. Health services should align with common code</w:t>
      </w:r>
      <w:r w:rsidR="00803098">
        <w:rPr>
          <w:rFonts w:cs="Arial"/>
        </w:rPr>
        <w:t>-</w:t>
      </w:r>
      <w:r w:rsidRPr="0019191C">
        <w:rPr>
          <w:rFonts w:cs="Arial"/>
        </w:rPr>
        <w:t>set</w:t>
      </w:r>
      <w:r w:rsidR="00803098">
        <w:rPr>
          <w:rFonts w:cs="Arial"/>
        </w:rPr>
        <w:t>s</w:t>
      </w:r>
      <w:r w:rsidRPr="0019191C">
        <w:rPr>
          <w:rFonts w:cs="Arial"/>
        </w:rPr>
        <w:t xml:space="preserve"> standards, particularly for information that is commonly shared across health applications. The following constraints apply with limited code</w:t>
      </w:r>
      <w:r w:rsidR="00803098">
        <w:rPr>
          <w:rFonts w:cs="Arial"/>
        </w:rPr>
        <w:t>-</w:t>
      </w:r>
      <w:r w:rsidRPr="0019191C">
        <w:rPr>
          <w:rFonts w:cs="Arial"/>
        </w:rPr>
        <w:t>set</w:t>
      </w:r>
      <w:r w:rsidR="00803098">
        <w:rPr>
          <w:rFonts w:cs="Arial"/>
        </w:rPr>
        <w:t>s</w:t>
      </w:r>
      <w:r w:rsidRPr="0019191C">
        <w:rPr>
          <w:rFonts w:cs="Arial"/>
        </w:rPr>
        <w:t xml:space="preserve"> alignment and standardisation:</w:t>
      </w:r>
    </w:p>
    <w:p w14:paraId="068FE7AE" w14:textId="77777777" w:rsidR="003560F9" w:rsidRPr="0019191C" w:rsidRDefault="003560F9" w:rsidP="008B2CDD">
      <w:pPr>
        <w:pStyle w:val="DHbody"/>
        <w:numPr>
          <w:ilvl w:val="0"/>
          <w:numId w:val="24"/>
        </w:numPr>
        <w:rPr>
          <w:rFonts w:cs="Arial"/>
        </w:rPr>
      </w:pPr>
      <w:r w:rsidRPr="0019191C">
        <w:rPr>
          <w:rFonts w:cs="Arial"/>
        </w:rPr>
        <w:t>Capability to realise full EHR functionality</w:t>
      </w:r>
    </w:p>
    <w:p w14:paraId="59B7C338" w14:textId="77777777" w:rsidR="003560F9" w:rsidRPr="0019191C" w:rsidRDefault="003560F9" w:rsidP="008B2CDD">
      <w:pPr>
        <w:pStyle w:val="DHbody"/>
        <w:numPr>
          <w:ilvl w:val="0"/>
          <w:numId w:val="24"/>
        </w:numPr>
        <w:rPr>
          <w:rFonts w:cs="Arial"/>
        </w:rPr>
      </w:pPr>
      <w:r w:rsidRPr="0019191C">
        <w:rPr>
          <w:rFonts w:cs="Arial"/>
        </w:rPr>
        <w:t>Limited interoperability capability</w:t>
      </w:r>
    </w:p>
    <w:p w14:paraId="79C92058" w14:textId="77777777" w:rsidR="003560F9" w:rsidRPr="0019191C" w:rsidRDefault="003560F9" w:rsidP="008B2CDD">
      <w:pPr>
        <w:pStyle w:val="DHbody"/>
        <w:numPr>
          <w:ilvl w:val="0"/>
          <w:numId w:val="24"/>
        </w:numPr>
        <w:rPr>
          <w:rFonts w:cs="Arial"/>
        </w:rPr>
      </w:pPr>
      <w:r w:rsidRPr="0019191C">
        <w:rPr>
          <w:rFonts w:cs="Arial"/>
        </w:rPr>
        <w:t>Limited EMR capability</w:t>
      </w:r>
    </w:p>
    <w:p w14:paraId="33EACA7A" w14:textId="77777777" w:rsidR="003560F9" w:rsidRPr="0019191C" w:rsidRDefault="003560F9" w:rsidP="008B2CDD">
      <w:pPr>
        <w:pStyle w:val="DHbody"/>
        <w:numPr>
          <w:ilvl w:val="0"/>
          <w:numId w:val="24"/>
        </w:numPr>
        <w:rPr>
          <w:rFonts w:cs="Arial"/>
        </w:rPr>
      </w:pPr>
      <w:r w:rsidRPr="0019191C">
        <w:rPr>
          <w:rFonts w:cs="Arial"/>
        </w:rPr>
        <w:t>Limited capability to align with national initiatives</w:t>
      </w:r>
    </w:p>
    <w:p w14:paraId="5166838F" w14:textId="77777777" w:rsidR="003560F9" w:rsidRPr="0019191C" w:rsidRDefault="003560F9" w:rsidP="008B2CDD">
      <w:pPr>
        <w:pStyle w:val="DHbody"/>
        <w:numPr>
          <w:ilvl w:val="0"/>
          <w:numId w:val="24"/>
        </w:numPr>
        <w:rPr>
          <w:rFonts w:cs="Arial"/>
        </w:rPr>
      </w:pPr>
      <w:r w:rsidRPr="0019191C">
        <w:rPr>
          <w:rFonts w:cs="Arial"/>
        </w:rPr>
        <w:t>Limited and inefficient reporting capability.</w:t>
      </w:r>
    </w:p>
    <w:p w14:paraId="64D1EB99" w14:textId="3398A981" w:rsidR="003560F9" w:rsidRPr="0019191C" w:rsidRDefault="003560F9" w:rsidP="001514EA">
      <w:pPr>
        <w:pStyle w:val="Heading3"/>
      </w:pPr>
      <w:bookmarkStart w:id="78" w:name="_Toc333583684"/>
      <w:bookmarkStart w:id="79" w:name="_Toc335731442"/>
      <w:r w:rsidRPr="0019191C">
        <w:t>Code</w:t>
      </w:r>
      <w:r w:rsidR="00A201DB">
        <w:t xml:space="preserve"> </w:t>
      </w:r>
      <w:r w:rsidR="00803098">
        <w:t>s</w:t>
      </w:r>
      <w:r w:rsidRPr="0019191C">
        <w:t xml:space="preserve">et </w:t>
      </w:r>
      <w:r w:rsidR="003D2254">
        <w:t>m</w:t>
      </w:r>
      <w:r w:rsidRPr="0019191C">
        <w:t>odel</w:t>
      </w:r>
      <w:bookmarkEnd w:id="78"/>
      <w:bookmarkEnd w:id="79"/>
    </w:p>
    <w:p w14:paraId="644846F0" w14:textId="41A5B3BC" w:rsidR="003560F9" w:rsidRPr="0019191C" w:rsidRDefault="003560F9" w:rsidP="003560F9">
      <w:pPr>
        <w:pStyle w:val="DHbody"/>
        <w:rPr>
          <w:rFonts w:cs="Arial"/>
          <w:szCs w:val="18"/>
          <w:lang w:eastAsia="en-AU"/>
        </w:rPr>
      </w:pPr>
      <w:r w:rsidRPr="0019191C">
        <w:rPr>
          <w:rFonts w:cs="Arial"/>
          <w:szCs w:val="18"/>
          <w:lang w:eastAsia="en-AU"/>
        </w:rPr>
        <w:t>Sector code</w:t>
      </w:r>
      <w:r w:rsidR="00803098">
        <w:rPr>
          <w:rFonts w:cs="Arial"/>
          <w:szCs w:val="18"/>
          <w:lang w:eastAsia="en-AU"/>
        </w:rPr>
        <w:t>-</w:t>
      </w:r>
      <w:r w:rsidRPr="0019191C">
        <w:rPr>
          <w:rFonts w:cs="Arial"/>
          <w:szCs w:val="18"/>
          <w:lang w:eastAsia="en-AU"/>
        </w:rPr>
        <w:t>sets have been developed over time and in consultation with health agencies using a “top down methodology” where possible. This methodology ensures the highest level of standard is utilised. Where mandatory statutory reporting or specific business requirements necessitated specific data values, a “bottom up methodology” was utilised to ensure these requirements are satisfied.</w:t>
      </w:r>
    </w:p>
    <w:p w14:paraId="43D656C7" w14:textId="7DF27FD0" w:rsidR="003560F9" w:rsidRPr="0019191C" w:rsidRDefault="003560F9" w:rsidP="003560F9">
      <w:pPr>
        <w:pStyle w:val="DHbody"/>
        <w:rPr>
          <w:rFonts w:cs="Arial"/>
          <w:szCs w:val="18"/>
          <w:lang w:eastAsia="en-AU"/>
        </w:rPr>
      </w:pPr>
      <w:r w:rsidRPr="0019191C">
        <w:rPr>
          <w:rFonts w:cs="Arial"/>
          <w:szCs w:val="18"/>
          <w:lang w:eastAsia="en-AU"/>
        </w:rPr>
        <w:t>The following code</w:t>
      </w:r>
      <w:r w:rsidR="00803098">
        <w:rPr>
          <w:rFonts w:cs="Arial"/>
          <w:szCs w:val="18"/>
          <w:lang w:eastAsia="en-AU"/>
        </w:rPr>
        <w:t>-</w:t>
      </w:r>
      <w:r w:rsidRPr="0019191C">
        <w:rPr>
          <w:rFonts w:cs="Arial"/>
          <w:szCs w:val="18"/>
          <w:lang w:eastAsia="en-AU"/>
        </w:rPr>
        <w:t>sets, standards and authorities are considered when establishing VPHS code</w:t>
      </w:r>
      <w:r w:rsidR="00803098">
        <w:rPr>
          <w:rFonts w:cs="Arial"/>
          <w:szCs w:val="18"/>
          <w:lang w:eastAsia="en-AU"/>
        </w:rPr>
        <w:t>-</w:t>
      </w:r>
      <w:r w:rsidRPr="0019191C">
        <w:rPr>
          <w:rFonts w:cs="Arial"/>
          <w:szCs w:val="18"/>
          <w:lang w:eastAsia="en-AU"/>
        </w:rPr>
        <w:t>sets:</w:t>
      </w:r>
    </w:p>
    <w:p w14:paraId="10CBF839" w14:textId="77777777" w:rsidR="003560F9" w:rsidRPr="0019191C" w:rsidRDefault="003560F9" w:rsidP="008B2CDD">
      <w:pPr>
        <w:pStyle w:val="DHbody"/>
        <w:numPr>
          <w:ilvl w:val="0"/>
          <w:numId w:val="22"/>
        </w:numPr>
        <w:rPr>
          <w:rFonts w:cs="Arial"/>
        </w:rPr>
      </w:pPr>
      <w:r w:rsidRPr="0019191C">
        <w:rPr>
          <w:rFonts w:cs="Arial"/>
        </w:rPr>
        <w:t>Health Level Seven Global Standard (HL7)</w:t>
      </w:r>
    </w:p>
    <w:p w14:paraId="66DE3F03" w14:textId="77777777" w:rsidR="003560F9" w:rsidRPr="0019191C" w:rsidRDefault="003560F9" w:rsidP="008B2CDD">
      <w:pPr>
        <w:pStyle w:val="DHbody"/>
        <w:numPr>
          <w:ilvl w:val="0"/>
          <w:numId w:val="22"/>
        </w:numPr>
        <w:rPr>
          <w:rFonts w:cs="Arial"/>
        </w:rPr>
      </w:pPr>
      <w:r w:rsidRPr="0019191C">
        <w:rPr>
          <w:rFonts w:cs="Arial"/>
        </w:rPr>
        <w:t>Australian Standard for HL7 (AS 4700.x)</w:t>
      </w:r>
    </w:p>
    <w:p w14:paraId="77244475" w14:textId="41520412" w:rsidR="003560F9" w:rsidRPr="0019191C" w:rsidRDefault="009F0D4D" w:rsidP="008B2CDD">
      <w:pPr>
        <w:pStyle w:val="DHbody"/>
        <w:numPr>
          <w:ilvl w:val="0"/>
          <w:numId w:val="22"/>
        </w:numPr>
        <w:rPr>
          <w:rFonts w:cs="Arial"/>
        </w:rPr>
      </w:pPr>
      <w:r>
        <w:rPr>
          <w:rFonts w:cs="Arial"/>
        </w:rPr>
        <w:t>Person and provider identification in healthcare AS 4846:2014</w:t>
      </w:r>
    </w:p>
    <w:p w14:paraId="45632BB3" w14:textId="4BD54BE9" w:rsidR="003560F9" w:rsidRPr="0019191C" w:rsidRDefault="00662620" w:rsidP="008B2CDD">
      <w:pPr>
        <w:pStyle w:val="DHbody"/>
        <w:numPr>
          <w:ilvl w:val="0"/>
          <w:numId w:val="22"/>
        </w:numPr>
        <w:rPr>
          <w:rFonts w:cs="Arial"/>
        </w:rPr>
      </w:pPr>
      <w:r>
        <w:rPr>
          <w:rFonts w:cs="Arial"/>
        </w:rPr>
        <w:t>Australian Digita</w:t>
      </w:r>
      <w:r w:rsidR="00C71AD3">
        <w:rPr>
          <w:rFonts w:cs="Arial"/>
        </w:rPr>
        <w:t>l Health Agency (ADHA</w:t>
      </w:r>
      <w:r w:rsidR="005958C4">
        <w:rPr>
          <w:rFonts w:cs="Arial"/>
        </w:rPr>
        <w:t>)</w:t>
      </w:r>
    </w:p>
    <w:p w14:paraId="08903AC9" w14:textId="77777777" w:rsidR="003560F9" w:rsidRPr="0019191C" w:rsidRDefault="003560F9" w:rsidP="008B2CDD">
      <w:pPr>
        <w:pStyle w:val="DHbody"/>
        <w:numPr>
          <w:ilvl w:val="0"/>
          <w:numId w:val="22"/>
        </w:numPr>
        <w:rPr>
          <w:rFonts w:cs="Arial"/>
        </w:rPr>
      </w:pPr>
      <w:r w:rsidRPr="0019191C">
        <w:rPr>
          <w:rFonts w:cs="Arial"/>
        </w:rPr>
        <w:lastRenderedPageBreak/>
        <w:t>Victorian Common Core Data Set (CCDS)</w:t>
      </w:r>
    </w:p>
    <w:p w14:paraId="3C46B8B5" w14:textId="77777777" w:rsidR="003560F9" w:rsidRPr="0019191C" w:rsidRDefault="003560F9" w:rsidP="008B2CDD">
      <w:pPr>
        <w:pStyle w:val="DHbody"/>
        <w:numPr>
          <w:ilvl w:val="0"/>
          <w:numId w:val="22"/>
        </w:numPr>
        <w:rPr>
          <w:rFonts w:cs="Arial"/>
        </w:rPr>
      </w:pPr>
      <w:r w:rsidRPr="0019191C">
        <w:rPr>
          <w:rFonts w:cs="Arial"/>
        </w:rPr>
        <w:t>Victorian Admitted Episodes Data Set (VAED)</w:t>
      </w:r>
    </w:p>
    <w:p w14:paraId="0028C0D0" w14:textId="77777777" w:rsidR="003560F9" w:rsidRPr="0019191C" w:rsidRDefault="003560F9" w:rsidP="008B2CDD">
      <w:pPr>
        <w:pStyle w:val="DHbody"/>
        <w:numPr>
          <w:ilvl w:val="0"/>
          <w:numId w:val="22"/>
        </w:numPr>
        <w:rPr>
          <w:rFonts w:cs="Arial"/>
        </w:rPr>
      </w:pPr>
      <w:r w:rsidRPr="0019191C">
        <w:rPr>
          <w:rFonts w:cs="Arial"/>
        </w:rPr>
        <w:t>Victorian Emergency Minimum Dataset (VEMD)</w:t>
      </w:r>
    </w:p>
    <w:p w14:paraId="3679A2DC" w14:textId="55DC3BB2" w:rsidR="003560F9" w:rsidRPr="0019191C" w:rsidRDefault="003560F9" w:rsidP="008B2CDD">
      <w:pPr>
        <w:pStyle w:val="DHbody"/>
        <w:numPr>
          <w:ilvl w:val="0"/>
          <w:numId w:val="22"/>
        </w:numPr>
        <w:rPr>
          <w:rFonts w:cs="Arial"/>
        </w:rPr>
      </w:pPr>
      <w:r w:rsidRPr="0019191C">
        <w:rPr>
          <w:rFonts w:cs="Arial"/>
        </w:rPr>
        <w:t>Application specific requirements (i</w:t>
      </w:r>
      <w:r w:rsidR="00B81961">
        <w:rPr>
          <w:rFonts w:cs="Arial"/>
        </w:rPr>
        <w:t>.</w:t>
      </w:r>
      <w:r w:rsidRPr="0019191C">
        <w:rPr>
          <w:rFonts w:cs="Arial"/>
        </w:rPr>
        <w:t>e</w:t>
      </w:r>
      <w:r w:rsidR="00B81961">
        <w:rPr>
          <w:rFonts w:cs="Arial"/>
        </w:rPr>
        <w:t>.</w:t>
      </w:r>
      <w:r w:rsidRPr="0019191C">
        <w:rPr>
          <w:rFonts w:cs="Arial"/>
        </w:rPr>
        <w:t xml:space="preserve"> system constraints such as hardcoded values)</w:t>
      </w:r>
    </w:p>
    <w:p w14:paraId="7369ADB5" w14:textId="7CEAF653" w:rsidR="003560F9" w:rsidRPr="0019191C" w:rsidRDefault="003560F9" w:rsidP="008B2CDD">
      <w:pPr>
        <w:pStyle w:val="DHbody"/>
        <w:numPr>
          <w:ilvl w:val="0"/>
          <w:numId w:val="22"/>
        </w:numPr>
        <w:rPr>
          <w:rFonts w:cs="Arial"/>
        </w:rPr>
      </w:pPr>
      <w:r w:rsidRPr="0019191C">
        <w:rPr>
          <w:rFonts w:cs="Arial"/>
        </w:rPr>
        <w:t>Other additional or specific values to meet business requirements (e</w:t>
      </w:r>
      <w:r w:rsidR="00B81961">
        <w:rPr>
          <w:rFonts w:cs="Arial"/>
        </w:rPr>
        <w:t>.</w:t>
      </w:r>
      <w:r w:rsidRPr="0019191C">
        <w:rPr>
          <w:rFonts w:cs="Arial"/>
        </w:rPr>
        <w:t>g. “Medicare Bulk Bill” code required for privatised outpatients).</w:t>
      </w:r>
    </w:p>
    <w:p w14:paraId="2267084F" w14:textId="40B82872" w:rsidR="003560F9" w:rsidRPr="0019191C" w:rsidRDefault="003560F9" w:rsidP="00064994">
      <w:pPr>
        <w:pStyle w:val="Heading2"/>
        <w:pageBreakBefore/>
        <w:ind w:left="578" w:hanging="578"/>
      </w:pPr>
      <w:bookmarkStart w:id="80" w:name="_Toc333583685"/>
      <w:bookmarkStart w:id="81" w:name="_Toc335731443"/>
      <w:bookmarkStart w:id="82" w:name="_Toc50547734"/>
      <w:r w:rsidRPr="0019191C">
        <w:lastRenderedPageBreak/>
        <w:t>Standards</w:t>
      </w:r>
      <w:bookmarkEnd w:id="80"/>
      <w:bookmarkEnd w:id="81"/>
      <w:bookmarkEnd w:id="82"/>
    </w:p>
    <w:p w14:paraId="65B67EB0" w14:textId="7A7B1C62" w:rsidR="003560F9" w:rsidRPr="0019191C" w:rsidRDefault="003560F9" w:rsidP="008713D4">
      <w:pPr>
        <w:pStyle w:val="DHHSbody"/>
      </w:pPr>
      <w:r w:rsidRPr="0019191C">
        <w:t xml:space="preserve">Health Service applications should follow a </w:t>
      </w:r>
      <w:r w:rsidR="00260C66" w:rsidRPr="0019191C">
        <w:t>consistent international, national, and local Victorian standard</w:t>
      </w:r>
      <w:r w:rsidRPr="0019191C">
        <w:t xml:space="preserve">. In many </w:t>
      </w:r>
      <w:r w:rsidR="00260C66" w:rsidRPr="0019191C">
        <w:t>instances’</w:t>
      </w:r>
      <w:r w:rsidRPr="0019191C">
        <w:t xml:space="preserve"> standards are not adequate, well established or caus</w:t>
      </w:r>
      <w:r w:rsidR="000E0EDC">
        <w:t>e</w:t>
      </w:r>
      <w:r w:rsidRPr="0019191C">
        <w:t xml:space="preserve"> confusion in adoption. While it is anticipated that standards will change over time and standards are designed to be </w:t>
      </w:r>
      <w:r w:rsidR="009F0D4D" w:rsidRPr="0019191C">
        <w:t>flexible</w:t>
      </w:r>
      <w:r w:rsidR="009F0D4D">
        <w:t xml:space="preserve">, </w:t>
      </w:r>
      <w:r w:rsidR="009F0D4D" w:rsidRPr="0019191C">
        <w:t>as</w:t>
      </w:r>
      <w:r w:rsidRPr="0019191C">
        <w:t xml:space="preserve"> a principle </w:t>
      </w:r>
      <w:r w:rsidR="009E47AE">
        <w:t>D</w:t>
      </w:r>
      <w:r w:rsidR="000441C6">
        <w:t>igital Health</w:t>
      </w:r>
      <w:r w:rsidRPr="0019191C">
        <w:t xml:space="preserve"> will put forward a list of international or national standards mature enough to provide the relevant operational and usability requirements that meet the needs of health application users.</w:t>
      </w:r>
    </w:p>
    <w:p w14:paraId="2527046D" w14:textId="1A76D23D" w:rsidR="003560F9" w:rsidRPr="0019191C" w:rsidRDefault="000441C6" w:rsidP="00064994">
      <w:pPr>
        <w:pStyle w:val="Heading3"/>
      </w:pPr>
      <w:bookmarkStart w:id="83" w:name="_Toc333583686"/>
      <w:bookmarkStart w:id="84" w:name="_Toc335731444"/>
      <w:r>
        <w:t xml:space="preserve">Standards </w:t>
      </w:r>
      <w:r w:rsidR="003D2254">
        <w:t>s</w:t>
      </w:r>
      <w:r w:rsidR="003560F9" w:rsidRPr="0019191C">
        <w:t xml:space="preserve">olution </w:t>
      </w:r>
      <w:r w:rsidR="003D2254">
        <w:t>d</w:t>
      </w:r>
      <w:r w:rsidR="003560F9" w:rsidRPr="0019191C">
        <w:t xml:space="preserve">esign </w:t>
      </w:r>
      <w:r w:rsidR="003D2254">
        <w:t>c</w:t>
      </w:r>
      <w:r w:rsidR="003560F9" w:rsidRPr="0019191C">
        <w:t>onfiguration</w:t>
      </w:r>
      <w:bookmarkEnd w:id="83"/>
      <w:bookmarkEnd w:id="84"/>
    </w:p>
    <w:p w14:paraId="64E17EF2" w14:textId="4C5F23D0" w:rsidR="003560F9" w:rsidRPr="0019191C" w:rsidRDefault="003560F9" w:rsidP="003560F9">
      <w:pPr>
        <w:pStyle w:val="DHbody"/>
        <w:rPr>
          <w:rFonts w:cs="Arial"/>
        </w:rPr>
      </w:pPr>
      <w:r w:rsidRPr="0019191C">
        <w:rPr>
          <w:rFonts w:cs="Arial"/>
        </w:rPr>
        <w:t>VPHS solution standards should</w:t>
      </w:r>
      <w:r w:rsidRPr="0019191C">
        <w:rPr>
          <w:rFonts w:cs="Arial"/>
          <w:i/>
        </w:rPr>
        <w:t xml:space="preserve"> </w:t>
      </w:r>
      <w:r w:rsidR="00E63D20">
        <w:rPr>
          <w:rFonts w:cs="Arial"/>
        </w:rPr>
        <w:t>adhere to</w:t>
      </w:r>
      <w:r w:rsidR="00E63D20" w:rsidRPr="0019191C">
        <w:rPr>
          <w:rFonts w:cs="Arial"/>
        </w:rPr>
        <w:t xml:space="preserve"> </w:t>
      </w:r>
      <w:r w:rsidRPr="0019191C">
        <w:rPr>
          <w:rFonts w:cs="Arial"/>
        </w:rPr>
        <w:t>the following design parameters:</w:t>
      </w:r>
    </w:p>
    <w:p w14:paraId="39CFF057" w14:textId="59B06934" w:rsidR="003560F9" w:rsidRPr="0019191C" w:rsidRDefault="003560F9" w:rsidP="008B2CDD">
      <w:pPr>
        <w:pStyle w:val="DHbody"/>
        <w:numPr>
          <w:ilvl w:val="0"/>
          <w:numId w:val="23"/>
        </w:numPr>
        <w:rPr>
          <w:b/>
        </w:rPr>
      </w:pPr>
      <w:r w:rsidRPr="0019191C">
        <w:rPr>
          <w:b/>
        </w:rPr>
        <w:t xml:space="preserve">Health Event </w:t>
      </w:r>
      <w:r w:rsidR="003D2254">
        <w:rPr>
          <w:b/>
        </w:rPr>
        <w:t>m</w:t>
      </w:r>
      <w:r w:rsidRPr="0019191C">
        <w:rPr>
          <w:b/>
        </w:rPr>
        <w:t xml:space="preserve">essaging </w:t>
      </w:r>
      <w:r w:rsidR="003D2254">
        <w:rPr>
          <w:b/>
        </w:rPr>
        <w:t>s</w:t>
      </w:r>
      <w:r w:rsidRPr="0019191C">
        <w:rPr>
          <w:b/>
        </w:rPr>
        <w:t xml:space="preserve">tandards: </w:t>
      </w:r>
    </w:p>
    <w:p w14:paraId="79441F0E" w14:textId="5EB952E1" w:rsidR="003560F9" w:rsidRPr="0019191C" w:rsidRDefault="003560F9" w:rsidP="008B2CDD">
      <w:pPr>
        <w:pStyle w:val="DHbody"/>
        <w:numPr>
          <w:ilvl w:val="1"/>
          <w:numId w:val="23"/>
        </w:numPr>
        <w:rPr>
          <w:rFonts w:cs="Arial"/>
        </w:rPr>
      </w:pPr>
      <w:r w:rsidRPr="0019191C">
        <w:rPr>
          <w:rFonts w:cs="Arial"/>
        </w:rPr>
        <w:t xml:space="preserve">In most instances HL7 event messages are used to interface (share information) between health applications, as defined in the </w:t>
      </w:r>
      <w:r w:rsidR="00541AD7">
        <w:rPr>
          <w:rFonts w:cs="Arial"/>
        </w:rPr>
        <w:t>DH</w:t>
      </w:r>
      <w:r w:rsidR="00541AD7" w:rsidRPr="0019191C">
        <w:rPr>
          <w:rFonts w:cs="Arial"/>
        </w:rPr>
        <w:t xml:space="preserve"> </w:t>
      </w:r>
      <w:r w:rsidRPr="0019191C">
        <w:rPr>
          <w:rFonts w:cs="Arial"/>
        </w:rPr>
        <w:t>HL7 2.4 Unified Guide.</w:t>
      </w:r>
    </w:p>
    <w:p w14:paraId="45685A0A" w14:textId="01F9297F" w:rsidR="003560F9" w:rsidRPr="0019191C" w:rsidRDefault="003560F9" w:rsidP="008B2CDD">
      <w:pPr>
        <w:pStyle w:val="DHbody"/>
        <w:numPr>
          <w:ilvl w:val="1"/>
          <w:numId w:val="23"/>
        </w:numPr>
        <w:rPr>
          <w:rFonts w:cs="Arial"/>
        </w:rPr>
      </w:pPr>
      <w:r w:rsidRPr="0019191C">
        <w:rPr>
          <w:rFonts w:cs="Arial"/>
        </w:rPr>
        <w:t xml:space="preserve">Financial systems should use cXML for messaging purchase orders to suppliers. This is the endorsed standard by GS1 for this type of messaging. </w:t>
      </w:r>
      <w:r w:rsidR="00541AD7">
        <w:rPr>
          <w:rFonts w:cs="Arial"/>
        </w:rPr>
        <w:t>ADHA</w:t>
      </w:r>
      <w:r w:rsidR="00541AD7" w:rsidRPr="0019191C">
        <w:rPr>
          <w:rFonts w:cs="Arial"/>
        </w:rPr>
        <w:t xml:space="preserve"> </w:t>
      </w:r>
      <w:r w:rsidRPr="0019191C">
        <w:rPr>
          <w:rFonts w:cs="Arial"/>
        </w:rPr>
        <w:t xml:space="preserve">standards </w:t>
      </w:r>
      <w:r w:rsidR="00B46E18">
        <w:rPr>
          <w:rFonts w:cs="Arial"/>
        </w:rPr>
        <w:t>will supersede this capability</w:t>
      </w:r>
      <w:r w:rsidR="00A201DB">
        <w:rPr>
          <w:rFonts w:cs="Arial"/>
        </w:rPr>
        <w:t>.</w:t>
      </w:r>
    </w:p>
    <w:p w14:paraId="4F531882" w14:textId="026F57F4" w:rsidR="003560F9" w:rsidRPr="0019191C" w:rsidRDefault="00692DC8" w:rsidP="008B2CDD">
      <w:pPr>
        <w:pStyle w:val="DHbody"/>
        <w:numPr>
          <w:ilvl w:val="0"/>
          <w:numId w:val="23"/>
        </w:numPr>
        <w:rPr>
          <w:rFonts w:cs="Arial"/>
        </w:rPr>
      </w:pPr>
      <w:r w:rsidRPr="0019191C">
        <w:rPr>
          <w:rFonts w:cs="Arial"/>
          <w:b/>
        </w:rPr>
        <w:t>State-wide</w:t>
      </w:r>
      <w:r w:rsidR="003560F9" w:rsidRPr="0019191C">
        <w:rPr>
          <w:rFonts w:cs="Arial"/>
          <w:b/>
        </w:rPr>
        <w:t xml:space="preserve"> Pathology and Imaging </w:t>
      </w:r>
      <w:r w:rsidR="003D2254">
        <w:rPr>
          <w:rFonts w:cs="Arial"/>
          <w:b/>
        </w:rPr>
        <w:t>c</w:t>
      </w:r>
      <w:r w:rsidR="003560F9" w:rsidRPr="0019191C">
        <w:rPr>
          <w:rFonts w:cs="Arial"/>
          <w:b/>
        </w:rPr>
        <w:t>atalogues:</w:t>
      </w:r>
      <w:r w:rsidR="003560F9" w:rsidRPr="0019191C">
        <w:rPr>
          <w:rFonts w:cs="Arial"/>
        </w:rPr>
        <w:t xml:space="preserve"> </w:t>
      </w:r>
    </w:p>
    <w:p w14:paraId="41E01C20" w14:textId="0374F4FB" w:rsidR="003560F9" w:rsidRPr="0019191C" w:rsidRDefault="003560F9" w:rsidP="008B2CDD">
      <w:pPr>
        <w:pStyle w:val="DHbody"/>
        <w:numPr>
          <w:ilvl w:val="1"/>
          <w:numId w:val="23"/>
        </w:numPr>
        <w:rPr>
          <w:rFonts w:cs="Arial"/>
        </w:rPr>
      </w:pPr>
      <w:r w:rsidRPr="0019191C">
        <w:rPr>
          <w:rFonts w:cs="Arial"/>
        </w:rPr>
        <w:t>The VPHS has defined a state</w:t>
      </w:r>
      <w:r w:rsidR="00AD4BC9">
        <w:rPr>
          <w:rFonts w:cs="Arial"/>
        </w:rPr>
        <w:t>-</w:t>
      </w:r>
      <w:r w:rsidRPr="0019191C">
        <w:rPr>
          <w:rFonts w:cs="Arial"/>
        </w:rPr>
        <w:t xml:space="preserve">wide pathology and imaging catalogue. This catalogue was created by the Pathology and Imaging Clinical System Working Group which included representation from health services across </w:t>
      </w:r>
      <w:smartTag w:uri="urn:schemas-microsoft-com:office:smarttags" w:element="State">
        <w:smartTag w:uri="urn:schemas-microsoft-com:office:smarttags" w:element="place">
          <w:r w:rsidRPr="0019191C">
            <w:rPr>
              <w:rFonts w:cs="Arial"/>
            </w:rPr>
            <w:t>Victoria</w:t>
          </w:r>
        </w:smartTag>
      </w:smartTag>
      <w:r w:rsidRPr="0019191C">
        <w:rPr>
          <w:rFonts w:cs="Arial"/>
        </w:rPr>
        <w:t>. It was determined by these groups that SNOMED and LOINC</w:t>
      </w:r>
      <w:r w:rsidR="000441C6">
        <w:rPr>
          <w:rFonts w:cs="Arial"/>
        </w:rPr>
        <w:t>,</w:t>
      </w:r>
      <w:r w:rsidRPr="0019191C">
        <w:rPr>
          <w:rFonts w:cs="Arial"/>
        </w:rPr>
        <w:t xml:space="preserve"> as well as other known pathology and imaging catalogues</w:t>
      </w:r>
      <w:r w:rsidR="000441C6">
        <w:rPr>
          <w:rFonts w:cs="Arial"/>
        </w:rPr>
        <w:t>,</w:t>
      </w:r>
      <w:r w:rsidRPr="0019191C">
        <w:rPr>
          <w:rFonts w:cs="Arial"/>
        </w:rPr>
        <w:t xml:space="preserve"> do not adequately address all the requirement</w:t>
      </w:r>
      <w:r w:rsidR="00BE5129">
        <w:rPr>
          <w:rFonts w:cs="Arial"/>
        </w:rPr>
        <w:t>s</w:t>
      </w:r>
      <w:r w:rsidRPr="0019191C">
        <w:rPr>
          <w:rFonts w:cs="Arial"/>
        </w:rPr>
        <w:t xml:space="preserve"> for Victoria</w:t>
      </w:r>
      <w:r w:rsidR="000441C6">
        <w:rPr>
          <w:rFonts w:cs="Arial"/>
        </w:rPr>
        <w:t>.</w:t>
      </w:r>
      <w:r w:rsidRPr="0019191C">
        <w:rPr>
          <w:rFonts w:cs="Arial"/>
        </w:rPr>
        <w:t xml:space="preserve"> A Victorian catalogue was created for use across Victoria and contains substantial input from </w:t>
      </w:r>
      <w:r w:rsidR="00AD4BC9">
        <w:rPr>
          <w:rFonts w:cs="Arial"/>
        </w:rPr>
        <w:t>ADHA</w:t>
      </w:r>
      <w:r w:rsidR="00AD4BC9" w:rsidRPr="0019191C">
        <w:rPr>
          <w:rFonts w:cs="Arial"/>
        </w:rPr>
        <w:t xml:space="preserve"> </w:t>
      </w:r>
      <w:r w:rsidRPr="0019191C">
        <w:rPr>
          <w:rFonts w:cs="Arial"/>
        </w:rPr>
        <w:t xml:space="preserve">and specifically designed to move towards a national catalogue once this catalogue becomes available. </w:t>
      </w:r>
    </w:p>
    <w:p w14:paraId="4DA3DCDA" w14:textId="59B13142" w:rsidR="003560F9" w:rsidRPr="0019191C" w:rsidRDefault="003560F9" w:rsidP="008B2CDD">
      <w:pPr>
        <w:pStyle w:val="DHbody"/>
        <w:numPr>
          <w:ilvl w:val="2"/>
          <w:numId w:val="23"/>
        </w:numPr>
        <w:rPr>
          <w:rFonts w:cs="Arial"/>
        </w:rPr>
      </w:pPr>
      <w:r w:rsidRPr="0019191C">
        <w:rPr>
          <w:rFonts w:cs="Arial"/>
        </w:rPr>
        <w:t>Victorian Pathology Catalogue</w:t>
      </w:r>
      <w:r w:rsidR="00D4201B">
        <w:rPr>
          <w:rStyle w:val="FootnoteReference"/>
          <w:rFonts w:cs="Arial"/>
        </w:rPr>
        <w:footnoteReference w:id="7"/>
      </w:r>
    </w:p>
    <w:p w14:paraId="225C803F" w14:textId="77777777" w:rsidR="003560F9" w:rsidRPr="0019191C" w:rsidRDefault="003560F9" w:rsidP="008B2CDD">
      <w:pPr>
        <w:pStyle w:val="DHbody"/>
        <w:numPr>
          <w:ilvl w:val="2"/>
          <w:numId w:val="23"/>
        </w:numPr>
        <w:rPr>
          <w:rFonts w:cs="Arial"/>
        </w:rPr>
      </w:pPr>
      <w:r w:rsidRPr="0019191C">
        <w:rPr>
          <w:rFonts w:cs="Arial"/>
        </w:rPr>
        <w:t>Victorian Imaging Catalogue.</w:t>
      </w:r>
    </w:p>
    <w:p w14:paraId="2FE03863" w14:textId="77777777" w:rsidR="00882632" w:rsidRPr="00882632" w:rsidRDefault="003560F9" w:rsidP="008B2CDD">
      <w:pPr>
        <w:pStyle w:val="DHbody"/>
        <w:numPr>
          <w:ilvl w:val="0"/>
          <w:numId w:val="23"/>
        </w:numPr>
        <w:rPr>
          <w:rFonts w:cs="Arial"/>
        </w:rPr>
      </w:pPr>
      <w:r w:rsidRPr="0019191C">
        <w:rPr>
          <w:rFonts w:cs="Arial"/>
          <w:b/>
        </w:rPr>
        <w:t xml:space="preserve">SNOMED-CT: </w:t>
      </w:r>
      <w:r w:rsidRPr="0019191C">
        <w:rPr>
          <w:rFonts w:cs="Arial"/>
        </w:rPr>
        <w:t>An enterprise EMR System typically uses SNOMED-CT for clinical</w:t>
      </w:r>
      <w:r w:rsidRPr="0019191C">
        <w:rPr>
          <w:rFonts w:cs="Arial"/>
          <w:b/>
        </w:rPr>
        <w:t xml:space="preserve"> </w:t>
      </w:r>
      <w:r w:rsidRPr="0019191C">
        <w:rPr>
          <w:rFonts w:cs="Arial"/>
        </w:rPr>
        <w:t xml:space="preserve">classification terminology for systematically organising clinical terms for diseases, findings and procedures. Structured SNOMED terminology is used in an EMR System to enable strong active decision support for clinical users, this includes features such as “drug-to-drug” and “drug-to-allergy” checking. This is a nationally and international accepted standard that is also strongly supported by </w:t>
      </w:r>
      <w:r w:rsidR="00541AD7">
        <w:rPr>
          <w:rFonts w:cs="Arial"/>
        </w:rPr>
        <w:t>ADHA</w:t>
      </w:r>
      <w:r w:rsidRPr="0019191C">
        <w:rPr>
          <w:rFonts w:cs="Arial"/>
        </w:rPr>
        <w:t>.</w:t>
      </w:r>
      <w:r w:rsidR="00882632">
        <w:rPr>
          <w:rFonts w:cs="Arial"/>
        </w:rPr>
        <w:t xml:space="preserve"> </w:t>
      </w:r>
      <w:r w:rsidR="00882632" w:rsidRPr="00882632">
        <w:rPr>
          <w:rFonts w:cs="Arial"/>
        </w:rPr>
        <w:t>The ICD-10-AM/ACHI/ACS classification system is comprised of the following disease and intervention classifications: </w:t>
      </w:r>
    </w:p>
    <w:p w14:paraId="47E0016F" w14:textId="77777777" w:rsidR="00882632" w:rsidRPr="00882632" w:rsidRDefault="00882632" w:rsidP="008B2CDD">
      <w:pPr>
        <w:pStyle w:val="DHbody"/>
        <w:numPr>
          <w:ilvl w:val="1"/>
          <w:numId w:val="23"/>
        </w:numPr>
        <w:rPr>
          <w:rFonts w:cs="Arial"/>
        </w:rPr>
      </w:pPr>
      <w:r w:rsidRPr="00882632">
        <w:rPr>
          <w:rFonts w:cs="Arial"/>
        </w:rPr>
        <w:t>International Statistical Classification of Diseases and Related Health Problems, Tenth Revision, Australian Modification (ICD-10-AM) used to classify diseases and other health problems</w:t>
      </w:r>
    </w:p>
    <w:p w14:paraId="77A3E67F" w14:textId="77777777" w:rsidR="00882632" w:rsidRPr="00882632" w:rsidRDefault="00882632" w:rsidP="008B2CDD">
      <w:pPr>
        <w:pStyle w:val="DHbody"/>
        <w:numPr>
          <w:ilvl w:val="1"/>
          <w:numId w:val="23"/>
        </w:numPr>
        <w:rPr>
          <w:rFonts w:cs="Arial"/>
        </w:rPr>
      </w:pPr>
      <w:r w:rsidRPr="00882632">
        <w:rPr>
          <w:rFonts w:cs="Arial"/>
        </w:rPr>
        <w:t>Australian Classification of Health Interventions (ACHI) used to classify procedures and interventions</w:t>
      </w:r>
    </w:p>
    <w:p w14:paraId="51B0BDB0" w14:textId="65CE9AE8" w:rsidR="003560F9" w:rsidRPr="0019191C" w:rsidRDefault="00882632" w:rsidP="008B2CDD">
      <w:pPr>
        <w:pStyle w:val="DHbody"/>
        <w:numPr>
          <w:ilvl w:val="1"/>
          <w:numId w:val="23"/>
        </w:numPr>
        <w:rPr>
          <w:rFonts w:cs="Arial"/>
          <w:b/>
        </w:rPr>
      </w:pPr>
      <w:r w:rsidRPr="00882632">
        <w:rPr>
          <w:rFonts w:cs="Arial"/>
        </w:rPr>
        <w:t>Australian Coding Standards (ACS) specifies coding standards that provide guidelines to assist users of the classifications in obtaining consistency in clinical coding nationally.</w:t>
      </w:r>
    </w:p>
    <w:p w14:paraId="1628447F" w14:textId="26145D3C" w:rsidR="003560F9" w:rsidRPr="00AD4BC9" w:rsidRDefault="003560F9" w:rsidP="008B2CDD">
      <w:pPr>
        <w:pStyle w:val="DHbody"/>
        <w:numPr>
          <w:ilvl w:val="0"/>
          <w:numId w:val="23"/>
        </w:numPr>
        <w:rPr>
          <w:rFonts w:cs="Arial"/>
          <w:b/>
        </w:rPr>
      </w:pPr>
      <w:r w:rsidRPr="0019191C">
        <w:rPr>
          <w:rFonts w:cs="Arial"/>
          <w:b/>
        </w:rPr>
        <w:lastRenderedPageBreak/>
        <w:t xml:space="preserve">ICD and DRG coding: </w:t>
      </w:r>
      <w:r w:rsidRPr="0019191C">
        <w:rPr>
          <w:rFonts w:cs="Arial"/>
        </w:rPr>
        <w:t xml:space="preserve">ICD coding is used to classify procedures and diagnosis information. Patient Administrations Systems use ICD terms to classify inpatient procedures for administrative/funding purposes. Once medical notes have been interpreted into a set of ICD codes, DRG and MDC codes are identified for this set of ICD codes via a grouper application. ICD groupers are generally a </w:t>
      </w:r>
      <w:r w:rsidRPr="00AD4BC9">
        <w:rPr>
          <w:rFonts w:cs="Arial"/>
        </w:rPr>
        <w:t>separate application. ICD, MDC and DRG information is distributed to other applications via HL7, the CS displays ICD, DRG and MDC details that are sent from PAS.</w:t>
      </w:r>
    </w:p>
    <w:p w14:paraId="026AB7F5" w14:textId="7DFFA2D3" w:rsidR="00CD2489" w:rsidRPr="00D05655" w:rsidRDefault="009A5D0A" w:rsidP="00D05655">
      <w:pPr>
        <w:pStyle w:val="DHbody"/>
        <w:numPr>
          <w:ilvl w:val="0"/>
          <w:numId w:val="23"/>
        </w:numPr>
        <w:rPr>
          <w:rFonts w:cs="Arial"/>
          <w:b/>
        </w:rPr>
      </w:pPr>
      <w:r w:rsidRPr="00D05655">
        <w:rPr>
          <w:rFonts w:cs="Arial"/>
          <w:b/>
          <w:bCs/>
        </w:rPr>
        <w:t>National Product Catalogue (</w:t>
      </w:r>
      <w:r w:rsidR="003560F9" w:rsidRPr="0019191C">
        <w:rPr>
          <w:rFonts w:cs="Arial"/>
          <w:b/>
        </w:rPr>
        <w:t>NPC</w:t>
      </w:r>
      <w:r>
        <w:rPr>
          <w:rFonts w:cs="Arial"/>
          <w:b/>
        </w:rPr>
        <w:t>)</w:t>
      </w:r>
      <w:r w:rsidR="003560F9" w:rsidRPr="0019191C">
        <w:rPr>
          <w:rFonts w:cs="Arial"/>
          <w:b/>
        </w:rPr>
        <w:t xml:space="preserve">: </w:t>
      </w:r>
      <w:r w:rsidR="00A86041" w:rsidRPr="00882632">
        <w:rPr>
          <w:rFonts w:cs="Arial"/>
          <w:bCs/>
        </w:rPr>
        <w:t xml:space="preserve">The National Product Catalogue was implemented in healthcare to support the industry need for standardised, supplier managed data across the whole of the healthcare value chain to ensure accuracy and efficiency. </w:t>
      </w:r>
      <w:r w:rsidR="003560F9" w:rsidRPr="0019191C">
        <w:rPr>
          <w:rFonts w:cs="Arial"/>
        </w:rPr>
        <w:t xml:space="preserve">The </w:t>
      </w:r>
      <w:r>
        <w:rPr>
          <w:rFonts w:cs="Arial"/>
        </w:rPr>
        <w:t>NPC</w:t>
      </w:r>
      <w:r w:rsidR="003560F9" w:rsidRPr="0019191C">
        <w:rPr>
          <w:rFonts w:cs="Arial"/>
        </w:rPr>
        <w:t xml:space="preserve"> is referenced in pharmacy and financial management systems, as there is a link to AMT, there is also a link to a clinical system with medications management capability.</w:t>
      </w:r>
    </w:p>
    <w:p w14:paraId="09E22D52" w14:textId="77777777" w:rsidR="003560F9" w:rsidRPr="0019191C" w:rsidRDefault="003560F9" w:rsidP="008B2CDD">
      <w:pPr>
        <w:pStyle w:val="DHbody"/>
        <w:numPr>
          <w:ilvl w:val="0"/>
          <w:numId w:val="23"/>
        </w:numPr>
        <w:rPr>
          <w:rFonts w:cs="Arial"/>
          <w:b/>
        </w:rPr>
      </w:pPr>
      <w:r w:rsidRPr="0019191C">
        <w:rPr>
          <w:rFonts w:cs="Arial"/>
          <w:b/>
        </w:rPr>
        <w:t xml:space="preserve">Alerts and Allergy classifications: </w:t>
      </w:r>
      <w:r w:rsidRPr="0019191C">
        <w:rPr>
          <w:rFonts w:cs="Arial"/>
        </w:rPr>
        <w:t>Allergies are classified in the following manner:</w:t>
      </w:r>
    </w:p>
    <w:p w14:paraId="780EB150" w14:textId="57450069" w:rsidR="003560F9" w:rsidRPr="0019191C" w:rsidRDefault="003560F9" w:rsidP="008B2CDD">
      <w:pPr>
        <w:pStyle w:val="DHbody"/>
        <w:numPr>
          <w:ilvl w:val="1"/>
          <w:numId w:val="23"/>
        </w:numPr>
        <w:rPr>
          <w:rFonts w:cs="Arial"/>
        </w:rPr>
      </w:pPr>
      <w:r w:rsidRPr="0019191C">
        <w:rPr>
          <w:rFonts w:cs="Arial"/>
        </w:rPr>
        <w:t>Victorian Food and Environment allergy catalogue</w:t>
      </w:r>
    </w:p>
    <w:p w14:paraId="66B54C96" w14:textId="77777777" w:rsidR="003560F9" w:rsidRPr="0019191C" w:rsidRDefault="003560F9" w:rsidP="008B2CDD">
      <w:pPr>
        <w:pStyle w:val="DHbody"/>
        <w:numPr>
          <w:ilvl w:val="1"/>
          <w:numId w:val="23"/>
        </w:numPr>
        <w:rPr>
          <w:rFonts w:cs="Arial"/>
        </w:rPr>
      </w:pPr>
      <w:r w:rsidRPr="0019191C">
        <w:rPr>
          <w:rFonts w:cs="Arial"/>
        </w:rPr>
        <w:t>Drug Identifier: AMT SNOMED codes</w:t>
      </w:r>
    </w:p>
    <w:p w14:paraId="54480084" w14:textId="51C622DF" w:rsidR="003560F9" w:rsidRPr="0019191C" w:rsidRDefault="009A5D0A" w:rsidP="008B2CDD">
      <w:pPr>
        <w:pStyle w:val="DHbody"/>
        <w:numPr>
          <w:ilvl w:val="0"/>
          <w:numId w:val="23"/>
        </w:numPr>
        <w:rPr>
          <w:rFonts w:cs="Arial"/>
          <w:b/>
        </w:rPr>
      </w:pPr>
      <w:r w:rsidRPr="00D05655">
        <w:rPr>
          <w:rFonts w:cs="Arial"/>
          <w:b/>
          <w:bCs/>
        </w:rPr>
        <w:t>International Dietetics and Nutrition Terminology</w:t>
      </w:r>
      <w:r w:rsidRPr="0019191C">
        <w:rPr>
          <w:rFonts w:cs="Arial"/>
          <w:b/>
        </w:rPr>
        <w:t xml:space="preserve"> </w:t>
      </w:r>
      <w:r>
        <w:rPr>
          <w:rFonts w:cs="Arial"/>
          <w:b/>
        </w:rPr>
        <w:t>(</w:t>
      </w:r>
      <w:r w:rsidR="003560F9" w:rsidRPr="0019191C">
        <w:rPr>
          <w:rFonts w:cs="Arial"/>
          <w:b/>
        </w:rPr>
        <w:t>IDNT</w:t>
      </w:r>
      <w:r>
        <w:rPr>
          <w:rFonts w:cs="Arial"/>
          <w:b/>
        </w:rPr>
        <w:t>)</w:t>
      </w:r>
      <w:r w:rsidR="003560F9" w:rsidRPr="0019191C">
        <w:rPr>
          <w:rFonts w:cs="Arial"/>
          <w:b/>
        </w:rPr>
        <w:t xml:space="preserve">: </w:t>
      </w:r>
      <w:r w:rsidR="003560F9" w:rsidRPr="0019191C">
        <w:rPr>
          <w:rFonts w:cs="Arial"/>
        </w:rPr>
        <w:t xml:space="preserve">The VPHS is working toward using the </w:t>
      </w:r>
      <w:r>
        <w:rPr>
          <w:rFonts w:cs="Arial"/>
        </w:rPr>
        <w:t>IDNT</w:t>
      </w:r>
      <w:r w:rsidR="003560F9" w:rsidRPr="0019191C">
        <w:rPr>
          <w:rFonts w:cs="Arial"/>
        </w:rPr>
        <w:t>. Initially this will be for Diet orders</w:t>
      </w:r>
      <w:r w:rsidR="00CE2101">
        <w:rPr>
          <w:rFonts w:cs="Arial"/>
        </w:rPr>
        <w:t>.</w:t>
      </w:r>
    </w:p>
    <w:p w14:paraId="6948A29D" w14:textId="39349855" w:rsidR="003560F9" w:rsidRPr="0019191C" w:rsidRDefault="003560F9" w:rsidP="008B2CDD">
      <w:pPr>
        <w:pStyle w:val="DHbody"/>
        <w:numPr>
          <w:ilvl w:val="0"/>
          <w:numId w:val="23"/>
        </w:numPr>
        <w:rPr>
          <w:rFonts w:cs="Arial"/>
          <w:b/>
        </w:rPr>
      </w:pPr>
      <w:r w:rsidRPr="0019191C">
        <w:rPr>
          <w:rFonts w:cs="Arial"/>
          <w:b/>
        </w:rPr>
        <w:t xml:space="preserve">AMT: </w:t>
      </w:r>
      <w:r w:rsidRPr="0019191C">
        <w:rPr>
          <w:rFonts w:cs="Arial"/>
        </w:rPr>
        <w:t>A clinical system should adopt the use of the AMT for its medicines catalogue. This is a comprehensive national nomenclature for medications</w:t>
      </w:r>
      <w:r w:rsidR="00CE2101">
        <w:rPr>
          <w:rFonts w:cs="Arial"/>
        </w:rPr>
        <w:t>.</w:t>
      </w:r>
    </w:p>
    <w:p w14:paraId="229358FF" w14:textId="77CA8392" w:rsidR="003560F9" w:rsidRPr="0019191C" w:rsidRDefault="00882632" w:rsidP="008B2CDD">
      <w:pPr>
        <w:pStyle w:val="DHbody"/>
        <w:numPr>
          <w:ilvl w:val="0"/>
          <w:numId w:val="23"/>
        </w:numPr>
        <w:rPr>
          <w:rFonts w:cs="Arial"/>
          <w:b/>
        </w:rPr>
      </w:pPr>
      <w:r>
        <w:rPr>
          <w:rFonts w:cs="Arial"/>
          <w:b/>
        </w:rPr>
        <w:t xml:space="preserve">National </w:t>
      </w:r>
      <w:r w:rsidR="003560F9" w:rsidRPr="0019191C">
        <w:rPr>
          <w:rFonts w:cs="Arial"/>
          <w:b/>
        </w:rPr>
        <w:t>Human Services Directory (</w:t>
      </w:r>
      <w:r>
        <w:rPr>
          <w:rFonts w:cs="Arial"/>
          <w:b/>
        </w:rPr>
        <w:t>N</w:t>
      </w:r>
      <w:r w:rsidR="003560F9" w:rsidRPr="0019191C">
        <w:rPr>
          <w:rFonts w:cs="Arial"/>
          <w:b/>
        </w:rPr>
        <w:t xml:space="preserve">HSD): </w:t>
      </w:r>
      <w:r w:rsidR="003560F9" w:rsidRPr="0019191C">
        <w:rPr>
          <w:rFonts w:cs="Arial"/>
        </w:rPr>
        <w:t xml:space="preserve">Victoria has adopted the </w:t>
      </w:r>
      <w:r>
        <w:rPr>
          <w:rFonts w:cs="Arial"/>
        </w:rPr>
        <w:t>N</w:t>
      </w:r>
      <w:r w:rsidR="003560F9" w:rsidRPr="0019191C">
        <w:rPr>
          <w:rFonts w:cs="Arial"/>
        </w:rPr>
        <w:t xml:space="preserve">HSD as the standard definition for a provider (General </w:t>
      </w:r>
      <w:r w:rsidR="00CE2101">
        <w:rPr>
          <w:rFonts w:cs="Arial"/>
        </w:rPr>
        <w:t>p</w:t>
      </w:r>
      <w:r w:rsidR="003560F9" w:rsidRPr="0019191C">
        <w:rPr>
          <w:rFonts w:cs="Arial"/>
        </w:rPr>
        <w:t xml:space="preserve">ractitioners and </w:t>
      </w:r>
      <w:r w:rsidR="00CE2101">
        <w:rPr>
          <w:rFonts w:cs="Arial"/>
        </w:rPr>
        <w:t>s</w:t>
      </w:r>
      <w:r w:rsidR="003560F9" w:rsidRPr="0019191C">
        <w:rPr>
          <w:rFonts w:cs="Arial"/>
        </w:rPr>
        <w:t xml:space="preserve">pecialists) in its core applications. </w:t>
      </w:r>
    </w:p>
    <w:p w14:paraId="09CA0110" w14:textId="2C9CEB28" w:rsidR="003560F9" w:rsidRPr="0019191C" w:rsidRDefault="003560F9" w:rsidP="008B2CDD">
      <w:pPr>
        <w:pStyle w:val="DHbody"/>
        <w:numPr>
          <w:ilvl w:val="0"/>
          <w:numId w:val="23"/>
        </w:numPr>
        <w:rPr>
          <w:rFonts w:cs="Arial"/>
          <w:b/>
        </w:rPr>
      </w:pPr>
      <w:r w:rsidRPr="0019191C">
        <w:rPr>
          <w:rFonts w:cs="Arial"/>
          <w:b/>
        </w:rPr>
        <w:t xml:space="preserve">Patient Identifiers: </w:t>
      </w:r>
      <w:r w:rsidRPr="0019191C">
        <w:rPr>
          <w:rFonts w:cs="Arial"/>
        </w:rPr>
        <w:t xml:space="preserve">The </w:t>
      </w:r>
      <w:r w:rsidR="00541AD7">
        <w:rPr>
          <w:rFonts w:cs="Arial"/>
        </w:rPr>
        <w:t>ADHA</w:t>
      </w:r>
      <w:r w:rsidR="00541AD7" w:rsidRPr="0019191C">
        <w:rPr>
          <w:rFonts w:cs="Arial"/>
        </w:rPr>
        <w:t xml:space="preserve"> </w:t>
      </w:r>
      <w:r w:rsidRPr="0019191C">
        <w:rPr>
          <w:rFonts w:cs="Arial"/>
        </w:rPr>
        <w:t>IHI service will be adopted in the future. Refer to the solutions design in this document. Healthcare applications are anticipated to adopt use of the</w:t>
      </w:r>
      <w:r w:rsidR="00D70094">
        <w:rPr>
          <w:rFonts w:cs="Arial"/>
        </w:rPr>
        <w:t xml:space="preserve"> Victorian State-wide Unique Patient Identification and </w:t>
      </w:r>
      <w:r w:rsidRPr="0019191C">
        <w:rPr>
          <w:rFonts w:cs="Arial"/>
        </w:rPr>
        <w:t>IHI in the future.</w:t>
      </w:r>
    </w:p>
    <w:p w14:paraId="25976ECC" w14:textId="1F8A197C" w:rsidR="003560F9" w:rsidRPr="0019191C" w:rsidRDefault="003560F9" w:rsidP="00882632">
      <w:pPr>
        <w:pStyle w:val="Heading2"/>
      </w:pPr>
      <w:bookmarkStart w:id="85" w:name="_Toc335731445"/>
      <w:bookmarkStart w:id="86" w:name="_Toc50547735"/>
      <w:r w:rsidRPr="0019191C">
        <w:t>Summary of Princip</w:t>
      </w:r>
      <w:r w:rsidR="009E47AE">
        <w:t>les</w:t>
      </w:r>
      <w:r w:rsidRPr="0019191C">
        <w:t xml:space="preserve"> and Con</w:t>
      </w:r>
      <w:r w:rsidR="00AD4BC9">
        <w:t>s</w:t>
      </w:r>
      <w:r w:rsidRPr="0019191C">
        <w:t>traints</w:t>
      </w:r>
      <w:bookmarkEnd w:id="85"/>
      <w:bookmarkEnd w:id="86"/>
    </w:p>
    <w:p w14:paraId="3D82537D" w14:textId="10006CBC" w:rsidR="003560F9" w:rsidRPr="0019191C" w:rsidRDefault="003560F9" w:rsidP="008713D4">
      <w:pPr>
        <w:pStyle w:val="DHHSbody"/>
      </w:pPr>
      <w:r w:rsidRPr="0019191C">
        <w:t>Key solution principles and technical constraints that align with typical EMR program objectives are summarised below.</w:t>
      </w:r>
    </w:p>
    <w:p w14:paraId="4BC9B1E9" w14:textId="77777777" w:rsidR="003560F9" w:rsidRPr="0019191C" w:rsidRDefault="003560F9" w:rsidP="008713D4">
      <w:pPr>
        <w:pStyle w:val="DHHSbody"/>
        <w:rPr>
          <w:b/>
        </w:rPr>
      </w:pPr>
      <w:r w:rsidRPr="0019191C">
        <w:rPr>
          <w:b/>
        </w:rPr>
        <w:t xml:space="preserve">Medications – </w:t>
      </w:r>
      <w:r w:rsidRPr="0019191C">
        <w:t>There is an identified requirement amongst clinicians to view ordered and administered medications longitudinally across episodes. It is not possible to easily duplicate or mimic medication management in detail in multiple interconnected clinical applications without causing significant clinical risk.</w:t>
      </w:r>
    </w:p>
    <w:p w14:paraId="6D5F9A04" w14:textId="75910515" w:rsidR="006322E7" w:rsidRPr="0019191C" w:rsidRDefault="003560F9" w:rsidP="00700484">
      <w:pPr>
        <w:pStyle w:val="DHHSbody"/>
      </w:pPr>
      <w:r>
        <w:t xml:space="preserve">It is recommended that an EMR is the master system for medications management. This includes discharge medications, medications history, electronic medication administration for inpatients, and inpatient and outpatient medication orders. </w:t>
      </w:r>
      <w:r w:rsidR="006322E7">
        <w:t>A</w:t>
      </w:r>
      <w:r w:rsidR="009A5D0A">
        <w:t>ll</w:t>
      </w:r>
      <w:r w:rsidR="006322E7">
        <w:t xml:space="preserve"> medications should be documented in a single application within the EMR.</w:t>
      </w:r>
    </w:p>
    <w:p w14:paraId="4DCCACDE" w14:textId="65C9A085" w:rsidR="003560F9" w:rsidRPr="0019191C" w:rsidRDefault="003560F9" w:rsidP="008713D4">
      <w:pPr>
        <w:pStyle w:val="DHHSbody"/>
      </w:pPr>
      <w:r w:rsidRPr="00882632">
        <w:rPr>
          <w:b/>
          <w:bCs/>
        </w:rPr>
        <w:t>Ordering</w:t>
      </w:r>
      <w:r w:rsidRPr="006322E7">
        <w:t xml:space="preserve"> – Orders should be hosted by a single application within the EMR. </w:t>
      </w:r>
      <w:r w:rsidRPr="0019191C">
        <w:t>A single system hosting orders is recommended to ensure clinical decision support and drug monitoring are facilitated consistently and instances of duplicate ordering are reduced. Conversely, in some circumstances add-on, reflex and send-out tests are required to be triggered from third party applications. Where this practice is in place, messaging needs to be managed with uniquely identified numbers that are i</w:t>
      </w:r>
      <w:r w:rsidR="009A5D0A">
        <w:t>n</w:t>
      </w:r>
      <w:r w:rsidRPr="0019191C">
        <w:t xml:space="preserve">formed </w:t>
      </w:r>
      <w:r w:rsidR="009A5D0A">
        <w:t>from</w:t>
      </w:r>
      <w:r w:rsidRPr="0019191C">
        <w:t xml:space="preserve"> the </w:t>
      </w:r>
      <w:r w:rsidR="009A5D0A">
        <w:t>PAS</w:t>
      </w:r>
      <w:r w:rsidRPr="0019191C">
        <w:t xml:space="preserve"> and EMR.</w:t>
      </w:r>
    </w:p>
    <w:p w14:paraId="4010A607" w14:textId="21C90939" w:rsidR="003560F9" w:rsidRPr="0019191C" w:rsidRDefault="009A5D0A" w:rsidP="008713D4">
      <w:pPr>
        <w:pStyle w:val="DHHSbody"/>
        <w:rPr>
          <w:b/>
        </w:rPr>
      </w:pPr>
      <w:r>
        <w:t>Whilst</w:t>
      </w:r>
      <w:r w:rsidRPr="0019191C">
        <w:t xml:space="preserve"> </w:t>
      </w:r>
      <w:r w:rsidR="003560F9" w:rsidRPr="0019191C">
        <w:t>health services may wish to initiate orders for pathology and radiology from other systems such as an emergency application (that is not part of an enterprise solution), this approach is not recommended, feasible or endorsed</w:t>
      </w:r>
      <w:r>
        <w:t>,</w:t>
      </w:r>
      <w:r w:rsidR="003560F9" w:rsidRPr="0019191C">
        <w:t xml:space="preserve"> when utilising a robust and centralised EMR</w:t>
      </w:r>
      <w:r>
        <w:t>,</w:t>
      </w:r>
      <w:r w:rsidR="003560F9" w:rsidRPr="0019191C">
        <w:t xml:space="preserve"> as there is significant clinical risk in duplicating orders. </w:t>
      </w:r>
    </w:p>
    <w:p w14:paraId="3C212745" w14:textId="031FFFB0" w:rsidR="003560F9" w:rsidRPr="0019191C" w:rsidRDefault="003560F9" w:rsidP="00D05655">
      <w:pPr>
        <w:pStyle w:val="DHHSbody"/>
      </w:pPr>
      <w:r w:rsidRPr="0019191C">
        <w:rPr>
          <w:b/>
        </w:rPr>
        <w:lastRenderedPageBreak/>
        <w:t xml:space="preserve">Scheduling – </w:t>
      </w:r>
      <w:r w:rsidRPr="0019191C">
        <w:t xml:space="preserve">Scheduling applications are not designed by vendors to synchronise scheduling functionality with another scheduling application. Only one application can be the master application to allocate and manage scheduling details. Interoperability standards (HL7 or other) are not designed to enable this capability, third party vendors do not design their applications to work in this manner. It is not feasible (or technically practical) to achieve this capability. </w:t>
      </w:r>
      <w:r w:rsidR="00D05655" w:rsidRPr="0019191C">
        <w:t>This limit</w:t>
      </w:r>
      <w:r w:rsidRPr="0019191C">
        <w:t xml:space="preserve"> other applications setting schedules and reflecting this information back to the master scheduling system, e.g. Oncology applications. </w:t>
      </w:r>
    </w:p>
    <w:p w14:paraId="30F11A06" w14:textId="4772FA95" w:rsidR="003560F9" w:rsidRPr="0019191C" w:rsidRDefault="003560F9" w:rsidP="008713D4">
      <w:pPr>
        <w:pStyle w:val="DHHSbody"/>
        <w:rPr>
          <w:b/>
        </w:rPr>
      </w:pPr>
      <w:r w:rsidRPr="0019191C">
        <w:rPr>
          <w:b/>
        </w:rPr>
        <w:t xml:space="preserve">Master Patient Master Index – </w:t>
      </w:r>
      <w:r w:rsidRPr="0019191C">
        <w:t xml:space="preserve">A health service or community centre must have a single master </w:t>
      </w:r>
      <w:r w:rsidR="00A86041">
        <w:t>patient index</w:t>
      </w:r>
      <w:r w:rsidR="00A86041" w:rsidRPr="0019191C">
        <w:t xml:space="preserve"> </w:t>
      </w:r>
      <w:r w:rsidRPr="0019191C">
        <w:t xml:space="preserve">in which all patients are </w:t>
      </w:r>
      <w:r w:rsidR="00260C66" w:rsidRPr="0019191C">
        <w:t>registered,</w:t>
      </w:r>
      <w:r w:rsidRPr="0019191C">
        <w:t xml:space="preserve"> and a unique health service identifier is generated. It is recommend</w:t>
      </w:r>
      <w:r w:rsidR="00AD4BC9">
        <w:t>ed</w:t>
      </w:r>
      <w:r w:rsidRPr="0019191C">
        <w:t xml:space="preserve"> that the PAS or CMS be the master application for registration of patient details or likewise an enterprise clinical application or EMR is selected that encompasses a PAS. Allocation of more than one master application </w:t>
      </w:r>
      <w:r w:rsidR="00817B6A" w:rsidRPr="0019191C">
        <w:t>for</w:t>
      </w:r>
      <w:r w:rsidRPr="0019191C">
        <w:t xml:space="preserve"> registering patient details (and bi-directional interfaces for this purpose) leads to data inconsistencies across applications and is not an endorsed, industry standard or recommended approach for this function.</w:t>
      </w:r>
    </w:p>
    <w:p w14:paraId="2C80133A" w14:textId="5342BD2E" w:rsidR="003560F9" w:rsidRPr="0019191C" w:rsidRDefault="003560F9" w:rsidP="008713D4">
      <w:pPr>
        <w:pStyle w:val="DHHSbody"/>
      </w:pPr>
      <w:r w:rsidRPr="0019191C">
        <w:rPr>
          <w:b/>
        </w:rPr>
        <w:t xml:space="preserve">Open Database Connectivity (ODBC) – </w:t>
      </w:r>
      <w:r w:rsidRPr="0019191C">
        <w:t>ODBC is not considered to be an industry standard approach for access</w:t>
      </w:r>
      <w:r w:rsidR="00931F66">
        <w:t>ing</w:t>
      </w:r>
      <w:r w:rsidRPr="0019191C">
        <w:t xml:space="preserve"> information from an online application. This method of interaction with an application has performance, security and ongoing maintenance issues. This is not an approved method of data access for any healthcare application. Access to information must be controlled via event base transactions (HL7) or regulated extraction processes that are </w:t>
      </w:r>
      <w:r w:rsidR="00260C66" w:rsidRPr="0019191C">
        <w:t>design</w:t>
      </w:r>
      <w:r w:rsidR="00215EB4">
        <w:t>ed</w:t>
      </w:r>
      <w:r w:rsidRPr="0019191C">
        <w:t xml:space="preserve"> to manage the distribution of information for purposes such as reporting.</w:t>
      </w:r>
    </w:p>
    <w:p w14:paraId="486E50A4" w14:textId="77777777" w:rsidR="003560F9" w:rsidRPr="0019191C" w:rsidRDefault="003560F9" w:rsidP="00B711D6">
      <w:pPr>
        <w:pStyle w:val="Heading3"/>
      </w:pPr>
      <w:bookmarkStart w:id="87" w:name="_Toc333583687"/>
      <w:bookmarkStart w:id="88" w:name="_Toc335731446"/>
      <w:r w:rsidRPr="0019191C">
        <w:t>Assumptions</w:t>
      </w:r>
      <w:bookmarkEnd w:id="87"/>
      <w:bookmarkEnd w:id="88"/>
    </w:p>
    <w:p w14:paraId="4B1882BD" w14:textId="2718518A" w:rsidR="003560F9" w:rsidRPr="0019191C" w:rsidRDefault="003560F9" w:rsidP="008713D4">
      <w:pPr>
        <w:pStyle w:val="DHHSbody"/>
      </w:pPr>
      <w:r w:rsidRPr="0019191C">
        <w:t xml:space="preserve">It is assumed that many health services will lean toward the implementation </w:t>
      </w:r>
      <w:r w:rsidR="00036B24">
        <w:t xml:space="preserve">of </w:t>
      </w:r>
      <w:r w:rsidRPr="0019191C">
        <w:t xml:space="preserve">a comprehensive EMR over time. While this is </w:t>
      </w:r>
      <w:r w:rsidR="00260C66" w:rsidRPr="0019191C">
        <w:t>a goal</w:t>
      </w:r>
      <w:r w:rsidRPr="0019191C">
        <w:t>, it is recognised that that there will be a transition period for this process.</w:t>
      </w:r>
    </w:p>
    <w:p w14:paraId="065C5A5D" w14:textId="77777777" w:rsidR="003560F9" w:rsidRPr="0019191C" w:rsidRDefault="003560F9" w:rsidP="00B711D6">
      <w:pPr>
        <w:pStyle w:val="Heading3"/>
      </w:pPr>
      <w:bookmarkStart w:id="89" w:name="_Toc333583688"/>
      <w:bookmarkStart w:id="90" w:name="_Toc335731447"/>
      <w:r w:rsidRPr="0019191C">
        <w:t>Constraints</w:t>
      </w:r>
      <w:bookmarkEnd w:id="89"/>
      <w:bookmarkEnd w:id="90"/>
    </w:p>
    <w:p w14:paraId="20036320" w14:textId="77777777" w:rsidR="003560F9" w:rsidRPr="0019191C" w:rsidRDefault="003560F9" w:rsidP="003560F9">
      <w:pPr>
        <w:pStyle w:val="DHbody"/>
        <w:rPr>
          <w:rFonts w:cs="Arial"/>
        </w:rPr>
      </w:pPr>
      <w:r w:rsidRPr="0019191C">
        <w:rPr>
          <w:rFonts w:cs="Arial"/>
        </w:rPr>
        <w:t>This document assumes the following constraints:</w:t>
      </w:r>
    </w:p>
    <w:p w14:paraId="3CFE8516" w14:textId="4F515508" w:rsidR="003560F9" w:rsidRPr="0019191C" w:rsidRDefault="003560F9" w:rsidP="008B2CDD">
      <w:pPr>
        <w:pStyle w:val="DHbody"/>
        <w:numPr>
          <w:ilvl w:val="0"/>
          <w:numId w:val="25"/>
        </w:numPr>
        <w:rPr>
          <w:rFonts w:cs="Arial"/>
        </w:rPr>
      </w:pPr>
      <w:r w:rsidRPr="0019191C">
        <w:rPr>
          <w:rFonts w:cs="Arial"/>
        </w:rPr>
        <w:t xml:space="preserve">This document is a guide, overlay and reference base that should be used as an approach to </w:t>
      </w:r>
      <w:r w:rsidR="001C2A94" w:rsidRPr="0019191C">
        <w:rPr>
          <w:rFonts w:cs="Arial"/>
        </w:rPr>
        <w:t>adopt</w:t>
      </w:r>
      <w:r w:rsidRPr="0019191C">
        <w:rPr>
          <w:rFonts w:cs="Arial"/>
        </w:rPr>
        <w:t xml:space="preserve"> key health applications. This is not a prescriptive or concise guide that will describe all health service environments, the factors described in this document should be considered when implementing VPHS solutions. </w:t>
      </w:r>
    </w:p>
    <w:p w14:paraId="0B447B41" w14:textId="77777777" w:rsidR="003560F9" w:rsidRPr="001D7AE7" w:rsidRDefault="003560F9" w:rsidP="003560F9">
      <w:pPr>
        <w:pStyle w:val="DHSBulletText2"/>
        <w:numPr>
          <w:ilvl w:val="0"/>
          <w:numId w:val="0"/>
        </w:numPr>
        <w:ind w:left="403"/>
        <w:jc w:val="both"/>
      </w:pPr>
    </w:p>
    <w:p w14:paraId="5E784B12" w14:textId="190081A1" w:rsidR="002B77A8" w:rsidRDefault="002B77A8" w:rsidP="003E193B">
      <w:pPr>
        <w:pStyle w:val="Heading1"/>
        <w:pageBreakBefore/>
        <w:numPr>
          <w:ilvl w:val="0"/>
          <w:numId w:val="0"/>
        </w:numPr>
      </w:pPr>
      <w:bookmarkStart w:id="91" w:name="_Ref494982794"/>
      <w:bookmarkStart w:id="92" w:name="_Toc499826923"/>
      <w:bookmarkStart w:id="93" w:name="_Toc50547736"/>
      <w:r w:rsidRPr="00691574">
        <w:lastRenderedPageBreak/>
        <w:t xml:space="preserve">Appendix </w:t>
      </w:r>
      <w:r w:rsidR="00055453">
        <w:t>A</w:t>
      </w:r>
      <w:r w:rsidRPr="00691574">
        <w:t xml:space="preserve"> – </w:t>
      </w:r>
      <w:r w:rsidR="009F7785">
        <w:t>Digital Health branch</w:t>
      </w:r>
      <w:bookmarkEnd w:id="91"/>
      <w:bookmarkEnd w:id="92"/>
      <w:bookmarkEnd w:id="93"/>
    </w:p>
    <w:p w14:paraId="5CB1B9E4" w14:textId="77777777" w:rsidR="009F7785" w:rsidRPr="00A04EB8" w:rsidRDefault="009F7785" w:rsidP="009F7785">
      <w:pPr>
        <w:pStyle w:val="DHHSbody"/>
      </w:pPr>
      <w:bookmarkStart w:id="94" w:name="_Hlk5707685"/>
      <w:r w:rsidRPr="00A04EB8">
        <w:t xml:space="preserve">The Digital Health branch </w:t>
      </w:r>
      <w:r>
        <w:t xml:space="preserve">is </w:t>
      </w:r>
      <w:r w:rsidRPr="00A04EB8">
        <w:t>led by the Chief Digital Health Officer. As a branch in the Health and Wellbeing division, Digital Health collaborates closely with a wide range of stakeholders across the department, sector agencies and other jurisdictions to perform the following functions:</w:t>
      </w:r>
    </w:p>
    <w:p w14:paraId="29355013" w14:textId="77777777" w:rsidR="009F7785" w:rsidRPr="00A04EB8" w:rsidRDefault="009F7785" w:rsidP="008B2CDD">
      <w:pPr>
        <w:pStyle w:val="DHHSbody"/>
        <w:numPr>
          <w:ilvl w:val="0"/>
          <w:numId w:val="28"/>
        </w:numPr>
      </w:pPr>
      <w:r w:rsidRPr="00A04EB8">
        <w:t>Provides engagement, standards, policy advice, planning and assurance functions across the health sector in the areas of digital health</w:t>
      </w:r>
    </w:p>
    <w:p w14:paraId="7D4DA01F" w14:textId="77777777" w:rsidR="009F7785" w:rsidRPr="00A04EB8" w:rsidRDefault="009F7785" w:rsidP="008B2CDD">
      <w:pPr>
        <w:pStyle w:val="DHHSbody"/>
        <w:numPr>
          <w:ilvl w:val="0"/>
          <w:numId w:val="28"/>
        </w:numPr>
      </w:pPr>
      <w:r w:rsidRPr="00A04EB8">
        <w:t>Is responsible for the system management required to operationalise health sector reform</w:t>
      </w:r>
    </w:p>
    <w:p w14:paraId="2604C072" w14:textId="77777777" w:rsidR="009F7785" w:rsidRPr="00A04EB8" w:rsidRDefault="009F7785" w:rsidP="008B2CDD">
      <w:pPr>
        <w:pStyle w:val="DHHSbody"/>
        <w:numPr>
          <w:ilvl w:val="0"/>
          <w:numId w:val="28"/>
        </w:numPr>
      </w:pPr>
      <w:r w:rsidRPr="00A04EB8">
        <w:t>Provides outward-facing whole of health sector leadership in digital health enablement as well as commissioning of digital health and ICT functions</w:t>
      </w:r>
    </w:p>
    <w:p w14:paraId="1F57A092" w14:textId="77777777" w:rsidR="009F7785" w:rsidRPr="00A04EB8" w:rsidRDefault="009F7785" w:rsidP="008B2CDD">
      <w:pPr>
        <w:pStyle w:val="DHHSbody"/>
        <w:numPr>
          <w:ilvl w:val="0"/>
          <w:numId w:val="28"/>
        </w:numPr>
      </w:pPr>
      <w:r w:rsidRPr="00A04EB8">
        <w:t>Maintain a close working relationship with other branches of the division which has the levers, relationships and responsibilities across the health system to ensure digital projects are properly governed, resourced, and ensure all risks are well managed</w:t>
      </w:r>
    </w:p>
    <w:p w14:paraId="7FB7BBA1" w14:textId="77777777" w:rsidR="009F7785" w:rsidRPr="00FA4D48" w:rsidRDefault="009F7785" w:rsidP="008B2CDD">
      <w:pPr>
        <w:pStyle w:val="DHHSbody"/>
        <w:numPr>
          <w:ilvl w:val="0"/>
          <w:numId w:val="28"/>
        </w:numPr>
      </w:pPr>
      <w:r>
        <w:t>Guides</w:t>
      </w:r>
      <w:r w:rsidRPr="00FA4D48">
        <w:t xml:space="preserve"> health ICT initiatives towards an interoperable future </w:t>
      </w:r>
      <w:r>
        <w:t>digital health</w:t>
      </w:r>
      <w:r w:rsidRPr="00FA4D48">
        <w:t xml:space="preserve"> environment using well</w:t>
      </w:r>
      <w:r>
        <w:t>-</w:t>
      </w:r>
      <w:r w:rsidRPr="00FA4D48">
        <w:t>established standards, best practice guides, methodologies and principles</w:t>
      </w:r>
    </w:p>
    <w:p w14:paraId="46A61157" w14:textId="77777777" w:rsidR="009F7785" w:rsidRPr="00A04EB8" w:rsidRDefault="009F7785" w:rsidP="009F7785">
      <w:pPr>
        <w:pStyle w:val="DHHSbody"/>
      </w:pPr>
      <w:r w:rsidRPr="00A04EB8">
        <w:t>Digital Health utilises the people, process and technology components, with a strong emphasis on transformational change elements when implanting new health systems and workflow processes.</w:t>
      </w:r>
    </w:p>
    <w:p w14:paraId="6BF40833" w14:textId="77777777" w:rsidR="009F7785" w:rsidRPr="00A04EB8" w:rsidRDefault="009F7785" w:rsidP="009F7785">
      <w:pPr>
        <w:pStyle w:val="DHHSbody"/>
      </w:pPr>
      <w:r w:rsidRPr="00A04EB8">
        <w:t>Digital Health focus on four areas:</w:t>
      </w:r>
    </w:p>
    <w:p w14:paraId="0BEB8551" w14:textId="77777777" w:rsidR="009F7785" w:rsidRPr="00A04EB8" w:rsidRDefault="009F7785" w:rsidP="008B2CDD">
      <w:pPr>
        <w:pStyle w:val="DHHSbody"/>
        <w:numPr>
          <w:ilvl w:val="0"/>
          <w:numId w:val="29"/>
        </w:numPr>
      </w:pPr>
      <w:r w:rsidRPr="00A04EB8">
        <w:t>Digital Health strategy, policy and architecture standards for the Victorian health sector</w:t>
      </w:r>
      <w:r>
        <w:t>.</w:t>
      </w:r>
    </w:p>
    <w:p w14:paraId="65662068" w14:textId="77777777" w:rsidR="009F7785" w:rsidRPr="00A04EB8" w:rsidRDefault="009F7785" w:rsidP="008B2CDD">
      <w:pPr>
        <w:pStyle w:val="DHHSbody"/>
        <w:numPr>
          <w:ilvl w:val="0"/>
          <w:numId w:val="29"/>
        </w:numPr>
      </w:pPr>
      <w:r w:rsidRPr="00A04EB8">
        <w:t>Commissioning of digital health functions within Victorian public health services</w:t>
      </w:r>
      <w:r>
        <w:t>.</w:t>
      </w:r>
    </w:p>
    <w:p w14:paraId="19F62786" w14:textId="77777777" w:rsidR="009F7785" w:rsidRPr="00A04EB8" w:rsidRDefault="009F7785" w:rsidP="008B2CDD">
      <w:pPr>
        <w:pStyle w:val="DHHSbody"/>
        <w:numPr>
          <w:ilvl w:val="0"/>
          <w:numId w:val="29"/>
        </w:numPr>
      </w:pPr>
      <w:r w:rsidRPr="00A04EB8">
        <w:t>Sponsoring digital health programs to implement sector-wide health information sharing platforms including those at a national level (to which Victoria contributes) as well as sector-enabling capabilities sponsored by DHHS.</w:t>
      </w:r>
    </w:p>
    <w:p w14:paraId="13570F2F" w14:textId="77777777" w:rsidR="009F7785" w:rsidRPr="00A04EB8" w:rsidRDefault="009F7785" w:rsidP="008B2CDD">
      <w:pPr>
        <w:pStyle w:val="DHHSbody"/>
        <w:numPr>
          <w:ilvl w:val="0"/>
          <w:numId w:val="29"/>
        </w:numPr>
      </w:pPr>
      <w:r w:rsidRPr="00A04EB8">
        <w:t>Health service system management function including sector assurance (e.g. major program, operations and cybersecurity).</w:t>
      </w:r>
    </w:p>
    <w:p w14:paraId="0DEE26D7" w14:textId="77777777" w:rsidR="009F7785" w:rsidRPr="00A04EB8" w:rsidRDefault="009F7785" w:rsidP="009F7785">
      <w:pPr>
        <w:pStyle w:val="DHHSbody"/>
      </w:pPr>
      <w:r w:rsidRPr="00A04EB8">
        <w:t xml:space="preserve">Digital health program areas include: </w:t>
      </w:r>
    </w:p>
    <w:p w14:paraId="0454B264" w14:textId="77777777" w:rsidR="009F7785" w:rsidRPr="00A04EB8" w:rsidRDefault="009F7785" w:rsidP="008B2CDD">
      <w:pPr>
        <w:pStyle w:val="DHHSbody"/>
        <w:numPr>
          <w:ilvl w:val="0"/>
          <w:numId w:val="28"/>
        </w:numPr>
      </w:pPr>
      <w:r w:rsidRPr="00A04EB8">
        <w:t>Health Sector Standards and Advisory which provide information on emerging health technologies, feasibility, architecture, design and integration.</w:t>
      </w:r>
    </w:p>
    <w:p w14:paraId="404C6737" w14:textId="77777777" w:rsidR="009F7785" w:rsidRPr="00A04EB8" w:rsidRDefault="009F7785" w:rsidP="008B2CDD">
      <w:pPr>
        <w:pStyle w:val="DHHSbody"/>
        <w:numPr>
          <w:ilvl w:val="0"/>
          <w:numId w:val="28"/>
        </w:numPr>
      </w:pPr>
      <w:r w:rsidRPr="00A04EB8">
        <w:t>Sector Assurance which provides assurance on all approved health service projects funded or co-funded by the government to ensure health services operate safely, securely and cost-effectively.</w:t>
      </w:r>
    </w:p>
    <w:p w14:paraId="4E208E5C" w14:textId="77777777" w:rsidR="009F7785" w:rsidRPr="00A04EB8" w:rsidRDefault="009F7785" w:rsidP="008B2CDD">
      <w:pPr>
        <w:pStyle w:val="DHHSbody"/>
        <w:numPr>
          <w:ilvl w:val="0"/>
          <w:numId w:val="28"/>
        </w:numPr>
      </w:pPr>
      <w:r w:rsidRPr="00A04EB8">
        <w:t>Sector Governance and Reporting which provides governance and reporting on the system manager function and the overall digital health branch function</w:t>
      </w:r>
      <w:r>
        <w:t>.</w:t>
      </w:r>
    </w:p>
    <w:p w14:paraId="5202300B" w14:textId="77777777" w:rsidR="009F7785" w:rsidRDefault="009F7785" w:rsidP="008B2CDD">
      <w:pPr>
        <w:pStyle w:val="DHHSbody"/>
        <w:numPr>
          <w:ilvl w:val="0"/>
          <w:numId w:val="28"/>
        </w:numPr>
      </w:pPr>
      <w:r w:rsidRPr="00A04EB8">
        <w:t>Health Sector Planning which provide planning and pipeline management for the health sector, managing concept proposals, business bases, funding bids and subsequently funding allocation and funding agreements</w:t>
      </w:r>
      <w:r>
        <w:t>.</w:t>
      </w:r>
    </w:p>
    <w:p w14:paraId="38FA00EB" w14:textId="77777777" w:rsidR="009F7785" w:rsidRPr="00A04EB8" w:rsidRDefault="009F7785" w:rsidP="008B2CDD">
      <w:pPr>
        <w:pStyle w:val="DHHSbody"/>
        <w:numPr>
          <w:ilvl w:val="0"/>
          <w:numId w:val="28"/>
        </w:numPr>
      </w:pPr>
      <w:r>
        <w:t xml:space="preserve">Research and Innovation which </w:t>
      </w:r>
      <w:r w:rsidRPr="00466A82">
        <w:t>works in partnership with academia and industry to identify and implement health informatics and digital-enabled solutions for greater efficiency, productivity and quality and safety outcomes.</w:t>
      </w:r>
      <w:r>
        <w:t xml:space="preserve"> </w:t>
      </w:r>
      <w:r w:rsidRPr="00466A82">
        <w:t xml:space="preserve">The team </w:t>
      </w:r>
      <w:r>
        <w:t xml:space="preserve">also </w:t>
      </w:r>
      <w:r w:rsidRPr="00466A82">
        <w:t xml:space="preserve">oversees the </w:t>
      </w:r>
      <w:r>
        <w:t>bene</w:t>
      </w:r>
      <w:r w:rsidRPr="00466A82">
        <w:t xml:space="preserve">fit realisation portfolio and the advanced use of healthcare data </w:t>
      </w:r>
      <w:r>
        <w:t xml:space="preserve">to </w:t>
      </w:r>
      <w:r w:rsidRPr="00466A82">
        <w:t>support early intervention, system management and better patient outcomes.</w:t>
      </w:r>
    </w:p>
    <w:p w14:paraId="6A0218ED" w14:textId="34524EBC" w:rsidR="009F7785" w:rsidRDefault="009F7785" w:rsidP="009F7785">
      <w:pPr>
        <w:pStyle w:val="DHHSbody"/>
      </w:pPr>
      <w:r>
        <w:lastRenderedPageBreak/>
        <w:t xml:space="preserve">HSSA is committed to open, independent and best practice view of healthcare Information and Communication Technology (ICT), application solution principles. HSSA can provide recommendations to the overarching enterprise application design and associated services to integrate healthcare applications. </w:t>
      </w:r>
      <w:r w:rsidR="00844335" w:rsidRPr="00844335">
        <w:t xml:space="preserve">Below are some of HSSA </w:t>
      </w:r>
      <w:r w:rsidR="008E7876" w:rsidRPr="00844335">
        <w:t>activities</w:t>
      </w:r>
      <w:r w:rsidR="00844335" w:rsidRPr="00844335">
        <w:t>:</w:t>
      </w:r>
    </w:p>
    <w:p w14:paraId="6D8328F7" w14:textId="77777777" w:rsidR="009F7785" w:rsidRDefault="009F7785" w:rsidP="008B2CDD">
      <w:pPr>
        <w:pStyle w:val="DHHSbody"/>
        <w:numPr>
          <w:ilvl w:val="0"/>
          <w:numId w:val="28"/>
        </w:numPr>
      </w:pPr>
      <w:r>
        <w:t>Deliver guides and advice around interoperability across healthcare applications</w:t>
      </w:r>
    </w:p>
    <w:p w14:paraId="5BC78902" w14:textId="77777777" w:rsidR="009F7785" w:rsidRDefault="009F7785" w:rsidP="008B2CDD">
      <w:pPr>
        <w:pStyle w:val="DHHSbody"/>
        <w:numPr>
          <w:ilvl w:val="0"/>
          <w:numId w:val="28"/>
        </w:numPr>
      </w:pPr>
      <w:r>
        <w:t>Define messaging standards for Victorian health applications</w:t>
      </w:r>
    </w:p>
    <w:p w14:paraId="10E0068B" w14:textId="77777777" w:rsidR="009F7785" w:rsidRDefault="009F7785" w:rsidP="008B2CDD">
      <w:pPr>
        <w:pStyle w:val="DHHSbody"/>
        <w:numPr>
          <w:ilvl w:val="0"/>
          <w:numId w:val="28"/>
        </w:numPr>
      </w:pPr>
      <w:r>
        <w:t>Facilitate a higher level of integration knowledge and associated quality processes in the Victorian health sector</w:t>
      </w:r>
    </w:p>
    <w:p w14:paraId="7D67BCC9" w14:textId="77777777" w:rsidR="009F7785" w:rsidRDefault="009F7785" w:rsidP="008B2CDD">
      <w:pPr>
        <w:pStyle w:val="DHHSbody"/>
        <w:numPr>
          <w:ilvl w:val="0"/>
          <w:numId w:val="28"/>
        </w:numPr>
      </w:pPr>
      <w:r>
        <w:t>Align innovation, efficiencies and effective use of ICT within health to encourage and drive standards-based approaches that encourage a high level of interoperability</w:t>
      </w:r>
      <w:bookmarkEnd w:id="94"/>
    </w:p>
    <w:p w14:paraId="29BC27EB" w14:textId="7C0F49E8" w:rsidR="009F7785" w:rsidRDefault="009F7785" w:rsidP="00BC65A1">
      <w:pPr>
        <w:pStyle w:val="DHHSbody"/>
        <w:rPr>
          <w:bCs/>
        </w:rPr>
      </w:pPr>
    </w:p>
    <w:p w14:paraId="71934031" w14:textId="69D97E13" w:rsidR="00BD1323" w:rsidRPr="009F7785" w:rsidRDefault="00BD1323" w:rsidP="00BC65A1">
      <w:pPr>
        <w:pStyle w:val="DHHSbody"/>
        <w:rPr>
          <w:bCs/>
        </w:rPr>
      </w:pPr>
      <w:r w:rsidRPr="00C61923">
        <w:rPr>
          <w:b/>
        </w:rPr>
        <w:t>For further clarification on this standard, the Digital Health branch can be contacted on digitalhealth@dhhs.vic.gov.au or as per the contact details available on the DHHS Digital Health’s website</w:t>
      </w:r>
      <w:r w:rsidRPr="00BD1323">
        <w:rPr>
          <w:bCs/>
        </w:rPr>
        <w:t>.</w:t>
      </w:r>
    </w:p>
    <w:p w14:paraId="47E4DA37" w14:textId="724D718E" w:rsidR="001815B2" w:rsidRPr="009F7785" w:rsidRDefault="009F7785" w:rsidP="009F7785">
      <w:pPr>
        <w:pStyle w:val="Heading1"/>
        <w:pageBreakBefore/>
        <w:numPr>
          <w:ilvl w:val="0"/>
          <w:numId w:val="0"/>
        </w:numPr>
      </w:pPr>
      <w:bookmarkStart w:id="95" w:name="_Toc50547737"/>
      <w:r w:rsidRPr="00691574">
        <w:lastRenderedPageBreak/>
        <w:t xml:space="preserve">Appendix </w:t>
      </w:r>
      <w:r>
        <w:t>B</w:t>
      </w:r>
      <w:r w:rsidRPr="00691574">
        <w:t xml:space="preserve"> – </w:t>
      </w:r>
      <w:r>
        <w:t>Terms and Definitions</w:t>
      </w:r>
      <w:bookmarkEnd w:id="95"/>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802FD2" w:rsidRPr="00776001" w14:paraId="368204A5" w14:textId="77777777" w:rsidTr="0073065A">
        <w:tc>
          <w:tcPr>
            <w:tcW w:w="2461" w:type="dxa"/>
            <w:shd w:val="clear" w:color="auto" w:fill="E7E6E6" w:themeFill="background2"/>
          </w:tcPr>
          <w:p w14:paraId="3194404E" w14:textId="77777777" w:rsidR="00802FD2" w:rsidRPr="00776001" w:rsidRDefault="00802FD2" w:rsidP="0073065A">
            <w:pPr>
              <w:pStyle w:val="NoSpacing"/>
              <w:spacing w:beforeLines="20" w:before="48" w:afterLines="20" w:after="48"/>
              <w:rPr>
                <w:rFonts w:ascii="Arial" w:hAnsi="Arial" w:cs="Arial"/>
                <w:b/>
                <w:color w:val="000000" w:themeColor="text1"/>
                <w:lang w:val="en-AU"/>
              </w:rPr>
            </w:pPr>
            <w:r w:rsidRPr="00776001">
              <w:rPr>
                <w:rFonts w:ascii="Arial" w:hAnsi="Arial" w:cs="Arial"/>
                <w:b/>
                <w:color w:val="000000" w:themeColor="text1"/>
                <w:lang w:val="en-AU"/>
              </w:rPr>
              <w:t>Term</w:t>
            </w:r>
          </w:p>
        </w:tc>
        <w:tc>
          <w:tcPr>
            <w:tcW w:w="6878" w:type="dxa"/>
            <w:shd w:val="clear" w:color="auto" w:fill="E7E6E6" w:themeFill="background2"/>
          </w:tcPr>
          <w:p w14:paraId="1F73BF63" w14:textId="77777777" w:rsidR="00802FD2" w:rsidRPr="00776001" w:rsidRDefault="00802FD2" w:rsidP="0073065A">
            <w:pPr>
              <w:pStyle w:val="NoSpacing"/>
              <w:spacing w:beforeLines="20" w:before="48" w:afterLines="20" w:after="48"/>
              <w:rPr>
                <w:rFonts w:ascii="Arial" w:hAnsi="Arial" w:cs="Arial"/>
                <w:b/>
                <w:color w:val="000000" w:themeColor="text1"/>
                <w:lang w:val="en-AU"/>
              </w:rPr>
            </w:pPr>
            <w:r w:rsidRPr="00776001">
              <w:rPr>
                <w:rFonts w:ascii="Arial" w:hAnsi="Arial" w:cs="Arial"/>
                <w:b/>
                <w:color w:val="000000" w:themeColor="text1"/>
                <w:lang w:val="en-AU"/>
              </w:rPr>
              <w:t>Description</w:t>
            </w:r>
          </w:p>
        </w:tc>
      </w:tr>
      <w:tr w:rsidR="00802FD2" w:rsidRPr="00776001" w14:paraId="3DDB534D" w14:textId="77777777" w:rsidTr="0073065A">
        <w:tc>
          <w:tcPr>
            <w:tcW w:w="2461" w:type="dxa"/>
            <w:shd w:val="clear" w:color="auto" w:fill="auto"/>
          </w:tcPr>
          <w:p w14:paraId="34F8F2F4" w14:textId="77777777" w:rsidR="00802FD2" w:rsidRPr="00776001" w:rsidRDefault="00802FD2" w:rsidP="0073065A">
            <w:pPr>
              <w:spacing w:beforeLines="20" w:before="48" w:afterLines="20" w:after="48"/>
              <w:rPr>
                <w:rFonts w:cs="Arial"/>
              </w:rPr>
            </w:pPr>
            <w:r w:rsidRPr="00776001">
              <w:rPr>
                <w:rFonts w:cs="Arial"/>
              </w:rPr>
              <w:t>ACHI</w:t>
            </w:r>
          </w:p>
        </w:tc>
        <w:tc>
          <w:tcPr>
            <w:tcW w:w="6878" w:type="dxa"/>
            <w:shd w:val="clear" w:color="auto" w:fill="auto"/>
          </w:tcPr>
          <w:p w14:paraId="4D8D3948" w14:textId="77777777" w:rsidR="00802FD2" w:rsidRPr="00776001" w:rsidRDefault="00802FD2" w:rsidP="0073065A">
            <w:pPr>
              <w:spacing w:beforeLines="20" w:before="48" w:afterLines="20" w:after="48"/>
              <w:rPr>
                <w:rFonts w:cs="Arial"/>
              </w:rPr>
            </w:pPr>
            <w:r w:rsidRPr="00776001">
              <w:rPr>
                <w:rFonts w:cs="Arial"/>
              </w:rPr>
              <w:t>Australian Classification of Heath Interventions</w:t>
            </w:r>
          </w:p>
        </w:tc>
      </w:tr>
      <w:tr w:rsidR="00DC5DCF" w:rsidRPr="00776001" w14:paraId="3C82612C" w14:textId="77777777" w:rsidTr="0073065A">
        <w:tc>
          <w:tcPr>
            <w:tcW w:w="2461" w:type="dxa"/>
            <w:shd w:val="clear" w:color="auto" w:fill="auto"/>
          </w:tcPr>
          <w:p w14:paraId="22178A24" w14:textId="77777777" w:rsidR="00DC5DCF" w:rsidRPr="00776001" w:rsidRDefault="00DC5DCF" w:rsidP="0073065A">
            <w:pPr>
              <w:spacing w:beforeLines="20" w:before="48" w:afterLines="20" w:after="48"/>
              <w:rPr>
                <w:rFonts w:cs="Arial"/>
              </w:rPr>
            </w:pPr>
            <w:r w:rsidRPr="00776001">
              <w:rPr>
                <w:rFonts w:cs="Arial"/>
              </w:rPr>
              <w:t>ACK</w:t>
            </w:r>
          </w:p>
        </w:tc>
        <w:tc>
          <w:tcPr>
            <w:tcW w:w="6878" w:type="dxa"/>
            <w:shd w:val="clear" w:color="auto" w:fill="auto"/>
          </w:tcPr>
          <w:p w14:paraId="7C1B4065" w14:textId="77777777" w:rsidR="00DC5DCF" w:rsidRPr="00776001" w:rsidRDefault="00DC5DCF" w:rsidP="0073065A">
            <w:pPr>
              <w:spacing w:beforeLines="20" w:before="48" w:afterLines="20" w:after="48"/>
              <w:rPr>
                <w:rFonts w:cs="Arial"/>
              </w:rPr>
            </w:pPr>
            <w:r w:rsidRPr="00776001">
              <w:rPr>
                <w:rFonts w:cs="Arial"/>
              </w:rPr>
              <w:t>HL7 positive acknowledgement message</w:t>
            </w:r>
          </w:p>
        </w:tc>
      </w:tr>
      <w:tr w:rsidR="004A7C46" w:rsidRPr="00776001" w14:paraId="52EF4D59" w14:textId="77777777" w:rsidTr="0073065A">
        <w:tc>
          <w:tcPr>
            <w:tcW w:w="2461" w:type="dxa"/>
            <w:shd w:val="clear" w:color="auto" w:fill="auto"/>
          </w:tcPr>
          <w:p w14:paraId="00C1530C" w14:textId="698B6966" w:rsidR="004A7C46" w:rsidRPr="00776001" w:rsidRDefault="004A7C46" w:rsidP="0073065A">
            <w:pPr>
              <w:spacing w:beforeLines="20" w:before="48" w:afterLines="20" w:after="48"/>
              <w:rPr>
                <w:rFonts w:cs="Arial"/>
              </w:rPr>
            </w:pPr>
            <w:r>
              <w:rPr>
                <w:rFonts w:cs="Arial"/>
              </w:rPr>
              <w:t>ADHA</w:t>
            </w:r>
          </w:p>
        </w:tc>
        <w:tc>
          <w:tcPr>
            <w:tcW w:w="6878" w:type="dxa"/>
            <w:shd w:val="clear" w:color="auto" w:fill="auto"/>
          </w:tcPr>
          <w:p w14:paraId="139B96A7" w14:textId="0B28FA96" w:rsidR="004A7C46" w:rsidRPr="00776001" w:rsidRDefault="004A7C46" w:rsidP="0073065A">
            <w:pPr>
              <w:spacing w:beforeLines="20" w:before="48" w:afterLines="20" w:after="48"/>
              <w:rPr>
                <w:rFonts w:cs="Arial"/>
              </w:rPr>
            </w:pPr>
            <w:r>
              <w:rPr>
                <w:rFonts w:cs="Arial"/>
              </w:rPr>
              <w:t>Australian Digital Health Agency</w:t>
            </w:r>
          </w:p>
        </w:tc>
      </w:tr>
      <w:tr w:rsidR="00354A92" w:rsidRPr="00776001" w14:paraId="54DFDD8F" w14:textId="77777777" w:rsidTr="0073065A">
        <w:tc>
          <w:tcPr>
            <w:tcW w:w="2461" w:type="dxa"/>
            <w:shd w:val="clear" w:color="auto" w:fill="auto"/>
          </w:tcPr>
          <w:p w14:paraId="70D69FD6" w14:textId="77777777" w:rsidR="00354A92" w:rsidRPr="00776001" w:rsidRDefault="00354A92" w:rsidP="0073065A">
            <w:pPr>
              <w:spacing w:beforeLines="20" w:before="48" w:afterLines="20" w:after="48"/>
              <w:rPr>
                <w:rFonts w:cs="Arial"/>
              </w:rPr>
            </w:pPr>
            <w:r w:rsidRPr="00776001">
              <w:rPr>
                <w:rFonts w:cs="Arial"/>
              </w:rPr>
              <w:t>ADT</w:t>
            </w:r>
          </w:p>
        </w:tc>
        <w:tc>
          <w:tcPr>
            <w:tcW w:w="6878" w:type="dxa"/>
            <w:shd w:val="clear" w:color="auto" w:fill="auto"/>
          </w:tcPr>
          <w:p w14:paraId="74BEC030" w14:textId="77777777" w:rsidR="00354A92" w:rsidRPr="00776001" w:rsidRDefault="00354A92" w:rsidP="0073065A">
            <w:pPr>
              <w:spacing w:beforeLines="20" w:before="48" w:afterLines="20" w:after="48"/>
              <w:rPr>
                <w:rFonts w:cs="Arial"/>
              </w:rPr>
            </w:pPr>
            <w:r w:rsidRPr="00776001">
              <w:rPr>
                <w:rFonts w:cs="Arial"/>
              </w:rPr>
              <w:t>Admissions, Transfers and Discharges, relating the Patient Administration System</w:t>
            </w:r>
          </w:p>
        </w:tc>
      </w:tr>
      <w:tr w:rsidR="00DC5DCF" w:rsidRPr="00776001" w14:paraId="47E3875A" w14:textId="77777777" w:rsidTr="0073065A">
        <w:tc>
          <w:tcPr>
            <w:tcW w:w="2461" w:type="dxa"/>
            <w:shd w:val="clear" w:color="auto" w:fill="auto"/>
          </w:tcPr>
          <w:p w14:paraId="2B4394FC" w14:textId="77777777" w:rsidR="00DC5DCF" w:rsidRPr="00776001" w:rsidRDefault="00DC5DCF" w:rsidP="0073065A">
            <w:pPr>
              <w:spacing w:beforeLines="20" w:before="48" w:afterLines="20" w:after="48"/>
              <w:rPr>
                <w:rFonts w:cs="Arial"/>
              </w:rPr>
            </w:pPr>
            <w:r w:rsidRPr="00776001">
              <w:rPr>
                <w:rFonts w:cs="Arial"/>
              </w:rPr>
              <w:t>AIE</w:t>
            </w:r>
          </w:p>
        </w:tc>
        <w:tc>
          <w:tcPr>
            <w:tcW w:w="6878" w:type="dxa"/>
            <w:shd w:val="clear" w:color="auto" w:fill="auto"/>
          </w:tcPr>
          <w:p w14:paraId="5AB75FD0" w14:textId="77777777" w:rsidR="00DC5DCF" w:rsidRPr="00776001" w:rsidRDefault="00DC5DCF" w:rsidP="0073065A">
            <w:pPr>
              <w:spacing w:beforeLines="20" w:before="48" w:afterLines="20" w:after="48"/>
              <w:rPr>
                <w:rFonts w:cs="Arial"/>
              </w:rPr>
            </w:pPr>
            <w:r w:rsidRPr="00776001">
              <w:rPr>
                <w:rFonts w:cs="Arial"/>
              </w:rPr>
              <w:t>Health service/Agency Integration Engine</w:t>
            </w:r>
          </w:p>
        </w:tc>
      </w:tr>
      <w:tr w:rsidR="00706C3E" w:rsidRPr="00776001" w14:paraId="12E7FADA" w14:textId="77777777" w:rsidTr="0073065A">
        <w:tc>
          <w:tcPr>
            <w:tcW w:w="2461" w:type="dxa"/>
            <w:shd w:val="clear" w:color="auto" w:fill="auto"/>
          </w:tcPr>
          <w:p w14:paraId="7ECC6AE6" w14:textId="77777777" w:rsidR="00706C3E" w:rsidRPr="00776001" w:rsidRDefault="00706C3E" w:rsidP="0073065A">
            <w:pPr>
              <w:spacing w:beforeLines="20" w:before="48" w:afterLines="20" w:after="48"/>
              <w:rPr>
                <w:rFonts w:cs="Arial"/>
              </w:rPr>
            </w:pPr>
            <w:r w:rsidRPr="00776001">
              <w:rPr>
                <w:rFonts w:cs="Arial"/>
              </w:rPr>
              <w:t>AMT</w:t>
            </w:r>
          </w:p>
        </w:tc>
        <w:tc>
          <w:tcPr>
            <w:tcW w:w="6878" w:type="dxa"/>
            <w:shd w:val="clear" w:color="auto" w:fill="auto"/>
          </w:tcPr>
          <w:p w14:paraId="032DE648" w14:textId="7E37FED3" w:rsidR="00706C3E" w:rsidRPr="00776001" w:rsidRDefault="00706C3E" w:rsidP="0073065A">
            <w:pPr>
              <w:spacing w:beforeLines="20" w:before="48" w:afterLines="20" w:after="48"/>
              <w:rPr>
                <w:rFonts w:cs="Arial"/>
              </w:rPr>
            </w:pPr>
            <w:r w:rsidRPr="00776001">
              <w:rPr>
                <w:rFonts w:cs="Arial"/>
              </w:rPr>
              <w:t xml:space="preserve">Australian Medicines Terminology, this information has been produced by </w:t>
            </w:r>
            <w:r w:rsidR="004A7C46">
              <w:rPr>
                <w:rFonts w:cs="Arial"/>
              </w:rPr>
              <w:t>ADHA</w:t>
            </w:r>
            <w:r w:rsidR="004A7C46" w:rsidRPr="00776001">
              <w:rPr>
                <w:rFonts w:cs="Arial"/>
              </w:rPr>
              <w:t xml:space="preserve"> </w:t>
            </w:r>
            <w:r w:rsidRPr="00776001">
              <w:rPr>
                <w:rFonts w:cs="Arial"/>
              </w:rPr>
              <w:t>as an extension to SNOMED-CT</w:t>
            </w:r>
          </w:p>
        </w:tc>
      </w:tr>
      <w:tr w:rsidR="00706C3E" w:rsidRPr="00776001" w14:paraId="4CFE50A4" w14:textId="77777777" w:rsidTr="0073065A">
        <w:tc>
          <w:tcPr>
            <w:tcW w:w="2461" w:type="dxa"/>
            <w:shd w:val="clear" w:color="auto" w:fill="auto"/>
          </w:tcPr>
          <w:p w14:paraId="688F347E" w14:textId="77777777" w:rsidR="00706C3E" w:rsidRPr="00776001" w:rsidRDefault="00706C3E" w:rsidP="0073065A">
            <w:pPr>
              <w:spacing w:beforeLines="20" w:before="48" w:afterLines="20" w:after="48"/>
              <w:rPr>
                <w:rFonts w:cs="Arial"/>
              </w:rPr>
            </w:pPr>
            <w:r w:rsidRPr="00776001">
              <w:rPr>
                <w:rFonts w:cs="Arial"/>
              </w:rPr>
              <w:t>AtoA</w:t>
            </w:r>
          </w:p>
        </w:tc>
        <w:tc>
          <w:tcPr>
            <w:tcW w:w="6878" w:type="dxa"/>
            <w:shd w:val="clear" w:color="auto" w:fill="auto"/>
          </w:tcPr>
          <w:p w14:paraId="58DDB890" w14:textId="77777777" w:rsidR="00706C3E" w:rsidRPr="00776001" w:rsidRDefault="00706C3E" w:rsidP="0073065A">
            <w:pPr>
              <w:spacing w:beforeLines="20" w:before="48" w:afterLines="20" w:after="48"/>
              <w:rPr>
                <w:rFonts w:cs="Arial"/>
              </w:rPr>
            </w:pPr>
            <w:r w:rsidRPr="00776001">
              <w:rPr>
                <w:rFonts w:cs="Arial"/>
              </w:rPr>
              <w:t>Sharing of Application information (Application functions) across multiple applications</w:t>
            </w:r>
          </w:p>
        </w:tc>
      </w:tr>
      <w:tr w:rsidR="00AB2F17" w:rsidRPr="00776001" w14:paraId="71D3EEBF" w14:textId="77777777" w:rsidTr="0073065A">
        <w:tc>
          <w:tcPr>
            <w:tcW w:w="2461" w:type="dxa"/>
            <w:shd w:val="clear" w:color="auto" w:fill="auto"/>
          </w:tcPr>
          <w:p w14:paraId="536885BC" w14:textId="77777777" w:rsidR="00AB2F17" w:rsidRPr="00776001" w:rsidRDefault="00AB2F17" w:rsidP="0073065A">
            <w:pPr>
              <w:spacing w:beforeLines="20" w:before="48" w:afterLines="20" w:after="48"/>
              <w:rPr>
                <w:rFonts w:cs="Arial"/>
              </w:rPr>
            </w:pPr>
            <w:r w:rsidRPr="00776001">
              <w:rPr>
                <w:rFonts w:cs="Arial"/>
              </w:rPr>
              <w:t>B2B</w:t>
            </w:r>
          </w:p>
        </w:tc>
        <w:tc>
          <w:tcPr>
            <w:tcW w:w="6878" w:type="dxa"/>
            <w:shd w:val="clear" w:color="auto" w:fill="auto"/>
          </w:tcPr>
          <w:p w14:paraId="6BDF552F" w14:textId="77777777" w:rsidR="00AB2F17" w:rsidRPr="00776001" w:rsidRDefault="00AB2F17" w:rsidP="0073065A">
            <w:pPr>
              <w:spacing w:beforeLines="20" w:before="48" w:afterLines="20" w:after="48"/>
              <w:rPr>
                <w:rFonts w:cs="Arial"/>
              </w:rPr>
            </w:pPr>
            <w:r w:rsidRPr="00776001">
              <w:rPr>
                <w:rFonts w:cs="Arial"/>
              </w:rPr>
              <w:t>Sharing of business information (Business functions) across business entities</w:t>
            </w:r>
          </w:p>
        </w:tc>
      </w:tr>
      <w:tr w:rsidR="00802FD2" w:rsidRPr="00776001" w14:paraId="1F46878D" w14:textId="77777777" w:rsidTr="0073065A">
        <w:tc>
          <w:tcPr>
            <w:tcW w:w="2461" w:type="dxa"/>
            <w:shd w:val="clear" w:color="auto" w:fill="auto"/>
          </w:tcPr>
          <w:p w14:paraId="6A7B0D32" w14:textId="77777777" w:rsidR="00802FD2" w:rsidRPr="00776001" w:rsidRDefault="00802FD2" w:rsidP="0073065A">
            <w:pPr>
              <w:spacing w:beforeLines="20" w:before="48" w:afterLines="20" w:after="48"/>
              <w:rPr>
                <w:rFonts w:cs="Arial"/>
              </w:rPr>
            </w:pPr>
            <w:r w:rsidRPr="00776001">
              <w:rPr>
                <w:rFonts w:cs="Arial"/>
              </w:rPr>
              <w:t>CIS</w:t>
            </w:r>
          </w:p>
        </w:tc>
        <w:tc>
          <w:tcPr>
            <w:tcW w:w="6878" w:type="dxa"/>
            <w:shd w:val="clear" w:color="auto" w:fill="auto"/>
          </w:tcPr>
          <w:p w14:paraId="0DB62217" w14:textId="77777777" w:rsidR="00802FD2" w:rsidRPr="00776001" w:rsidRDefault="00802FD2" w:rsidP="0073065A">
            <w:pPr>
              <w:spacing w:beforeLines="20" w:before="48" w:afterLines="20" w:after="48"/>
              <w:rPr>
                <w:rFonts w:cs="Arial"/>
              </w:rPr>
            </w:pPr>
            <w:r w:rsidRPr="00776001">
              <w:rPr>
                <w:rFonts w:cs="Arial"/>
              </w:rPr>
              <w:t>Clinical Information System</w:t>
            </w:r>
          </w:p>
        </w:tc>
      </w:tr>
      <w:tr w:rsidR="00AB2F17" w:rsidRPr="00776001" w14:paraId="32AF67A5" w14:textId="77777777" w:rsidTr="0073065A">
        <w:tc>
          <w:tcPr>
            <w:tcW w:w="2461" w:type="dxa"/>
            <w:shd w:val="clear" w:color="auto" w:fill="auto"/>
          </w:tcPr>
          <w:p w14:paraId="6FCAF2BA" w14:textId="77777777" w:rsidR="00AB2F17" w:rsidRPr="00776001" w:rsidRDefault="00AB2F17" w:rsidP="0073065A">
            <w:pPr>
              <w:spacing w:beforeLines="20" w:before="48" w:afterLines="20" w:after="48"/>
              <w:rPr>
                <w:rFonts w:cs="Arial"/>
              </w:rPr>
            </w:pPr>
            <w:r w:rsidRPr="00776001">
              <w:rPr>
                <w:rFonts w:cs="Arial"/>
              </w:rPr>
              <w:t>CMBS</w:t>
            </w:r>
          </w:p>
        </w:tc>
        <w:tc>
          <w:tcPr>
            <w:tcW w:w="6878" w:type="dxa"/>
            <w:shd w:val="clear" w:color="auto" w:fill="auto"/>
          </w:tcPr>
          <w:p w14:paraId="57CEC6D9" w14:textId="77777777" w:rsidR="00AB2F17" w:rsidRPr="00776001" w:rsidRDefault="00AB2F17" w:rsidP="0073065A">
            <w:pPr>
              <w:spacing w:beforeLines="20" w:before="48" w:afterLines="20" w:after="48"/>
              <w:rPr>
                <w:rFonts w:cs="Arial"/>
              </w:rPr>
            </w:pPr>
            <w:r w:rsidRPr="00776001">
              <w:rPr>
                <w:rFonts w:cs="Arial"/>
              </w:rPr>
              <w:t>Commonwealth Medicare Benefits Schedule</w:t>
            </w:r>
          </w:p>
        </w:tc>
      </w:tr>
      <w:tr w:rsidR="00AB2F17" w:rsidRPr="00776001" w14:paraId="2C94E3F5" w14:textId="77777777" w:rsidTr="0073065A">
        <w:tc>
          <w:tcPr>
            <w:tcW w:w="2461" w:type="dxa"/>
            <w:shd w:val="clear" w:color="auto" w:fill="auto"/>
          </w:tcPr>
          <w:p w14:paraId="0E28059A" w14:textId="77777777" w:rsidR="00AB2F17" w:rsidRPr="00776001" w:rsidRDefault="00AB2F17" w:rsidP="0073065A">
            <w:pPr>
              <w:spacing w:beforeLines="20" w:before="48" w:afterLines="20" w:after="48"/>
              <w:rPr>
                <w:rFonts w:cs="Arial"/>
              </w:rPr>
            </w:pPr>
            <w:r w:rsidRPr="00776001">
              <w:rPr>
                <w:rFonts w:cs="Arial"/>
              </w:rPr>
              <w:t>CMS</w:t>
            </w:r>
          </w:p>
        </w:tc>
        <w:tc>
          <w:tcPr>
            <w:tcW w:w="6878" w:type="dxa"/>
            <w:shd w:val="clear" w:color="auto" w:fill="auto"/>
          </w:tcPr>
          <w:p w14:paraId="306BA490" w14:textId="77777777" w:rsidR="00AB2F17" w:rsidRPr="00776001" w:rsidRDefault="00AB2F17" w:rsidP="0073065A">
            <w:pPr>
              <w:spacing w:beforeLines="20" w:before="48" w:afterLines="20" w:after="48"/>
              <w:rPr>
                <w:rFonts w:cs="Arial"/>
              </w:rPr>
            </w:pPr>
            <w:r w:rsidRPr="00776001">
              <w:rPr>
                <w:rFonts w:cs="Arial"/>
              </w:rPr>
              <w:t>Client Management System for community health</w:t>
            </w:r>
          </w:p>
        </w:tc>
      </w:tr>
      <w:tr w:rsidR="00802FD2" w:rsidRPr="00776001" w14:paraId="399E79E9" w14:textId="77777777" w:rsidTr="0073065A">
        <w:tc>
          <w:tcPr>
            <w:tcW w:w="2461" w:type="dxa"/>
            <w:shd w:val="clear" w:color="auto" w:fill="auto"/>
          </w:tcPr>
          <w:p w14:paraId="26A62BBF" w14:textId="77777777" w:rsidR="00802FD2" w:rsidRPr="00776001" w:rsidRDefault="00802FD2" w:rsidP="0073065A">
            <w:pPr>
              <w:spacing w:beforeLines="20" w:before="48" w:afterLines="20" w:after="48"/>
              <w:rPr>
                <w:rFonts w:cs="Arial"/>
              </w:rPr>
            </w:pPr>
            <w:r w:rsidRPr="00776001">
              <w:rPr>
                <w:rFonts w:cs="Arial"/>
              </w:rPr>
              <w:t>DHHS</w:t>
            </w:r>
          </w:p>
        </w:tc>
        <w:tc>
          <w:tcPr>
            <w:tcW w:w="6878" w:type="dxa"/>
            <w:shd w:val="clear" w:color="auto" w:fill="auto"/>
          </w:tcPr>
          <w:p w14:paraId="4FE9062B" w14:textId="77777777" w:rsidR="00802FD2" w:rsidRPr="00776001" w:rsidRDefault="00802FD2" w:rsidP="0073065A">
            <w:pPr>
              <w:spacing w:beforeLines="20" w:before="48" w:afterLines="20" w:after="48"/>
              <w:rPr>
                <w:rFonts w:cs="Arial"/>
              </w:rPr>
            </w:pPr>
            <w:r w:rsidRPr="00776001">
              <w:rPr>
                <w:rFonts w:cs="Arial"/>
              </w:rPr>
              <w:t>Victorian Department of Health &amp; Human Services</w:t>
            </w:r>
          </w:p>
        </w:tc>
      </w:tr>
      <w:tr w:rsidR="00802FD2" w:rsidRPr="00776001" w14:paraId="7D35AC1E" w14:textId="77777777" w:rsidTr="0073065A">
        <w:tc>
          <w:tcPr>
            <w:tcW w:w="2461" w:type="dxa"/>
            <w:shd w:val="clear" w:color="auto" w:fill="auto"/>
          </w:tcPr>
          <w:p w14:paraId="0FB7B4C4" w14:textId="77777777" w:rsidR="00802FD2" w:rsidRPr="00776001" w:rsidRDefault="00802FD2" w:rsidP="0073065A">
            <w:pPr>
              <w:spacing w:beforeLines="20" w:before="48" w:afterLines="20" w:after="48"/>
              <w:rPr>
                <w:rFonts w:cs="Arial"/>
              </w:rPr>
            </w:pPr>
            <w:r w:rsidRPr="00776001">
              <w:rPr>
                <w:rFonts w:cs="Arial"/>
              </w:rPr>
              <w:t>DH</w:t>
            </w:r>
          </w:p>
        </w:tc>
        <w:tc>
          <w:tcPr>
            <w:tcW w:w="6878" w:type="dxa"/>
            <w:shd w:val="clear" w:color="auto" w:fill="auto"/>
          </w:tcPr>
          <w:p w14:paraId="159E83DF" w14:textId="77777777" w:rsidR="00802FD2" w:rsidRPr="00776001" w:rsidRDefault="00802FD2" w:rsidP="0073065A">
            <w:pPr>
              <w:spacing w:beforeLines="20" w:before="48" w:afterLines="20" w:after="48"/>
              <w:rPr>
                <w:rFonts w:cs="Arial"/>
              </w:rPr>
            </w:pPr>
            <w:r w:rsidRPr="00776001">
              <w:rPr>
                <w:rFonts w:cs="Arial"/>
              </w:rPr>
              <w:t>Digital Health</w:t>
            </w:r>
          </w:p>
        </w:tc>
      </w:tr>
      <w:tr w:rsidR="00AB2F17" w:rsidRPr="00776001" w14:paraId="13CA2592" w14:textId="77777777" w:rsidTr="0073065A">
        <w:tc>
          <w:tcPr>
            <w:tcW w:w="2461" w:type="dxa"/>
            <w:shd w:val="clear" w:color="auto" w:fill="auto"/>
          </w:tcPr>
          <w:p w14:paraId="0F18FE40" w14:textId="77777777" w:rsidR="00AB2F17" w:rsidRPr="00776001" w:rsidRDefault="00AB2F17" w:rsidP="0073065A">
            <w:pPr>
              <w:spacing w:beforeLines="20" w:before="48" w:afterLines="20" w:after="48"/>
              <w:rPr>
                <w:rFonts w:cs="Arial"/>
              </w:rPr>
            </w:pPr>
            <w:r w:rsidRPr="00776001">
              <w:rPr>
                <w:rFonts w:cs="Arial"/>
              </w:rPr>
              <w:t>DRG</w:t>
            </w:r>
          </w:p>
        </w:tc>
        <w:tc>
          <w:tcPr>
            <w:tcW w:w="6878" w:type="dxa"/>
            <w:shd w:val="clear" w:color="auto" w:fill="auto"/>
          </w:tcPr>
          <w:p w14:paraId="4CDEA0C3" w14:textId="77777777" w:rsidR="00AB2F17" w:rsidRPr="00776001" w:rsidRDefault="00AB2F17" w:rsidP="0073065A">
            <w:pPr>
              <w:spacing w:beforeLines="20" w:before="48" w:afterLines="20" w:after="48"/>
              <w:rPr>
                <w:rFonts w:cs="Arial"/>
              </w:rPr>
            </w:pPr>
            <w:r w:rsidRPr="00776001">
              <w:rPr>
                <w:rFonts w:cs="Arial"/>
              </w:rPr>
              <w:t>Diagnostic Related Group</w:t>
            </w:r>
          </w:p>
        </w:tc>
      </w:tr>
      <w:tr w:rsidR="00802FD2" w:rsidRPr="00776001" w14:paraId="2B3C6A1A" w14:textId="77777777" w:rsidTr="0073065A">
        <w:tc>
          <w:tcPr>
            <w:tcW w:w="2461" w:type="dxa"/>
            <w:shd w:val="clear" w:color="auto" w:fill="auto"/>
          </w:tcPr>
          <w:p w14:paraId="4D100584" w14:textId="77777777" w:rsidR="00802FD2" w:rsidRPr="00776001" w:rsidRDefault="00802FD2" w:rsidP="0073065A">
            <w:pPr>
              <w:spacing w:beforeLines="20" w:before="48" w:afterLines="20" w:after="48"/>
              <w:rPr>
                <w:rFonts w:cs="Arial"/>
              </w:rPr>
            </w:pPr>
            <w:r w:rsidRPr="00776001">
              <w:rPr>
                <w:rFonts w:cs="Arial"/>
              </w:rPr>
              <w:t>Dose Range Checking</w:t>
            </w:r>
          </w:p>
        </w:tc>
        <w:tc>
          <w:tcPr>
            <w:tcW w:w="6878" w:type="dxa"/>
            <w:shd w:val="clear" w:color="auto" w:fill="auto"/>
          </w:tcPr>
          <w:p w14:paraId="7AB06A9F" w14:textId="77777777" w:rsidR="00802FD2" w:rsidRPr="00776001" w:rsidRDefault="00802FD2" w:rsidP="0073065A">
            <w:pPr>
              <w:spacing w:beforeLines="20" w:before="48" w:afterLines="20" w:after="48"/>
              <w:rPr>
                <w:rFonts w:cs="Arial"/>
              </w:rPr>
            </w:pPr>
            <w:r w:rsidRPr="00776001">
              <w:rPr>
                <w:rFonts w:cs="Arial"/>
              </w:rPr>
              <w:t>Functional medications administration capability that:</w:t>
            </w:r>
          </w:p>
          <w:p w14:paraId="5CF75583" w14:textId="77777777" w:rsidR="00802FD2" w:rsidRPr="00776001" w:rsidRDefault="00802FD2" w:rsidP="00764BE3">
            <w:pPr>
              <w:numPr>
                <w:ilvl w:val="0"/>
                <w:numId w:val="6"/>
              </w:numPr>
              <w:spacing w:beforeLines="20" w:before="48" w:afterLines="20" w:after="48" w:line="240" w:lineRule="auto"/>
              <w:jc w:val="left"/>
              <w:rPr>
                <w:rFonts w:cs="Arial"/>
              </w:rPr>
            </w:pPr>
            <w:r w:rsidRPr="00776001">
              <w:rPr>
                <w:rFonts w:cs="Arial"/>
                <w:lang w:val="en-US"/>
              </w:rPr>
              <w:t>assists pharmacists to validate a patient’s dose based on age, weight and surface area, frequency and route of administration, and other patient criteria</w:t>
            </w:r>
          </w:p>
          <w:p w14:paraId="17987742" w14:textId="77777777" w:rsidR="00802FD2" w:rsidRPr="00776001" w:rsidRDefault="00802FD2" w:rsidP="00764BE3">
            <w:pPr>
              <w:numPr>
                <w:ilvl w:val="0"/>
                <w:numId w:val="6"/>
              </w:numPr>
              <w:spacing w:beforeLines="20" w:before="48" w:afterLines="20" w:after="48" w:line="240" w:lineRule="auto"/>
              <w:jc w:val="left"/>
              <w:rPr>
                <w:rFonts w:cs="Arial"/>
              </w:rPr>
            </w:pPr>
            <w:r w:rsidRPr="00776001">
              <w:rPr>
                <w:rFonts w:cs="Arial"/>
                <w:lang w:val="en-US"/>
              </w:rPr>
              <w:t>takes into consideration, dosing interval and duration of therapy</w:t>
            </w:r>
          </w:p>
          <w:p w14:paraId="4F23CB55" w14:textId="77777777" w:rsidR="00802FD2" w:rsidRPr="00776001" w:rsidRDefault="00802FD2" w:rsidP="00764BE3">
            <w:pPr>
              <w:numPr>
                <w:ilvl w:val="0"/>
                <w:numId w:val="6"/>
              </w:numPr>
              <w:spacing w:beforeLines="20" w:before="48" w:afterLines="20" w:after="48" w:line="240" w:lineRule="auto"/>
              <w:jc w:val="left"/>
              <w:rPr>
                <w:rFonts w:cs="Arial"/>
              </w:rPr>
            </w:pPr>
            <w:r w:rsidRPr="00776001">
              <w:rPr>
                <w:rFonts w:cs="Arial"/>
              </w:rPr>
              <w:t>enables decision support rules across atomic pathology and medication doses to be formed</w:t>
            </w:r>
          </w:p>
        </w:tc>
      </w:tr>
      <w:tr w:rsidR="00802FD2" w:rsidRPr="00776001" w14:paraId="190FDF59" w14:textId="77777777" w:rsidTr="0073065A">
        <w:tc>
          <w:tcPr>
            <w:tcW w:w="2461" w:type="dxa"/>
            <w:shd w:val="clear" w:color="auto" w:fill="auto"/>
          </w:tcPr>
          <w:p w14:paraId="47BF2257" w14:textId="77777777" w:rsidR="00802FD2" w:rsidRPr="00776001" w:rsidRDefault="00802FD2" w:rsidP="0073065A">
            <w:pPr>
              <w:spacing w:beforeLines="20" w:before="48" w:afterLines="20" w:after="48"/>
              <w:rPr>
                <w:rFonts w:cs="Arial"/>
              </w:rPr>
            </w:pPr>
            <w:r w:rsidRPr="00776001">
              <w:rPr>
                <w:rFonts w:cs="Arial"/>
              </w:rPr>
              <w:t>EHR</w:t>
            </w:r>
          </w:p>
        </w:tc>
        <w:tc>
          <w:tcPr>
            <w:tcW w:w="6878" w:type="dxa"/>
            <w:shd w:val="clear" w:color="auto" w:fill="auto"/>
          </w:tcPr>
          <w:p w14:paraId="0A95349B" w14:textId="77777777" w:rsidR="00802FD2" w:rsidRPr="00776001" w:rsidRDefault="00802FD2" w:rsidP="0073065A">
            <w:pPr>
              <w:spacing w:beforeLines="20" w:before="48" w:afterLines="20" w:after="48"/>
              <w:rPr>
                <w:rFonts w:cs="Arial"/>
              </w:rPr>
            </w:pPr>
            <w:r w:rsidRPr="00776001">
              <w:rPr>
                <w:rFonts w:cs="Arial"/>
              </w:rPr>
              <w:t>Electronic Healthcare Record</w:t>
            </w:r>
          </w:p>
        </w:tc>
      </w:tr>
      <w:tr w:rsidR="00AB2F17" w:rsidRPr="00776001" w14:paraId="5901113A" w14:textId="77777777" w:rsidTr="0073065A">
        <w:tc>
          <w:tcPr>
            <w:tcW w:w="2461" w:type="dxa"/>
            <w:shd w:val="clear" w:color="auto" w:fill="auto"/>
          </w:tcPr>
          <w:p w14:paraId="10F82649" w14:textId="77777777" w:rsidR="00AB2F17" w:rsidRPr="00776001" w:rsidRDefault="00AB2F17" w:rsidP="0073065A">
            <w:pPr>
              <w:spacing w:beforeLines="20" w:before="48" w:afterLines="20" w:after="48"/>
              <w:rPr>
                <w:rFonts w:cs="Arial"/>
              </w:rPr>
            </w:pPr>
            <w:r w:rsidRPr="00776001">
              <w:rPr>
                <w:rFonts w:cs="Arial"/>
              </w:rPr>
              <w:t>EIPS</w:t>
            </w:r>
          </w:p>
        </w:tc>
        <w:tc>
          <w:tcPr>
            <w:tcW w:w="6878" w:type="dxa"/>
            <w:shd w:val="clear" w:color="auto" w:fill="auto"/>
          </w:tcPr>
          <w:p w14:paraId="1AE186E7" w14:textId="77777777" w:rsidR="00AB2F17" w:rsidRPr="00776001" w:rsidRDefault="00AB2F17" w:rsidP="0073065A">
            <w:pPr>
              <w:spacing w:beforeLines="20" w:before="48" w:afterLines="20" w:after="48"/>
              <w:rPr>
                <w:rFonts w:cs="Arial"/>
              </w:rPr>
            </w:pPr>
            <w:r w:rsidRPr="00776001">
              <w:rPr>
                <w:rFonts w:cs="Arial"/>
              </w:rPr>
              <w:t>Enterprise Implementation Planning Study</w:t>
            </w:r>
          </w:p>
        </w:tc>
      </w:tr>
      <w:tr w:rsidR="00802FD2" w:rsidRPr="00776001" w14:paraId="27EAB0D5" w14:textId="77777777" w:rsidTr="0073065A">
        <w:tc>
          <w:tcPr>
            <w:tcW w:w="2461" w:type="dxa"/>
            <w:shd w:val="clear" w:color="auto" w:fill="auto"/>
          </w:tcPr>
          <w:p w14:paraId="18FEB896" w14:textId="77777777" w:rsidR="00802FD2" w:rsidRPr="00776001" w:rsidRDefault="00802FD2" w:rsidP="0073065A">
            <w:pPr>
              <w:spacing w:beforeLines="20" w:before="48" w:afterLines="20" w:after="48"/>
              <w:rPr>
                <w:rFonts w:cs="Arial"/>
              </w:rPr>
            </w:pPr>
            <w:r w:rsidRPr="00776001">
              <w:rPr>
                <w:rFonts w:cs="Arial"/>
              </w:rPr>
              <w:t>ELS</w:t>
            </w:r>
          </w:p>
        </w:tc>
        <w:tc>
          <w:tcPr>
            <w:tcW w:w="6878" w:type="dxa"/>
            <w:shd w:val="clear" w:color="auto" w:fill="auto"/>
          </w:tcPr>
          <w:p w14:paraId="7EFC1626" w14:textId="77777777" w:rsidR="00802FD2" w:rsidRPr="00776001" w:rsidRDefault="00802FD2" w:rsidP="0073065A">
            <w:pPr>
              <w:spacing w:beforeLines="20" w:before="48" w:afterLines="20" w:after="48"/>
              <w:rPr>
                <w:rFonts w:cs="Arial"/>
              </w:rPr>
            </w:pPr>
            <w:r w:rsidRPr="00776001">
              <w:rPr>
                <w:rFonts w:cs="Arial"/>
              </w:rPr>
              <w:t>Endpoint Locator Service</w:t>
            </w:r>
          </w:p>
        </w:tc>
      </w:tr>
      <w:tr w:rsidR="00802FD2" w:rsidRPr="00776001" w14:paraId="21BE81CE" w14:textId="77777777" w:rsidTr="0073065A">
        <w:tc>
          <w:tcPr>
            <w:tcW w:w="2461" w:type="dxa"/>
            <w:shd w:val="clear" w:color="auto" w:fill="auto"/>
          </w:tcPr>
          <w:p w14:paraId="718EAD1F" w14:textId="77777777" w:rsidR="00802FD2" w:rsidRPr="00776001" w:rsidRDefault="00802FD2" w:rsidP="0073065A">
            <w:pPr>
              <w:spacing w:beforeLines="20" w:before="48" w:afterLines="20" w:after="48"/>
              <w:rPr>
                <w:rFonts w:cs="Arial"/>
              </w:rPr>
            </w:pPr>
            <w:r w:rsidRPr="00776001">
              <w:rPr>
                <w:rFonts w:cs="Arial"/>
              </w:rPr>
              <w:t>EMR</w:t>
            </w:r>
          </w:p>
        </w:tc>
        <w:tc>
          <w:tcPr>
            <w:tcW w:w="6878" w:type="dxa"/>
            <w:shd w:val="clear" w:color="auto" w:fill="auto"/>
          </w:tcPr>
          <w:p w14:paraId="099484FD" w14:textId="77777777" w:rsidR="00802FD2" w:rsidRPr="00776001" w:rsidRDefault="00802FD2" w:rsidP="0073065A">
            <w:pPr>
              <w:spacing w:beforeLines="20" w:before="48" w:afterLines="20" w:after="48"/>
              <w:rPr>
                <w:rFonts w:cs="Arial"/>
              </w:rPr>
            </w:pPr>
            <w:r w:rsidRPr="00776001">
              <w:rPr>
                <w:rFonts w:cs="Arial"/>
              </w:rPr>
              <w:t>Electronic Medical Record</w:t>
            </w:r>
          </w:p>
        </w:tc>
      </w:tr>
      <w:tr w:rsidR="00AB2F17" w:rsidRPr="00776001" w14:paraId="2B13405C" w14:textId="77777777" w:rsidTr="0073065A">
        <w:tc>
          <w:tcPr>
            <w:tcW w:w="2461" w:type="dxa"/>
            <w:shd w:val="clear" w:color="auto" w:fill="auto"/>
          </w:tcPr>
          <w:p w14:paraId="24866F8A" w14:textId="77777777" w:rsidR="00AB2F17" w:rsidRPr="00776001" w:rsidRDefault="00AB2F17" w:rsidP="0073065A">
            <w:pPr>
              <w:spacing w:beforeLines="20" w:before="48" w:afterLines="20" w:after="48"/>
              <w:rPr>
                <w:rFonts w:cs="Arial"/>
              </w:rPr>
            </w:pPr>
            <w:r w:rsidRPr="00776001">
              <w:rPr>
                <w:rFonts w:cs="Arial"/>
              </w:rPr>
              <w:t>EMPI</w:t>
            </w:r>
          </w:p>
        </w:tc>
        <w:tc>
          <w:tcPr>
            <w:tcW w:w="6878" w:type="dxa"/>
            <w:shd w:val="clear" w:color="auto" w:fill="auto"/>
          </w:tcPr>
          <w:p w14:paraId="5471C158" w14:textId="77777777" w:rsidR="00AB2F17" w:rsidRPr="00776001" w:rsidRDefault="00AB2F17" w:rsidP="0073065A">
            <w:pPr>
              <w:spacing w:beforeLines="20" w:before="48" w:afterLines="20" w:after="48"/>
              <w:rPr>
                <w:rFonts w:cs="Arial"/>
              </w:rPr>
            </w:pPr>
            <w:r w:rsidRPr="00776001">
              <w:rPr>
                <w:rFonts w:cs="Arial"/>
              </w:rPr>
              <w:t>Enterprise Master Patient Index. This can be implemented in a health service State wide / Nationally</w:t>
            </w:r>
          </w:p>
        </w:tc>
      </w:tr>
      <w:tr w:rsidR="00AB2F17" w:rsidRPr="00776001" w14:paraId="39228ACA" w14:textId="77777777" w:rsidTr="0073065A">
        <w:tc>
          <w:tcPr>
            <w:tcW w:w="2461" w:type="dxa"/>
            <w:shd w:val="clear" w:color="auto" w:fill="auto"/>
          </w:tcPr>
          <w:p w14:paraId="1C98D8C6" w14:textId="77777777" w:rsidR="00AB2F17" w:rsidRPr="00776001" w:rsidRDefault="00D76ECC" w:rsidP="0073065A">
            <w:pPr>
              <w:spacing w:beforeLines="20" w:before="48" w:afterLines="20" w:after="48"/>
              <w:rPr>
                <w:rFonts w:cs="Arial"/>
              </w:rPr>
            </w:pPr>
            <w:r w:rsidRPr="00776001">
              <w:rPr>
                <w:rFonts w:cs="Arial"/>
              </w:rPr>
              <w:t>Event Message Set</w:t>
            </w:r>
          </w:p>
        </w:tc>
        <w:tc>
          <w:tcPr>
            <w:tcW w:w="6878" w:type="dxa"/>
            <w:shd w:val="clear" w:color="auto" w:fill="auto"/>
          </w:tcPr>
          <w:p w14:paraId="2EC0E51E" w14:textId="77777777" w:rsidR="00AB2F17" w:rsidRPr="00776001" w:rsidRDefault="00D76ECC" w:rsidP="0073065A">
            <w:pPr>
              <w:spacing w:beforeLines="20" w:before="48" w:afterLines="20" w:after="48"/>
              <w:rPr>
                <w:rFonts w:cs="Arial"/>
              </w:rPr>
            </w:pPr>
            <w:r w:rsidRPr="00776001">
              <w:rPr>
                <w:rFonts w:cs="Arial"/>
              </w:rPr>
              <w:t>A HL7 interface message that relates to a business function within an application. For example, the HL7 transfer message (A02).</w:t>
            </w:r>
          </w:p>
        </w:tc>
      </w:tr>
      <w:tr w:rsidR="00802FD2" w:rsidRPr="00776001" w14:paraId="0068F736" w14:textId="77777777" w:rsidTr="0073065A">
        <w:tc>
          <w:tcPr>
            <w:tcW w:w="2461" w:type="dxa"/>
            <w:shd w:val="clear" w:color="auto" w:fill="auto"/>
          </w:tcPr>
          <w:p w14:paraId="7D332785" w14:textId="77777777" w:rsidR="00802FD2" w:rsidRPr="00776001" w:rsidRDefault="00802FD2" w:rsidP="0073065A">
            <w:pPr>
              <w:spacing w:beforeLines="20" w:before="48" w:afterLines="20" w:after="48"/>
              <w:rPr>
                <w:rFonts w:cs="Arial"/>
              </w:rPr>
            </w:pPr>
            <w:r w:rsidRPr="00776001">
              <w:rPr>
                <w:rFonts w:cs="Arial"/>
              </w:rPr>
              <w:t>eTP</w:t>
            </w:r>
          </w:p>
        </w:tc>
        <w:tc>
          <w:tcPr>
            <w:tcW w:w="6878" w:type="dxa"/>
            <w:shd w:val="clear" w:color="auto" w:fill="auto"/>
          </w:tcPr>
          <w:p w14:paraId="2E8005BD" w14:textId="77777777" w:rsidR="00802FD2" w:rsidRPr="00776001" w:rsidRDefault="00802FD2" w:rsidP="0073065A">
            <w:pPr>
              <w:spacing w:beforeLines="20" w:before="48" w:afterLines="20" w:after="48"/>
              <w:rPr>
                <w:rFonts w:cs="Arial"/>
              </w:rPr>
            </w:pPr>
            <w:r w:rsidRPr="00776001">
              <w:rPr>
                <w:rFonts w:cs="Arial"/>
              </w:rPr>
              <w:t>Electronic Transfer of Prescriptions</w:t>
            </w:r>
          </w:p>
        </w:tc>
      </w:tr>
      <w:tr w:rsidR="00802FD2" w:rsidRPr="00776001" w14:paraId="39BBEC74" w14:textId="77777777" w:rsidTr="0073065A">
        <w:tc>
          <w:tcPr>
            <w:tcW w:w="2461" w:type="dxa"/>
            <w:shd w:val="clear" w:color="auto" w:fill="auto"/>
          </w:tcPr>
          <w:p w14:paraId="55E07409" w14:textId="77777777" w:rsidR="00802FD2" w:rsidRPr="00776001" w:rsidRDefault="00802FD2" w:rsidP="0073065A">
            <w:pPr>
              <w:spacing w:beforeLines="20" w:before="48" w:afterLines="20" w:after="48"/>
              <w:rPr>
                <w:rFonts w:cs="Arial"/>
              </w:rPr>
            </w:pPr>
            <w:r w:rsidRPr="00776001">
              <w:rPr>
                <w:rFonts w:cs="Arial"/>
              </w:rPr>
              <w:t>GP</w:t>
            </w:r>
          </w:p>
        </w:tc>
        <w:tc>
          <w:tcPr>
            <w:tcW w:w="6878" w:type="dxa"/>
            <w:shd w:val="clear" w:color="auto" w:fill="auto"/>
          </w:tcPr>
          <w:p w14:paraId="1ED05790" w14:textId="77777777" w:rsidR="00802FD2" w:rsidRPr="00776001" w:rsidRDefault="00802FD2" w:rsidP="0073065A">
            <w:pPr>
              <w:spacing w:beforeLines="20" w:before="48" w:afterLines="20" w:after="48"/>
              <w:rPr>
                <w:rFonts w:cs="Arial"/>
              </w:rPr>
            </w:pPr>
            <w:r w:rsidRPr="00776001">
              <w:rPr>
                <w:rFonts w:cs="Arial"/>
              </w:rPr>
              <w:t>General Practitioner</w:t>
            </w:r>
          </w:p>
        </w:tc>
      </w:tr>
      <w:tr w:rsidR="0073065A" w:rsidRPr="00776001" w14:paraId="4DF8E3DA" w14:textId="77777777" w:rsidTr="0073065A">
        <w:tc>
          <w:tcPr>
            <w:tcW w:w="2461" w:type="dxa"/>
            <w:shd w:val="clear" w:color="auto" w:fill="auto"/>
          </w:tcPr>
          <w:p w14:paraId="796B005E" w14:textId="77777777" w:rsidR="0073065A" w:rsidRPr="00776001" w:rsidRDefault="0073065A" w:rsidP="0073065A">
            <w:pPr>
              <w:spacing w:beforeLines="20" w:before="48" w:afterLines="20" w:after="48"/>
              <w:rPr>
                <w:rFonts w:cs="Arial"/>
              </w:rPr>
            </w:pPr>
            <w:r w:rsidRPr="00776001">
              <w:rPr>
                <w:rFonts w:cs="Arial"/>
              </w:rPr>
              <w:t>HealthNET</w:t>
            </w:r>
          </w:p>
        </w:tc>
        <w:tc>
          <w:tcPr>
            <w:tcW w:w="6878" w:type="dxa"/>
            <w:shd w:val="clear" w:color="auto" w:fill="auto"/>
          </w:tcPr>
          <w:p w14:paraId="18FA1B60" w14:textId="77777777" w:rsidR="0073065A" w:rsidRPr="00776001" w:rsidRDefault="0073065A" w:rsidP="0073065A">
            <w:pPr>
              <w:spacing w:beforeLines="20" w:before="48" w:afterLines="20" w:after="48"/>
              <w:rPr>
                <w:rFonts w:cs="Arial"/>
              </w:rPr>
            </w:pPr>
            <w:r w:rsidRPr="00776001">
              <w:rPr>
                <w:rFonts w:cs="Arial"/>
              </w:rPr>
              <w:t>Wide Area Network between various health services and OHIS</w:t>
            </w:r>
          </w:p>
        </w:tc>
      </w:tr>
      <w:tr w:rsidR="0073065A" w:rsidRPr="00776001" w14:paraId="4E6FC24D" w14:textId="77777777" w:rsidTr="0073065A">
        <w:tc>
          <w:tcPr>
            <w:tcW w:w="2461" w:type="dxa"/>
            <w:shd w:val="clear" w:color="auto" w:fill="auto"/>
          </w:tcPr>
          <w:p w14:paraId="604A01F4" w14:textId="77777777" w:rsidR="0073065A" w:rsidRPr="00776001" w:rsidRDefault="0073065A" w:rsidP="0073065A">
            <w:pPr>
              <w:spacing w:beforeLines="20" w:before="48" w:afterLines="20" w:after="48"/>
              <w:rPr>
                <w:rFonts w:cs="Arial"/>
              </w:rPr>
            </w:pPr>
            <w:r w:rsidRPr="00776001">
              <w:rPr>
                <w:rFonts w:cs="Arial"/>
              </w:rPr>
              <w:t>HPI-I/O</w:t>
            </w:r>
          </w:p>
        </w:tc>
        <w:tc>
          <w:tcPr>
            <w:tcW w:w="6878" w:type="dxa"/>
            <w:shd w:val="clear" w:color="auto" w:fill="auto"/>
          </w:tcPr>
          <w:p w14:paraId="1239CCBA" w14:textId="4537EC93" w:rsidR="0073065A" w:rsidRPr="00776001" w:rsidRDefault="007E6B2A" w:rsidP="0073065A">
            <w:pPr>
              <w:spacing w:beforeLines="20" w:before="48" w:afterLines="20" w:after="48"/>
              <w:rPr>
                <w:rFonts w:cs="Arial"/>
              </w:rPr>
            </w:pPr>
            <w:r>
              <w:rPr>
                <w:rFonts w:cs="Arial"/>
              </w:rPr>
              <w:t>ADHA</w:t>
            </w:r>
            <w:r w:rsidRPr="00776001">
              <w:rPr>
                <w:rFonts w:cs="Arial"/>
              </w:rPr>
              <w:t xml:space="preserve"> </w:t>
            </w:r>
            <w:r w:rsidR="0073065A" w:rsidRPr="00776001">
              <w:rPr>
                <w:rFonts w:cs="Arial"/>
              </w:rPr>
              <w:t>national provider and organisation index</w:t>
            </w:r>
          </w:p>
        </w:tc>
      </w:tr>
      <w:tr w:rsidR="00802FD2" w:rsidRPr="00776001" w14:paraId="459D8AF2" w14:textId="77777777" w:rsidTr="0073065A">
        <w:tc>
          <w:tcPr>
            <w:tcW w:w="2461" w:type="dxa"/>
            <w:shd w:val="clear" w:color="auto" w:fill="auto"/>
          </w:tcPr>
          <w:p w14:paraId="307DEFCC" w14:textId="77777777" w:rsidR="00802FD2" w:rsidRPr="00776001" w:rsidRDefault="00802FD2" w:rsidP="0073065A">
            <w:pPr>
              <w:spacing w:beforeLines="20" w:before="48" w:afterLines="20" w:after="48"/>
              <w:rPr>
                <w:rFonts w:cs="Arial"/>
              </w:rPr>
            </w:pPr>
            <w:r w:rsidRPr="00776001">
              <w:rPr>
                <w:rFonts w:cs="Arial"/>
              </w:rPr>
              <w:lastRenderedPageBreak/>
              <w:t>HSD</w:t>
            </w:r>
          </w:p>
        </w:tc>
        <w:tc>
          <w:tcPr>
            <w:tcW w:w="6878" w:type="dxa"/>
            <w:shd w:val="clear" w:color="auto" w:fill="auto"/>
          </w:tcPr>
          <w:p w14:paraId="6A652732" w14:textId="77777777" w:rsidR="00802FD2" w:rsidRPr="00776001" w:rsidRDefault="00802FD2" w:rsidP="0073065A">
            <w:pPr>
              <w:spacing w:beforeLines="20" w:before="48" w:afterLines="20" w:after="48"/>
              <w:rPr>
                <w:rFonts w:cs="Arial"/>
              </w:rPr>
            </w:pPr>
            <w:r w:rsidRPr="00776001">
              <w:rPr>
                <w:rFonts w:cs="Arial"/>
              </w:rPr>
              <w:t>Human Services Directory</w:t>
            </w:r>
          </w:p>
        </w:tc>
      </w:tr>
      <w:tr w:rsidR="0073065A" w:rsidRPr="00776001" w14:paraId="2405C81D" w14:textId="77777777" w:rsidTr="0073065A">
        <w:tc>
          <w:tcPr>
            <w:tcW w:w="2461" w:type="dxa"/>
            <w:shd w:val="clear" w:color="auto" w:fill="auto"/>
          </w:tcPr>
          <w:p w14:paraId="47E84154" w14:textId="77777777" w:rsidR="0073065A" w:rsidRPr="00776001" w:rsidRDefault="0073065A" w:rsidP="0073065A">
            <w:pPr>
              <w:spacing w:beforeLines="20" w:before="48" w:afterLines="20" w:after="48"/>
              <w:rPr>
                <w:rFonts w:cs="Arial"/>
              </w:rPr>
            </w:pPr>
            <w:r w:rsidRPr="00776001">
              <w:rPr>
                <w:rFonts w:cs="Arial"/>
              </w:rPr>
              <w:t>HSIE</w:t>
            </w:r>
          </w:p>
        </w:tc>
        <w:tc>
          <w:tcPr>
            <w:tcW w:w="6878" w:type="dxa"/>
            <w:shd w:val="clear" w:color="auto" w:fill="auto"/>
          </w:tcPr>
          <w:p w14:paraId="341EFE12" w14:textId="77777777" w:rsidR="0073065A" w:rsidRPr="00776001" w:rsidRDefault="0073065A" w:rsidP="0073065A">
            <w:pPr>
              <w:spacing w:beforeLines="20" w:before="48" w:afterLines="20" w:after="48"/>
              <w:rPr>
                <w:rFonts w:cs="Arial"/>
              </w:rPr>
            </w:pPr>
            <w:r w:rsidRPr="00776001">
              <w:rPr>
                <w:rFonts w:cs="Arial"/>
              </w:rPr>
              <w:t>Health</w:t>
            </w:r>
            <w:r w:rsidRPr="00776001">
              <w:rPr>
                <w:rFonts w:cs="Arial"/>
                <w:i/>
              </w:rPr>
              <w:t xml:space="preserve"> </w:t>
            </w:r>
            <w:r w:rsidRPr="00776001">
              <w:rPr>
                <w:rFonts w:cs="Arial"/>
              </w:rPr>
              <w:t>Systems Integration Engine</w:t>
            </w:r>
          </w:p>
        </w:tc>
      </w:tr>
      <w:tr w:rsidR="00802FD2" w:rsidRPr="00776001" w14:paraId="44C233B7" w14:textId="77777777" w:rsidTr="0073065A">
        <w:tc>
          <w:tcPr>
            <w:tcW w:w="2461" w:type="dxa"/>
            <w:shd w:val="clear" w:color="auto" w:fill="auto"/>
          </w:tcPr>
          <w:p w14:paraId="0CDAD6A2" w14:textId="0D7B8A10" w:rsidR="00802FD2" w:rsidRPr="00776001" w:rsidRDefault="00802FD2" w:rsidP="0073065A">
            <w:pPr>
              <w:spacing w:beforeLines="20" w:before="48" w:afterLines="20" w:after="48"/>
              <w:rPr>
                <w:rFonts w:cs="Arial"/>
              </w:rPr>
            </w:pPr>
            <w:r w:rsidRPr="00776001">
              <w:rPr>
                <w:rFonts w:cs="Arial"/>
              </w:rPr>
              <w:t>HSS</w:t>
            </w:r>
            <w:r w:rsidR="007E6B2A">
              <w:rPr>
                <w:rFonts w:cs="Arial"/>
              </w:rPr>
              <w:t>A</w:t>
            </w:r>
          </w:p>
        </w:tc>
        <w:tc>
          <w:tcPr>
            <w:tcW w:w="6878" w:type="dxa"/>
            <w:shd w:val="clear" w:color="auto" w:fill="auto"/>
          </w:tcPr>
          <w:p w14:paraId="4268AD03" w14:textId="77777777" w:rsidR="00802FD2" w:rsidRPr="00776001" w:rsidRDefault="00802FD2" w:rsidP="0073065A">
            <w:pPr>
              <w:spacing w:beforeLines="20" w:before="48" w:afterLines="20" w:after="48"/>
              <w:rPr>
                <w:rFonts w:cs="Arial"/>
              </w:rPr>
            </w:pPr>
            <w:r w:rsidRPr="00776001">
              <w:rPr>
                <w:rFonts w:cs="Arial"/>
              </w:rPr>
              <w:t>Health Sector Standards and Advisory</w:t>
            </w:r>
          </w:p>
        </w:tc>
      </w:tr>
      <w:tr w:rsidR="00802FD2" w:rsidRPr="00776001" w14:paraId="259D8E8F" w14:textId="77777777" w:rsidTr="0073065A">
        <w:tc>
          <w:tcPr>
            <w:tcW w:w="2461" w:type="dxa"/>
            <w:shd w:val="clear" w:color="auto" w:fill="auto"/>
          </w:tcPr>
          <w:p w14:paraId="6946D556" w14:textId="77777777" w:rsidR="00802FD2" w:rsidRPr="00776001" w:rsidRDefault="00802FD2" w:rsidP="0073065A">
            <w:pPr>
              <w:spacing w:beforeLines="20" w:before="48" w:afterLines="20" w:after="48"/>
              <w:rPr>
                <w:rFonts w:cs="Arial"/>
              </w:rPr>
            </w:pPr>
            <w:r w:rsidRPr="00776001">
              <w:rPr>
                <w:rFonts w:cs="Arial"/>
              </w:rPr>
              <w:t>HI</w:t>
            </w:r>
          </w:p>
        </w:tc>
        <w:tc>
          <w:tcPr>
            <w:tcW w:w="6878" w:type="dxa"/>
            <w:shd w:val="clear" w:color="auto" w:fill="auto"/>
          </w:tcPr>
          <w:p w14:paraId="5D73269F" w14:textId="77777777" w:rsidR="00802FD2" w:rsidRPr="00776001" w:rsidRDefault="00802FD2" w:rsidP="0073065A">
            <w:pPr>
              <w:spacing w:beforeLines="20" w:before="48" w:afterLines="20" w:after="48"/>
              <w:rPr>
                <w:rFonts w:cs="Arial"/>
              </w:rPr>
            </w:pPr>
            <w:r w:rsidRPr="00776001">
              <w:rPr>
                <w:rFonts w:cs="Arial"/>
              </w:rPr>
              <w:t>Healthcare Identifier</w:t>
            </w:r>
          </w:p>
        </w:tc>
      </w:tr>
      <w:tr w:rsidR="00D76ECC" w:rsidRPr="00776001" w14:paraId="752A38E8" w14:textId="77777777" w:rsidTr="0073065A">
        <w:tc>
          <w:tcPr>
            <w:tcW w:w="2461" w:type="dxa"/>
            <w:shd w:val="clear" w:color="auto" w:fill="auto"/>
          </w:tcPr>
          <w:p w14:paraId="2872D3E6" w14:textId="77777777" w:rsidR="00D76ECC" w:rsidRPr="00776001" w:rsidRDefault="00D76ECC" w:rsidP="0073065A">
            <w:pPr>
              <w:spacing w:beforeLines="20" w:before="48" w:afterLines="20" w:after="48"/>
              <w:rPr>
                <w:rFonts w:cs="Arial"/>
              </w:rPr>
            </w:pPr>
            <w:r w:rsidRPr="00776001">
              <w:rPr>
                <w:rFonts w:cs="Arial"/>
              </w:rPr>
              <w:t>HL7 Data Extraction</w:t>
            </w:r>
          </w:p>
        </w:tc>
        <w:tc>
          <w:tcPr>
            <w:tcW w:w="6878" w:type="dxa"/>
            <w:shd w:val="clear" w:color="auto" w:fill="auto"/>
          </w:tcPr>
          <w:p w14:paraId="5837F120" w14:textId="77777777" w:rsidR="00D76ECC" w:rsidRPr="00776001" w:rsidRDefault="00D76ECC" w:rsidP="0073065A">
            <w:pPr>
              <w:spacing w:beforeLines="20" w:before="48" w:afterLines="20" w:after="48"/>
              <w:rPr>
                <w:rFonts w:cs="Arial"/>
              </w:rPr>
            </w:pPr>
            <w:r w:rsidRPr="00776001">
              <w:rPr>
                <w:rFonts w:cs="Arial"/>
              </w:rPr>
              <w:t>The process used to gather HL7 information for loading into the Enterprise IPS phase of the Clinical System project</w:t>
            </w:r>
          </w:p>
        </w:tc>
      </w:tr>
      <w:tr w:rsidR="00D76ECC" w:rsidRPr="00776001" w14:paraId="5F252170" w14:textId="77777777" w:rsidTr="0073065A">
        <w:tc>
          <w:tcPr>
            <w:tcW w:w="2461" w:type="dxa"/>
            <w:shd w:val="clear" w:color="auto" w:fill="auto"/>
          </w:tcPr>
          <w:p w14:paraId="6FD605C7" w14:textId="77777777" w:rsidR="00D76ECC" w:rsidRPr="00776001" w:rsidRDefault="00D76ECC" w:rsidP="0073065A">
            <w:pPr>
              <w:spacing w:beforeLines="20" w:before="48" w:afterLines="20" w:after="48"/>
              <w:rPr>
                <w:rFonts w:cs="Arial"/>
              </w:rPr>
            </w:pPr>
            <w:r w:rsidRPr="00776001">
              <w:rPr>
                <w:rFonts w:cs="Arial"/>
              </w:rPr>
              <w:t>HL7</w:t>
            </w:r>
          </w:p>
        </w:tc>
        <w:tc>
          <w:tcPr>
            <w:tcW w:w="6878" w:type="dxa"/>
            <w:shd w:val="clear" w:color="auto" w:fill="auto"/>
          </w:tcPr>
          <w:p w14:paraId="00A899E9" w14:textId="77777777" w:rsidR="00D76ECC" w:rsidRPr="00776001" w:rsidRDefault="00D76ECC" w:rsidP="0073065A">
            <w:pPr>
              <w:spacing w:beforeLines="20" w:before="48" w:afterLines="20" w:after="48"/>
              <w:rPr>
                <w:rFonts w:cs="Arial"/>
              </w:rPr>
            </w:pPr>
            <w:r w:rsidRPr="00776001">
              <w:rPr>
                <w:rFonts w:cs="Arial"/>
              </w:rPr>
              <w:t>Health Level 7 Message Standard</w:t>
            </w:r>
          </w:p>
        </w:tc>
      </w:tr>
      <w:tr w:rsidR="00802FD2" w:rsidRPr="00776001" w14:paraId="4FC24F91" w14:textId="77777777" w:rsidTr="0073065A">
        <w:tc>
          <w:tcPr>
            <w:tcW w:w="2461" w:type="dxa"/>
            <w:shd w:val="clear" w:color="auto" w:fill="auto"/>
          </w:tcPr>
          <w:p w14:paraId="2E809C75" w14:textId="77777777" w:rsidR="00802FD2" w:rsidRPr="00776001" w:rsidRDefault="00802FD2" w:rsidP="0073065A">
            <w:pPr>
              <w:spacing w:beforeLines="20" w:before="48" w:afterLines="20" w:after="48"/>
              <w:rPr>
                <w:rFonts w:cs="Arial"/>
              </w:rPr>
            </w:pPr>
            <w:r w:rsidRPr="00776001">
              <w:rPr>
                <w:rFonts w:cs="Arial"/>
              </w:rPr>
              <w:t>ICT</w:t>
            </w:r>
          </w:p>
        </w:tc>
        <w:tc>
          <w:tcPr>
            <w:tcW w:w="6878" w:type="dxa"/>
            <w:shd w:val="clear" w:color="auto" w:fill="auto"/>
          </w:tcPr>
          <w:p w14:paraId="16FF007C" w14:textId="77777777" w:rsidR="00802FD2" w:rsidRPr="00776001" w:rsidRDefault="00802FD2" w:rsidP="0073065A">
            <w:pPr>
              <w:spacing w:beforeLines="20" w:before="48" w:afterLines="20" w:after="48"/>
              <w:rPr>
                <w:rFonts w:cs="Arial"/>
              </w:rPr>
            </w:pPr>
            <w:r w:rsidRPr="00776001">
              <w:rPr>
                <w:rFonts w:cs="Arial"/>
              </w:rPr>
              <w:t>Information &amp; Communication Technology</w:t>
            </w:r>
          </w:p>
        </w:tc>
      </w:tr>
      <w:tr w:rsidR="00802FD2" w:rsidRPr="00776001" w14:paraId="7218C959" w14:textId="77777777" w:rsidTr="0073065A">
        <w:tc>
          <w:tcPr>
            <w:tcW w:w="2461" w:type="dxa"/>
            <w:shd w:val="clear" w:color="auto" w:fill="auto"/>
          </w:tcPr>
          <w:p w14:paraId="6C734231" w14:textId="77777777" w:rsidR="00802FD2" w:rsidRPr="00776001" w:rsidRDefault="00802FD2" w:rsidP="0073065A">
            <w:pPr>
              <w:spacing w:beforeLines="20" w:before="48" w:afterLines="20" w:after="48"/>
              <w:rPr>
                <w:rFonts w:cs="Arial"/>
              </w:rPr>
            </w:pPr>
            <w:r w:rsidRPr="00776001">
              <w:rPr>
                <w:rFonts w:cs="Arial"/>
              </w:rPr>
              <w:t>IHI</w:t>
            </w:r>
          </w:p>
        </w:tc>
        <w:tc>
          <w:tcPr>
            <w:tcW w:w="6878" w:type="dxa"/>
            <w:shd w:val="clear" w:color="auto" w:fill="auto"/>
          </w:tcPr>
          <w:p w14:paraId="1CBF4DCF" w14:textId="77777777" w:rsidR="00802FD2" w:rsidRPr="00776001" w:rsidRDefault="00802FD2" w:rsidP="0073065A">
            <w:pPr>
              <w:spacing w:beforeLines="20" w:before="48" w:afterLines="20" w:after="48"/>
              <w:rPr>
                <w:rFonts w:cs="Arial"/>
              </w:rPr>
            </w:pPr>
            <w:r w:rsidRPr="00776001">
              <w:rPr>
                <w:rFonts w:cs="Arial"/>
              </w:rPr>
              <w:t>Individual Healthcare Identifier, national ADHA patient identifier</w:t>
            </w:r>
          </w:p>
        </w:tc>
      </w:tr>
      <w:tr w:rsidR="00776001" w:rsidRPr="00776001" w14:paraId="7B479BCB" w14:textId="77777777" w:rsidTr="0073065A">
        <w:tc>
          <w:tcPr>
            <w:tcW w:w="2461" w:type="dxa"/>
            <w:shd w:val="clear" w:color="auto" w:fill="auto"/>
          </w:tcPr>
          <w:p w14:paraId="3BF162A7" w14:textId="77777777" w:rsidR="00776001" w:rsidRPr="00776001" w:rsidRDefault="00776001" w:rsidP="0073065A">
            <w:pPr>
              <w:spacing w:beforeLines="20" w:before="48" w:afterLines="20" w:after="48"/>
              <w:rPr>
                <w:rFonts w:cs="Arial"/>
              </w:rPr>
            </w:pPr>
            <w:r w:rsidRPr="00776001">
              <w:rPr>
                <w:rFonts w:cs="Arial"/>
              </w:rPr>
              <w:t>Integration Engine</w:t>
            </w:r>
          </w:p>
        </w:tc>
        <w:tc>
          <w:tcPr>
            <w:tcW w:w="6878" w:type="dxa"/>
            <w:shd w:val="clear" w:color="auto" w:fill="auto"/>
          </w:tcPr>
          <w:p w14:paraId="36627C4E" w14:textId="77777777" w:rsidR="00776001" w:rsidRPr="00776001" w:rsidRDefault="00776001" w:rsidP="0073065A">
            <w:pPr>
              <w:spacing w:beforeLines="20" w:before="48" w:afterLines="20" w:after="48"/>
              <w:rPr>
                <w:rFonts w:cs="Arial"/>
              </w:rPr>
            </w:pPr>
            <w:r w:rsidRPr="00776001">
              <w:rPr>
                <w:rFonts w:cs="Arial"/>
              </w:rPr>
              <w:t>An application-to-application integration solution toolset. The solution toolset resolves application-to-application protocol connectivity and synchronises logical sets of information</w:t>
            </w:r>
          </w:p>
        </w:tc>
      </w:tr>
      <w:tr w:rsidR="00776001" w:rsidRPr="00776001" w14:paraId="065BB190" w14:textId="77777777" w:rsidTr="0073065A">
        <w:tc>
          <w:tcPr>
            <w:tcW w:w="2461" w:type="dxa"/>
            <w:shd w:val="clear" w:color="auto" w:fill="auto"/>
          </w:tcPr>
          <w:p w14:paraId="0530A453" w14:textId="77777777" w:rsidR="00776001" w:rsidRPr="00776001" w:rsidRDefault="00776001" w:rsidP="0073065A">
            <w:pPr>
              <w:spacing w:beforeLines="20" w:before="48" w:afterLines="20" w:after="48"/>
              <w:rPr>
                <w:rFonts w:cs="Arial"/>
              </w:rPr>
            </w:pPr>
            <w:r w:rsidRPr="00776001">
              <w:rPr>
                <w:rFonts w:cs="Arial"/>
              </w:rPr>
              <w:t>ICD</w:t>
            </w:r>
          </w:p>
        </w:tc>
        <w:tc>
          <w:tcPr>
            <w:tcW w:w="6878" w:type="dxa"/>
            <w:shd w:val="clear" w:color="auto" w:fill="auto"/>
          </w:tcPr>
          <w:p w14:paraId="361CB515" w14:textId="77777777" w:rsidR="00776001" w:rsidRPr="00776001" w:rsidRDefault="00776001" w:rsidP="0073065A">
            <w:pPr>
              <w:spacing w:beforeLines="20" w:before="48" w:afterLines="20" w:after="48"/>
              <w:rPr>
                <w:rFonts w:cs="Arial"/>
              </w:rPr>
            </w:pPr>
            <w:r w:rsidRPr="00776001">
              <w:rPr>
                <w:rFonts w:cs="Arial"/>
              </w:rPr>
              <w:t>International Classification of Diseases</w:t>
            </w:r>
          </w:p>
        </w:tc>
      </w:tr>
      <w:tr w:rsidR="00776001" w:rsidRPr="00776001" w14:paraId="56EB6598" w14:textId="77777777" w:rsidTr="0073065A">
        <w:tc>
          <w:tcPr>
            <w:tcW w:w="2461" w:type="dxa"/>
            <w:shd w:val="clear" w:color="auto" w:fill="auto"/>
          </w:tcPr>
          <w:p w14:paraId="06B78701" w14:textId="77777777" w:rsidR="00776001" w:rsidRPr="00776001" w:rsidRDefault="00776001" w:rsidP="0073065A">
            <w:pPr>
              <w:spacing w:beforeLines="20" w:before="48" w:afterLines="20" w:after="48"/>
              <w:rPr>
                <w:rFonts w:cs="Arial"/>
              </w:rPr>
            </w:pPr>
            <w:r w:rsidRPr="00776001">
              <w:rPr>
                <w:rFonts w:cs="Arial"/>
              </w:rPr>
              <w:t>ICT</w:t>
            </w:r>
          </w:p>
        </w:tc>
        <w:tc>
          <w:tcPr>
            <w:tcW w:w="6878" w:type="dxa"/>
            <w:shd w:val="clear" w:color="auto" w:fill="auto"/>
          </w:tcPr>
          <w:p w14:paraId="49C2F2DA" w14:textId="77777777" w:rsidR="00776001" w:rsidRPr="00776001" w:rsidRDefault="00776001" w:rsidP="0073065A">
            <w:pPr>
              <w:spacing w:beforeLines="20" w:before="48" w:afterLines="20" w:after="48"/>
              <w:rPr>
                <w:rFonts w:cs="Arial"/>
              </w:rPr>
            </w:pPr>
            <w:r w:rsidRPr="00776001">
              <w:rPr>
                <w:rFonts w:cs="Arial"/>
              </w:rPr>
              <w:t>Information and Communication Technology</w:t>
            </w:r>
          </w:p>
        </w:tc>
      </w:tr>
      <w:tr w:rsidR="00776001" w:rsidRPr="00776001" w14:paraId="4860F53A" w14:textId="77777777" w:rsidTr="0073065A">
        <w:tc>
          <w:tcPr>
            <w:tcW w:w="2461" w:type="dxa"/>
            <w:shd w:val="clear" w:color="auto" w:fill="auto"/>
          </w:tcPr>
          <w:p w14:paraId="1FA54E3D" w14:textId="77777777" w:rsidR="00776001" w:rsidRPr="00776001" w:rsidRDefault="00776001" w:rsidP="0073065A">
            <w:pPr>
              <w:spacing w:beforeLines="20" w:before="48" w:afterLines="20" w:after="48"/>
              <w:rPr>
                <w:rFonts w:cs="Arial"/>
              </w:rPr>
            </w:pPr>
            <w:r w:rsidRPr="00776001">
              <w:rPr>
                <w:rFonts w:cs="Arial"/>
              </w:rPr>
              <w:t>IDNT</w:t>
            </w:r>
          </w:p>
        </w:tc>
        <w:tc>
          <w:tcPr>
            <w:tcW w:w="6878" w:type="dxa"/>
            <w:shd w:val="clear" w:color="auto" w:fill="auto"/>
          </w:tcPr>
          <w:p w14:paraId="23B741B8" w14:textId="77777777" w:rsidR="00776001" w:rsidRPr="00776001" w:rsidRDefault="00776001" w:rsidP="0073065A">
            <w:pPr>
              <w:spacing w:beforeLines="20" w:before="48" w:afterLines="20" w:after="48"/>
              <w:rPr>
                <w:rFonts w:cs="Arial"/>
              </w:rPr>
            </w:pPr>
            <w:r w:rsidRPr="00776001">
              <w:rPr>
                <w:rFonts w:cs="Arial"/>
              </w:rPr>
              <w:t>International Dietetics and Nutrition Terminology</w:t>
            </w:r>
          </w:p>
        </w:tc>
      </w:tr>
      <w:tr w:rsidR="00776001" w:rsidRPr="00776001" w14:paraId="3A7E9CAA" w14:textId="77777777" w:rsidTr="0073065A">
        <w:tc>
          <w:tcPr>
            <w:tcW w:w="2461" w:type="dxa"/>
            <w:shd w:val="clear" w:color="auto" w:fill="auto"/>
          </w:tcPr>
          <w:p w14:paraId="4AAC938D" w14:textId="77777777" w:rsidR="00776001" w:rsidRPr="00776001" w:rsidRDefault="00776001" w:rsidP="0073065A">
            <w:pPr>
              <w:spacing w:beforeLines="20" w:before="48" w:afterLines="20" w:after="48"/>
              <w:rPr>
                <w:rFonts w:cs="Arial"/>
              </w:rPr>
            </w:pPr>
            <w:r w:rsidRPr="00776001">
              <w:rPr>
                <w:rFonts w:cs="Arial"/>
              </w:rPr>
              <w:t>IPS</w:t>
            </w:r>
          </w:p>
        </w:tc>
        <w:tc>
          <w:tcPr>
            <w:tcW w:w="6878" w:type="dxa"/>
            <w:shd w:val="clear" w:color="auto" w:fill="auto"/>
          </w:tcPr>
          <w:p w14:paraId="59A56E20" w14:textId="77777777" w:rsidR="00776001" w:rsidRPr="00776001" w:rsidRDefault="00776001" w:rsidP="0073065A">
            <w:pPr>
              <w:spacing w:beforeLines="20" w:before="48" w:afterLines="20" w:after="48"/>
              <w:rPr>
                <w:rFonts w:cs="Arial"/>
              </w:rPr>
            </w:pPr>
            <w:r w:rsidRPr="00776001">
              <w:rPr>
                <w:rFonts w:cs="Arial"/>
              </w:rPr>
              <w:t>Implementation Planning Study</w:t>
            </w:r>
          </w:p>
        </w:tc>
      </w:tr>
      <w:tr w:rsidR="00802FD2" w:rsidRPr="00776001" w14:paraId="4FF5402B" w14:textId="77777777" w:rsidTr="0073065A">
        <w:tc>
          <w:tcPr>
            <w:tcW w:w="2461" w:type="dxa"/>
            <w:shd w:val="clear" w:color="auto" w:fill="auto"/>
          </w:tcPr>
          <w:p w14:paraId="264CF3D6" w14:textId="77777777" w:rsidR="00802FD2" w:rsidRPr="00776001" w:rsidRDefault="00AB2F17" w:rsidP="0073065A">
            <w:pPr>
              <w:spacing w:beforeLines="20" w:before="48" w:afterLines="20" w:after="48"/>
              <w:rPr>
                <w:rFonts w:cs="Arial"/>
              </w:rPr>
            </w:pPr>
            <w:r w:rsidRPr="00776001">
              <w:rPr>
                <w:rFonts w:cs="Arial"/>
              </w:rPr>
              <w:t>JCAPS</w:t>
            </w:r>
          </w:p>
        </w:tc>
        <w:tc>
          <w:tcPr>
            <w:tcW w:w="6878" w:type="dxa"/>
            <w:shd w:val="clear" w:color="auto" w:fill="auto"/>
          </w:tcPr>
          <w:p w14:paraId="7133168E" w14:textId="77777777" w:rsidR="00802FD2" w:rsidRPr="00776001" w:rsidRDefault="00AB2F17" w:rsidP="0073065A">
            <w:pPr>
              <w:spacing w:beforeLines="20" w:before="48" w:afterLines="20" w:after="48"/>
              <w:rPr>
                <w:rFonts w:cs="Arial"/>
              </w:rPr>
            </w:pPr>
            <w:r w:rsidRPr="00776001">
              <w:rPr>
                <w:rFonts w:cs="Arial"/>
              </w:rPr>
              <w:t>Sun Interface Engine, Java Composite Architecture Platform. Previously named as SeeBeyond and eGate.</w:t>
            </w:r>
          </w:p>
        </w:tc>
      </w:tr>
      <w:tr w:rsidR="00776001" w:rsidRPr="00776001" w14:paraId="0A9FE957" w14:textId="77777777" w:rsidTr="0073065A">
        <w:tc>
          <w:tcPr>
            <w:tcW w:w="2461" w:type="dxa"/>
            <w:shd w:val="clear" w:color="auto" w:fill="auto"/>
          </w:tcPr>
          <w:p w14:paraId="0EAB91C2" w14:textId="77777777" w:rsidR="00776001" w:rsidRPr="00776001" w:rsidRDefault="00776001" w:rsidP="0073065A">
            <w:pPr>
              <w:spacing w:beforeLines="20" w:before="48" w:afterLines="20" w:after="48"/>
              <w:rPr>
                <w:rFonts w:cs="Arial"/>
              </w:rPr>
            </w:pPr>
            <w:r w:rsidRPr="00776001">
              <w:rPr>
                <w:rFonts w:cs="Arial"/>
              </w:rPr>
              <w:t>MHR</w:t>
            </w:r>
          </w:p>
        </w:tc>
        <w:tc>
          <w:tcPr>
            <w:tcW w:w="6878" w:type="dxa"/>
            <w:shd w:val="clear" w:color="auto" w:fill="auto"/>
          </w:tcPr>
          <w:p w14:paraId="670374AC" w14:textId="77777777" w:rsidR="00776001" w:rsidRPr="00776001" w:rsidRDefault="00776001" w:rsidP="0073065A">
            <w:pPr>
              <w:spacing w:beforeLines="20" w:before="48" w:afterLines="20" w:after="48"/>
              <w:rPr>
                <w:rFonts w:cs="Arial"/>
              </w:rPr>
            </w:pPr>
            <w:r w:rsidRPr="00776001">
              <w:rPr>
                <w:rFonts w:cs="Arial"/>
                <w:lang w:eastAsia="en-AU"/>
              </w:rPr>
              <w:t>My Health Record</w:t>
            </w:r>
          </w:p>
        </w:tc>
      </w:tr>
      <w:tr w:rsidR="00802FD2" w:rsidRPr="00776001" w14:paraId="6E58AD63" w14:textId="77777777" w:rsidTr="0073065A">
        <w:tc>
          <w:tcPr>
            <w:tcW w:w="2461" w:type="dxa"/>
            <w:shd w:val="clear" w:color="auto" w:fill="auto"/>
          </w:tcPr>
          <w:p w14:paraId="33C775F0" w14:textId="77777777" w:rsidR="00802FD2" w:rsidRPr="00776001" w:rsidRDefault="00802FD2" w:rsidP="0073065A">
            <w:pPr>
              <w:spacing w:beforeLines="20" w:before="48" w:afterLines="20" w:after="48"/>
              <w:rPr>
                <w:rFonts w:cs="Arial"/>
              </w:rPr>
            </w:pPr>
            <w:r w:rsidRPr="00776001">
              <w:rPr>
                <w:rFonts w:cs="Arial"/>
              </w:rPr>
              <w:t>NASH</w:t>
            </w:r>
          </w:p>
        </w:tc>
        <w:tc>
          <w:tcPr>
            <w:tcW w:w="6878" w:type="dxa"/>
            <w:shd w:val="clear" w:color="auto" w:fill="auto"/>
          </w:tcPr>
          <w:p w14:paraId="06044F09" w14:textId="77777777" w:rsidR="00802FD2" w:rsidRPr="00776001" w:rsidRDefault="00802FD2" w:rsidP="0073065A">
            <w:pPr>
              <w:spacing w:beforeLines="20" w:before="48" w:afterLines="20" w:after="48"/>
              <w:rPr>
                <w:rFonts w:cs="Arial"/>
              </w:rPr>
            </w:pPr>
            <w:r w:rsidRPr="00776001">
              <w:rPr>
                <w:rFonts w:cs="Arial"/>
              </w:rPr>
              <w:t>National Authentication Service for Health</w:t>
            </w:r>
          </w:p>
        </w:tc>
      </w:tr>
      <w:tr w:rsidR="00802FD2" w:rsidRPr="00776001" w14:paraId="1C48E36D" w14:textId="77777777" w:rsidTr="0073065A">
        <w:tc>
          <w:tcPr>
            <w:tcW w:w="2461" w:type="dxa"/>
            <w:shd w:val="clear" w:color="auto" w:fill="auto"/>
          </w:tcPr>
          <w:p w14:paraId="41A6FF1E" w14:textId="77777777" w:rsidR="00802FD2" w:rsidRPr="00776001" w:rsidRDefault="00776001" w:rsidP="0073065A">
            <w:pPr>
              <w:spacing w:beforeLines="20" w:before="48" w:afterLines="20" w:after="48"/>
              <w:rPr>
                <w:rFonts w:cs="Arial"/>
              </w:rPr>
            </w:pPr>
            <w:r w:rsidRPr="00776001">
              <w:rPr>
                <w:rFonts w:cs="Arial"/>
              </w:rPr>
              <w:t>OUS</w:t>
            </w:r>
          </w:p>
        </w:tc>
        <w:tc>
          <w:tcPr>
            <w:tcW w:w="6878" w:type="dxa"/>
            <w:shd w:val="clear" w:color="auto" w:fill="auto"/>
          </w:tcPr>
          <w:p w14:paraId="3E9604F4" w14:textId="77777777" w:rsidR="00802FD2" w:rsidRPr="00776001" w:rsidRDefault="00776001" w:rsidP="0073065A">
            <w:pPr>
              <w:spacing w:beforeLines="20" w:before="48" w:afterLines="20" w:after="48"/>
              <w:rPr>
                <w:rFonts w:cs="Arial"/>
              </w:rPr>
            </w:pPr>
            <w:r w:rsidRPr="00776001">
              <w:rPr>
                <w:rFonts w:cs="Arial"/>
              </w:rPr>
              <w:t>DH HL7 2.4 Unified Specification</w:t>
            </w:r>
          </w:p>
        </w:tc>
      </w:tr>
      <w:tr w:rsidR="00776001" w:rsidRPr="00776001" w14:paraId="4E775962" w14:textId="77777777" w:rsidTr="0073065A">
        <w:tc>
          <w:tcPr>
            <w:tcW w:w="2461" w:type="dxa"/>
            <w:shd w:val="clear" w:color="auto" w:fill="auto"/>
          </w:tcPr>
          <w:p w14:paraId="33499DD2" w14:textId="77777777" w:rsidR="00776001" w:rsidRPr="00776001" w:rsidRDefault="00776001" w:rsidP="0073065A">
            <w:pPr>
              <w:spacing w:beforeLines="20" w:before="48" w:afterLines="20" w:after="48"/>
              <w:rPr>
                <w:rFonts w:cs="Arial"/>
              </w:rPr>
            </w:pPr>
            <w:r w:rsidRPr="00776001">
              <w:rPr>
                <w:rFonts w:cs="Arial"/>
              </w:rPr>
              <w:t>OPD</w:t>
            </w:r>
          </w:p>
        </w:tc>
        <w:tc>
          <w:tcPr>
            <w:tcW w:w="6878" w:type="dxa"/>
            <w:shd w:val="clear" w:color="auto" w:fill="auto"/>
          </w:tcPr>
          <w:p w14:paraId="2A38573C" w14:textId="77777777" w:rsidR="00776001" w:rsidRPr="00776001" w:rsidRDefault="00776001" w:rsidP="0073065A">
            <w:pPr>
              <w:spacing w:beforeLines="20" w:before="48" w:afterLines="20" w:after="48"/>
              <w:rPr>
                <w:rFonts w:cs="Arial"/>
              </w:rPr>
            </w:pPr>
            <w:r w:rsidRPr="00776001">
              <w:rPr>
                <w:rFonts w:cs="Arial"/>
              </w:rPr>
              <w:t>Outpatient Department</w:t>
            </w:r>
          </w:p>
        </w:tc>
      </w:tr>
      <w:tr w:rsidR="00776001" w:rsidRPr="00776001" w14:paraId="78F53C73" w14:textId="77777777" w:rsidTr="0073065A">
        <w:tc>
          <w:tcPr>
            <w:tcW w:w="2461" w:type="dxa"/>
            <w:shd w:val="clear" w:color="auto" w:fill="auto"/>
          </w:tcPr>
          <w:p w14:paraId="53ACF478" w14:textId="77777777" w:rsidR="00776001" w:rsidRPr="00776001" w:rsidRDefault="00776001" w:rsidP="0073065A">
            <w:pPr>
              <w:spacing w:beforeLines="20" w:before="48" w:afterLines="20" w:after="48"/>
              <w:rPr>
                <w:rFonts w:cs="Arial"/>
              </w:rPr>
            </w:pPr>
            <w:r w:rsidRPr="00776001">
              <w:rPr>
                <w:rFonts w:cs="Arial"/>
              </w:rPr>
              <w:t>PACS</w:t>
            </w:r>
          </w:p>
        </w:tc>
        <w:tc>
          <w:tcPr>
            <w:tcW w:w="6878" w:type="dxa"/>
            <w:shd w:val="clear" w:color="auto" w:fill="auto"/>
          </w:tcPr>
          <w:p w14:paraId="2D2B80B4" w14:textId="77777777" w:rsidR="00776001" w:rsidRPr="00776001" w:rsidRDefault="00776001" w:rsidP="0073065A">
            <w:pPr>
              <w:spacing w:beforeLines="20" w:before="48" w:afterLines="20" w:after="48"/>
              <w:rPr>
                <w:rFonts w:cs="Arial"/>
              </w:rPr>
            </w:pPr>
            <w:r w:rsidRPr="00776001">
              <w:rPr>
                <w:rFonts w:cs="Arial"/>
              </w:rPr>
              <w:t>Picture Archiving Communication System</w:t>
            </w:r>
          </w:p>
        </w:tc>
      </w:tr>
      <w:tr w:rsidR="00802FD2" w:rsidRPr="00776001" w14:paraId="4F0575ED" w14:textId="77777777" w:rsidTr="0073065A">
        <w:tc>
          <w:tcPr>
            <w:tcW w:w="2461" w:type="dxa"/>
            <w:shd w:val="clear" w:color="auto" w:fill="auto"/>
          </w:tcPr>
          <w:p w14:paraId="731CF76B" w14:textId="77777777" w:rsidR="00802FD2" w:rsidRPr="00776001" w:rsidRDefault="00802FD2" w:rsidP="0073065A">
            <w:pPr>
              <w:spacing w:beforeLines="20" w:before="48" w:afterLines="20" w:after="48"/>
              <w:rPr>
                <w:rFonts w:cs="Arial"/>
              </w:rPr>
            </w:pPr>
            <w:r w:rsidRPr="00776001">
              <w:rPr>
                <w:rFonts w:cs="Arial"/>
              </w:rPr>
              <w:t>PAS</w:t>
            </w:r>
          </w:p>
        </w:tc>
        <w:tc>
          <w:tcPr>
            <w:tcW w:w="6878" w:type="dxa"/>
            <w:shd w:val="clear" w:color="auto" w:fill="auto"/>
          </w:tcPr>
          <w:p w14:paraId="394CB696" w14:textId="77777777" w:rsidR="00802FD2" w:rsidRPr="00776001" w:rsidRDefault="00802FD2" w:rsidP="0073065A">
            <w:pPr>
              <w:spacing w:beforeLines="20" w:before="48" w:afterLines="20" w:after="48"/>
              <w:rPr>
                <w:rFonts w:cs="Arial"/>
              </w:rPr>
            </w:pPr>
            <w:r w:rsidRPr="00776001">
              <w:rPr>
                <w:rFonts w:cs="Arial"/>
              </w:rPr>
              <w:t xml:space="preserve">Patient Administration System – a system used for the recording of patient and provider information to support management and coordination of service provision. </w:t>
            </w:r>
          </w:p>
        </w:tc>
      </w:tr>
      <w:tr w:rsidR="00776001" w:rsidRPr="00776001" w14:paraId="78F8E8FD" w14:textId="77777777" w:rsidTr="0073065A">
        <w:tc>
          <w:tcPr>
            <w:tcW w:w="2461" w:type="dxa"/>
            <w:shd w:val="clear" w:color="auto" w:fill="auto"/>
          </w:tcPr>
          <w:p w14:paraId="1F89F258" w14:textId="77777777" w:rsidR="00776001" w:rsidRPr="00776001" w:rsidRDefault="00776001" w:rsidP="0073065A">
            <w:pPr>
              <w:spacing w:beforeLines="20" w:before="48" w:afterLines="20" w:after="48"/>
              <w:rPr>
                <w:rFonts w:cs="Arial"/>
              </w:rPr>
            </w:pPr>
            <w:r w:rsidRPr="00776001">
              <w:rPr>
                <w:rFonts w:cs="Arial"/>
              </w:rPr>
              <w:t>PDS</w:t>
            </w:r>
          </w:p>
        </w:tc>
        <w:tc>
          <w:tcPr>
            <w:tcW w:w="6878" w:type="dxa"/>
            <w:shd w:val="clear" w:color="auto" w:fill="auto"/>
          </w:tcPr>
          <w:p w14:paraId="0A22ED5E" w14:textId="77777777" w:rsidR="00776001" w:rsidRPr="00776001" w:rsidRDefault="00776001" w:rsidP="0073065A">
            <w:pPr>
              <w:spacing w:beforeLines="20" w:before="48" w:afterLines="20" w:after="48"/>
              <w:rPr>
                <w:rFonts w:cs="Arial"/>
                <w:strike/>
              </w:rPr>
            </w:pPr>
            <w:r w:rsidRPr="00776001">
              <w:rPr>
                <w:rFonts w:cs="Arial"/>
              </w:rPr>
              <w:t>The Medicare Provider Directory Service</w:t>
            </w:r>
          </w:p>
        </w:tc>
      </w:tr>
      <w:tr w:rsidR="00776001" w:rsidRPr="00776001" w14:paraId="065029D6" w14:textId="77777777" w:rsidTr="0073065A">
        <w:tc>
          <w:tcPr>
            <w:tcW w:w="2461" w:type="dxa"/>
            <w:shd w:val="clear" w:color="auto" w:fill="auto"/>
          </w:tcPr>
          <w:p w14:paraId="000F3ACF" w14:textId="77777777" w:rsidR="00776001" w:rsidRPr="00776001" w:rsidRDefault="00776001" w:rsidP="0073065A">
            <w:pPr>
              <w:spacing w:beforeLines="20" w:before="48" w:afterLines="20" w:after="48"/>
              <w:rPr>
                <w:rFonts w:cs="Arial"/>
              </w:rPr>
            </w:pPr>
            <w:r w:rsidRPr="00776001">
              <w:rPr>
                <w:rFonts w:cs="Arial"/>
              </w:rPr>
              <w:t>PMI</w:t>
            </w:r>
          </w:p>
        </w:tc>
        <w:tc>
          <w:tcPr>
            <w:tcW w:w="6878" w:type="dxa"/>
            <w:shd w:val="clear" w:color="auto" w:fill="auto"/>
          </w:tcPr>
          <w:p w14:paraId="634FC547" w14:textId="77777777" w:rsidR="00776001" w:rsidRPr="00776001" w:rsidRDefault="00776001" w:rsidP="0073065A">
            <w:pPr>
              <w:spacing w:beforeLines="20" w:before="48" w:afterLines="20" w:after="48"/>
              <w:rPr>
                <w:rFonts w:cs="Arial"/>
                <w:strike/>
              </w:rPr>
            </w:pPr>
            <w:r w:rsidRPr="00776001">
              <w:rPr>
                <w:rFonts w:cs="Arial"/>
              </w:rPr>
              <w:t>Patient Master Index</w:t>
            </w:r>
          </w:p>
        </w:tc>
      </w:tr>
      <w:tr w:rsidR="00776001" w:rsidRPr="00776001" w14:paraId="3BF71678" w14:textId="77777777" w:rsidTr="0073065A">
        <w:tc>
          <w:tcPr>
            <w:tcW w:w="2461" w:type="dxa"/>
            <w:shd w:val="clear" w:color="auto" w:fill="auto"/>
          </w:tcPr>
          <w:p w14:paraId="4C61AD37" w14:textId="77777777" w:rsidR="00776001" w:rsidRPr="00776001" w:rsidRDefault="00776001" w:rsidP="0073065A">
            <w:pPr>
              <w:spacing w:beforeLines="20" w:before="48" w:afterLines="20" w:after="48"/>
              <w:rPr>
                <w:rFonts w:cs="Arial"/>
              </w:rPr>
            </w:pPr>
            <w:r w:rsidRPr="00776001">
              <w:rPr>
                <w:rFonts w:cs="Arial"/>
              </w:rPr>
              <w:t>PBS</w:t>
            </w:r>
          </w:p>
        </w:tc>
        <w:tc>
          <w:tcPr>
            <w:tcW w:w="6878" w:type="dxa"/>
            <w:shd w:val="clear" w:color="auto" w:fill="auto"/>
          </w:tcPr>
          <w:p w14:paraId="5A3EF2D7" w14:textId="77777777" w:rsidR="00776001" w:rsidRPr="00776001" w:rsidRDefault="00776001" w:rsidP="0073065A">
            <w:pPr>
              <w:spacing w:beforeLines="20" w:before="48" w:afterLines="20" w:after="48"/>
              <w:rPr>
                <w:rFonts w:cs="Arial"/>
              </w:rPr>
            </w:pPr>
            <w:r w:rsidRPr="00776001">
              <w:rPr>
                <w:rFonts w:cs="Arial"/>
                <w:lang w:eastAsia="en-AU"/>
              </w:rPr>
              <w:t>Pharmaceutical Benefit Scheme</w:t>
            </w:r>
          </w:p>
        </w:tc>
      </w:tr>
      <w:tr w:rsidR="00802FD2" w:rsidRPr="00776001" w14:paraId="7F9ECD55" w14:textId="77777777" w:rsidTr="0073065A">
        <w:tc>
          <w:tcPr>
            <w:tcW w:w="2461" w:type="dxa"/>
            <w:shd w:val="clear" w:color="auto" w:fill="auto"/>
          </w:tcPr>
          <w:p w14:paraId="46002E0B" w14:textId="77777777" w:rsidR="00802FD2" w:rsidRPr="00776001" w:rsidRDefault="00776001" w:rsidP="0073065A">
            <w:pPr>
              <w:spacing w:beforeLines="20" w:before="48" w:afterLines="20" w:after="48"/>
              <w:rPr>
                <w:rFonts w:cs="Arial"/>
              </w:rPr>
            </w:pPr>
            <w:r w:rsidRPr="00776001">
              <w:rPr>
                <w:rFonts w:cs="Arial"/>
              </w:rPr>
              <w:t>RIMS/RIS</w:t>
            </w:r>
          </w:p>
        </w:tc>
        <w:tc>
          <w:tcPr>
            <w:tcW w:w="6878" w:type="dxa"/>
            <w:shd w:val="clear" w:color="auto" w:fill="auto"/>
          </w:tcPr>
          <w:p w14:paraId="0FF330AB" w14:textId="77777777" w:rsidR="00802FD2" w:rsidRPr="00776001" w:rsidRDefault="00776001" w:rsidP="0073065A">
            <w:pPr>
              <w:spacing w:beforeLines="20" w:before="48" w:afterLines="20" w:after="48"/>
              <w:rPr>
                <w:rFonts w:cs="Arial"/>
                <w:lang w:eastAsia="en-AU"/>
              </w:rPr>
            </w:pPr>
            <w:r w:rsidRPr="00776001">
              <w:rPr>
                <w:rFonts w:cs="Arial"/>
              </w:rPr>
              <w:t>Radiology Information Management System</w:t>
            </w:r>
          </w:p>
        </w:tc>
      </w:tr>
      <w:tr w:rsidR="00802FD2" w:rsidRPr="00776001" w14:paraId="2C49E623" w14:textId="77777777" w:rsidTr="0073065A">
        <w:tc>
          <w:tcPr>
            <w:tcW w:w="2461" w:type="dxa"/>
            <w:shd w:val="clear" w:color="auto" w:fill="auto"/>
          </w:tcPr>
          <w:p w14:paraId="26F1EB94" w14:textId="77777777" w:rsidR="00802FD2" w:rsidRPr="00776001" w:rsidRDefault="00802FD2" w:rsidP="0073065A">
            <w:pPr>
              <w:spacing w:beforeLines="20" w:before="48" w:afterLines="20" w:after="48"/>
              <w:rPr>
                <w:rFonts w:cs="Arial"/>
                <w:lang w:eastAsia="en-AU"/>
              </w:rPr>
            </w:pPr>
            <w:r w:rsidRPr="00776001">
              <w:rPr>
                <w:rFonts w:cs="Arial"/>
                <w:lang w:eastAsia="en-AU"/>
              </w:rPr>
              <w:t>SHS</w:t>
            </w:r>
          </w:p>
        </w:tc>
        <w:tc>
          <w:tcPr>
            <w:tcW w:w="6878" w:type="dxa"/>
            <w:shd w:val="clear" w:color="auto" w:fill="auto"/>
          </w:tcPr>
          <w:p w14:paraId="29E75F90" w14:textId="77777777" w:rsidR="00802FD2" w:rsidRPr="00776001" w:rsidRDefault="00802FD2" w:rsidP="0073065A">
            <w:pPr>
              <w:spacing w:beforeLines="20" w:before="48" w:afterLines="20" w:after="48"/>
              <w:rPr>
                <w:rFonts w:cs="Arial"/>
                <w:lang w:eastAsia="en-AU"/>
              </w:rPr>
            </w:pPr>
            <w:r w:rsidRPr="00776001">
              <w:rPr>
                <w:rFonts w:cs="Arial"/>
                <w:lang w:eastAsia="en-AU"/>
              </w:rPr>
              <w:t>Shared Health Summary</w:t>
            </w:r>
          </w:p>
        </w:tc>
      </w:tr>
      <w:tr w:rsidR="00802FD2" w:rsidRPr="00776001" w14:paraId="2A585B8F" w14:textId="77777777" w:rsidTr="0073065A">
        <w:tc>
          <w:tcPr>
            <w:tcW w:w="2461" w:type="dxa"/>
            <w:shd w:val="clear" w:color="auto" w:fill="auto"/>
          </w:tcPr>
          <w:p w14:paraId="2A0EA9DA" w14:textId="77777777" w:rsidR="00802FD2" w:rsidRPr="00776001" w:rsidRDefault="00802FD2" w:rsidP="0073065A">
            <w:pPr>
              <w:spacing w:beforeLines="20" w:before="48" w:afterLines="20" w:after="48"/>
              <w:rPr>
                <w:rFonts w:cs="Arial"/>
              </w:rPr>
            </w:pPr>
            <w:r w:rsidRPr="00776001">
              <w:rPr>
                <w:rFonts w:cs="Arial"/>
                <w:lang w:eastAsia="en-AU"/>
              </w:rPr>
              <w:t>SNOMED CT</w:t>
            </w:r>
          </w:p>
        </w:tc>
        <w:tc>
          <w:tcPr>
            <w:tcW w:w="6878" w:type="dxa"/>
            <w:shd w:val="clear" w:color="auto" w:fill="auto"/>
          </w:tcPr>
          <w:p w14:paraId="0F96E192" w14:textId="77777777" w:rsidR="00802FD2" w:rsidRPr="00776001" w:rsidRDefault="00776001" w:rsidP="00776001">
            <w:pPr>
              <w:spacing w:beforeLines="20" w:before="48" w:afterLines="20" w:after="48"/>
              <w:rPr>
                <w:rFonts w:cs="Arial"/>
              </w:rPr>
            </w:pPr>
            <w:r w:rsidRPr="00776001">
              <w:rPr>
                <w:rFonts w:cs="Arial"/>
              </w:rPr>
              <w:t>SNOMED CT (</w:t>
            </w:r>
            <w:r w:rsidRPr="00776001">
              <w:rPr>
                <w:rFonts w:cs="Arial"/>
                <w:b/>
                <w:bCs/>
              </w:rPr>
              <w:t>S</w:t>
            </w:r>
            <w:r w:rsidRPr="00776001">
              <w:rPr>
                <w:rFonts w:cs="Arial"/>
              </w:rPr>
              <w:t xml:space="preserve">ystematized </w:t>
            </w:r>
            <w:r w:rsidRPr="00776001">
              <w:rPr>
                <w:rFonts w:cs="Arial"/>
                <w:b/>
                <w:bCs/>
              </w:rPr>
              <w:t>No</w:t>
            </w:r>
            <w:r w:rsidRPr="00776001">
              <w:rPr>
                <w:rFonts w:cs="Arial"/>
              </w:rPr>
              <w:t xml:space="preserve">menclature of </w:t>
            </w:r>
            <w:r w:rsidRPr="00776001">
              <w:rPr>
                <w:rFonts w:cs="Arial"/>
                <w:b/>
                <w:bCs/>
              </w:rPr>
              <w:t>Med</w:t>
            </w:r>
            <w:r w:rsidRPr="00776001">
              <w:rPr>
                <w:rFonts w:cs="Arial"/>
              </w:rPr>
              <w:t>icine-</w:t>
            </w:r>
            <w:r w:rsidRPr="00776001">
              <w:rPr>
                <w:rFonts w:cs="Arial"/>
                <w:b/>
                <w:bCs/>
              </w:rPr>
              <w:t>C</w:t>
            </w:r>
            <w:r w:rsidRPr="00776001">
              <w:rPr>
                <w:rFonts w:cs="Arial"/>
              </w:rPr>
              <w:t xml:space="preserve">linical </w:t>
            </w:r>
            <w:r w:rsidRPr="00776001">
              <w:rPr>
                <w:rFonts w:cs="Arial"/>
                <w:b/>
                <w:bCs/>
              </w:rPr>
              <w:t>T</w:t>
            </w:r>
            <w:r w:rsidRPr="00776001">
              <w:rPr>
                <w:rFonts w:cs="Arial"/>
              </w:rPr>
              <w:t>erms) is considered to be the most comprehensive, multilingual clinical healthcare terminology in the world</w:t>
            </w:r>
            <w:r w:rsidRPr="00776001">
              <w:rPr>
                <w:rFonts w:cs="Arial"/>
                <w:lang w:eastAsia="en-AU"/>
              </w:rPr>
              <w:t xml:space="preserve"> </w:t>
            </w:r>
          </w:p>
        </w:tc>
      </w:tr>
      <w:tr w:rsidR="00776001" w:rsidRPr="00776001" w14:paraId="4353EE59" w14:textId="77777777" w:rsidTr="0073065A">
        <w:tc>
          <w:tcPr>
            <w:tcW w:w="2461" w:type="dxa"/>
            <w:shd w:val="clear" w:color="auto" w:fill="auto"/>
          </w:tcPr>
          <w:p w14:paraId="1ABD354C" w14:textId="77777777" w:rsidR="00776001" w:rsidRPr="00776001" w:rsidRDefault="00776001" w:rsidP="0073065A">
            <w:pPr>
              <w:spacing w:beforeLines="20" w:before="48" w:afterLines="20" w:after="48"/>
              <w:rPr>
                <w:rFonts w:cs="Arial"/>
              </w:rPr>
            </w:pPr>
            <w:r w:rsidRPr="00776001">
              <w:rPr>
                <w:rFonts w:cs="Arial"/>
              </w:rPr>
              <w:t>Third Party Application</w:t>
            </w:r>
          </w:p>
        </w:tc>
        <w:tc>
          <w:tcPr>
            <w:tcW w:w="6878" w:type="dxa"/>
            <w:shd w:val="clear" w:color="auto" w:fill="auto"/>
          </w:tcPr>
          <w:p w14:paraId="67B26EDC" w14:textId="77777777" w:rsidR="00776001" w:rsidRPr="00776001" w:rsidRDefault="00776001" w:rsidP="0073065A">
            <w:pPr>
              <w:spacing w:beforeLines="20" w:before="48" w:afterLines="20" w:after="48"/>
              <w:rPr>
                <w:rFonts w:cs="Arial"/>
              </w:rPr>
            </w:pPr>
            <w:r w:rsidRPr="00776001">
              <w:rPr>
                <w:rFonts w:cs="Arial"/>
              </w:rPr>
              <w:t>An application supplied by a vendor other than Cerner. For example, Homer PAS, Kestral Imaging, etc.</w:t>
            </w:r>
          </w:p>
        </w:tc>
      </w:tr>
      <w:tr w:rsidR="00776001" w:rsidRPr="00776001" w14:paraId="071ED2D6" w14:textId="77777777" w:rsidTr="0073065A">
        <w:tc>
          <w:tcPr>
            <w:tcW w:w="2461" w:type="dxa"/>
            <w:shd w:val="clear" w:color="auto" w:fill="auto"/>
          </w:tcPr>
          <w:p w14:paraId="05EBB2EA" w14:textId="77777777" w:rsidR="00776001" w:rsidRPr="00776001" w:rsidRDefault="00776001" w:rsidP="0073065A">
            <w:pPr>
              <w:spacing w:beforeLines="20" w:before="48" w:afterLines="20" w:after="48"/>
              <w:rPr>
                <w:rFonts w:cs="Arial"/>
              </w:rPr>
            </w:pPr>
            <w:r w:rsidRPr="00776001">
              <w:rPr>
                <w:rFonts w:cs="Arial"/>
              </w:rPr>
              <w:t>TPN</w:t>
            </w:r>
          </w:p>
        </w:tc>
        <w:tc>
          <w:tcPr>
            <w:tcW w:w="6878" w:type="dxa"/>
            <w:shd w:val="clear" w:color="auto" w:fill="auto"/>
          </w:tcPr>
          <w:p w14:paraId="3E3B61AC" w14:textId="77777777" w:rsidR="00776001" w:rsidRPr="00776001" w:rsidRDefault="00776001" w:rsidP="0073065A">
            <w:pPr>
              <w:spacing w:beforeLines="20" w:before="48" w:afterLines="20" w:after="48"/>
              <w:rPr>
                <w:rFonts w:cs="Arial"/>
              </w:rPr>
            </w:pPr>
            <w:r w:rsidRPr="00776001">
              <w:rPr>
                <w:rFonts w:cs="Arial"/>
              </w:rPr>
              <w:t>Total Parenteral Nutrition’s. Nutrition’s/meals that are not ingested via the stomach.</w:t>
            </w:r>
          </w:p>
        </w:tc>
      </w:tr>
      <w:tr w:rsidR="00776001" w:rsidRPr="00776001" w14:paraId="185D89D6" w14:textId="77777777" w:rsidTr="0073065A">
        <w:tc>
          <w:tcPr>
            <w:tcW w:w="2461" w:type="dxa"/>
            <w:shd w:val="clear" w:color="auto" w:fill="auto"/>
          </w:tcPr>
          <w:p w14:paraId="448B1CEE" w14:textId="77777777" w:rsidR="00776001" w:rsidRPr="00776001" w:rsidRDefault="00776001" w:rsidP="0073065A">
            <w:pPr>
              <w:spacing w:beforeLines="20" w:before="48" w:afterLines="20" w:after="48"/>
              <w:rPr>
                <w:rFonts w:cs="Arial"/>
              </w:rPr>
            </w:pPr>
            <w:r w:rsidRPr="00776001">
              <w:rPr>
                <w:rFonts w:cs="Arial"/>
              </w:rPr>
              <w:t>URL</w:t>
            </w:r>
          </w:p>
        </w:tc>
        <w:tc>
          <w:tcPr>
            <w:tcW w:w="6878" w:type="dxa"/>
            <w:shd w:val="clear" w:color="auto" w:fill="auto"/>
          </w:tcPr>
          <w:p w14:paraId="27E1B15A" w14:textId="77777777" w:rsidR="00776001" w:rsidRPr="00776001" w:rsidRDefault="00776001" w:rsidP="0073065A">
            <w:pPr>
              <w:spacing w:beforeLines="20" w:before="48" w:afterLines="20" w:after="48"/>
              <w:rPr>
                <w:rFonts w:cs="Arial"/>
              </w:rPr>
            </w:pPr>
            <w:r w:rsidRPr="00776001">
              <w:rPr>
                <w:rFonts w:cs="Arial"/>
              </w:rPr>
              <w:t>Uniform Resource Locator</w:t>
            </w:r>
          </w:p>
        </w:tc>
      </w:tr>
      <w:tr w:rsidR="00802FD2" w:rsidRPr="00776001" w14:paraId="5DB260FA" w14:textId="77777777" w:rsidTr="0073065A">
        <w:tc>
          <w:tcPr>
            <w:tcW w:w="2461" w:type="dxa"/>
            <w:shd w:val="clear" w:color="auto" w:fill="auto"/>
          </w:tcPr>
          <w:p w14:paraId="577D9CCD" w14:textId="77777777" w:rsidR="00802FD2" w:rsidRPr="00776001" w:rsidRDefault="00802FD2" w:rsidP="0073065A">
            <w:pPr>
              <w:spacing w:beforeLines="20" w:before="48" w:afterLines="20" w:after="48"/>
              <w:rPr>
                <w:rFonts w:cs="Arial"/>
              </w:rPr>
            </w:pPr>
            <w:r w:rsidRPr="00776001">
              <w:rPr>
                <w:rFonts w:cs="Arial"/>
              </w:rPr>
              <w:lastRenderedPageBreak/>
              <w:t>VPHS or Health Service Agency</w:t>
            </w:r>
          </w:p>
        </w:tc>
        <w:tc>
          <w:tcPr>
            <w:tcW w:w="6878" w:type="dxa"/>
            <w:shd w:val="clear" w:color="auto" w:fill="auto"/>
          </w:tcPr>
          <w:p w14:paraId="08F537F2" w14:textId="77777777" w:rsidR="00802FD2" w:rsidRPr="00776001" w:rsidRDefault="00802FD2" w:rsidP="0073065A">
            <w:pPr>
              <w:spacing w:beforeLines="20" w:before="48" w:afterLines="20" w:after="48"/>
              <w:rPr>
                <w:rFonts w:cs="Arial"/>
              </w:rPr>
            </w:pPr>
            <w:r w:rsidRPr="00776001">
              <w:rPr>
                <w:rFonts w:cs="Arial"/>
              </w:rPr>
              <w:t>Victorian Public Health Sector</w:t>
            </w:r>
          </w:p>
          <w:p w14:paraId="426FFFBA" w14:textId="77777777" w:rsidR="00802FD2" w:rsidRPr="00776001" w:rsidRDefault="00802FD2" w:rsidP="0073065A">
            <w:pPr>
              <w:spacing w:beforeLines="20" w:before="48" w:afterLines="20" w:after="48"/>
              <w:rPr>
                <w:rFonts w:cs="Arial"/>
              </w:rPr>
            </w:pPr>
            <w:r w:rsidRPr="00776001">
              <w:rPr>
                <w:rFonts w:cs="Arial"/>
              </w:rPr>
              <w:t>One of the 85 Victorian Public Health Services offering healthcare across the state</w:t>
            </w:r>
          </w:p>
        </w:tc>
      </w:tr>
      <w:tr w:rsidR="00802FD2" w:rsidRPr="00776001" w14:paraId="62952E05" w14:textId="77777777" w:rsidTr="0073065A">
        <w:tc>
          <w:tcPr>
            <w:tcW w:w="2461" w:type="dxa"/>
            <w:shd w:val="clear" w:color="auto" w:fill="auto"/>
          </w:tcPr>
          <w:p w14:paraId="1F3F51EE" w14:textId="77777777" w:rsidR="00802FD2" w:rsidRPr="00776001" w:rsidRDefault="00802FD2" w:rsidP="0073065A">
            <w:pPr>
              <w:spacing w:beforeLines="20" w:before="48" w:afterLines="20" w:after="48"/>
              <w:rPr>
                <w:rFonts w:cs="Arial"/>
              </w:rPr>
            </w:pPr>
            <w:r w:rsidRPr="00776001">
              <w:rPr>
                <w:rFonts w:cs="Arial"/>
              </w:rPr>
              <w:t>VEMD</w:t>
            </w:r>
          </w:p>
        </w:tc>
        <w:tc>
          <w:tcPr>
            <w:tcW w:w="6878" w:type="dxa"/>
            <w:shd w:val="clear" w:color="auto" w:fill="auto"/>
          </w:tcPr>
          <w:p w14:paraId="5B36DBA5" w14:textId="77777777" w:rsidR="00802FD2" w:rsidRPr="00776001" w:rsidRDefault="00802FD2" w:rsidP="0073065A">
            <w:pPr>
              <w:spacing w:beforeLines="20" w:before="48" w:afterLines="20" w:after="48"/>
              <w:rPr>
                <w:rFonts w:cs="Arial"/>
              </w:rPr>
            </w:pPr>
            <w:r w:rsidRPr="00776001">
              <w:rPr>
                <w:rFonts w:cs="Arial"/>
              </w:rPr>
              <w:t>Victorian Emergency Minimum Dataset</w:t>
            </w:r>
          </w:p>
        </w:tc>
      </w:tr>
      <w:tr w:rsidR="00802FD2" w:rsidRPr="00776001" w14:paraId="3FD227EC" w14:textId="77777777" w:rsidTr="0073065A">
        <w:tc>
          <w:tcPr>
            <w:tcW w:w="2461" w:type="dxa"/>
            <w:shd w:val="clear" w:color="auto" w:fill="auto"/>
          </w:tcPr>
          <w:p w14:paraId="101350EF" w14:textId="77777777" w:rsidR="00802FD2" w:rsidRPr="00776001" w:rsidRDefault="00802FD2" w:rsidP="0073065A">
            <w:pPr>
              <w:spacing w:beforeLines="20" w:before="48" w:afterLines="20" w:after="48"/>
              <w:rPr>
                <w:rFonts w:cs="Arial"/>
              </w:rPr>
            </w:pPr>
            <w:r w:rsidRPr="00776001">
              <w:rPr>
                <w:rFonts w:cs="Arial"/>
              </w:rPr>
              <w:t>VAED</w:t>
            </w:r>
          </w:p>
        </w:tc>
        <w:tc>
          <w:tcPr>
            <w:tcW w:w="6878" w:type="dxa"/>
            <w:shd w:val="clear" w:color="auto" w:fill="auto"/>
          </w:tcPr>
          <w:p w14:paraId="50148F81" w14:textId="77777777" w:rsidR="00802FD2" w:rsidRPr="00776001" w:rsidRDefault="00802FD2" w:rsidP="0073065A">
            <w:pPr>
              <w:spacing w:beforeLines="20" w:before="48" w:afterLines="20" w:after="48"/>
              <w:rPr>
                <w:rFonts w:cs="Arial"/>
              </w:rPr>
            </w:pPr>
            <w:r w:rsidRPr="00776001">
              <w:rPr>
                <w:rFonts w:cs="Arial"/>
              </w:rPr>
              <w:t>Victorian Admitted Episodes Data</w:t>
            </w:r>
          </w:p>
        </w:tc>
      </w:tr>
      <w:tr w:rsidR="00776001" w:rsidRPr="00776001" w14:paraId="08B684F3" w14:textId="77777777" w:rsidTr="0073065A">
        <w:tc>
          <w:tcPr>
            <w:tcW w:w="2461" w:type="dxa"/>
            <w:shd w:val="clear" w:color="auto" w:fill="auto"/>
          </w:tcPr>
          <w:p w14:paraId="7C525D53" w14:textId="77777777" w:rsidR="00776001" w:rsidRPr="00776001" w:rsidRDefault="00776001" w:rsidP="0073065A">
            <w:pPr>
              <w:spacing w:beforeLines="20" w:before="48" w:afterLines="20" w:after="48"/>
              <w:rPr>
                <w:rFonts w:cs="Arial"/>
              </w:rPr>
            </w:pPr>
            <w:r w:rsidRPr="00776001">
              <w:rPr>
                <w:rFonts w:cs="Arial"/>
              </w:rPr>
              <w:t>VPHS</w:t>
            </w:r>
          </w:p>
        </w:tc>
        <w:tc>
          <w:tcPr>
            <w:tcW w:w="6878" w:type="dxa"/>
            <w:shd w:val="clear" w:color="auto" w:fill="auto"/>
          </w:tcPr>
          <w:p w14:paraId="7ED33C20" w14:textId="77777777" w:rsidR="00776001" w:rsidRPr="00776001" w:rsidRDefault="00776001" w:rsidP="0073065A">
            <w:pPr>
              <w:spacing w:beforeLines="20" w:before="48" w:afterLines="20" w:after="48"/>
              <w:rPr>
                <w:rFonts w:cs="Arial"/>
              </w:rPr>
            </w:pPr>
            <w:r w:rsidRPr="00776001">
              <w:rPr>
                <w:rFonts w:cs="Arial"/>
              </w:rPr>
              <w:t>Victorian Public Health Sector</w:t>
            </w:r>
          </w:p>
        </w:tc>
      </w:tr>
    </w:tbl>
    <w:p w14:paraId="4DF52F37" w14:textId="1C3C63C5" w:rsidR="001B13CE" w:rsidRDefault="001B13CE" w:rsidP="00CD2489">
      <w:pPr>
        <w:pStyle w:val="DHHSbody"/>
      </w:pPr>
    </w:p>
    <w:p w14:paraId="53CC44DF" w14:textId="5E7B03B7" w:rsidR="00337534" w:rsidRDefault="00337534" w:rsidP="00CD2489">
      <w:pPr>
        <w:pStyle w:val="DHHSbody"/>
      </w:pPr>
    </w:p>
    <w:p w14:paraId="304A621E" w14:textId="30A2DC2F" w:rsidR="00337534" w:rsidRDefault="00337534" w:rsidP="00CD2489">
      <w:pPr>
        <w:pStyle w:val="DHHSbody"/>
      </w:pPr>
    </w:p>
    <w:p w14:paraId="72E5D542" w14:textId="76332B2D" w:rsidR="00337534" w:rsidRDefault="00337534" w:rsidP="00CD2489">
      <w:pPr>
        <w:pStyle w:val="DHHSbody"/>
      </w:pPr>
    </w:p>
    <w:p w14:paraId="240C5443" w14:textId="08094C02" w:rsidR="00337534" w:rsidRDefault="00337534" w:rsidP="00CD2489">
      <w:pPr>
        <w:pStyle w:val="DHHSbody"/>
      </w:pPr>
    </w:p>
    <w:p w14:paraId="67B5AF02" w14:textId="4007C81A" w:rsidR="00337534" w:rsidRDefault="00337534" w:rsidP="00CD2489">
      <w:pPr>
        <w:pStyle w:val="DHHSbody"/>
      </w:pPr>
    </w:p>
    <w:p w14:paraId="05946843" w14:textId="29708B83" w:rsidR="00337534" w:rsidRDefault="00337534" w:rsidP="00CD2489">
      <w:pPr>
        <w:pStyle w:val="DHHSbody"/>
      </w:pPr>
    </w:p>
    <w:p w14:paraId="5DA4EAC4" w14:textId="1ACF5AAA" w:rsidR="00337534" w:rsidRDefault="00337534" w:rsidP="00CD2489">
      <w:pPr>
        <w:pStyle w:val="DHHSbody"/>
      </w:pPr>
    </w:p>
    <w:p w14:paraId="1FD5F018" w14:textId="6D68955E" w:rsidR="00337534" w:rsidRDefault="00337534" w:rsidP="00CD2489">
      <w:pPr>
        <w:pStyle w:val="DHHSbody"/>
      </w:pPr>
    </w:p>
    <w:tbl>
      <w:tblPr>
        <w:tblW w:w="4800" w:type="pct"/>
        <w:tblInd w:w="113" w:type="dxa"/>
        <w:tblCellMar>
          <w:top w:w="113" w:type="dxa"/>
          <w:bottom w:w="57" w:type="dxa"/>
        </w:tblCellMar>
        <w:tblLook w:val="00A0" w:firstRow="1" w:lastRow="0" w:firstColumn="1" w:lastColumn="0" w:noHBand="0" w:noVBand="0"/>
      </w:tblPr>
      <w:tblGrid>
        <w:gridCol w:w="8917"/>
      </w:tblGrid>
      <w:tr w:rsidR="00337534" w:rsidRPr="001A5331" w14:paraId="4235477C" w14:textId="77777777" w:rsidTr="00DC6570">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047F58B" w14:textId="77777777" w:rsidR="00337534" w:rsidRPr="001A5331" w:rsidRDefault="00337534" w:rsidP="00DC6570">
            <w:pPr>
              <w:pStyle w:val="DHHSaccessibilitypara"/>
            </w:pPr>
            <w:r w:rsidRPr="001A5331">
              <w:t xml:space="preserve">To receive this publication in an accessible format email </w:t>
            </w:r>
            <w:r>
              <w:t>DigitalHealth</w:t>
            </w:r>
            <w:r w:rsidRPr="001A5331">
              <w:t>@dhhs.vic.gov.au</w:t>
            </w:r>
          </w:p>
          <w:p w14:paraId="23A3BC73" w14:textId="77777777" w:rsidR="00337534" w:rsidRPr="001A5331" w:rsidRDefault="00337534" w:rsidP="00DC6570">
            <w:pPr>
              <w:pStyle w:val="DHHSbody"/>
            </w:pPr>
            <w:r w:rsidRPr="001A5331">
              <w:t>Authorised and published by the Victorian Government, 1 Treasury Place, Melbourne.</w:t>
            </w:r>
          </w:p>
          <w:p w14:paraId="5B815148" w14:textId="77777777" w:rsidR="00337534" w:rsidRDefault="00337534" w:rsidP="00DC6570">
            <w:pPr>
              <w:pStyle w:val="DHHSbody"/>
            </w:pPr>
            <w:r w:rsidRPr="001A5331">
              <w:t xml:space="preserve">© State of Victoria, Department of Health and Human Services, </w:t>
            </w:r>
            <w:r>
              <w:t>September</w:t>
            </w:r>
            <w:r w:rsidRPr="001A5331">
              <w:t xml:space="preserve"> 2019.</w:t>
            </w:r>
          </w:p>
          <w:p w14:paraId="0B181844" w14:textId="77777777" w:rsidR="00337534" w:rsidRPr="00F708EE" w:rsidRDefault="00337534" w:rsidP="00DC6570"/>
          <w:p w14:paraId="3667ABC4" w14:textId="77777777" w:rsidR="00337534" w:rsidRPr="00F708EE" w:rsidRDefault="00337534" w:rsidP="00DC6570"/>
        </w:tc>
      </w:tr>
    </w:tbl>
    <w:p w14:paraId="60373061" w14:textId="77777777" w:rsidR="00337534" w:rsidRDefault="00337534" w:rsidP="00CD2489">
      <w:pPr>
        <w:pStyle w:val="DHHSbody"/>
      </w:pPr>
    </w:p>
    <w:sectPr w:rsidR="00337534" w:rsidSect="00BE2A02">
      <w:pgSz w:w="11907" w:h="16839" w:code="9"/>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E40E" w14:textId="77777777" w:rsidR="00017B28" w:rsidRDefault="00017B28" w:rsidP="007A1A1D">
      <w:r>
        <w:separator/>
      </w:r>
    </w:p>
  </w:endnote>
  <w:endnote w:type="continuationSeparator" w:id="0">
    <w:p w14:paraId="47E3D8EC" w14:textId="77777777" w:rsidR="00017B28" w:rsidRDefault="00017B28" w:rsidP="007A1A1D">
      <w:r>
        <w:continuationSeparator/>
      </w:r>
    </w:p>
  </w:endnote>
  <w:endnote w:type="continuationNotice" w:id="1">
    <w:p w14:paraId="74F982E4" w14:textId="77777777" w:rsidR="00017B28" w:rsidRDefault="00017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YInterstate">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E243" w14:textId="5137A57F" w:rsidR="005F2FE5" w:rsidRDefault="005F2FE5">
    <w:pPr>
      <w:pStyle w:val="Footer"/>
    </w:pPr>
    <w:r>
      <w:rPr>
        <w:noProof/>
      </w:rPr>
      <mc:AlternateContent>
        <mc:Choice Requires="wps">
          <w:drawing>
            <wp:anchor distT="0" distB="0" distL="114300" distR="114300" simplePos="0" relativeHeight="251693396" behindDoc="0" locked="0" layoutInCell="0" allowOverlap="1" wp14:anchorId="5ED4ECF9" wp14:editId="77567B01">
              <wp:simplePos x="0" y="0"/>
              <wp:positionH relativeFrom="page">
                <wp:align>center</wp:align>
              </wp:positionH>
              <wp:positionV relativeFrom="page">
                <wp:align>bottom</wp:align>
              </wp:positionV>
              <wp:extent cx="7772400" cy="457200"/>
              <wp:effectExtent l="0" t="0" r="0" b="0"/>
              <wp:wrapNone/>
              <wp:docPr id="2" name="MSIPCM56c74d8cab592b2a869001f3"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760D9" w14:textId="767D4ED6"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D4ECF9" id="_x0000_t202" coordsize="21600,21600" o:spt="202" path="m,l,21600r21600,l21600,xe">
              <v:stroke joinstyle="miter"/>
              <v:path gradientshapeok="t" o:connecttype="rect"/>
            </v:shapetype>
            <v:shape id="MSIPCM56c74d8cab592b2a869001f3" o:spid="_x0000_s1032" type="#_x0000_t202" alt="{&quot;HashCode&quot;:904758361,&quot;Height&quot;:9999999.0,&quot;Width&quot;:9999999.0,&quot;Placement&quot;:&quot;Footer&quot;,&quot;Index&quot;:&quot;OddAndEven&quot;,&quot;Section&quot;:1,&quot;Top&quot;:0.0,&quot;Left&quot;:0.0}" style="position:absolute;margin-left:0;margin-top:0;width:612pt;height:36pt;z-index:2516933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C0eetGrQIAAFIFAAAOAAAAAAAAAAAA&#10;AAAAAC4CAABkcnMvZTJvRG9jLnhtbFBLAQItABQABgAIAAAAIQD4JG3S2gAAAAUBAAAPAAAAAAAA&#10;AAAAAAAAAAcFAABkcnMvZG93bnJldi54bWxQSwUGAAAAAAQABADzAAAADgYAAAAA&#10;" o:allowincell="f" filled="f" stroked="f" strokeweight=".5pt">
              <v:textbox inset=",0,,0">
                <w:txbxContent>
                  <w:p w14:paraId="09A760D9" w14:textId="767D4ED6"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0DF8" w14:textId="6A9B1387" w:rsidR="005F2FE5" w:rsidRDefault="005F2FE5">
    <w:pPr>
      <w:pStyle w:val="Footer"/>
    </w:pPr>
    <w:r>
      <w:rPr>
        <w:noProof/>
      </w:rPr>
      <mc:AlternateContent>
        <mc:Choice Requires="wps">
          <w:drawing>
            <wp:anchor distT="0" distB="0" distL="114300" distR="114300" simplePos="0" relativeHeight="251692713" behindDoc="0" locked="0" layoutInCell="0" allowOverlap="1" wp14:anchorId="5A4913EF" wp14:editId="08EF56D8">
              <wp:simplePos x="0" y="0"/>
              <wp:positionH relativeFrom="page">
                <wp:align>center</wp:align>
              </wp:positionH>
              <wp:positionV relativeFrom="page">
                <wp:align>bottom</wp:align>
              </wp:positionV>
              <wp:extent cx="7772400" cy="457200"/>
              <wp:effectExtent l="0" t="0" r="0" b="0"/>
              <wp:wrapNone/>
              <wp:docPr id="1" name="MSIPCM1153421895027d5502b47b7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FEDA8" w14:textId="0E6A07C5"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4913EF" id="_x0000_t202" coordsize="21600,21600" o:spt="202" path="m,l,21600r21600,l21600,xe">
              <v:stroke joinstyle="miter"/>
              <v:path gradientshapeok="t" o:connecttype="rect"/>
            </v:shapetype>
            <v:shape id="MSIPCM1153421895027d5502b47b75" o:spid="_x0000_s1033" type="#_x0000_t202" alt="{&quot;HashCode&quot;:904758361,&quot;Height&quot;:9999999.0,&quot;Width&quot;:9999999.0,&quot;Placement&quot;:&quot;Footer&quot;,&quot;Index&quot;:&quot;Primary&quot;,&quot;Section&quot;:1,&quot;Top&quot;:0.0,&quot;Left&quot;:0.0}" style="position:absolute;margin-left:0;margin-top:0;width:612pt;height:36pt;z-index:25169271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F4x+oisAgAAVgUAAA4AAAAAAAAAAAAA&#10;AAAALgIAAGRycy9lMm9Eb2MueG1sUEsBAi0AFAAGAAgAAAAhAPgkbdLaAAAABQEAAA8AAAAAAAAA&#10;AAAAAAAABgUAAGRycy9kb3ducmV2LnhtbFBLBQYAAAAABAAEAPMAAAANBgAAAAA=&#10;" o:allowincell="f" filled="f" stroked="f" strokeweight=".5pt">
              <v:textbox inset=",0,,0">
                <w:txbxContent>
                  <w:p w14:paraId="202FEDA8" w14:textId="0E6A07C5"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2D91" w14:textId="77777777" w:rsidR="0073313A" w:rsidRDefault="007331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1324" w14:textId="6774181E" w:rsidR="005F2FE5" w:rsidRPr="008114D1" w:rsidRDefault="005F2FE5" w:rsidP="00E969B1">
    <w:pPr>
      <w:pStyle w:val="DHHSfooter"/>
    </w:pPr>
    <w:r>
      <w:rPr>
        <w:noProof/>
      </w:rPr>
      <mc:AlternateContent>
        <mc:Choice Requires="wps">
          <w:drawing>
            <wp:anchor distT="0" distB="0" distL="114300" distR="114300" simplePos="0" relativeHeight="251697152" behindDoc="0" locked="0" layoutInCell="0" allowOverlap="1" wp14:anchorId="42020819" wp14:editId="23CB4850">
              <wp:simplePos x="0" y="0"/>
              <wp:positionH relativeFrom="page">
                <wp:align>center</wp:align>
              </wp:positionH>
              <wp:positionV relativeFrom="page">
                <wp:align>bottom</wp:align>
              </wp:positionV>
              <wp:extent cx="7772400" cy="457200"/>
              <wp:effectExtent l="0" t="0" r="0" b="0"/>
              <wp:wrapNone/>
              <wp:docPr id="5" name="MSIPCMea504df4b762f7200008a750" descr="{&quot;HashCode&quot;:904758361,&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B23622" w14:textId="2789D4C8"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020819" id="_x0000_t202" coordsize="21600,21600" o:spt="202" path="m,l,21600r21600,l21600,xe">
              <v:stroke joinstyle="miter"/>
              <v:path gradientshapeok="t" o:connecttype="rect"/>
            </v:shapetype>
            <v:shape id="MSIPCMea504df4b762f7200008a750" o:spid="_x0000_s1034" type="#_x0000_t202" alt="{&quot;HashCode&quot;:904758361,&quot;Height&quot;:9999999.0,&quot;Width&quot;:9999999.0,&quot;Placement&quot;:&quot;Footer&quot;,&quot;Index&quot;:&quot;OddAndEven&quot;,&quot;Section&quot;:2,&quot;Top&quot;:0.0,&quot;Left&quot;:0.0}" style="position:absolute;margin-left:0;margin-top:0;width:612pt;height:36pt;z-index:2516971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O4y78SvAgAAWQUAAA4AAAAAAAAA&#10;AAAAAAAALgIAAGRycy9lMm9Eb2MueG1sUEsBAi0AFAAGAAgAAAAhAPgkbdLaAAAABQEAAA8AAAAA&#10;AAAAAAAAAAAACQUAAGRycy9kb3ducmV2LnhtbFBLBQYAAAAABAAEAPMAAAAQBgAAAAA=&#10;" o:allowincell="f" filled="f" stroked="f" strokeweight=".5pt">
              <v:textbox inset=",0,,0">
                <w:txbxContent>
                  <w:p w14:paraId="31B23622" w14:textId="2789D4C8"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12</w:t>
    </w:r>
    <w:r w:rsidRPr="005A39EC">
      <w:fldChar w:fldCharType="end"/>
    </w:r>
    <w:r>
      <w:tab/>
      <w:t>DH Standard – Application solution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8CB9" w14:textId="78EAD5F8" w:rsidR="005F2FE5" w:rsidRPr="0031753A" w:rsidRDefault="005F2FE5" w:rsidP="00E969B1">
    <w:pPr>
      <w:pStyle w:val="DHHSfooter"/>
    </w:pPr>
    <w:r>
      <w:rPr>
        <w:noProof/>
      </w:rPr>
      <mc:AlternateContent>
        <mc:Choice Requires="wps">
          <w:drawing>
            <wp:anchor distT="0" distB="0" distL="114300" distR="114300" simplePos="0" relativeHeight="251696128" behindDoc="0" locked="0" layoutInCell="0" allowOverlap="1" wp14:anchorId="436A0FEA" wp14:editId="64447569">
              <wp:simplePos x="0" y="0"/>
              <wp:positionH relativeFrom="page">
                <wp:align>center</wp:align>
              </wp:positionH>
              <wp:positionV relativeFrom="page">
                <wp:align>bottom</wp:align>
              </wp:positionV>
              <wp:extent cx="7772400" cy="457200"/>
              <wp:effectExtent l="0" t="0" r="0" b="0"/>
              <wp:wrapNone/>
              <wp:docPr id="4" name="MSIPCM5c444d38925c1bd74ea1a3cb"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C0BFD" w14:textId="53997E15"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6A0FEA" id="_x0000_t202" coordsize="21600,21600" o:spt="202" path="m,l,21600r21600,l21600,xe">
              <v:stroke joinstyle="miter"/>
              <v:path gradientshapeok="t" o:connecttype="rect"/>
            </v:shapetype>
            <v:shape id="MSIPCM5c444d38925c1bd74ea1a3cb" o:spid="_x0000_s1035" type="#_x0000_t202" alt="{&quot;HashCode&quot;:904758361,&quot;Height&quot;:9999999.0,&quot;Width&quot;:9999999.0,&quot;Placement&quot;:&quot;Footer&quot;,&quot;Index&quot;:&quot;Primary&quot;,&quot;Section&quot;:2,&quot;Top&quot;:0.0,&quot;Left&quot;:0.0}" style="position:absolute;margin-left:0;margin-top:0;width:612pt;height:36pt;z-index:2516961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tBjmLa4CAABWBQAADgAAAAAAAAAA&#10;AAAAAAAuAgAAZHJzL2Uyb0RvYy54bWxQSwECLQAUAAYACAAAACEA+CRt0toAAAAFAQAADwAAAAAA&#10;AAAAAAAAAAAIBQAAZHJzL2Rvd25yZXYueG1sUEsFBgAAAAAEAAQA8wAAAA8GAAAAAA==&#10;" o:allowincell="f" filled="f" stroked="f" strokeweight=".5pt">
              <v:textbox inset=",0,,0">
                <w:txbxContent>
                  <w:p w14:paraId="6BDC0BFD" w14:textId="53997E15" w:rsidR="005F2FE5" w:rsidRPr="0073313A" w:rsidRDefault="0073313A" w:rsidP="0073313A">
                    <w:pPr>
                      <w:spacing w:after="0"/>
                      <w:jc w:val="center"/>
                      <w:rPr>
                        <w:rFonts w:ascii="Arial Black" w:hAnsi="Arial Black"/>
                        <w:color w:val="000000"/>
                      </w:rPr>
                    </w:pPr>
                    <w:r w:rsidRPr="0073313A">
                      <w:rPr>
                        <w:rFonts w:ascii="Arial Black" w:hAnsi="Arial Black"/>
                        <w:color w:val="000000"/>
                      </w:rPr>
                      <w:t>OFFICIAL</w:t>
                    </w:r>
                  </w:p>
                </w:txbxContent>
              </v:textbox>
              <w10:wrap anchorx="page" anchory="page"/>
            </v:shape>
          </w:pict>
        </mc:Fallback>
      </mc:AlternateContent>
    </w:r>
    <w:r>
      <w:t>DH Standard - Application solution guide</w:t>
    </w:r>
    <w:r w:rsidRPr="0031753A">
      <w:tab/>
      <w:t xml:space="preserve">Page </w:t>
    </w:r>
    <w:r w:rsidRPr="0031753A">
      <w:fldChar w:fldCharType="begin"/>
    </w:r>
    <w:r w:rsidRPr="0031753A">
      <w:instrText xml:space="preserve"> PAGE </w:instrText>
    </w:r>
    <w:r w:rsidRPr="0031753A">
      <w:fldChar w:fldCharType="separate"/>
    </w:r>
    <w:r>
      <w:rPr>
        <w:noProof/>
      </w:rPr>
      <w:t>13</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D614" w14:textId="77777777" w:rsidR="005F2FE5" w:rsidRPr="001A7E04" w:rsidRDefault="005F2FE5"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176A" w14:textId="77777777" w:rsidR="00017B28" w:rsidRDefault="00017B28" w:rsidP="007A1A1D">
      <w:r>
        <w:separator/>
      </w:r>
    </w:p>
  </w:footnote>
  <w:footnote w:type="continuationSeparator" w:id="0">
    <w:p w14:paraId="5A58EA94" w14:textId="77777777" w:rsidR="00017B28" w:rsidRDefault="00017B28" w:rsidP="007A1A1D">
      <w:r>
        <w:continuationSeparator/>
      </w:r>
    </w:p>
  </w:footnote>
  <w:footnote w:type="continuationNotice" w:id="1">
    <w:p w14:paraId="55622681" w14:textId="77777777" w:rsidR="00017B28" w:rsidRDefault="00017B28">
      <w:pPr>
        <w:spacing w:after="0" w:line="240" w:lineRule="auto"/>
      </w:pPr>
    </w:p>
  </w:footnote>
  <w:footnote w:id="2">
    <w:p w14:paraId="2DC7C1DC" w14:textId="7CC3C59F" w:rsidR="005F2FE5" w:rsidRDefault="005F2FE5" w:rsidP="00001562">
      <w:pPr>
        <w:pStyle w:val="FootnoteText"/>
      </w:pPr>
      <w:r>
        <w:rPr>
          <w:rStyle w:val="FootnoteReference"/>
        </w:rPr>
        <w:footnoteRef/>
      </w:r>
      <w:r>
        <w:t xml:space="preserve"> </w:t>
      </w:r>
      <w:r w:rsidRPr="00ED2BD6">
        <w:rPr>
          <w:strike/>
        </w:rPr>
        <w:t xml:space="preserve">  </w:t>
      </w:r>
      <w:hyperlink r:id="rId1" w:history="1">
        <w:r>
          <w:rPr>
            <w:rStyle w:val="Hyperlink"/>
          </w:rPr>
          <w:t>https://www2.health.vic.gov.au/hospitals-and-health-services/quality-safety-service/digital-health/dh-standards-guidelines/digital-design-unified-implementation-guide</w:t>
        </w:r>
      </w:hyperlink>
    </w:p>
    <w:p w14:paraId="65F7E4DF" w14:textId="77777777" w:rsidR="005F2FE5" w:rsidRDefault="005F2FE5" w:rsidP="00001562">
      <w:pPr>
        <w:pStyle w:val="FootnoteText"/>
      </w:pPr>
    </w:p>
  </w:footnote>
  <w:footnote w:id="3">
    <w:p w14:paraId="18EE65FF" w14:textId="77777777" w:rsidR="005F2FE5" w:rsidRDefault="005F2FE5" w:rsidP="00082A7C">
      <w:pPr>
        <w:pStyle w:val="FootnoteText"/>
      </w:pPr>
      <w:r>
        <w:rPr>
          <w:rStyle w:val="FootnoteReference"/>
        </w:rPr>
        <w:footnoteRef/>
      </w:r>
      <w:r>
        <w:t xml:space="preserve"> </w:t>
      </w:r>
      <w:r w:rsidRPr="00367DF4">
        <w:t>https://www.digitalhealth.gov.au/implementation-resources/clinical-documents/electronic-transfer-of-prescription</w:t>
      </w:r>
    </w:p>
  </w:footnote>
  <w:footnote w:id="4">
    <w:p w14:paraId="745D8433" w14:textId="77777777" w:rsidR="005F2FE5" w:rsidRDefault="005F2FE5" w:rsidP="00CC1548">
      <w:pPr>
        <w:pStyle w:val="FootnoteText"/>
      </w:pPr>
      <w:r>
        <w:rPr>
          <w:rStyle w:val="FootnoteReference"/>
        </w:rPr>
        <w:footnoteRef/>
      </w:r>
      <w:r>
        <w:t xml:space="preserve"> </w:t>
      </w:r>
      <w:r w:rsidRPr="00B96219">
        <w:t>http://apps.who.int/classifications/icd10/browse/2016/en</w:t>
      </w:r>
    </w:p>
  </w:footnote>
  <w:footnote w:id="5">
    <w:p w14:paraId="769A242F" w14:textId="6E5D86EB" w:rsidR="005F2FE5" w:rsidRDefault="005F2FE5">
      <w:pPr>
        <w:pStyle w:val="FootnoteText"/>
      </w:pPr>
      <w:r>
        <w:rPr>
          <w:rStyle w:val="FootnoteReference"/>
        </w:rPr>
        <w:footnoteRef/>
      </w:r>
      <w:r>
        <w:t xml:space="preserve"> </w:t>
      </w:r>
      <w:hyperlink r:id="rId2" w:history="1">
        <w:r>
          <w:rPr>
            <w:rStyle w:val="Hyperlink"/>
          </w:rPr>
          <w:t>https://www.himssanalytics.org/emram</w:t>
        </w:r>
      </w:hyperlink>
    </w:p>
  </w:footnote>
  <w:footnote w:id="6">
    <w:p w14:paraId="49E3EB28" w14:textId="3C222DED" w:rsidR="005F2FE5" w:rsidRDefault="005F2FE5">
      <w:pPr>
        <w:pStyle w:val="FootnoteText"/>
      </w:pPr>
      <w:r>
        <w:rPr>
          <w:rStyle w:val="FootnoteReference"/>
        </w:rPr>
        <w:footnoteRef/>
      </w:r>
      <w:r>
        <w:t xml:space="preserve"> </w:t>
      </w:r>
      <w:hyperlink r:id="rId3" w:history="1">
        <w:r>
          <w:rPr>
            <w:rStyle w:val="Hyperlink"/>
          </w:rPr>
          <w:t>https://www2.health.vic.gov.au/hospitals-and-health-services/quality-safety-service/digital-health/dh-standards-guidelines/digital-design-unified-implementation-guide</w:t>
        </w:r>
      </w:hyperlink>
    </w:p>
  </w:footnote>
  <w:footnote w:id="7">
    <w:p w14:paraId="7DBBA1E4" w14:textId="3CAA26BA" w:rsidR="005F2FE5" w:rsidRDefault="005F2FE5">
      <w:pPr>
        <w:pStyle w:val="FootnoteText"/>
      </w:pPr>
      <w:r>
        <w:rPr>
          <w:rStyle w:val="FootnoteReference"/>
        </w:rPr>
        <w:footnoteRef/>
      </w:r>
      <w:hyperlink r:id="rId4" w:history="1">
        <w:r w:rsidRPr="004D7A7F">
          <w:rPr>
            <w:rStyle w:val="Hyperlink"/>
          </w:rPr>
          <w:t>https://www2.health.vic.gov.au/hospitals-and-health-services/quality-safety-service/digital-health/dh-standards-guidelines/statewide-pathology-imaging-catalogues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FE11" w14:textId="77777777" w:rsidR="0073313A" w:rsidRDefault="00733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51DB" w14:textId="77777777" w:rsidR="0073313A" w:rsidRDefault="00733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96CB" w14:textId="77777777" w:rsidR="0073313A" w:rsidRDefault="007331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73D3" w14:textId="77777777" w:rsidR="005F2FE5" w:rsidRPr="0069374A" w:rsidRDefault="005F2FE5"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A2DD" w14:textId="77777777" w:rsidR="005F2FE5" w:rsidRDefault="005F2FE5"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A6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7255"/>
    <w:multiLevelType w:val="hybridMultilevel"/>
    <w:tmpl w:val="121C3B60"/>
    <w:lvl w:ilvl="0" w:tplc="69C6609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70192"/>
    <w:multiLevelType w:val="hybridMultilevel"/>
    <w:tmpl w:val="1D467DD4"/>
    <w:lvl w:ilvl="0" w:tplc="69C6609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250A7"/>
    <w:multiLevelType w:val="hybridMultilevel"/>
    <w:tmpl w:val="BF0CBA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47185"/>
    <w:multiLevelType w:val="hybridMultilevel"/>
    <w:tmpl w:val="A81A7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D0C14"/>
    <w:multiLevelType w:val="hybridMultilevel"/>
    <w:tmpl w:val="4454A1F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081786"/>
    <w:multiLevelType w:val="hybridMultilevel"/>
    <w:tmpl w:val="5A1C79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CF38D4"/>
    <w:multiLevelType w:val="hybridMultilevel"/>
    <w:tmpl w:val="C3F6326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0C2AD8"/>
    <w:multiLevelType w:val="hybridMultilevel"/>
    <w:tmpl w:val="9E7C8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C857D9"/>
    <w:multiLevelType w:val="hybridMultilevel"/>
    <w:tmpl w:val="AAAC0C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A72B78"/>
    <w:multiLevelType w:val="hybridMultilevel"/>
    <w:tmpl w:val="BFB2BDD8"/>
    <w:name w:val="DH 1.1/1.2/1.322222222422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E2977"/>
    <w:multiLevelType w:val="hybridMultilevel"/>
    <w:tmpl w:val="A92A5B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657AF"/>
    <w:multiLevelType w:val="hybridMultilevel"/>
    <w:tmpl w:val="934A2B3E"/>
    <w:lvl w:ilvl="0" w:tplc="0C090001">
      <w:start w:val="1"/>
      <w:numFmt w:val="bullet"/>
      <w:pStyle w:val="DHSBulletText2"/>
      <w:lvlText w:val=""/>
      <w:lvlJc w:val="left"/>
      <w:pPr>
        <w:tabs>
          <w:tab w:val="num" w:pos="896"/>
        </w:tabs>
        <w:ind w:left="896" w:hanging="448"/>
      </w:pPr>
      <w:rPr>
        <w:rFonts w:ascii="Symbol" w:hAnsi="Symbol" w:hint="default"/>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Symbol" w:hAnsi="Symbol" w:hint="default"/>
        <w:sz w:val="2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CD90D3E"/>
    <w:multiLevelType w:val="hybridMultilevel"/>
    <w:tmpl w:val="80FA7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40722C"/>
    <w:multiLevelType w:val="multilevel"/>
    <w:tmpl w:val="0F8EFCD6"/>
    <w:lvl w:ilvl="0">
      <w:start w:val="1"/>
      <w:numFmt w:val="decimal"/>
      <w:pStyle w:val="DHHSTOCheadingrepo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50660B"/>
    <w:multiLevelType w:val="hybridMultilevel"/>
    <w:tmpl w:val="0DE2E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A13DCE"/>
    <w:multiLevelType w:val="hybridMultilevel"/>
    <w:tmpl w:val="9F421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9A0784"/>
    <w:multiLevelType w:val="hybridMultilevel"/>
    <w:tmpl w:val="E98C595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4F3026CC"/>
    <w:multiLevelType w:val="hybridMultilevel"/>
    <w:tmpl w:val="1E8C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F01A3"/>
    <w:multiLevelType w:val="hybridMultilevel"/>
    <w:tmpl w:val="03A2C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A25FD"/>
    <w:multiLevelType w:val="hybridMultilevel"/>
    <w:tmpl w:val="1B560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8518F"/>
    <w:multiLevelType w:val="hybridMultilevel"/>
    <w:tmpl w:val="CA26C5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C4353D"/>
    <w:multiLevelType w:val="hybridMultilevel"/>
    <w:tmpl w:val="3DBA81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52F4315"/>
    <w:multiLevelType w:val="hybridMultilevel"/>
    <w:tmpl w:val="A1CA57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61684"/>
    <w:multiLevelType w:val="hybridMultilevel"/>
    <w:tmpl w:val="069A9F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215D2"/>
    <w:multiLevelType w:val="hybridMultilevel"/>
    <w:tmpl w:val="75EEB7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32D08BE"/>
    <w:multiLevelType w:val="hybridMultilevel"/>
    <w:tmpl w:val="25AC8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B3541"/>
    <w:multiLevelType w:val="hybridMultilevel"/>
    <w:tmpl w:val="B8169EF6"/>
    <w:lvl w:ilvl="0" w:tplc="0C090003">
      <w:start w:val="1"/>
      <w:numFmt w:val="bullet"/>
      <w:lvlText w:val="o"/>
      <w:lvlJc w:val="left"/>
      <w:pPr>
        <w:tabs>
          <w:tab w:val="num" w:pos="1080"/>
        </w:tabs>
        <w:ind w:left="1080" w:hanging="360"/>
      </w:pPr>
      <w:rPr>
        <w:rFonts w:ascii="Courier New" w:hAnsi="Courier New" w:cs="Courier New" w:hint="default"/>
        <w:color w:val="auto"/>
      </w:rPr>
    </w:lvl>
    <w:lvl w:ilvl="1" w:tplc="0C090005">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297B98"/>
    <w:multiLevelType w:val="multilevel"/>
    <w:tmpl w:val="117411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7555CC5"/>
    <w:multiLevelType w:val="hybridMultilevel"/>
    <w:tmpl w:val="8B781E4A"/>
    <w:lvl w:ilvl="0" w:tplc="BE149822">
      <w:start w:val="1"/>
      <w:numFmt w:val="decimal"/>
      <w:pStyle w:val="Heading4"/>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283CBC"/>
    <w:multiLevelType w:val="multilevel"/>
    <w:tmpl w:val="6B0C478C"/>
    <w:lvl w:ilvl="0">
      <w:start w:val="1"/>
      <w:numFmt w:val="decimal"/>
      <w:pStyle w:val="StyleDHSReportHd2NumberedVerdanaBefore0cmFirstline"/>
      <w:lvlText w:val="%1"/>
      <w:lvlJc w:val="left"/>
      <w:pPr>
        <w:tabs>
          <w:tab w:val="num" w:pos="432"/>
        </w:tabs>
        <w:ind w:left="432" w:hanging="432"/>
      </w:pPr>
      <w:rPr>
        <w:rFonts w:hint="default"/>
      </w:rPr>
    </w:lvl>
    <w:lvl w:ilvl="1">
      <w:start w:val="1"/>
      <w:numFmt w:val="decimal"/>
      <w:pStyle w:val="DHSReportHd3Numbered"/>
      <w:lvlText w:val="%1.%2"/>
      <w:lvlJc w:val="left"/>
      <w:pPr>
        <w:tabs>
          <w:tab w:val="num" w:pos="576"/>
        </w:tabs>
        <w:ind w:left="576" w:hanging="576"/>
      </w:pPr>
      <w:rPr>
        <w:rFonts w:hint="default"/>
      </w:rPr>
    </w:lvl>
    <w:lvl w:ilvl="2">
      <w:start w:val="1"/>
      <w:numFmt w:val="decimal"/>
      <w:pStyle w:val="DHSReportHd4Numbered"/>
      <w:lvlText w:val="%1.%2.%3"/>
      <w:lvlJc w:val="left"/>
      <w:pPr>
        <w:tabs>
          <w:tab w:val="num" w:pos="720"/>
        </w:tabs>
        <w:ind w:left="720" w:hanging="40"/>
      </w:pPr>
      <w:rPr>
        <w:rFonts w:hint="default"/>
      </w:rPr>
    </w:lvl>
    <w:lvl w:ilvl="3">
      <w:start w:val="1"/>
      <w:numFmt w:val="decimal"/>
      <w:pStyle w:val="DHSReportHd5Numbered"/>
      <w:lvlText w:val="%1.%2.%3.%4"/>
      <w:lvlJc w:val="left"/>
      <w:pPr>
        <w:tabs>
          <w:tab w:val="num" w:pos="2268"/>
        </w:tabs>
        <w:ind w:left="864" w:firstLine="383"/>
      </w:pPr>
      <w:rPr>
        <w:rFonts w:hint="default"/>
      </w:rPr>
    </w:lvl>
    <w:lvl w:ilvl="4">
      <w:start w:val="1"/>
      <w:numFmt w:val="decimal"/>
      <w:lvlText w:val="%1.%2.%3.%4.%5"/>
      <w:lvlJc w:val="left"/>
      <w:pPr>
        <w:tabs>
          <w:tab w:val="num" w:pos="2268"/>
        </w:tabs>
        <w:ind w:left="862" w:firstLine="9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3"/>
  </w:num>
  <w:num w:numId="3">
    <w:abstractNumId w:val="0"/>
  </w:num>
  <w:num w:numId="4">
    <w:abstractNumId w:val="15"/>
  </w:num>
  <w:num w:numId="5">
    <w:abstractNumId w:val="31"/>
  </w:num>
  <w:num w:numId="6">
    <w:abstractNumId w:val="20"/>
  </w:num>
  <w:num w:numId="7">
    <w:abstractNumId w:val="14"/>
  </w:num>
  <w:num w:numId="8">
    <w:abstractNumId w:val="21"/>
  </w:num>
  <w:num w:numId="9">
    <w:abstractNumId w:val="5"/>
  </w:num>
  <w:num w:numId="10">
    <w:abstractNumId w:val="6"/>
  </w:num>
  <w:num w:numId="11">
    <w:abstractNumId w:val="8"/>
  </w:num>
  <w:num w:numId="12">
    <w:abstractNumId w:val="19"/>
  </w:num>
  <w:num w:numId="13">
    <w:abstractNumId w:val="1"/>
  </w:num>
  <w:num w:numId="14">
    <w:abstractNumId w:val="33"/>
  </w:num>
  <w:num w:numId="15">
    <w:abstractNumId w:val="30"/>
  </w:num>
  <w:num w:numId="16">
    <w:abstractNumId w:val="2"/>
  </w:num>
  <w:num w:numId="17">
    <w:abstractNumId w:val="12"/>
  </w:num>
  <w:num w:numId="18">
    <w:abstractNumId w:val="27"/>
  </w:num>
  <w:num w:numId="19">
    <w:abstractNumId w:val="3"/>
  </w:num>
  <w:num w:numId="20">
    <w:abstractNumId w:val="9"/>
  </w:num>
  <w:num w:numId="21">
    <w:abstractNumId w:val="23"/>
  </w:num>
  <w:num w:numId="22">
    <w:abstractNumId w:val="28"/>
  </w:num>
  <w:num w:numId="23">
    <w:abstractNumId w:val="11"/>
  </w:num>
  <w:num w:numId="24">
    <w:abstractNumId w:val="25"/>
  </w:num>
  <w:num w:numId="25">
    <w:abstractNumId w:val="7"/>
  </w:num>
  <w:num w:numId="26">
    <w:abstractNumId w:val="18"/>
  </w:num>
  <w:num w:numId="27">
    <w:abstractNumId w:val="32"/>
  </w:num>
  <w:num w:numId="28">
    <w:abstractNumId w:val="22"/>
  </w:num>
  <w:num w:numId="29">
    <w:abstractNumId w:val="26"/>
  </w:num>
  <w:num w:numId="30">
    <w:abstractNumId w:val="4"/>
  </w:num>
  <w:num w:numId="31">
    <w:abstractNumId w:val="16"/>
  </w:num>
  <w:num w:numId="32">
    <w:abstractNumId w:val="29"/>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fillcolor="#4bacc6" stroke="f">
      <v:fill color="#4bacc6"/>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1NbI0MzEzNrYwtTRW0lEKTi0uzszPAykwMagFAOn8gFMtAAAA"/>
  </w:docVars>
  <w:rsids>
    <w:rsidRoot w:val="00E64ABA"/>
    <w:rsid w:val="0000007A"/>
    <w:rsid w:val="00001562"/>
    <w:rsid w:val="00002990"/>
    <w:rsid w:val="00003CDD"/>
    <w:rsid w:val="0000433B"/>
    <w:rsid w:val="000048AC"/>
    <w:rsid w:val="0000539B"/>
    <w:rsid w:val="000061A9"/>
    <w:rsid w:val="00006986"/>
    <w:rsid w:val="00007570"/>
    <w:rsid w:val="00010D00"/>
    <w:rsid w:val="00013B3C"/>
    <w:rsid w:val="00013D95"/>
    <w:rsid w:val="00013E3C"/>
    <w:rsid w:val="00014FC4"/>
    <w:rsid w:val="00016EA0"/>
    <w:rsid w:val="00017B28"/>
    <w:rsid w:val="00017FF0"/>
    <w:rsid w:val="00020AAB"/>
    <w:rsid w:val="000216D8"/>
    <w:rsid w:val="000223A4"/>
    <w:rsid w:val="00022E60"/>
    <w:rsid w:val="00024FF1"/>
    <w:rsid w:val="00026006"/>
    <w:rsid w:val="0002691E"/>
    <w:rsid w:val="00026C19"/>
    <w:rsid w:val="00027713"/>
    <w:rsid w:val="000278DF"/>
    <w:rsid w:val="00027B3E"/>
    <w:rsid w:val="00027F3E"/>
    <w:rsid w:val="00031263"/>
    <w:rsid w:val="00031C66"/>
    <w:rsid w:val="000321EE"/>
    <w:rsid w:val="00032701"/>
    <w:rsid w:val="000340C2"/>
    <w:rsid w:val="00034769"/>
    <w:rsid w:val="00034BD3"/>
    <w:rsid w:val="00034CB3"/>
    <w:rsid w:val="000362FB"/>
    <w:rsid w:val="0003632A"/>
    <w:rsid w:val="0003698C"/>
    <w:rsid w:val="00036B24"/>
    <w:rsid w:val="00040658"/>
    <w:rsid w:val="00040AC5"/>
    <w:rsid w:val="0004133C"/>
    <w:rsid w:val="00041D33"/>
    <w:rsid w:val="00044013"/>
    <w:rsid w:val="000441C6"/>
    <w:rsid w:val="0004649C"/>
    <w:rsid w:val="00047102"/>
    <w:rsid w:val="0005186C"/>
    <w:rsid w:val="00053F39"/>
    <w:rsid w:val="0005416D"/>
    <w:rsid w:val="00054FAD"/>
    <w:rsid w:val="000550E0"/>
    <w:rsid w:val="00055453"/>
    <w:rsid w:val="00056E79"/>
    <w:rsid w:val="00057774"/>
    <w:rsid w:val="0006069F"/>
    <w:rsid w:val="00060A0E"/>
    <w:rsid w:val="00060E93"/>
    <w:rsid w:val="000610BA"/>
    <w:rsid w:val="000612F7"/>
    <w:rsid w:val="000618B2"/>
    <w:rsid w:val="000627C0"/>
    <w:rsid w:val="0006321C"/>
    <w:rsid w:val="000633AC"/>
    <w:rsid w:val="00063488"/>
    <w:rsid w:val="00063761"/>
    <w:rsid w:val="00063C3A"/>
    <w:rsid w:val="00063DFD"/>
    <w:rsid w:val="0006456F"/>
    <w:rsid w:val="0006487A"/>
    <w:rsid w:val="00064936"/>
    <w:rsid w:val="00064994"/>
    <w:rsid w:val="0006514A"/>
    <w:rsid w:val="000654B4"/>
    <w:rsid w:val="000674B4"/>
    <w:rsid w:val="00067C86"/>
    <w:rsid w:val="00071B8C"/>
    <w:rsid w:val="000724D8"/>
    <w:rsid w:val="000734F8"/>
    <w:rsid w:val="000736B8"/>
    <w:rsid w:val="000742E1"/>
    <w:rsid w:val="00074B5B"/>
    <w:rsid w:val="00075B80"/>
    <w:rsid w:val="00076658"/>
    <w:rsid w:val="00077A04"/>
    <w:rsid w:val="00080208"/>
    <w:rsid w:val="0008070E"/>
    <w:rsid w:val="0008125F"/>
    <w:rsid w:val="000817CB"/>
    <w:rsid w:val="00082A7C"/>
    <w:rsid w:val="00082F55"/>
    <w:rsid w:val="00084A71"/>
    <w:rsid w:val="00086059"/>
    <w:rsid w:val="00086BEF"/>
    <w:rsid w:val="00087086"/>
    <w:rsid w:val="000873EF"/>
    <w:rsid w:val="000903C8"/>
    <w:rsid w:val="00091E2A"/>
    <w:rsid w:val="0009497B"/>
    <w:rsid w:val="00095E13"/>
    <w:rsid w:val="0009612D"/>
    <w:rsid w:val="00096B8A"/>
    <w:rsid w:val="000971F8"/>
    <w:rsid w:val="000A18ED"/>
    <w:rsid w:val="000A28B3"/>
    <w:rsid w:val="000A2A30"/>
    <w:rsid w:val="000A33A4"/>
    <w:rsid w:val="000A3D81"/>
    <w:rsid w:val="000A3F99"/>
    <w:rsid w:val="000A5717"/>
    <w:rsid w:val="000A7201"/>
    <w:rsid w:val="000B1908"/>
    <w:rsid w:val="000B26AA"/>
    <w:rsid w:val="000B29D7"/>
    <w:rsid w:val="000B36F3"/>
    <w:rsid w:val="000B3792"/>
    <w:rsid w:val="000B3D88"/>
    <w:rsid w:val="000B48DD"/>
    <w:rsid w:val="000B5E67"/>
    <w:rsid w:val="000B7AC8"/>
    <w:rsid w:val="000C00FC"/>
    <w:rsid w:val="000C090E"/>
    <w:rsid w:val="000C0CFD"/>
    <w:rsid w:val="000C1FDB"/>
    <w:rsid w:val="000C32DA"/>
    <w:rsid w:val="000C330A"/>
    <w:rsid w:val="000C45DE"/>
    <w:rsid w:val="000C4F66"/>
    <w:rsid w:val="000C4F7D"/>
    <w:rsid w:val="000C6242"/>
    <w:rsid w:val="000C68DB"/>
    <w:rsid w:val="000C69EB"/>
    <w:rsid w:val="000C72F7"/>
    <w:rsid w:val="000D00A0"/>
    <w:rsid w:val="000D0AE4"/>
    <w:rsid w:val="000D0F5F"/>
    <w:rsid w:val="000D2978"/>
    <w:rsid w:val="000D2AAA"/>
    <w:rsid w:val="000D2C32"/>
    <w:rsid w:val="000D45ED"/>
    <w:rsid w:val="000D4F84"/>
    <w:rsid w:val="000D6598"/>
    <w:rsid w:val="000D6B05"/>
    <w:rsid w:val="000D77C1"/>
    <w:rsid w:val="000D7D31"/>
    <w:rsid w:val="000E0EDC"/>
    <w:rsid w:val="000E1D9F"/>
    <w:rsid w:val="000E2AA9"/>
    <w:rsid w:val="000E6F72"/>
    <w:rsid w:val="000E723C"/>
    <w:rsid w:val="000F0478"/>
    <w:rsid w:val="000F0A50"/>
    <w:rsid w:val="000F16BC"/>
    <w:rsid w:val="000F315D"/>
    <w:rsid w:val="000F39D2"/>
    <w:rsid w:val="000F3C18"/>
    <w:rsid w:val="000F51B1"/>
    <w:rsid w:val="000F59D1"/>
    <w:rsid w:val="000F6393"/>
    <w:rsid w:val="000F6F1A"/>
    <w:rsid w:val="000F73CB"/>
    <w:rsid w:val="000F7857"/>
    <w:rsid w:val="000F7DE9"/>
    <w:rsid w:val="0010047E"/>
    <w:rsid w:val="00100C1D"/>
    <w:rsid w:val="00101E0E"/>
    <w:rsid w:val="00101E9F"/>
    <w:rsid w:val="001024C8"/>
    <w:rsid w:val="001034BC"/>
    <w:rsid w:val="0010353B"/>
    <w:rsid w:val="00103D5E"/>
    <w:rsid w:val="00103EDC"/>
    <w:rsid w:val="00104C2D"/>
    <w:rsid w:val="00104EA7"/>
    <w:rsid w:val="00105438"/>
    <w:rsid w:val="00105FAD"/>
    <w:rsid w:val="0010749B"/>
    <w:rsid w:val="0010771D"/>
    <w:rsid w:val="00107F5D"/>
    <w:rsid w:val="00111353"/>
    <w:rsid w:val="0011155B"/>
    <w:rsid w:val="00111A6A"/>
    <w:rsid w:val="00111B37"/>
    <w:rsid w:val="00111F7E"/>
    <w:rsid w:val="001120F6"/>
    <w:rsid w:val="001130CC"/>
    <w:rsid w:val="00115B26"/>
    <w:rsid w:val="00116288"/>
    <w:rsid w:val="001164AB"/>
    <w:rsid w:val="00116B96"/>
    <w:rsid w:val="001178BB"/>
    <w:rsid w:val="00121BF1"/>
    <w:rsid w:val="001226A5"/>
    <w:rsid w:val="0012355A"/>
    <w:rsid w:val="001252BD"/>
    <w:rsid w:val="0012639F"/>
    <w:rsid w:val="0012652B"/>
    <w:rsid w:val="00126EFB"/>
    <w:rsid w:val="00126F94"/>
    <w:rsid w:val="00127A8B"/>
    <w:rsid w:val="001311DC"/>
    <w:rsid w:val="00131298"/>
    <w:rsid w:val="0013148F"/>
    <w:rsid w:val="001318F6"/>
    <w:rsid w:val="00131BAA"/>
    <w:rsid w:val="00131EA5"/>
    <w:rsid w:val="00134BE5"/>
    <w:rsid w:val="00134DA3"/>
    <w:rsid w:val="00135A52"/>
    <w:rsid w:val="00135EF7"/>
    <w:rsid w:val="001412D1"/>
    <w:rsid w:val="001423E3"/>
    <w:rsid w:val="00145414"/>
    <w:rsid w:val="001475EA"/>
    <w:rsid w:val="00150126"/>
    <w:rsid w:val="001504F5"/>
    <w:rsid w:val="00150B02"/>
    <w:rsid w:val="00150FD6"/>
    <w:rsid w:val="001514EA"/>
    <w:rsid w:val="001517BD"/>
    <w:rsid w:val="00152513"/>
    <w:rsid w:val="00155E1C"/>
    <w:rsid w:val="001560E7"/>
    <w:rsid w:val="00156DFD"/>
    <w:rsid w:val="00157080"/>
    <w:rsid w:val="00157395"/>
    <w:rsid w:val="00157E6D"/>
    <w:rsid w:val="00163ADC"/>
    <w:rsid w:val="0016458B"/>
    <w:rsid w:val="00165F43"/>
    <w:rsid w:val="00166F14"/>
    <w:rsid w:val="001671C7"/>
    <w:rsid w:val="00167840"/>
    <w:rsid w:val="00170352"/>
    <w:rsid w:val="001715A7"/>
    <w:rsid w:val="0017248D"/>
    <w:rsid w:val="00173626"/>
    <w:rsid w:val="001737F8"/>
    <w:rsid w:val="001738BB"/>
    <w:rsid w:val="001738CD"/>
    <w:rsid w:val="00173E42"/>
    <w:rsid w:val="00174276"/>
    <w:rsid w:val="001742CA"/>
    <w:rsid w:val="001757AA"/>
    <w:rsid w:val="00175A56"/>
    <w:rsid w:val="0017614A"/>
    <w:rsid w:val="001768CF"/>
    <w:rsid w:val="00176CB2"/>
    <w:rsid w:val="001770C0"/>
    <w:rsid w:val="0017747B"/>
    <w:rsid w:val="00177573"/>
    <w:rsid w:val="001775D0"/>
    <w:rsid w:val="00177F90"/>
    <w:rsid w:val="001815B2"/>
    <w:rsid w:val="001817CD"/>
    <w:rsid w:val="00181A2C"/>
    <w:rsid w:val="0018235E"/>
    <w:rsid w:val="00185494"/>
    <w:rsid w:val="00187561"/>
    <w:rsid w:val="0018768C"/>
    <w:rsid w:val="001878C3"/>
    <w:rsid w:val="00192BA0"/>
    <w:rsid w:val="00192F7A"/>
    <w:rsid w:val="00193239"/>
    <w:rsid w:val="001932D9"/>
    <w:rsid w:val="001943CA"/>
    <w:rsid w:val="00194F40"/>
    <w:rsid w:val="001968BF"/>
    <w:rsid w:val="001968DD"/>
    <w:rsid w:val="00196E45"/>
    <w:rsid w:val="00197303"/>
    <w:rsid w:val="001A17EA"/>
    <w:rsid w:val="001A1BB0"/>
    <w:rsid w:val="001A1D17"/>
    <w:rsid w:val="001A21F6"/>
    <w:rsid w:val="001A22AA"/>
    <w:rsid w:val="001A2F87"/>
    <w:rsid w:val="001A3920"/>
    <w:rsid w:val="001A4DB3"/>
    <w:rsid w:val="001A57C6"/>
    <w:rsid w:val="001A5D89"/>
    <w:rsid w:val="001A723D"/>
    <w:rsid w:val="001A7A18"/>
    <w:rsid w:val="001B13CE"/>
    <w:rsid w:val="001B1565"/>
    <w:rsid w:val="001B166D"/>
    <w:rsid w:val="001B1D85"/>
    <w:rsid w:val="001B28B5"/>
    <w:rsid w:val="001B2975"/>
    <w:rsid w:val="001B6B23"/>
    <w:rsid w:val="001B77AE"/>
    <w:rsid w:val="001C0562"/>
    <w:rsid w:val="001C066F"/>
    <w:rsid w:val="001C0FDF"/>
    <w:rsid w:val="001C122D"/>
    <w:rsid w:val="001C1487"/>
    <w:rsid w:val="001C2A94"/>
    <w:rsid w:val="001C3585"/>
    <w:rsid w:val="001C396F"/>
    <w:rsid w:val="001C43AA"/>
    <w:rsid w:val="001C4A6C"/>
    <w:rsid w:val="001C5267"/>
    <w:rsid w:val="001C577C"/>
    <w:rsid w:val="001C5929"/>
    <w:rsid w:val="001C5C1C"/>
    <w:rsid w:val="001C6CF5"/>
    <w:rsid w:val="001D16DF"/>
    <w:rsid w:val="001D1788"/>
    <w:rsid w:val="001D1D15"/>
    <w:rsid w:val="001D2623"/>
    <w:rsid w:val="001D2A82"/>
    <w:rsid w:val="001D399C"/>
    <w:rsid w:val="001D3EBF"/>
    <w:rsid w:val="001D5137"/>
    <w:rsid w:val="001D569B"/>
    <w:rsid w:val="001D6343"/>
    <w:rsid w:val="001D6C5A"/>
    <w:rsid w:val="001D6E0D"/>
    <w:rsid w:val="001E01EA"/>
    <w:rsid w:val="001E04D5"/>
    <w:rsid w:val="001E0A3F"/>
    <w:rsid w:val="001E0EA3"/>
    <w:rsid w:val="001E2749"/>
    <w:rsid w:val="001E3B98"/>
    <w:rsid w:val="001E3E3D"/>
    <w:rsid w:val="001E4995"/>
    <w:rsid w:val="001E4F8C"/>
    <w:rsid w:val="001E7A42"/>
    <w:rsid w:val="001F09DC"/>
    <w:rsid w:val="001F0E48"/>
    <w:rsid w:val="001F104D"/>
    <w:rsid w:val="001F1D18"/>
    <w:rsid w:val="001F2313"/>
    <w:rsid w:val="001F29AB"/>
    <w:rsid w:val="001F4275"/>
    <w:rsid w:val="001F43E6"/>
    <w:rsid w:val="001F450E"/>
    <w:rsid w:val="001F5EED"/>
    <w:rsid w:val="001F7714"/>
    <w:rsid w:val="00200364"/>
    <w:rsid w:val="00202BA1"/>
    <w:rsid w:val="00202E9C"/>
    <w:rsid w:val="0020568F"/>
    <w:rsid w:val="002061E7"/>
    <w:rsid w:val="00206524"/>
    <w:rsid w:val="0020662E"/>
    <w:rsid w:val="0020666D"/>
    <w:rsid w:val="00210064"/>
    <w:rsid w:val="00210AF9"/>
    <w:rsid w:val="00210D1F"/>
    <w:rsid w:val="00211772"/>
    <w:rsid w:val="00211D5E"/>
    <w:rsid w:val="00212504"/>
    <w:rsid w:val="00213772"/>
    <w:rsid w:val="00214A41"/>
    <w:rsid w:val="00214B64"/>
    <w:rsid w:val="00214DD9"/>
    <w:rsid w:val="00215427"/>
    <w:rsid w:val="00215EB4"/>
    <w:rsid w:val="00215F44"/>
    <w:rsid w:val="002161DA"/>
    <w:rsid w:val="00216837"/>
    <w:rsid w:val="00217B1F"/>
    <w:rsid w:val="002204C5"/>
    <w:rsid w:val="00220749"/>
    <w:rsid w:val="00221A6A"/>
    <w:rsid w:val="00221FB0"/>
    <w:rsid w:val="0022360C"/>
    <w:rsid w:val="0022393C"/>
    <w:rsid w:val="0022422C"/>
    <w:rsid w:val="002253C0"/>
    <w:rsid w:val="00225A35"/>
    <w:rsid w:val="0022724E"/>
    <w:rsid w:val="00230666"/>
    <w:rsid w:val="002309A7"/>
    <w:rsid w:val="00231153"/>
    <w:rsid w:val="00232126"/>
    <w:rsid w:val="0023252E"/>
    <w:rsid w:val="00232D65"/>
    <w:rsid w:val="0023468B"/>
    <w:rsid w:val="002348F3"/>
    <w:rsid w:val="0023499A"/>
    <w:rsid w:val="0023550C"/>
    <w:rsid w:val="00241B7E"/>
    <w:rsid w:val="00241C31"/>
    <w:rsid w:val="00241E59"/>
    <w:rsid w:val="00244796"/>
    <w:rsid w:val="002460A1"/>
    <w:rsid w:val="00246D0D"/>
    <w:rsid w:val="0024775A"/>
    <w:rsid w:val="00251C21"/>
    <w:rsid w:val="00252BE3"/>
    <w:rsid w:val="0025597F"/>
    <w:rsid w:val="00257031"/>
    <w:rsid w:val="00260C66"/>
    <w:rsid w:val="00261B87"/>
    <w:rsid w:val="00261DC5"/>
    <w:rsid w:val="00263725"/>
    <w:rsid w:val="00263D56"/>
    <w:rsid w:val="00264F11"/>
    <w:rsid w:val="00265C4D"/>
    <w:rsid w:val="00265CB7"/>
    <w:rsid w:val="00265CDC"/>
    <w:rsid w:val="00265FDA"/>
    <w:rsid w:val="002667CC"/>
    <w:rsid w:val="00266927"/>
    <w:rsid w:val="002679D5"/>
    <w:rsid w:val="00270A97"/>
    <w:rsid w:val="00271390"/>
    <w:rsid w:val="002714FD"/>
    <w:rsid w:val="00273DDE"/>
    <w:rsid w:val="0027488F"/>
    <w:rsid w:val="00275171"/>
    <w:rsid w:val="00275F94"/>
    <w:rsid w:val="00276DF4"/>
    <w:rsid w:val="002801CC"/>
    <w:rsid w:val="00280D0C"/>
    <w:rsid w:val="00280E00"/>
    <w:rsid w:val="002812AC"/>
    <w:rsid w:val="00281B9C"/>
    <w:rsid w:val="0028406F"/>
    <w:rsid w:val="00284C35"/>
    <w:rsid w:val="00284C9B"/>
    <w:rsid w:val="0028500B"/>
    <w:rsid w:val="0028552B"/>
    <w:rsid w:val="0029022A"/>
    <w:rsid w:val="00292C25"/>
    <w:rsid w:val="00292D56"/>
    <w:rsid w:val="00293B17"/>
    <w:rsid w:val="002945EA"/>
    <w:rsid w:val="0029593B"/>
    <w:rsid w:val="002959A3"/>
    <w:rsid w:val="0029696F"/>
    <w:rsid w:val="0029784E"/>
    <w:rsid w:val="00297BAD"/>
    <w:rsid w:val="002A109C"/>
    <w:rsid w:val="002A141B"/>
    <w:rsid w:val="002A205E"/>
    <w:rsid w:val="002A212F"/>
    <w:rsid w:val="002A26B6"/>
    <w:rsid w:val="002A2B97"/>
    <w:rsid w:val="002A462C"/>
    <w:rsid w:val="002A4A4A"/>
    <w:rsid w:val="002A4FD4"/>
    <w:rsid w:val="002A54A9"/>
    <w:rsid w:val="002A5D40"/>
    <w:rsid w:val="002A64B0"/>
    <w:rsid w:val="002A6A4E"/>
    <w:rsid w:val="002B06FB"/>
    <w:rsid w:val="002B0DE0"/>
    <w:rsid w:val="002B12D1"/>
    <w:rsid w:val="002B24DD"/>
    <w:rsid w:val="002B2665"/>
    <w:rsid w:val="002B2CAA"/>
    <w:rsid w:val="002B3DC3"/>
    <w:rsid w:val="002B480E"/>
    <w:rsid w:val="002B5A85"/>
    <w:rsid w:val="002B62C5"/>
    <w:rsid w:val="002B63A7"/>
    <w:rsid w:val="002B7274"/>
    <w:rsid w:val="002B77A8"/>
    <w:rsid w:val="002C1536"/>
    <w:rsid w:val="002C21C0"/>
    <w:rsid w:val="002C291A"/>
    <w:rsid w:val="002C2C6D"/>
    <w:rsid w:val="002C2F8D"/>
    <w:rsid w:val="002C3757"/>
    <w:rsid w:val="002C4E23"/>
    <w:rsid w:val="002C4FD3"/>
    <w:rsid w:val="002C534A"/>
    <w:rsid w:val="002C5543"/>
    <w:rsid w:val="002C6DED"/>
    <w:rsid w:val="002C6F42"/>
    <w:rsid w:val="002C73D7"/>
    <w:rsid w:val="002D07DB"/>
    <w:rsid w:val="002D0BB1"/>
    <w:rsid w:val="002D0F7F"/>
    <w:rsid w:val="002D162C"/>
    <w:rsid w:val="002D260F"/>
    <w:rsid w:val="002D339C"/>
    <w:rsid w:val="002D33E5"/>
    <w:rsid w:val="002D3E4F"/>
    <w:rsid w:val="002D5389"/>
    <w:rsid w:val="002D5968"/>
    <w:rsid w:val="002D63E1"/>
    <w:rsid w:val="002D6818"/>
    <w:rsid w:val="002D694A"/>
    <w:rsid w:val="002E0198"/>
    <w:rsid w:val="002E0BD7"/>
    <w:rsid w:val="002E1D55"/>
    <w:rsid w:val="002E1D7C"/>
    <w:rsid w:val="002E240F"/>
    <w:rsid w:val="002E295B"/>
    <w:rsid w:val="002E6446"/>
    <w:rsid w:val="002E71A3"/>
    <w:rsid w:val="002E7664"/>
    <w:rsid w:val="002F094C"/>
    <w:rsid w:val="002F1871"/>
    <w:rsid w:val="002F1B08"/>
    <w:rsid w:val="002F36A8"/>
    <w:rsid w:val="002F3C98"/>
    <w:rsid w:val="002F449B"/>
    <w:rsid w:val="002F4CF7"/>
    <w:rsid w:val="002F4D86"/>
    <w:rsid w:val="002F5736"/>
    <w:rsid w:val="002F5D69"/>
    <w:rsid w:val="002F631C"/>
    <w:rsid w:val="002F6489"/>
    <w:rsid w:val="002F6CF7"/>
    <w:rsid w:val="002F7231"/>
    <w:rsid w:val="002F76A6"/>
    <w:rsid w:val="002F7C77"/>
    <w:rsid w:val="0030083D"/>
    <w:rsid w:val="003008AE"/>
    <w:rsid w:val="00300CB3"/>
    <w:rsid w:val="00302D65"/>
    <w:rsid w:val="003033AD"/>
    <w:rsid w:val="0030394B"/>
    <w:rsid w:val="00303E1F"/>
    <w:rsid w:val="003042E2"/>
    <w:rsid w:val="003056B4"/>
    <w:rsid w:val="00306D1C"/>
    <w:rsid w:val="00307106"/>
    <w:rsid w:val="003072C6"/>
    <w:rsid w:val="00310D8E"/>
    <w:rsid w:val="00311535"/>
    <w:rsid w:val="0031170A"/>
    <w:rsid w:val="00311FEF"/>
    <w:rsid w:val="003133B2"/>
    <w:rsid w:val="00315BBD"/>
    <w:rsid w:val="00315D3F"/>
    <w:rsid w:val="00316CFC"/>
    <w:rsid w:val="00316D79"/>
    <w:rsid w:val="0031743D"/>
    <w:rsid w:val="0031753A"/>
    <w:rsid w:val="00317628"/>
    <w:rsid w:val="00317A53"/>
    <w:rsid w:val="00320293"/>
    <w:rsid w:val="003229F9"/>
    <w:rsid w:val="00322CC2"/>
    <w:rsid w:val="00324021"/>
    <w:rsid w:val="003254AD"/>
    <w:rsid w:val="003271DC"/>
    <w:rsid w:val="00327A43"/>
    <w:rsid w:val="0033208C"/>
    <w:rsid w:val="00333894"/>
    <w:rsid w:val="00334B54"/>
    <w:rsid w:val="00334E92"/>
    <w:rsid w:val="00334FC0"/>
    <w:rsid w:val="003350B1"/>
    <w:rsid w:val="00335A03"/>
    <w:rsid w:val="00335FB4"/>
    <w:rsid w:val="003365FD"/>
    <w:rsid w:val="0033739E"/>
    <w:rsid w:val="00337534"/>
    <w:rsid w:val="00337BB3"/>
    <w:rsid w:val="00340362"/>
    <w:rsid w:val="003406EF"/>
    <w:rsid w:val="0034136E"/>
    <w:rsid w:val="00341BB2"/>
    <w:rsid w:val="00342098"/>
    <w:rsid w:val="00343733"/>
    <w:rsid w:val="00344209"/>
    <w:rsid w:val="0034563B"/>
    <w:rsid w:val="00346BCA"/>
    <w:rsid w:val="00351F7A"/>
    <w:rsid w:val="00351F83"/>
    <w:rsid w:val="0035263F"/>
    <w:rsid w:val="003529CB"/>
    <w:rsid w:val="00353240"/>
    <w:rsid w:val="003537EC"/>
    <w:rsid w:val="003544D4"/>
    <w:rsid w:val="00354A92"/>
    <w:rsid w:val="00355708"/>
    <w:rsid w:val="00355886"/>
    <w:rsid w:val="003560F9"/>
    <w:rsid w:val="00356814"/>
    <w:rsid w:val="00356E91"/>
    <w:rsid w:val="0035732B"/>
    <w:rsid w:val="00357849"/>
    <w:rsid w:val="00360E64"/>
    <w:rsid w:val="00361D32"/>
    <w:rsid w:val="00362977"/>
    <w:rsid w:val="00363693"/>
    <w:rsid w:val="00364104"/>
    <w:rsid w:val="0036457C"/>
    <w:rsid w:val="00365C36"/>
    <w:rsid w:val="00370172"/>
    <w:rsid w:val="00371041"/>
    <w:rsid w:val="00372DB5"/>
    <w:rsid w:val="00374542"/>
    <w:rsid w:val="003774F7"/>
    <w:rsid w:val="00377BCE"/>
    <w:rsid w:val="0038019F"/>
    <w:rsid w:val="003805DD"/>
    <w:rsid w:val="00380865"/>
    <w:rsid w:val="00381ACD"/>
    <w:rsid w:val="00382071"/>
    <w:rsid w:val="003838B0"/>
    <w:rsid w:val="00384B57"/>
    <w:rsid w:val="00386918"/>
    <w:rsid w:val="00386DC4"/>
    <w:rsid w:val="00386EEC"/>
    <w:rsid w:val="003875F8"/>
    <w:rsid w:val="00390E71"/>
    <w:rsid w:val="00392E01"/>
    <w:rsid w:val="003947A5"/>
    <w:rsid w:val="00395C0B"/>
    <w:rsid w:val="00396888"/>
    <w:rsid w:val="003A18B7"/>
    <w:rsid w:val="003A2DD4"/>
    <w:rsid w:val="003A2F25"/>
    <w:rsid w:val="003A4D2E"/>
    <w:rsid w:val="003A5E78"/>
    <w:rsid w:val="003A60AD"/>
    <w:rsid w:val="003A6587"/>
    <w:rsid w:val="003B058A"/>
    <w:rsid w:val="003B10CC"/>
    <w:rsid w:val="003B1182"/>
    <w:rsid w:val="003B18F3"/>
    <w:rsid w:val="003B2073"/>
    <w:rsid w:val="003B2447"/>
    <w:rsid w:val="003B2807"/>
    <w:rsid w:val="003B43E6"/>
    <w:rsid w:val="003B4893"/>
    <w:rsid w:val="003B4A41"/>
    <w:rsid w:val="003B7462"/>
    <w:rsid w:val="003B791B"/>
    <w:rsid w:val="003C0668"/>
    <w:rsid w:val="003C0E48"/>
    <w:rsid w:val="003C17D4"/>
    <w:rsid w:val="003C1DAE"/>
    <w:rsid w:val="003C274E"/>
    <w:rsid w:val="003C374C"/>
    <w:rsid w:val="003C3BD2"/>
    <w:rsid w:val="003C6856"/>
    <w:rsid w:val="003C68F2"/>
    <w:rsid w:val="003C6E07"/>
    <w:rsid w:val="003C70C8"/>
    <w:rsid w:val="003C7477"/>
    <w:rsid w:val="003C79B9"/>
    <w:rsid w:val="003C7FC4"/>
    <w:rsid w:val="003D1786"/>
    <w:rsid w:val="003D2254"/>
    <w:rsid w:val="003D4084"/>
    <w:rsid w:val="003D49B5"/>
    <w:rsid w:val="003D5635"/>
    <w:rsid w:val="003D58B8"/>
    <w:rsid w:val="003D5CFB"/>
    <w:rsid w:val="003D60F4"/>
    <w:rsid w:val="003D6598"/>
    <w:rsid w:val="003E018D"/>
    <w:rsid w:val="003E119E"/>
    <w:rsid w:val="003E193B"/>
    <w:rsid w:val="003E2636"/>
    <w:rsid w:val="003E2E12"/>
    <w:rsid w:val="003E30BB"/>
    <w:rsid w:val="003E312E"/>
    <w:rsid w:val="003E36E5"/>
    <w:rsid w:val="003E4597"/>
    <w:rsid w:val="003E4FAB"/>
    <w:rsid w:val="003F12A5"/>
    <w:rsid w:val="003F39CE"/>
    <w:rsid w:val="003F3CCF"/>
    <w:rsid w:val="003F4A3C"/>
    <w:rsid w:val="003F4E87"/>
    <w:rsid w:val="003F5725"/>
    <w:rsid w:val="003F5D89"/>
    <w:rsid w:val="003F5DB1"/>
    <w:rsid w:val="003F5F5E"/>
    <w:rsid w:val="003F60CD"/>
    <w:rsid w:val="003F61E0"/>
    <w:rsid w:val="003F6F3E"/>
    <w:rsid w:val="003F74E9"/>
    <w:rsid w:val="003F7684"/>
    <w:rsid w:val="003F7860"/>
    <w:rsid w:val="004000E5"/>
    <w:rsid w:val="00401108"/>
    <w:rsid w:val="00402927"/>
    <w:rsid w:val="00402944"/>
    <w:rsid w:val="0040322E"/>
    <w:rsid w:val="00403ACC"/>
    <w:rsid w:val="004041F0"/>
    <w:rsid w:val="004045DC"/>
    <w:rsid w:val="004046A3"/>
    <w:rsid w:val="00405AE6"/>
    <w:rsid w:val="00407993"/>
    <w:rsid w:val="004114C2"/>
    <w:rsid w:val="00411833"/>
    <w:rsid w:val="00412F64"/>
    <w:rsid w:val="004134B1"/>
    <w:rsid w:val="00413F5C"/>
    <w:rsid w:val="00414A2B"/>
    <w:rsid w:val="00417005"/>
    <w:rsid w:val="00417152"/>
    <w:rsid w:val="00417BEB"/>
    <w:rsid w:val="004208F1"/>
    <w:rsid w:val="004208FB"/>
    <w:rsid w:val="00420F60"/>
    <w:rsid w:val="00421F8B"/>
    <w:rsid w:val="00422703"/>
    <w:rsid w:val="00422A72"/>
    <w:rsid w:val="004237E6"/>
    <w:rsid w:val="00423FEC"/>
    <w:rsid w:val="00424533"/>
    <w:rsid w:val="0042495F"/>
    <w:rsid w:val="00424C4C"/>
    <w:rsid w:val="00425757"/>
    <w:rsid w:val="004264E1"/>
    <w:rsid w:val="0042705D"/>
    <w:rsid w:val="0043002A"/>
    <w:rsid w:val="004324FF"/>
    <w:rsid w:val="00432A55"/>
    <w:rsid w:val="00434207"/>
    <w:rsid w:val="00434AF1"/>
    <w:rsid w:val="00435222"/>
    <w:rsid w:val="0043558E"/>
    <w:rsid w:val="004356AD"/>
    <w:rsid w:val="0044044D"/>
    <w:rsid w:val="00440E5C"/>
    <w:rsid w:val="00440E95"/>
    <w:rsid w:val="00440F0A"/>
    <w:rsid w:val="0044152B"/>
    <w:rsid w:val="00441960"/>
    <w:rsid w:val="00442455"/>
    <w:rsid w:val="0044260A"/>
    <w:rsid w:val="00444D82"/>
    <w:rsid w:val="00445186"/>
    <w:rsid w:val="004475A5"/>
    <w:rsid w:val="00447D01"/>
    <w:rsid w:val="00447F31"/>
    <w:rsid w:val="0045010F"/>
    <w:rsid w:val="004503F3"/>
    <w:rsid w:val="00450F8D"/>
    <w:rsid w:val="00451155"/>
    <w:rsid w:val="00451BCB"/>
    <w:rsid w:val="00451FF5"/>
    <w:rsid w:val="00452E33"/>
    <w:rsid w:val="00453A84"/>
    <w:rsid w:val="00454790"/>
    <w:rsid w:val="00455226"/>
    <w:rsid w:val="004564C6"/>
    <w:rsid w:val="004568B4"/>
    <w:rsid w:val="00457EE7"/>
    <w:rsid w:val="00460A0D"/>
    <w:rsid w:val="004610CC"/>
    <w:rsid w:val="00461C22"/>
    <w:rsid w:val="00462A16"/>
    <w:rsid w:val="004638BC"/>
    <w:rsid w:val="004644C2"/>
    <w:rsid w:val="00465209"/>
    <w:rsid w:val="0046545E"/>
    <w:rsid w:val="00465464"/>
    <w:rsid w:val="00465E87"/>
    <w:rsid w:val="004668B8"/>
    <w:rsid w:val="00466A82"/>
    <w:rsid w:val="00466FC8"/>
    <w:rsid w:val="004705A1"/>
    <w:rsid w:val="00470FCE"/>
    <w:rsid w:val="00473690"/>
    <w:rsid w:val="00474647"/>
    <w:rsid w:val="00475538"/>
    <w:rsid w:val="0047617E"/>
    <w:rsid w:val="0047655B"/>
    <w:rsid w:val="00476EB3"/>
    <w:rsid w:val="0047786A"/>
    <w:rsid w:val="00477A65"/>
    <w:rsid w:val="0048050B"/>
    <w:rsid w:val="004814CD"/>
    <w:rsid w:val="00481A10"/>
    <w:rsid w:val="00482DB3"/>
    <w:rsid w:val="00483A56"/>
    <w:rsid w:val="004849B8"/>
    <w:rsid w:val="0048580E"/>
    <w:rsid w:val="004872C4"/>
    <w:rsid w:val="004879D3"/>
    <w:rsid w:val="00487A22"/>
    <w:rsid w:val="00487C55"/>
    <w:rsid w:val="004905EE"/>
    <w:rsid w:val="004909F3"/>
    <w:rsid w:val="00492F13"/>
    <w:rsid w:val="00494087"/>
    <w:rsid w:val="00494136"/>
    <w:rsid w:val="004944A2"/>
    <w:rsid w:val="0049546E"/>
    <w:rsid w:val="004955E5"/>
    <w:rsid w:val="00496370"/>
    <w:rsid w:val="00496ED1"/>
    <w:rsid w:val="004A0236"/>
    <w:rsid w:val="004A2DC1"/>
    <w:rsid w:val="004A369A"/>
    <w:rsid w:val="004A3B3E"/>
    <w:rsid w:val="004A4DAF"/>
    <w:rsid w:val="004A6ECA"/>
    <w:rsid w:val="004A7C46"/>
    <w:rsid w:val="004A7DD5"/>
    <w:rsid w:val="004B0D2A"/>
    <w:rsid w:val="004B0FE7"/>
    <w:rsid w:val="004B1BC1"/>
    <w:rsid w:val="004B3366"/>
    <w:rsid w:val="004B35CC"/>
    <w:rsid w:val="004B3D0A"/>
    <w:rsid w:val="004B4D62"/>
    <w:rsid w:val="004B6DAE"/>
    <w:rsid w:val="004C02D7"/>
    <w:rsid w:val="004C200F"/>
    <w:rsid w:val="004C23AB"/>
    <w:rsid w:val="004C4E5B"/>
    <w:rsid w:val="004C525D"/>
    <w:rsid w:val="004C54E5"/>
    <w:rsid w:val="004C5777"/>
    <w:rsid w:val="004C5D65"/>
    <w:rsid w:val="004C71BA"/>
    <w:rsid w:val="004C76FD"/>
    <w:rsid w:val="004D0173"/>
    <w:rsid w:val="004D0217"/>
    <w:rsid w:val="004D1056"/>
    <w:rsid w:val="004D1CD0"/>
    <w:rsid w:val="004D1D77"/>
    <w:rsid w:val="004D405E"/>
    <w:rsid w:val="004D4538"/>
    <w:rsid w:val="004D4775"/>
    <w:rsid w:val="004D4B49"/>
    <w:rsid w:val="004D61A7"/>
    <w:rsid w:val="004D655C"/>
    <w:rsid w:val="004D73DD"/>
    <w:rsid w:val="004D780A"/>
    <w:rsid w:val="004D79C9"/>
    <w:rsid w:val="004E1124"/>
    <w:rsid w:val="004E11D0"/>
    <w:rsid w:val="004E1C96"/>
    <w:rsid w:val="004E1EDE"/>
    <w:rsid w:val="004E21E2"/>
    <w:rsid w:val="004E22B0"/>
    <w:rsid w:val="004E293F"/>
    <w:rsid w:val="004E2D88"/>
    <w:rsid w:val="004E3276"/>
    <w:rsid w:val="004E380D"/>
    <w:rsid w:val="004E404D"/>
    <w:rsid w:val="004E4869"/>
    <w:rsid w:val="004E4CD0"/>
    <w:rsid w:val="004E5F35"/>
    <w:rsid w:val="004E634D"/>
    <w:rsid w:val="004E6DC6"/>
    <w:rsid w:val="004E7922"/>
    <w:rsid w:val="004F0DFC"/>
    <w:rsid w:val="004F0FF5"/>
    <w:rsid w:val="004F1887"/>
    <w:rsid w:val="004F240B"/>
    <w:rsid w:val="004F3054"/>
    <w:rsid w:val="004F3441"/>
    <w:rsid w:val="004F3FDE"/>
    <w:rsid w:val="004F41B2"/>
    <w:rsid w:val="004F45BB"/>
    <w:rsid w:val="004F4AFC"/>
    <w:rsid w:val="004F52A5"/>
    <w:rsid w:val="004F5798"/>
    <w:rsid w:val="004F5BAF"/>
    <w:rsid w:val="004F6076"/>
    <w:rsid w:val="00500C8C"/>
    <w:rsid w:val="00501141"/>
    <w:rsid w:val="00501375"/>
    <w:rsid w:val="005014E9"/>
    <w:rsid w:val="00501D3B"/>
    <w:rsid w:val="005022C9"/>
    <w:rsid w:val="00505B2F"/>
    <w:rsid w:val="00506016"/>
    <w:rsid w:val="0050779D"/>
    <w:rsid w:val="0050784C"/>
    <w:rsid w:val="005139EA"/>
    <w:rsid w:val="005145F7"/>
    <w:rsid w:val="00514D2C"/>
    <w:rsid w:val="005152E7"/>
    <w:rsid w:val="00515547"/>
    <w:rsid w:val="00515B61"/>
    <w:rsid w:val="0051732E"/>
    <w:rsid w:val="005201B3"/>
    <w:rsid w:val="00520961"/>
    <w:rsid w:val="00520BBB"/>
    <w:rsid w:val="005238B8"/>
    <w:rsid w:val="00525456"/>
    <w:rsid w:val="00525CA1"/>
    <w:rsid w:val="00532236"/>
    <w:rsid w:val="00532C8B"/>
    <w:rsid w:val="005347B9"/>
    <w:rsid w:val="00534DDC"/>
    <w:rsid w:val="00536A88"/>
    <w:rsid w:val="00537916"/>
    <w:rsid w:val="00540D65"/>
    <w:rsid w:val="00541AD7"/>
    <w:rsid w:val="00541DFE"/>
    <w:rsid w:val="005420F7"/>
    <w:rsid w:val="00543BB5"/>
    <w:rsid w:val="00543E6C"/>
    <w:rsid w:val="00543EDA"/>
    <w:rsid w:val="00544184"/>
    <w:rsid w:val="00550278"/>
    <w:rsid w:val="00550A11"/>
    <w:rsid w:val="00552421"/>
    <w:rsid w:val="00554049"/>
    <w:rsid w:val="005552FD"/>
    <w:rsid w:val="005600E5"/>
    <w:rsid w:val="00560700"/>
    <w:rsid w:val="00560A95"/>
    <w:rsid w:val="00562E0B"/>
    <w:rsid w:val="00564E8F"/>
    <w:rsid w:val="00565497"/>
    <w:rsid w:val="00566EF9"/>
    <w:rsid w:val="00566F9E"/>
    <w:rsid w:val="00570101"/>
    <w:rsid w:val="005705D7"/>
    <w:rsid w:val="00570693"/>
    <w:rsid w:val="005712D6"/>
    <w:rsid w:val="00572343"/>
    <w:rsid w:val="005727FE"/>
    <w:rsid w:val="005728A4"/>
    <w:rsid w:val="005741D1"/>
    <w:rsid w:val="00574C71"/>
    <w:rsid w:val="005763FC"/>
    <w:rsid w:val="005769BF"/>
    <w:rsid w:val="00576EB4"/>
    <w:rsid w:val="00577B30"/>
    <w:rsid w:val="00577FC2"/>
    <w:rsid w:val="00577FF4"/>
    <w:rsid w:val="0058019D"/>
    <w:rsid w:val="005801CD"/>
    <w:rsid w:val="00580FDD"/>
    <w:rsid w:val="0058100D"/>
    <w:rsid w:val="00581EAD"/>
    <w:rsid w:val="00582768"/>
    <w:rsid w:val="00582DA4"/>
    <w:rsid w:val="005830F4"/>
    <w:rsid w:val="00583461"/>
    <w:rsid w:val="00583849"/>
    <w:rsid w:val="00583ACA"/>
    <w:rsid w:val="00584E24"/>
    <w:rsid w:val="005856A4"/>
    <w:rsid w:val="00586637"/>
    <w:rsid w:val="0058699B"/>
    <w:rsid w:val="00586AED"/>
    <w:rsid w:val="0058783C"/>
    <w:rsid w:val="00590730"/>
    <w:rsid w:val="005911CC"/>
    <w:rsid w:val="005933CB"/>
    <w:rsid w:val="00593552"/>
    <w:rsid w:val="00593B95"/>
    <w:rsid w:val="005958C4"/>
    <w:rsid w:val="0059663C"/>
    <w:rsid w:val="00596F35"/>
    <w:rsid w:val="005A084A"/>
    <w:rsid w:val="005A0ECC"/>
    <w:rsid w:val="005A14A0"/>
    <w:rsid w:val="005A180F"/>
    <w:rsid w:val="005A1938"/>
    <w:rsid w:val="005A3051"/>
    <w:rsid w:val="005A474F"/>
    <w:rsid w:val="005A4E28"/>
    <w:rsid w:val="005A516B"/>
    <w:rsid w:val="005A51DE"/>
    <w:rsid w:val="005A53CE"/>
    <w:rsid w:val="005A53FE"/>
    <w:rsid w:val="005B137A"/>
    <w:rsid w:val="005B1FFB"/>
    <w:rsid w:val="005B376F"/>
    <w:rsid w:val="005B58B8"/>
    <w:rsid w:val="005B6E5D"/>
    <w:rsid w:val="005B7D20"/>
    <w:rsid w:val="005B7D22"/>
    <w:rsid w:val="005C029E"/>
    <w:rsid w:val="005C0629"/>
    <w:rsid w:val="005C1667"/>
    <w:rsid w:val="005C1B74"/>
    <w:rsid w:val="005C1C66"/>
    <w:rsid w:val="005C1C7C"/>
    <w:rsid w:val="005C1F20"/>
    <w:rsid w:val="005C25F3"/>
    <w:rsid w:val="005C3E8F"/>
    <w:rsid w:val="005C639E"/>
    <w:rsid w:val="005C646A"/>
    <w:rsid w:val="005D0F1A"/>
    <w:rsid w:val="005D1D10"/>
    <w:rsid w:val="005D232A"/>
    <w:rsid w:val="005D25AC"/>
    <w:rsid w:val="005D42C6"/>
    <w:rsid w:val="005D68D8"/>
    <w:rsid w:val="005D6C04"/>
    <w:rsid w:val="005D735F"/>
    <w:rsid w:val="005D7A60"/>
    <w:rsid w:val="005D7AF3"/>
    <w:rsid w:val="005E084A"/>
    <w:rsid w:val="005E085D"/>
    <w:rsid w:val="005E0948"/>
    <w:rsid w:val="005E0A07"/>
    <w:rsid w:val="005E262D"/>
    <w:rsid w:val="005E29B7"/>
    <w:rsid w:val="005E31A2"/>
    <w:rsid w:val="005E325B"/>
    <w:rsid w:val="005E3A55"/>
    <w:rsid w:val="005E3C8A"/>
    <w:rsid w:val="005E3FA7"/>
    <w:rsid w:val="005E4577"/>
    <w:rsid w:val="005E6553"/>
    <w:rsid w:val="005E6E9C"/>
    <w:rsid w:val="005E7963"/>
    <w:rsid w:val="005F0AB3"/>
    <w:rsid w:val="005F0E5F"/>
    <w:rsid w:val="005F13D2"/>
    <w:rsid w:val="005F191A"/>
    <w:rsid w:val="005F218C"/>
    <w:rsid w:val="005F2C63"/>
    <w:rsid w:val="005F2FE5"/>
    <w:rsid w:val="005F4523"/>
    <w:rsid w:val="005F55FF"/>
    <w:rsid w:val="005F625D"/>
    <w:rsid w:val="005F6469"/>
    <w:rsid w:val="005F70B4"/>
    <w:rsid w:val="005F771A"/>
    <w:rsid w:val="005F7EF8"/>
    <w:rsid w:val="006007E5"/>
    <w:rsid w:val="006017B4"/>
    <w:rsid w:val="00601D4D"/>
    <w:rsid w:val="006021B4"/>
    <w:rsid w:val="0060403A"/>
    <w:rsid w:val="0060476A"/>
    <w:rsid w:val="00604CB6"/>
    <w:rsid w:val="00604E31"/>
    <w:rsid w:val="00605B5B"/>
    <w:rsid w:val="006062D8"/>
    <w:rsid w:val="00606827"/>
    <w:rsid w:val="006075E4"/>
    <w:rsid w:val="0060770D"/>
    <w:rsid w:val="0061117C"/>
    <w:rsid w:val="006128CB"/>
    <w:rsid w:val="00612F1A"/>
    <w:rsid w:val="006142F2"/>
    <w:rsid w:val="00614D11"/>
    <w:rsid w:val="00615E45"/>
    <w:rsid w:val="00616C5B"/>
    <w:rsid w:val="006171F5"/>
    <w:rsid w:val="00620262"/>
    <w:rsid w:val="006207CD"/>
    <w:rsid w:val="00621B4C"/>
    <w:rsid w:val="00622733"/>
    <w:rsid w:val="00622B70"/>
    <w:rsid w:val="00623B4D"/>
    <w:rsid w:val="006257EE"/>
    <w:rsid w:val="00625885"/>
    <w:rsid w:val="00625BB5"/>
    <w:rsid w:val="006260F9"/>
    <w:rsid w:val="00627237"/>
    <w:rsid w:val="00627C52"/>
    <w:rsid w:val="0063000D"/>
    <w:rsid w:val="00630400"/>
    <w:rsid w:val="00630937"/>
    <w:rsid w:val="006322E7"/>
    <w:rsid w:val="00632793"/>
    <w:rsid w:val="00632B82"/>
    <w:rsid w:val="00632ED1"/>
    <w:rsid w:val="006332AC"/>
    <w:rsid w:val="006343E2"/>
    <w:rsid w:val="00634BA3"/>
    <w:rsid w:val="006357F0"/>
    <w:rsid w:val="00635D99"/>
    <w:rsid w:val="00636934"/>
    <w:rsid w:val="00636FC0"/>
    <w:rsid w:val="00637332"/>
    <w:rsid w:val="00637BF9"/>
    <w:rsid w:val="00640173"/>
    <w:rsid w:val="006423EA"/>
    <w:rsid w:val="0064274E"/>
    <w:rsid w:val="00643FBD"/>
    <w:rsid w:val="00644DAB"/>
    <w:rsid w:val="006463DF"/>
    <w:rsid w:val="00646B57"/>
    <w:rsid w:val="006513A7"/>
    <w:rsid w:val="00651B59"/>
    <w:rsid w:val="00651C88"/>
    <w:rsid w:val="00652B74"/>
    <w:rsid w:val="00653370"/>
    <w:rsid w:val="00653B81"/>
    <w:rsid w:val="00653B84"/>
    <w:rsid w:val="00653E0D"/>
    <w:rsid w:val="006540BF"/>
    <w:rsid w:val="006544A0"/>
    <w:rsid w:val="00655C68"/>
    <w:rsid w:val="00662620"/>
    <w:rsid w:val="00662D40"/>
    <w:rsid w:val="006665C0"/>
    <w:rsid w:val="006706B5"/>
    <w:rsid w:val="00675C51"/>
    <w:rsid w:val="006776DE"/>
    <w:rsid w:val="006807DC"/>
    <w:rsid w:val="0068112C"/>
    <w:rsid w:val="00681D50"/>
    <w:rsid w:val="00682493"/>
    <w:rsid w:val="0068268F"/>
    <w:rsid w:val="00683A0B"/>
    <w:rsid w:val="00685114"/>
    <w:rsid w:val="006854BB"/>
    <w:rsid w:val="00685734"/>
    <w:rsid w:val="006865C8"/>
    <w:rsid w:val="00686617"/>
    <w:rsid w:val="00686B48"/>
    <w:rsid w:val="00687038"/>
    <w:rsid w:val="0068714E"/>
    <w:rsid w:val="00690BC6"/>
    <w:rsid w:val="006914BF"/>
    <w:rsid w:val="00691574"/>
    <w:rsid w:val="006917E5"/>
    <w:rsid w:val="00691BD2"/>
    <w:rsid w:val="006924CB"/>
    <w:rsid w:val="006929F7"/>
    <w:rsid w:val="00692DC8"/>
    <w:rsid w:val="0069374A"/>
    <w:rsid w:val="006943A7"/>
    <w:rsid w:val="00694478"/>
    <w:rsid w:val="006944EF"/>
    <w:rsid w:val="00694AB8"/>
    <w:rsid w:val="00695AEE"/>
    <w:rsid w:val="00695EF7"/>
    <w:rsid w:val="006962A2"/>
    <w:rsid w:val="0069699D"/>
    <w:rsid w:val="00696AEE"/>
    <w:rsid w:val="006978F0"/>
    <w:rsid w:val="006978F1"/>
    <w:rsid w:val="00697CA2"/>
    <w:rsid w:val="006A0604"/>
    <w:rsid w:val="006A107D"/>
    <w:rsid w:val="006A23BB"/>
    <w:rsid w:val="006A2A83"/>
    <w:rsid w:val="006A2C06"/>
    <w:rsid w:val="006A4657"/>
    <w:rsid w:val="006A573D"/>
    <w:rsid w:val="006A73DC"/>
    <w:rsid w:val="006B03D7"/>
    <w:rsid w:val="006B0BF9"/>
    <w:rsid w:val="006B2ABE"/>
    <w:rsid w:val="006B2C51"/>
    <w:rsid w:val="006B40AF"/>
    <w:rsid w:val="006B46A7"/>
    <w:rsid w:val="006B4EE7"/>
    <w:rsid w:val="006B5AD6"/>
    <w:rsid w:val="006B6361"/>
    <w:rsid w:val="006B6B00"/>
    <w:rsid w:val="006B6C16"/>
    <w:rsid w:val="006C20BC"/>
    <w:rsid w:val="006C3ABF"/>
    <w:rsid w:val="006C413E"/>
    <w:rsid w:val="006C43C7"/>
    <w:rsid w:val="006C5104"/>
    <w:rsid w:val="006D0BBC"/>
    <w:rsid w:val="006D13B6"/>
    <w:rsid w:val="006D2179"/>
    <w:rsid w:val="006D2246"/>
    <w:rsid w:val="006D25F8"/>
    <w:rsid w:val="006D2C73"/>
    <w:rsid w:val="006D360C"/>
    <w:rsid w:val="006D3F80"/>
    <w:rsid w:val="006D4081"/>
    <w:rsid w:val="006D5AC9"/>
    <w:rsid w:val="006D65C5"/>
    <w:rsid w:val="006D66ED"/>
    <w:rsid w:val="006D6B3A"/>
    <w:rsid w:val="006E06BE"/>
    <w:rsid w:val="006E09B3"/>
    <w:rsid w:val="006E1006"/>
    <w:rsid w:val="006E1F93"/>
    <w:rsid w:val="006E247D"/>
    <w:rsid w:val="006E2F81"/>
    <w:rsid w:val="006E3432"/>
    <w:rsid w:val="006E3614"/>
    <w:rsid w:val="006E3A93"/>
    <w:rsid w:val="006E4812"/>
    <w:rsid w:val="006E4EC9"/>
    <w:rsid w:val="006E50B3"/>
    <w:rsid w:val="006E6861"/>
    <w:rsid w:val="006E73E9"/>
    <w:rsid w:val="006E786B"/>
    <w:rsid w:val="006F1330"/>
    <w:rsid w:val="006F325E"/>
    <w:rsid w:val="006F40CF"/>
    <w:rsid w:val="007002B1"/>
    <w:rsid w:val="00700484"/>
    <w:rsid w:val="00702EED"/>
    <w:rsid w:val="007046F9"/>
    <w:rsid w:val="00704EB7"/>
    <w:rsid w:val="00705742"/>
    <w:rsid w:val="00705C26"/>
    <w:rsid w:val="00706C3E"/>
    <w:rsid w:val="00706D9D"/>
    <w:rsid w:val="007104FE"/>
    <w:rsid w:val="007106F6"/>
    <w:rsid w:val="00710CC2"/>
    <w:rsid w:val="00711AE0"/>
    <w:rsid w:val="00711B0C"/>
    <w:rsid w:val="007121A2"/>
    <w:rsid w:val="0071238A"/>
    <w:rsid w:val="00712716"/>
    <w:rsid w:val="00712A8C"/>
    <w:rsid w:val="00713981"/>
    <w:rsid w:val="007145F2"/>
    <w:rsid w:val="00716B3D"/>
    <w:rsid w:val="00717181"/>
    <w:rsid w:val="0071741D"/>
    <w:rsid w:val="007176D6"/>
    <w:rsid w:val="00722D20"/>
    <w:rsid w:val="00723065"/>
    <w:rsid w:val="00724336"/>
    <w:rsid w:val="00726BB1"/>
    <w:rsid w:val="00726E9B"/>
    <w:rsid w:val="00727D54"/>
    <w:rsid w:val="0073065A"/>
    <w:rsid w:val="0073078F"/>
    <w:rsid w:val="007312D6"/>
    <w:rsid w:val="00731E76"/>
    <w:rsid w:val="007324D2"/>
    <w:rsid w:val="00732E39"/>
    <w:rsid w:val="0073313A"/>
    <w:rsid w:val="007344C5"/>
    <w:rsid w:val="007345CA"/>
    <w:rsid w:val="00734959"/>
    <w:rsid w:val="00735137"/>
    <w:rsid w:val="0073520D"/>
    <w:rsid w:val="00735921"/>
    <w:rsid w:val="00735F49"/>
    <w:rsid w:val="00736A9E"/>
    <w:rsid w:val="00737199"/>
    <w:rsid w:val="0074033D"/>
    <w:rsid w:val="00741853"/>
    <w:rsid w:val="00741A25"/>
    <w:rsid w:val="00741E51"/>
    <w:rsid w:val="00741ECF"/>
    <w:rsid w:val="00747B2F"/>
    <w:rsid w:val="00747E37"/>
    <w:rsid w:val="00751928"/>
    <w:rsid w:val="00751DC7"/>
    <w:rsid w:val="007522D5"/>
    <w:rsid w:val="00752BC8"/>
    <w:rsid w:val="00752FBE"/>
    <w:rsid w:val="007535CF"/>
    <w:rsid w:val="00755621"/>
    <w:rsid w:val="00756F64"/>
    <w:rsid w:val="00762C18"/>
    <w:rsid w:val="00763C24"/>
    <w:rsid w:val="00764BE3"/>
    <w:rsid w:val="007658E3"/>
    <w:rsid w:val="00765A66"/>
    <w:rsid w:val="00766BA2"/>
    <w:rsid w:val="00766F47"/>
    <w:rsid w:val="007671FB"/>
    <w:rsid w:val="0076765B"/>
    <w:rsid w:val="00767C2D"/>
    <w:rsid w:val="00771FCD"/>
    <w:rsid w:val="00772684"/>
    <w:rsid w:val="007742ED"/>
    <w:rsid w:val="00774AE8"/>
    <w:rsid w:val="00775004"/>
    <w:rsid w:val="00775F21"/>
    <w:rsid w:val="00776001"/>
    <w:rsid w:val="00776CAA"/>
    <w:rsid w:val="00780226"/>
    <w:rsid w:val="00780538"/>
    <w:rsid w:val="00781852"/>
    <w:rsid w:val="00781AB4"/>
    <w:rsid w:val="00783F02"/>
    <w:rsid w:val="0078409B"/>
    <w:rsid w:val="00784219"/>
    <w:rsid w:val="007846C8"/>
    <w:rsid w:val="0078522D"/>
    <w:rsid w:val="00785DB2"/>
    <w:rsid w:val="00787122"/>
    <w:rsid w:val="0078757F"/>
    <w:rsid w:val="007905C5"/>
    <w:rsid w:val="00790D26"/>
    <w:rsid w:val="007923B7"/>
    <w:rsid w:val="00792616"/>
    <w:rsid w:val="007926BB"/>
    <w:rsid w:val="0079327A"/>
    <w:rsid w:val="0079344C"/>
    <w:rsid w:val="00793AB5"/>
    <w:rsid w:val="007957F1"/>
    <w:rsid w:val="007968AE"/>
    <w:rsid w:val="0079741F"/>
    <w:rsid w:val="00797FED"/>
    <w:rsid w:val="007A0283"/>
    <w:rsid w:val="007A07D4"/>
    <w:rsid w:val="007A1A1D"/>
    <w:rsid w:val="007A218A"/>
    <w:rsid w:val="007A419A"/>
    <w:rsid w:val="007A4601"/>
    <w:rsid w:val="007A5BDE"/>
    <w:rsid w:val="007A5F3C"/>
    <w:rsid w:val="007A60F9"/>
    <w:rsid w:val="007A64FF"/>
    <w:rsid w:val="007A6904"/>
    <w:rsid w:val="007A700E"/>
    <w:rsid w:val="007A75E7"/>
    <w:rsid w:val="007B04DF"/>
    <w:rsid w:val="007B11F0"/>
    <w:rsid w:val="007B1461"/>
    <w:rsid w:val="007B1C0E"/>
    <w:rsid w:val="007B27B1"/>
    <w:rsid w:val="007B3702"/>
    <w:rsid w:val="007B6267"/>
    <w:rsid w:val="007B6B30"/>
    <w:rsid w:val="007B7699"/>
    <w:rsid w:val="007B796D"/>
    <w:rsid w:val="007C02C7"/>
    <w:rsid w:val="007C199F"/>
    <w:rsid w:val="007C1A6E"/>
    <w:rsid w:val="007C21EE"/>
    <w:rsid w:val="007C4966"/>
    <w:rsid w:val="007C4DA8"/>
    <w:rsid w:val="007C5BDF"/>
    <w:rsid w:val="007C6243"/>
    <w:rsid w:val="007C6A7A"/>
    <w:rsid w:val="007C7C38"/>
    <w:rsid w:val="007D03EC"/>
    <w:rsid w:val="007D1115"/>
    <w:rsid w:val="007D2837"/>
    <w:rsid w:val="007D3770"/>
    <w:rsid w:val="007D3A2E"/>
    <w:rsid w:val="007D4371"/>
    <w:rsid w:val="007D4616"/>
    <w:rsid w:val="007D65C0"/>
    <w:rsid w:val="007D6652"/>
    <w:rsid w:val="007D6BE3"/>
    <w:rsid w:val="007E03D2"/>
    <w:rsid w:val="007E343D"/>
    <w:rsid w:val="007E4F87"/>
    <w:rsid w:val="007E52D6"/>
    <w:rsid w:val="007E69CA"/>
    <w:rsid w:val="007E6B2A"/>
    <w:rsid w:val="007E7025"/>
    <w:rsid w:val="007E7F62"/>
    <w:rsid w:val="007F14C2"/>
    <w:rsid w:val="007F1D3D"/>
    <w:rsid w:val="007F2CA9"/>
    <w:rsid w:val="007F4383"/>
    <w:rsid w:val="007F67AA"/>
    <w:rsid w:val="00800378"/>
    <w:rsid w:val="008004FE"/>
    <w:rsid w:val="0080154E"/>
    <w:rsid w:val="00801601"/>
    <w:rsid w:val="00802FD2"/>
    <w:rsid w:val="00803098"/>
    <w:rsid w:val="0080412A"/>
    <w:rsid w:val="0080428F"/>
    <w:rsid w:val="00804CC3"/>
    <w:rsid w:val="00805730"/>
    <w:rsid w:val="00806319"/>
    <w:rsid w:val="00806EB4"/>
    <w:rsid w:val="0080724D"/>
    <w:rsid w:val="00807A84"/>
    <w:rsid w:val="00807C7D"/>
    <w:rsid w:val="00810991"/>
    <w:rsid w:val="00812CBA"/>
    <w:rsid w:val="00814589"/>
    <w:rsid w:val="00814A9B"/>
    <w:rsid w:val="00814F66"/>
    <w:rsid w:val="00815099"/>
    <w:rsid w:val="00816E86"/>
    <w:rsid w:val="008176BA"/>
    <w:rsid w:val="008178D6"/>
    <w:rsid w:val="00817B6A"/>
    <w:rsid w:val="00817BE4"/>
    <w:rsid w:val="00817C9E"/>
    <w:rsid w:val="008205AF"/>
    <w:rsid w:val="008206C9"/>
    <w:rsid w:val="00820851"/>
    <w:rsid w:val="008225E5"/>
    <w:rsid w:val="00824120"/>
    <w:rsid w:val="00824926"/>
    <w:rsid w:val="00831053"/>
    <w:rsid w:val="008314D2"/>
    <w:rsid w:val="0083254D"/>
    <w:rsid w:val="0083260B"/>
    <w:rsid w:val="0083322E"/>
    <w:rsid w:val="00834F5C"/>
    <w:rsid w:val="00834F82"/>
    <w:rsid w:val="00836249"/>
    <w:rsid w:val="00836F00"/>
    <w:rsid w:val="00837DBF"/>
    <w:rsid w:val="008401CD"/>
    <w:rsid w:val="00842877"/>
    <w:rsid w:val="00842E36"/>
    <w:rsid w:val="00843365"/>
    <w:rsid w:val="00843913"/>
    <w:rsid w:val="00844335"/>
    <w:rsid w:val="0084459B"/>
    <w:rsid w:val="008448FD"/>
    <w:rsid w:val="0084533A"/>
    <w:rsid w:val="00846192"/>
    <w:rsid w:val="008465E8"/>
    <w:rsid w:val="00847134"/>
    <w:rsid w:val="00850806"/>
    <w:rsid w:val="0085132E"/>
    <w:rsid w:val="00852833"/>
    <w:rsid w:val="00855863"/>
    <w:rsid w:val="0085630D"/>
    <w:rsid w:val="00856A1B"/>
    <w:rsid w:val="00856D3C"/>
    <w:rsid w:val="00860B49"/>
    <w:rsid w:val="00861324"/>
    <w:rsid w:val="008621C3"/>
    <w:rsid w:val="00862A60"/>
    <w:rsid w:val="008631E2"/>
    <w:rsid w:val="00865486"/>
    <w:rsid w:val="00865B2B"/>
    <w:rsid w:val="00866EBF"/>
    <w:rsid w:val="008706A0"/>
    <w:rsid w:val="00870706"/>
    <w:rsid w:val="00870C1D"/>
    <w:rsid w:val="00871128"/>
    <w:rsid w:val="008713D4"/>
    <w:rsid w:val="00871A0E"/>
    <w:rsid w:val="00872BBC"/>
    <w:rsid w:val="00873ADC"/>
    <w:rsid w:val="00874D07"/>
    <w:rsid w:val="008759C8"/>
    <w:rsid w:val="00876275"/>
    <w:rsid w:val="00876B01"/>
    <w:rsid w:val="00876DF7"/>
    <w:rsid w:val="00877286"/>
    <w:rsid w:val="00877341"/>
    <w:rsid w:val="00877D65"/>
    <w:rsid w:val="008802E5"/>
    <w:rsid w:val="00882632"/>
    <w:rsid w:val="008827AC"/>
    <w:rsid w:val="00882B99"/>
    <w:rsid w:val="0088338B"/>
    <w:rsid w:val="00883FE0"/>
    <w:rsid w:val="00884833"/>
    <w:rsid w:val="00884926"/>
    <w:rsid w:val="00884BCA"/>
    <w:rsid w:val="00884F8C"/>
    <w:rsid w:val="00885F39"/>
    <w:rsid w:val="00886121"/>
    <w:rsid w:val="00886442"/>
    <w:rsid w:val="00887ADE"/>
    <w:rsid w:val="00890FCF"/>
    <w:rsid w:val="00891A7E"/>
    <w:rsid w:val="00892A8A"/>
    <w:rsid w:val="00894036"/>
    <w:rsid w:val="00895AE5"/>
    <w:rsid w:val="00896037"/>
    <w:rsid w:val="00896EE0"/>
    <w:rsid w:val="008A295B"/>
    <w:rsid w:val="008A3266"/>
    <w:rsid w:val="008A34F2"/>
    <w:rsid w:val="008A3F8F"/>
    <w:rsid w:val="008A40B4"/>
    <w:rsid w:val="008A5C6E"/>
    <w:rsid w:val="008A6604"/>
    <w:rsid w:val="008A6858"/>
    <w:rsid w:val="008B03D1"/>
    <w:rsid w:val="008B0733"/>
    <w:rsid w:val="008B08A1"/>
    <w:rsid w:val="008B0B1B"/>
    <w:rsid w:val="008B27AD"/>
    <w:rsid w:val="008B2CDD"/>
    <w:rsid w:val="008B32F1"/>
    <w:rsid w:val="008B3865"/>
    <w:rsid w:val="008B5482"/>
    <w:rsid w:val="008B5783"/>
    <w:rsid w:val="008C11F4"/>
    <w:rsid w:val="008C1471"/>
    <w:rsid w:val="008C251F"/>
    <w:rsid w:val="008C2BEC"/>
    <w:rsid w:val="008C2E0F"/>
    <w:rsid w:val="008C2E52"/>
    <w:rsid w:val="008C4683"/>
    <w:rsid w:val="008C4919"/>
    <w:rsid w:val="008C5924"/>
    <w:rsid w:val="008C6404"/>
    <w:rsid w:val="008C6523"/>
    <w:rsid w:val="008C6D0E"/>
    <w:rsid w:val="008C7273"/>
    <w:rsid w:val="008C7758"/>
    <w:rsid w:val="008C7767"/>
    <w:rsid w:val="008C7B6E"/>
    <w:rsid w:val="008D017B"/>
    <w:rsid w:val="008D08FB"/>
    <w:rsid w:val="008D09C1"/>
    <w:rsid w:val="008D09D2"/>
    <w:rsid w:val="008D1808"/>
    <w:rsid w:val="008D1E5A"/>
    <w:rsid w:val="008D22F5"/>
    <w:rsid w:val="008D39C5"/>
    <w:rsid w:val="008D496F"/>
    <w:rsid w:val="008D6BED"/>
    <w:rsid w:val="008E0A07"/>
    <w:rsid w:val="008E10B7"/>
    <w:rsid w:val="008E1D89"/>
    <w:rsid w:val="008E2725"/>
    <w:rsid w:val="008E3E3E"/>
    <w:rsid w:val="008E7876"/>
    <w:rsid w:val="008F1CDE"/>
    <w:rsid w:val="008F448D"/>
    <w:rsid w:val="008F56AA"/>
    <w:rsid w:val="008F5F36"/>
    <w:rsid w:val="008F5F87"/>
    <w:rsid w:val="008F7D89"/>
    <w:rsid w:val="00900A34"/>
    <w:rsid w:val="009013AF"/>
    <w:rsid w:val="009020F1"/>
    <w:rsid w:val="00902C05"/>
    <w:rsid w:val="009031EF"/>
    <w:rsid w:val="009032BE"/>
    <w:rsid w:val="00905729"/>
    <w:rsid w:val="00905827"/>
    <w:rsid w:val="0090646D"/>
    <w:rsid w:val="00906A11"/>
    <w:rsid w:val="00906ABB"/>
    <w:rsid w:val="00907073"/>
    <w:rsid w:val="00907705"/>
    <w:rsid w:val="0090796B"/>
    <w:rsid w:val="00910B66"/>
    <w:rsid w:val="00911BE8"/>
    <w:rsid w:val="00914C14"/>
    <w:rsid w:val="00915588"/>
    <w:rsid w:val="00915CAF"/>
    <w:rsid w:val="00917ACB"/>
    <w:rsid w:val="009208F5"/>
    <w:rsid w:val="00920E07"/>
    <w:rsid w:val="0092226B"/>
    <w:rsid w:val="00922ABD"/>
    <w:rsid w:val="00923835"/>
    <w:rsid w:val="0092441A"/>
    <w:rsid w:val="00926599"/>
    <w:rsid w:val="00927B2A"/>
    <w:rsid w:val="00927D51"/>
    <w:rsid w:val="0093172C"/>
    <w:rsid w:val="00931F66"/>
    <w:rsid w:val="00932272"/>
    <w:rsid w:val="00932862"/>
    <w:rsid w:val="0093305E"/>
    <w:rsid w:val="00933CEF"/>
    <w:rsid w:val="00934230"/>
    <w:rsid w:val="0093446E"/>
    <w:rsid w:val="009351F4"/>
    <w:rsid w:val="009353F0"/>
    <w:rsid w:val="00935C43"/>
    <w:rsid w:val="00935D60"/>
    <w:rsid w:val="00935FC3"/>
    <w:rsid w:val="009362DA"/>
    <w:rsid w:val="00936D0E"/>
    <w:rsid w:val="00937C41"/>
    <w:rsid w:val="0094028A"/>
    <w:rsid w:val="009413AA"/>
    <w:rsid w:val="00942BE5"/>
    <w:rsid w:val="009436D2"/>
    <w:rsid w:val="009447BB"/>
    <w:rsid w:val="00944928"/>
    <w:rsid w:val="00944C48"/>
    <w:rsid w:val="00946335"/>
    <w:rsid w:val="00946403"/>
    <w:rsid w:val="00946C40"/>
    <w:rsid w:val="009474A3"/>
    <w:rsid w:val="009502A5"/>
    <w:rsid w:val="009505FB"/>
    <w:rsid w:val="009513C4"/>
    <w:rsid w:val="00951476"/>
    <w:rsid w:val="00952A38"/>
    <w:rsid w:val="009534A2"/>
    <w:rsid w:val="00955550"/>
    <w:rsid w:val="00955E55"/>
    <w:rsid w:val="009602AB"/>
    <w:rsid w:val="009607C2"/>
    <w:rsid w:val="00961643"/>
    <w:rsid w:val="00961924"/>
    <w:rsid w:val="00961D5C"/>
    <w:rsid w:val="00962200"/>
    <w:rsid w:val="00962A1D"/>
    <w:rsid w:val="00962DC7"/>
    <w:rsid w:val="00963A6F"/>
    <w:rsid w:val="00963A89"/>
    <w:rsid w:val="00964442"/>
    <w:rsid w:val="00964667"/>
    <w:rsid w:val="009654EE"/>
    <w:rsid w:val="00965C31"/>
    <w:rsid w:val="009664A7"/>
    <w:rsid w:val="00966B65"/>
    <w:rsid w:val="00966F54"/>
    <w:rsid w:val="00967013"/>
    <w:rsid w:val="00967377"/>
    <w:rsid w:val="0096747F"/>
    <w:rsid w:val="009700DC"/>
    <w:rsid w:val="00971AFA"/>
    <w:rsid w:val="0097249E"/>
    <w:rsid w:val="00972E67"/>
    <w:rsid w:val="00975E61"/>
    <w:rsid w:val="00976E31"/>
    <w:rsid w:val="00977372"/>
    <w:rsid w:val="00977C63"/>
    <w:rsid w:val="00980087"/>
    <w:rsid w:val="00980C0B"/>
    <w:rsid w:val="00981BEA"/>
    <w:rsid w:val="00981E63"/>
    <w:rsid w:val="009822F3"/>
    <w:rsid w:val="009823AE"/>
    <w:rsid w:val="00982ACB"/>
    <w:rsid w:val="0098445B"/>
    <w:rsid w:val="0098513A"/>
    <w:rsid w:val="009851FE"/>
    <w:rsid w:val="0098524F"/>
    <w:rsid w:val="009866B4"/>
    <w:rsid w:val="00986944"/>
    <w:rsid w:val="00987ABE"/>
    <w:rsid w:val="009904BB"/>
    <w:rsid w:val="009906C7"/>
    <w:rsid w:val="00990DD6"/>
    <w:rsid w:val="0099295C"/>
    <w:rsid w:val="009929DA"/>
    <w:rsid w:val="00993393"/>
    <w:rsid w:val="00994DA2"/>
    <w:rsid w:val="009951A7"/>
    <w:rsid w:val="009957F0"/>
    <w:rsid w:val="00995C72"/>
    <w:rsid w:val="009963CD"/>
    <w:rsid w:val="00996D01"/>
    <w:rsid w:val="00997021"/>
    <w:rsid w:val="009977AE"/>
    <w:rsid w:val="009A05C6"/>
    <w:rsid w:val="009A14C4"/>
    <w:rsid w:val="009A2817"/>
    <w:rsid w:val="009A4346"/>
    <w:rsid w:val="009A5D0A"/>
    <w:rsid w:val="009B0897"/>
    <w:rsid w:val="009B1547"/>
    <w:rsid w:val="009B266D"/>
    <w:rsid w:val="009B2C0C"/>
    <w:rsid w:val="009B57F2"/>
    <w:rsid w:val="009B5CBF"/>
    <w:rsid w:val="009B7DF8"/>
    <w:rsid w:val="009C0B86"/>
    <w:rsid w:val="009C184A"/>
    <w:rsid w:val="009C26EF"/>
    <w:rsid w:val="009C2CA5"/>
    <w:rsid w:val="009C3595"/>
    <w:rsid w:val="009C5174"/>
    <w:rsid w:val="009C53FD"/>
    <w:rsid w:val="009C5BA1"/>
    <w:rsid w:val="009C74AE"/>
    <w:rsid w:val="009C7C82"/>
    <w:rsid w:val="009D0B46"/>
    <w:rsid w:val="009D15C7"/>
    <w:rsid w:val="009D3AD0"/>
    <w:rsid w:val="009D3E45"/>
    <w:rsid w:val="009D5941"/>
    <w:rsid w:val="009D5A0D"/>
    <w:rsid w:val="009D6E0C"/>
    <w:rsid w:val="009E0466"/>
    <w:rsid w:val="009E097A"/>
    <w:rsid w:val="009E1E84"/>
    <w:rsid w:val="009E20AE"/>
    <w:rsid w:val="009E237F"/>
    <w:rsid w:val="009E24B8"/>
    <w:rsid w:val="009E3432"/>
    <w:rsid w:val="009E3DCB"/>
    <w:rsid w:val="009E3EF0"/>
    <w:rsid w:val="009E4172"/>
    <w:rsid w:val="009E47AE"/>
    <w:rsid w:val="009E4F1F"/>
    <w:rsid w:val="009E5F00"/>
    <w:rsid w:val="009E60D7"/>
    <w:rsid w:val="009E640F"/>
    <w:rsid w:val="009E7282"/>
    <w:rsid w:val="009E769E"/>
    <w:rsid w:val="009E78FA"/>
    <w:rsid w:val="009F0D4D"/>
    <w:rsid w:val="009F187D"/>
    <w:rsid w:val="009F1AE8"/>
    <w:rsid w:val="009F351F"/>
    <w:rsid w:val="009F3F89"/>
    <w:rsid w:val="009F480E"/>
    <w:rsid w:val="009F6ECC"/>
    <w:rsid w:val="009F7785"/>
    <w:rsid w:val="00A0094B"/>
    <w:rsid w:val="00A022A2"/>
    <w:rsid w:val="00A023DC"/>
    <w:rsid w:val="00A026A2"/>
    <w:rsid w:val="00A026ED"/>
    <w:rsid w:val="00A02D15"/>
    <w:rsid w:val="00A034D1"/>
    <w:rsid w:val="00A040BD"/>
    <w:rsid w:val="00A0415E"/>
    <w:rsid w:val="00A0420D"/>
    <w:rsid w:val="00A0469B"/>
    <w:rsid w:val="00A04EB8"/>
    <w:rsid w:val="00A05489"/>
    <w:rsid w:val="00A054A4"/>
    <w:rsid w:val="00A0596F"/>
    <w:rsid w:val="00A06036"/>
    <w:rsid w:val="00A06C38"/>
    <w:rsid w:val="00A06D6D"/>
    <w:rsid w:val="00A070F6"/>
    <w:rsid w:val="00A10725"/>
    <w:rsid w:val="00A11403"/>
    <w:rsid w:val="00A135C1"/>
    <w:rsid w:val="00A14262"/>
    <w:rsid w:val="00A1505E"/>
    <w:rsid w:val="00A1656D"/>
    <w:rsid w:val="00A178CB"/>
    <w:rsid w:val="00A201DB"/>
    <w:rsid w:val="00A206FC"/>
    <w:rsid w:val="00A21718"/>
    <w:rsid w:val="00A22B27"/>
    <w:rsid w:val="00A230EC"/>
    <w:rsid w:val="00A2351C"/>
    <w:rsid w:val="00A235D2"/>
    <w:rsid w:val="00A247B4"/>
    <w:rsid w:val="00A250BE"/>
    <w:rsid w:val="00A2512E"/>
    <w:rsid w:val="00A25628"/>
    <w:rsid w:val="00A26B0D"/>
    <w:rsid w:val="00A27237"/>
    <w:rsid w:val="00A30002"/>
    <w:rsid w:val="00A301CC"/>
    <w:rsid w:val="00A30FB4"/>
    <w:rsid w:val="00A31D62"/>
    <w:rsid w:val="00A31DBB"/>
    <w:rsid w:val="00A31E88"/>
    <w:rsid w:val="00A33371"/>
    <w:rsid w:val="00A34758"/>
    <w:rsid w:val="00A34E33"/>
    <w:rsid w:val="00A35400"/>
    <w:rsid w:val="00A36309"/>
    <w:rsid w:val="00A3670D"/>
    <w:rsid w:val="00A36BB3"/>
    <w:rsid w:val="00A36C44"/>
    <w:rsid w:val="00A3735A"/>
    <w:rsid w:val="00A4021B"/>
    <w:rsid w:val="00A40E08"/>
    <w:rsid w:val="00A4297E"/>
    <w:rsid w:val="00A42A6E"/>
    <w:rsid w:val="00A42E0D"/>
    <w:rsid w:val="00A42F1B"/>
    <w:rsid w:val="00A445CC"/>
    <w:rsid w:val="00A4538F"/>
    <w:rsid w:val="00A45AAD"/>
    <w:rsid w:val="00A460B7"/>
    <w:rsid w:val="00A5058A"/>
    <w:rsid w:val="00A52020"/>
    <w:rsid w:val="00A52E1A"/>
    <w:rsid w:val="00A53D2B"/>
    <w:rsid w:val="00A546BC"/>
    <w:rsid w:val="00A55989"/>
    <w:rsid w:val="00A5607E"/>
    <w:rsid w:val="00A5643A"/>
    <w:rsid w:val="00A5694A"/>
    <w:rsid w:val="00A57A8E"/>
    <w:rsid w:val="00A607C6"/>
    <w:rsid w:val="00A6105A"/>
    <w:rsid w:val="00A62195"/>
    <w:rsid w:val="00A623C3"/>
    <w:rsid w:val="00A62569"/>
    <w:rsid w:val="00A63DA4"/>
    <w:rsid w:val="00A64243"/>
    <w:rsid w:val="00A64509"/>
    <w:rsid w:val="00A654D4"/>
    <w:rsid w:val="00A65CA7"/>
    <w:rsid w:val="00A66755"/>
    <w:rsid w:val="00A714D6"/>
    <w:rsid w:val="00A7162E"/>
    <w:rsid w:val="00A73057"/>
    <w:rsid w:val="00A7377B"/>
    <w:rsid w:val="00A73D2B"/>
    <w:rsid w:val="00A74988"/>
    <w:rsid w:val="00A7559B"/>
    <w:rsid w:val="00A75CD5"/>
    <w:rsid w:val="00A760AB"/>
    <w:rsid w:val="00A76AC6"/>
    <w:rsid w:val="00A804C3"/>
    <w:rsid w:val="00A80C02"/>
    <w:rsid w:val="00A8110C"/>
    <w:rsid w:val="00A81975"/>
    <w:rsid w:val="00A824C9"/>
    <w:rsid w:val="00A82CA2"/>
    <w:rsid w:val="00A82E06"/>
    <w:rsid w:val="00A82E47"/>
    <w:rsid w:val="00A8381F"/>
    <w:rsid w:val="00A83DF3"/>
    <w:rsid w:val="00A8436F"/>
    <w:rsid w:val="00A85867"/>
    <w:rsid w:val="00A85915"/>
    <w:rsid w:val="00A86041"/>
    <w:rsid w:val="00A866C2"/>
    <w:rsid w:val="00A86A07"/>
    <w:rsid w:val="00A86CE1"/>
    <w:rsid w:val="00A86F16"/>
    <w:rsid w:val="00A91D48"/>
    <w:rsid w:val="00A930F8"/>
    <w:rsid w:val="00A9380E"/>
    <w:rsid w:val="00A93FD9"/>
    <w:rsid w:val="00A952AB"/>
    <w:rsid w:val="00A97273"/>
    <w:rsid w:val="00A9783D"/>
    <w:rsid w:val="00AA09C9"/>
    <w:rsid w:val="00AA0E26"/>
    <w:rsid w:val="00AA14CE"/>
    <w:rsid w:val="00AA4588"/>
    <w:rsid w:val="00AA45E6"/>
    <w:rsid w:val="00AA45FB"/>
    <w:rsid w:val="00AA4A6D"/>
    <w:rsid w:val="00AA53B5"/>
    <w:rsid w:val="00AA5A37"/>
    <w:rsid w:val="00AA5ADC"/>
    <w:rsid w:val="00AA69CD"/>
    <w:rsid w:val="00AA6E89"/>
    <w:rsid w:val="00AA773E"/>
    <w:rsid w:val="00AB1A2F"/>
    <w:rsid w:val="00AB2BA2"/>
    <w:rsid w:val="00AB2F17"/>
    <w:rsid w:val="00AB3279"/>
    <w:rsid w:val="00AB476F"/>
    <w:rsid w:val="00AB489C"/>
    <w:rsid w:val="00AB50C1"/>
    <w:rsid w:val="00AB5AE3"/>
    <w:rsid w:val="00AB640F"/>
    <w:rsid w:val="00AB6936"/>
    <w:rsid w:val="00AB7018"/>
    <w:rsid w:val="00AB73BC"/>
    <w:rsid w:val="00AC0B1F"/>
    <w:rsid w:val="00AC0C3B"/>
    <w:rsid w:val="00AC1311"/>
    <w:rsid w:val="00AC2D63"/>
    <w:rsid w:val="00AC35CE"/>
    <w:rsid w:val="00AC3995"/>
    <w:rsid w:val="00AC4575"/>
    <w:rsid w:val="00AC4F8E"/>
    <w:rsid w:val="00AD03D8"/>
    <w:rsid w:val="00AD0711"/>
    <w:rsid w:val="00AD1216"/>
    <w:rsid w:val="00AD182A"/>
    <w:rsid w:val="00AD2740"/>
    <w:rsid w:val="00AD2D6F"/>
    <w:rsid w:val="00AD392C"/>
    <w:rsid w:val="00AD4BC9"/>
    <w:rsid w:val="00AD6C60"/>
    <w:rsid w:val="00AD704E"/>
    <w:rsid w:val="00AE0283"/>
    <w:rsid w:val="00AE0435"/>
    <w:rsid w:val="00AE17EF"/>
    <w:rsid w:val="00AE2C88"/>
    <w:rsid w:val="00AE4920"/>
    <w:rsid w:val="00AE53C4"/>
    <w:rsid w:val="00AE53EF"/>
    <w:rsid w:val="00AE5FE0"/>
    <w:rsid w:val="00AE60B7"/>
    <w:rsid w:val="00AE6166"/>
    <w:rsid w:val="00AE623C"/>
    <w:rsid w:val="00AE67CE"/>
    <w:rsid w:val="00AF00CD"/>
    <w:rsid w:val="00AF2542"/>
    <w:rsid w:val="00AF2AB7"/>
    <w:rsid w:val="00AF2B1C"/>
    <w:rsid w:val="00AF3678"/>
    <w:rsid w:val="00AF4D3F"/>
    <w:rsid w:val="00AF4DBD"/>
    <w:rsid w:val="00AF51DF"/>
    <w:rsid w:val="00AF5351"/>
    <w:rsid w:val="00AF739F"/>
    <w:rsid w:val="00AF7558"/>
    <w:rsid w:val="00B00621"/>
    <w:rsid w:val="00B0149C"/>
    <w:rsid w:val="00B01F6C"/>
    <w:rsid w:val="00B0300B"/>
    <w:rsid w:val="00B0329D"/>
    <w:rsid w:val="00B03577"/>
    <w:rsid w:val="00B03637"/>
    <w:rsid w:val="00B05457"/>
    <w:rsid w:val="00B056F2"/>
    <w:rsid w:val="00B07476"/>
    <w:rsid w:val="00B07F51"/>
    <w:rsid w:val="00B109F4"/>
    <w:rsid w:val="00B10BEC"/>
    <w:rsid w:val="00B128A0"/>
    <w:rsid w:val="00B13241"/>
    <w:rsid w:val="00B144C3"/>
    <w:rsid w:val="00B14A48"/>
    <w:rsid w:val="00B20240"/>
    <w:rsid w:val="00B208FE"/>
    <w:rsid w:val="00B219C5"/>
    <w:rsid w:val="00B21B88"/>
    <w:rsid w:val="00B21CF5"/>
    <w:rsid w:val="00B229C7"/>
    <w:rsid w:val="00B22F9E"/>
    <w:rsid w:val="00B23220"/>
    <w:rsid w:val="00B23281"/>
    <w:rsid w:val="00B233E1"/>
    <w:rsid w:val="00B23D71"/>
    <w:rsid w:val="00B26658"/>
    <w:rsid w:val="00B2689F"/>
    <w:rsid w:val="00B26DDA"/>
    <w:rsid w:val="00B27571"/>
    <w:rsid w:val="00B278D9"/>
    <w:rsid w:val="00B27DDD"/>
    <w:rsid w:val="00B3039A"/>
    <w:rsid w:val="00B318B6"/>
    <w:rsid w:val="00B31DA7"/>
    <w:rsid w:val="00B32421"/>
    <w:rsid w:val="00B32BE3"/>
    <w:rsid w:val="00B34423"/>
    <w:rsid w:val="00B3486C"/>
    <w:rsid w:val="00B35865"/>
    <w:rsid w:val="00B36077"/>
    <w:rsid w:val="00B3669C"/>
    <w:rsid w:val="00B37AD9"/>
    <w:rsid w:val="00B4164B"/>
    <w:rsid w:val="00B435AF"/>
    <w:rsid w:val="00B451F8"/>
    <w:rsid w:val="00B457C0"/>
    <w:rsid w:val="00B4672F"/>
    <w:rsid w:val="00B46E18"/>
    <w:rsid w:val="00B471C1"/>
    <w:rsid w:val="00B47621"/>
    <w:rsid w:val="00B507DB"/>
    <w:rsid w:val="00B50C9A"/>
    <w:rsid w:val="00B53818"/>
    <w:rsid w:val="00B5409A"/>
    <w:rsid w:val="00B55116"/>
    <w:rsid w:val="00B55574"/>
    <w:rsid w:val="00B575FC"/>
    <w:rsid w:val="00B57FFB"/>
    <w:rsid w:val="00B60911"/>
    <w:rsid w:val="00B62AC3"/>
    <w:rsid w:val="00B633A3"/>
    <w:rsid w:val="00B6426C"/>
    <w:rsid w:val="00B6494F"/>
    <w:rsid w:val="00B64DB2"/>
    <w:rsid w:val="00B65122"/>
    <w:rsid w:val="00B6525D"/>
    <w:rsid w:val="00B65ABA"/>
    <w:rsid w:val="00B666F6"/>
    <w:rsid w:val="00B6761D"/>
    <w:rsid w:val="00B678B2"/>
    <w:rsid w:val="00B6790F"/>
    <w:rsid w:val="00B67F73"/>
    <w:rsid w:val="00B70462"/>
    <w:rsid w:val="00B706ED"/>
    <w:rsid w:val="00B70BD9"/>
    <w:rsid w:val="00B711D6"/>
    <w:rsid w:val="00B71967"/>
    <w:rsid w:val="00B71987"/>
    <w:rsid w:val="00B71B3B"/>
    <w:rsid w:val="00B71F08"/>
    <w:rsid w:val="00B74231"/>
    <w:rsid w:val="00B74D54"/>
    <w:rsid w:val="00B75568"/>
    <w:rsid w:val="00B80509"/>
    <w:rsid w:val="00B80B37"/>
    <w:rsid w:val="00B81419"/>
    <w:rsid w:val="00B81961"/>
    <w:rsid w:val="00B82699"/>
    <w:rsid w:val="00B82D0A"/>
    <w:rsid w:val="00B8339C"/>
    <w:rsid w:val="00B83F77"/>
    <w:rsid w:val="00B85C92"/>
    <w:rsid w:val="00B85F0A"/>
    <w:rsid w:val="00B85F83"/>
    <w:rsid w:val="00B8672B"/>
    <w:rsid w:val="00B86F50"/>
    <w:rsid w:val="00B87D61"/>
    <w:rsid w:val="00B91FF5"/>
    <w:rsid w:val="00B92F19"/>
    <w:rsid w:val="00B93113"/>
    <w:rsid w:val="00B93948"/>
    <w:rsid w:val="00B963F5"/>
    <w:rsid w:val="00B96B08"/>
    <w:rsid w:val="00B9729E"/>
    <w:rsid w:val="00BA31AE"/>
    <w:rsid w:val="00BA3661"/>
    <w:rsid w:val="00BA39A7"/>
    <w:rsid w:val="00BA4BC7"/>
    <w:rsid w:val="00BA5172"/>
    <w:rsid w:val="00BA55B7"/>
    <w:rsid w:val="00BA5E47"/>
    <w:rsid w:val="00BA7D57"/>
    <w:rsid w:val="00BB156E"/>
    <w:rsid w:val="00BB16B4"/>
    <w:rsid w:val="00BB1AE7"/>
    <w:rsid w:val="00BB27C8"/>
    <w:rsid w:val="00BB2E26"/>
    <w:rsid w:val="00BB3330"/>
    <w:rsid w:val="00BB37C1"/>
    <w:rsid w:val="00BB4551"/>
    <w:rsid w:val="00BB47D7"/>
    <w:rsid w:val="00BB4A62"/>
    <w:rsid w:val="00BB4B37"/>
    <w:rsid w:val="00BB5B59"/>
    <w:rsid w:val="00BB6898"/>
    <w:rsid w:val="00BB6B7F"/>
    <w:rsid w:val="00BB73D7"/>
    <w:rsid w:val="00BC01C1"/>
    <w:rsid w:val="00BC0483"/>
    <w:rsid w:val="00BC2142"/>
    <w:rsid w:val="00BC2700"/>
    <w:rsid w:val="00BC2A27"/>
    <w:rsid w:val="00BC319A"/>
    <w:rsid w:val="00BC33B1"/>
    <w:rsid w:val="00BC5A34"/>
    <w:rsid w:val="00BC65A1"/>
    <w:rsid w:val="00BC76C2"/>
    <w:rsid w:val="00BD1323"/>
    <w:rsid w:val="00BD17F5"/>
    <w:rsid w:val="00BD2564"/>
    <w:rsid w:val="00BD2747"/>
    <w:rsid w:val="00BD2F68"/>
    <w:rsid w:val="00BD44FB"/>
    <w:rsid w:val="00BD4A75"/>
    <w:rsid w:val="00BD6E05"/>
    <w:rsid w:val="00BD76DC"/>
    <w:rsid w:val="00BE03A4"/>
    <w:rsid w:val="00BE27B6"/>
    <w:rsid w:val="00BE2A02"/>
    <w:rsid w:val="00BE3AE7"/>
    <w:rsid w:val="00BE5129"/>
    <w:rsid w:val="00BE54D0"/>
    <w:rsid w:val="00BE5AB3"/>
    <w:rsid w:val="00BF1601"/>
    <w:rsid w:val="00BF37B5"/>
    <w:rsid w:val="00BF6B6C"/>
    <w:rsid w:val="00BF6CE2"/>
    <w:rsid w:val="00BF7251"/>
    <w:rsid w:val="00BF7930"/>
    <w:rsid w:val="00BF7F28"/>
    <w:rsid w:val="00C010FD"/>
    <w:rsid w:val="00C01909"/>
    <w:rsid w:val="00C01942"/>
    <w:rsid w:val="00C02CC4"/>
    <w:rsid w:val="00C03062"/>
    <w:rsid w:val="00C03675"/>
    <w:rsid w:val="00C03D48"/>
    <w:rsid w:val="00C046A7"/>
    <w:rsid w:val="00C05787"/>
    <w:rsid w:val="00C05CCB"/>
    <w:rsid w:val="00C075E3"/>
    <w:rsid w:val="00C1163E"/>
    <w:rsid w:val="00C126E6"/>
    <w:rsid w:val="00C12918"/>
    <w:rsid w:val="00C13059"/>
    <w:rsid w:val="00C156D4"/>
    <w:rsid w:val="00C15BFF"/>
    <w:rsid w:val="00C167A3"/>
    <w:rsid w:val="00C16EA2"/>
    <w:rsid w:val="00C20320"/>
    <w:rsid w:val="00C203C0"/>
    <w:rsid w:val="00C21332"/>
    <w:rsid w:val="00C2181C"/>
    <w:rsid w:val="00C22792"/>
    <w:rsid w:val="00C22C2E"/>
    <w:rsid w:val="00C231BC"/>
    <w:rsid w:val="00C24180"/>
    <w:rsid w:val="00C253DD"/>
    <w:rsid w:val="00C26190"/>
    <w:rsid w:val="00C2657D"/>
    <w:rsid w:val="00C27015"/>
    <w:rsid w:val="00C2730A"/>
    <w:rsid w:val="00C27594"/>
    <w:rsid w:val="00C32581"/>
    <w:rsid w:val="00C3284C"/>
    <w:rsid w:val="00C3447A"/>
    <w:rsid w:val="00C34CC5"/>
    <w:rsid w:val="00C35127"/>
    <w:rsid w:val="00C3667D"/>
    <w:rsid w:val="00C37FD8"/>
    <w:rsid w:val="00C416E1"/>
    <w:rsid w:val="00C41E47"/>
    <w:rsid w:val="00C43377"/>
    <w:rsid w:val="00C43FE3"/>
    <w:rsid w:val="00C4443B"/>
    <w:rsid w:val="00C44D95"/>
    <w:rsid w:val="00C45C34"/>
    <w:rsid w:val="00C45E68"/>
    <w:rsid w:val="00C46730"/>
    <w:rsid w:val="00C46E6D"/>
    <w:rsid w:val="00C47993"/>
    <w:rsid w:val="00C47BF8"/>
    <w:rsid w:val="00C47E59"/>
    <w:rsid w:val="00C51B1C"/>
    <w:rsid w:val="00C52691"/>
    <w:rsid w:val="00C52FD0"/>
    <w:rsid w:val="00C53799"/>
    <w:rsid w:val="00C53AF7"/>
    <w:rsid w:val="00C53DCE"/>
    <w:rsid w:val="00C540E0"/>
    <w:rsid w:val="00C54827"/>
    <w:rsid w:val="00C5556D"/>
    <w:rsid w:val="00C55B2D"/>
    <w:rsid w:val="00C55CC5"/>
    <w:rsid w:val="00C61923"/>
    <w:rsid w:val="00C62C3E"/>
    <w:rsid w:val="00C63C31"/>
    <w:rsid w:val="00C63EDC"/>
    <w:rsid w:val="00C6419B"/>
    <w:rsid w:val="00C655F2"/>
    <w:rsid w:val="00C65B4C"/>
    <w:rsid w:val="00C65B61"/>
    <w:rsid w:val="00C66984"/>
    <w:rsid w:val="00C67540"/>
    <w:rsid w:val="00C67567"/>
    <w:rsid w:val="00C67CC7"/>
    <w:rsid w:val="00C7000C"/>
    <w:rsid w:val="00C70E53"/>
    <w:rsid w:val="00C718A4"/>
    <w:rsid w:val="00C71AD3"/>
    <w:rsid w:val="00C71B03"/>
    <w:rsid w:val="00C722E0"/>
    <w:rsid w:val="00C72979"/>
    <w:rsid w:val="00C74C04"/>
    <w:rsid w:val="00C75604"/>
    <w:rsid w:val="00C75FDE"/>
    <w:rsid w:val="00C76E56"/>
    <w:rsid w:val="00C81529"/>
    <w:rsid w:val="00C81BA6"/>
    <w:rsid w:val="00C81BE8"/>
    <w:rsid w:val="00C82AE5"/>
    <w:rsid w:val="00C834B5"/>
    <w:rsid w:val="00C8377C"/>
    <w:rsid w:val="00C86093"/>
    <w:rsid w:val="00C868F6"/>
    <w:rsid w:val="00C877CD"/>
    <w:rsid w:val="00C87F19"/>
    <w:rsid w:val="00C902E9"/>
    <w:rsid w:val="00C905D1"/>
    <w:rsid w:val="00C907BB"/>
    <w:rsid w:val="00C908B7"/>
    <w:rsid w:val="00C90EA4"/>
    <w:rsid w:val="00C91D81"/>
    <w:rsid w:val="00C9211E"/>
    <w:rsid w:val="00C927A5"/>
    <w:rsid w:val="00C92A42"/>
    <w:rsid w:val="00C92F04"/>
    <w:rsid w:val="00C93271"/>
    <w:rsid w:val="00C937C5"/>
    <w:rsid w:val="00C94C1C"/>
    <w:rsid w:val="00C9521F"/>
    <w:rsid w:val="00C9522D"/>
    <w:rsid w:val="00C9599D"/>
    <w:rsid w:val="00C95C7C"/>
    <w:rsid w:val="00C9643F"/>
    <w:rsid w:val="00C9681B"/>
    <w:rsid w:val="00C968B7"/>
    <w:rsid w:val="00C96BD3"/>
    <w:rsid w:val="00C979C6"/>
    <w:rsid w:val="00C97FE3"/>
    <w:rsid w:val="00CA145E"/>
    <w:rsid w:val="00CA18F2"/>
    <w:rsid w:val="00CA2DDB"/>
    <w:rsid w:val="00CA3853"/>
    <w:rsid w:val="00CA4871"/>
    <w:rsid w:val="00CA4970"/>
    <w:rsid w:val="00CA53DA"/>
    <w:rsid w:val="00CA6132"/>
    <w:rsid w:val="00CA6722"/>
    <w:rsid w:val="00CA6D4E"/>
    <w:rsid w:val="00CA6E5C"/>
    <w:rsid w:val="00CA707A"/>
    <w:rsid w:val="00CA7B4B"/>
    <w:rsid w:val="00CA7EC8"/>
    <w:rsid w:val="00CB101B"/>
    <w:rsid w:val="00CB2A48"/>
    <w:rsid w:val="00CB36A8"/>
    <w:rsid w:val="00CB4307"/>
    <w:rsid w:val="00CB4E7C"/>
    <w:rsid w:val="00CB6793"/>
    <w:rsid w:val="00CB762F"/>
    <w:rsid w:val="00CC036B"/>
    <w:rsid w:val="00CC0EFB"/>
    <w:rsid w:val="00CC0F6C"/>
    <w:rsid w:val="00CC139A"/>
    <w:rsid w:val="00CC1548"/>
    <w:rsid w:val="00CC1E7A"/>
    <w:rsid w:val="00CC31FB"/>
    <w:rsid w:val="00CC3783"/>
    <w:rsid w:val="00CC428B"/>
    <w:rsid w:val="00CC4F64"/>
    <w:rsid w:val="00CC58A1"/>
    <w:rsid w:val="00CD058C"/>
    <w:rsid w:val="00CD183D"/>
    <w:rsid w:val="00CD1B92"/>
    <w:rsid w:val="00CD2489"/>
    <w:rsid w:val="00CD308F"/>
    <w:rsid w:val="00CD3B98"/>
    <w:rsid w:val="00CD4216"/>
    <w:rsid w:val="00CD518C"/>
    <w:rsid w:val="00CD51B8"/>
    <w:rsid w:val="00CD58D1"/>
    <w:rsid w:val="00CD733F"/>
    <w:rsid w:val="00CE0942"/>
    <w:rsid w:val="00CE0E87"/>
    <w:rsid w:val="00CE196D"/>
    <w:rsid w:val="00CE2101"/>
    <w:rsid w:val="00CE285A"/>
    <w:rsid w:val="00CE2BA6"/>
    <w:rsid w:val="00CE2E8C"/>
    <w:rsid w:val="00CE4789"/>
    <w:rsid w:val="00CE5874"/>
    <w:rsid w:val="00CE5955"/>
    <w:rsid w:val="00CE59C8"/>
    <w:rsid w:val="00CE64BC"/>
    <w:rsid w:val="00CE660D"/>
    <w:rsid w:val="00CE6A75"/>
    <w:rsid w:val="00CE6A78"/>
    <w:rsid w:val="00CE7CA5"/>
    <w:rsid w:val="00CF076B"/>
    <w:rsid w:val="00CF1A9F"/>
    <w:rsid w:val="00CF1D81"/>
    <w:rsid w:val="00CF2DC9"/>
    <w:rsid w:val="00CF7975"/>
    <w:rsid w:val="00CF7CB6"/>
    <w:rsid w:val="00D015A7"/>
    <w:rsid w:val="00D03472"/>
    <w:rsid w:val="00D054CC"/>
    <w:rsid w:val="00D05655"/>
    <w:rsid w:val="00D07AFF"/>
    <w:rsid w:val="00D10048"/>
    <w:rsid w:val="00D13005"/>
    <w:rsid w:val="00D13AC9"/>
    <w:rsid w:val="00D15200"/>
    <w:rsid w:val="00D15AE5"/>
    <w:rsid w:val="00D15F8F"/>
    <w:rsid w:val="00D20683"/>
    <w:rsid w:val="00D22FC2"/>
    <w:rsid w:val="00D231DE"/>
    <w:rsid w:val="00D268EE"/>
    <w:rsid w:val="00D278E8"/>
    <w:rsid w:val="00D3020C"/>
    <w:rsid w:val="00D310C7"/>
    <w:rsid w:val="00D311AB"/>
    <w:rsid w:val="00D31E46"/>
    <w:rsid w:val="00D325A8"/>
    <w:rsid w:val="00D329D1"/>
    <w:rsid w:val="00D32F6E"/>
    <w:rsid w:val="00D33EC9"/>
    <w:rsid w:val="00D343DD"/>
    <w:rsid w:val="00D35BA2"/>
    <w:rsid w:val="00D4007B"/>
    <w:rsid w:val="00D41BFB"/>
    <w:rsid w:val="00D4201B"/>
    <w:rsid w:val="00D42914"/>
    <w:rsid w:val="00D43582"/>
    <w:rsid w:val="00D43702"/>
    <w:rsid w:val="00D442AD"/>
    <w:rsid w:val="00D44A99"/>
    <w:rsid w:val="00D4522D"/>
    <w:rsid w:val="00D4549A"/>
    <w:rsid w:val="00D45A84"/>
    <w:rsid w:val="00D46CD7"/>
    <w:rsid w:val="00D472BF"/>
    <w:rsid w:val="00D52CC0"/>
    <w:rsid w:val="00D53AF9"/>
    <w:rsid w:val="00D54D0B"/>
    <w:rsid w:val="00D556A8"/>
    <w:rsid w:val="00D55E32"/>
    <w:rsid w:val="00D5618A"/>
    <w:rsid w:val="00D5784B"/>
    <w:rsid w:val="00D57A8A"/>
    <w:rsid w:val="00D57EA7"/>
    <w:rsid w:val="00D609CD"/>
    <w:rsid w:val="00D62A4B"/>
    <w:rsid w:val="00D63797"/>
    <w:rsid w:val="00D63EFB"/>
    <w:rsid w:val="00D642FD"/>
    <w:rsid w:val="00D65490"/>
    <w:rsid w:val="00D65774"/>
    <w:rsid w:val="00D658AF"/>
    <w:rsid w:val="00D658BF"/>
    <w:rsid w:val="00D70094"/>
    <w:rsid w:val="00D717A5"/>
    <w:rsid w:val="00D718E5"/>
    <w:rsid w:val="00D742B3"/>
    <w:rsid w:val="00D758DA"/>
    <w:rsid w:val="00D76ECC"/>
    <w:rsid w:val="00D82841"/>
    <w:rsid w:val="00D83DE9"/>
    <w:rsid w:val="00D8450D"/>
    <w:rsid w:val="00D84DCA"/>
    <w:rsid w:val="00D8531A"/>
    <w:rsid w:val="00D85544"/>
    <w:rsid w:val="00D85D0D"/>
    <w:rsid w:val="00D86401"/>
    <w:rsid w:val="00D86D70"/>
    <w:rsid w:val="00D87F1A"/>
    <w:rsid w:val="00D91266"/>
    <w:rsid w:val="00D92EE6"/>
    <w:rsid w:val="00D9376A"/>
    <w:rsid w:val="00D95667"/>
    <w:rsid w:val="00D95AF9"/>
    <w:rsid w:val="00D96894"/>
    <w:rsid w:val="00D97EFC"/>
    <w:rsid w:val="00DA09C9"/>
    <w:rsid w:val="00DA1120"/>
    <w:rsid w:val="00DA1822"/>
    <w:rsid w:val="00DA185C"/>
    <w:rsid w:val="00DA3122"/>
    <w:rsid w:val="00DA72F2"/>
    <w:rsid w:val="00DB1EB1"/>
    <w:rsid w:val="00DB2635"/>
    <w:rsid w:val="00DB3263"/>
    <w:rsid w:val="00DB32EB"/>
    <w:rsid w:val="00DB5174"/>
    <w:rsid w:val="00DB5E1F"/>
    <w:rsid w:val="00DB7449"/>
    <w:rsid w:val="00DB7CF7"/>
    <w:rsid w:val="00DC0034"/>
    <w:rsid w:val="00DC19D8"/>
    <w:rsid w:val="00DC2613"/>
    <w:rsid w:val="00DC2EFD"/>
    <w:rsid w:val="00DC355A"/>
    <w:rsid w:val="00DC4512"/>
    <w:rsid w:val="00DC5DCF"/>
    <w:rsid w:val="00DC624A"/>
    <w:rsid w:val="00DC6570"/>
    <w:rsid w:val="00DC7E8F"/>
    <w:rsid w:val="00DD105F"/>
    <w:rsid w:val="00DD1663"/>
    <w:rsid w:val="00DD1ACB"/>
    <w:rsid w:val="00DD1E4A"/>
    <w:rsid w:val="00DD2AE0"/>
    <w:rsid w:val="00DD3691"/>
    <w:rsid w:val="00DD41FD"/>
    <w:rsid w:val="00DD4B55"/>
    <w:rsid w:val="00DD5073"/>
    <w:rsid w:val="00DD6557"/>
    <w:rsid w:val="00DD65D7"/>
    <w:rsid w:val="00DD75A8"/>
    <w:rsid w:val="00DD79C2"/>
    <w:rsid w:val="00DE1B19"/>
    <w:rsid w:val="00DE1E90"/>
    <w:rsid w:val="00DE24E6"/>
    <w:rsid w:val="00DE39AC"/>
    <w:rsid w:val="00DE3EDA"/>
    <w:rsid w:val="00DE51BF"/>
    <w:rsid w:val="00DE7880"/>
    <w:rsid w:val="00DE7CAC"/>
    <w:rsid w:val="00DF04EF"/>
    <w:rsid w:val="00DF07AD"/>
    <w:rsid w:val="00DF1990"/>
    <w:rsid w:val="00DF1F83"/>
    <w:rsid w:val="00DF26F1"/>
    <w:rsid w:val="00DF3364"/>
    <w:rsid w:val="00DF3C9E"/>
    <w:rsid w:val="00DF603D"/>
    <w:rsid w:val="00DF7539"/>
    <w:rsid w:val="00E00388"/>
    <w:rsid w:val="00E01DC3"/>
    <w:rsid w:val="00E0362C"/>
    <w:rsid w:val="00E0417D"/>
    <w:rsid w:val="00E055BB"/>
    <w:rsid w:val="00E05A1E"/>
    <w:rsid w:val="00E0779C"/>
    <w:rsid w:val="00E0782A"/>
    <w:rsid w:val="00E1031A"/>
    <w:rsid w:val="00E104CB"/>
    <w:rsid w:val="00E11988"/>
    <w:rsid w:val="00E125AE"/>
    <w:rsid w:val="00E12DFF"/>
    <w:rsid w:val="00E15974"/>
    <w:rsid w:val="00E1598C"/>
    <w:rsid w:val="00E15DA9"/>
    <w:rsid w:val="00E16779"/>
    <w:rsid w:val="00E16C8E"/>
    <w:rsid w:val="00E17368"/>
    <w:rsid w:val="00E2095D"/>
    <w:rsid w:val="00E209F1"/>
    <w:rsid w:val="00E21014"/>
    <w:rsid w:val="00E215C2"/>
    <w:rsid w:val="00E22DD2"/>
    <w:rsid w:val="00E2365F"/>
    <w:rsid w:val="00E23BD9"/>
    <w:rsid w:val="00E24B8E"/>
    <w:rsid w:val="00E255B2"/>
    <w:rsid w:val="00E255B5"/>
    <w:rsid w:val="00E25E50"/>
    <w:rsid w:val="00E264D0"/>
    <w:rsid w:val="00E27734"/>
    <w:rsid w:val="00E30414"/>
    <w:rsid w:val="00E30E8D"/>
    <w:rsid w:val="00E31712"/>
    <w:rsid w:val="00E344D9"/>
    <w:rsid w:val="00E345BA"/>
    <w:rsid w:val="00E34912"/>
    <w:rsid w:val="00E35E86"/>
    <w:rsid w:val="00E36253"/>
    <w:rsid w:val="00E36A69"/>
    <w:rsid w:val="00E37392"/>
    <w:rsid w:val="00E37754"/>
    <w:rsid w:val="00E405FA"/>
    <w:rsid w:val="00E40769"/>
    <w:rsid w:val="00E4177D"/>
    <w:rsid w:val="00E41BF2"/>
    <w:rsid w:val="00E42E8B"/>
    <w:rsid w:val="00E43D5A"/>
    <w:rsid w:val="00E4527B"/>
    <w:rsid w:val="00E50D7E"/>
    <w:rsid w:val="00E510A9"/>
    <w:rsid w:val="00E52008"/>
    <w:rsid w:val="00E55088"/>
    <w:rsid w:val="00E555CC"/>
    <w:rsid w:val="00E55865"/>
    <w:rsid w:val="00E56706"/>
    <w:rsid w:val="00E56870"/>
    <w:rsid w:val="00E57777"/>
    <w:rsid w:val="00E578BB"/>
    <w:rsid w:val="00E57DDD"/>
    <w:rsid w:val="00E60511"/>
    <w:rsid w:val="00E60F12"/>
    <w:rsid w:val="00E62DA3"/>
    <w:rsid w:val="00E63D20"/>
    <w:rsid w:val="00E64047"/>
    <w:rsid w:val="00E64ABA"/>
    <w:rsid w:val="00E652FB"/>
    <w:rsid w:val="00E65D20"/>
    <w:rsid w:val="00E66C20"/>
    <w:rsid w:val="00E7034B"/>
    <w:rsid w:val="00E71162"/>
    <w:rsid w:val="00E71C46"/>
    <w:rsid w:val="00E71CCD"/>
    <w:rsid w:val="00E72FBA"/>
    <w:rsid w:val="00E7490F"/>
    <w:rsid w:val="00E7531C"/>
    <w:rsid w:val="00E75CB4"/>
    <w:rsid w:val="00E75D9A"/>
    <w:rsid w:val="00E75ED2"/>
    <w:rsid w:val="00E77983"/>
    <w:rsid w:val="00E80EB1"/>
    <w:rsid w:val="00E8280C"/>
    <w:rsid w:val="00E83E4C"/>
    <w:rsid w:val="00E84276"/>
    <w:rsid w:val="00E842E5"/>
    <w:rsid w:val="00E879BF"/>
    <w:rsid w:val="00E87A59"/>
    <w:rsid w:val="00E9014A"/>
    <w:rsid w:val="00E9071C"/>
    <w:rsid w:val="00E9084D"/>
    <w:rsid w:val="00E90AE1"/>
    <w:rsid w:val="00E91933"/>
    <w:rsid w:val="00E92766"/>
    <w:rsid w:val="00E92A81"/>
    <w:rsid w:val="00E956B2"/>
    <w:rsid w:val="00E969B1"/>
    <w:rsid w:val="00E97202"/>
    <w:rsid w:val="00E97637"/>
    <w:rsid w:val="00E97EA2"/>
    <w:rsid w:val="00EA0ABF"/>
    <w:rsid w:val="00EA287E"/>
    <w:rsid w:val="00EA4D7B"/>
    <w:rsid w:val="00EA7AAC"/>
    <w:rsid w:val="00EB07BF"/>
    <w:rsid w:val="00EB081C"/>
    <w:rsid w:val="00EB0D23"/>
    <w:rsid w:val="00EB16A0"/>
    <w:rsid w:val="00EB1826"/>
    <w:rsid w:val="00EB18A5"/>
    <w:rsid w:val="00EB1E05"/>
    <w:rsid w:val="00EB1EF7"/>
    <w:rsid w:val="00EB26BC"/>
    <w:rsid w:val="00EB2A6B"/>
    <w:rsid w:val="00EB3837"/>
    <w:rsid w:val="00EB3B76"/>
    <w:rsid w:val="00EB63C2"/>
    <w:rsid w:val="00EB6552"/>
    <w:rsid w:val="00EB6F2D"/>
    <w:rsid w:val="00EB7F3F"/>
    <w:rsid w:val="00EC18E6"/>
    <w:rsid w:val="00EC1984"/>
    <w:rsid w:val="00EC1C46"/>
    <w:rsid w:val="00EC21EB"/>
    <w:rsid w:val="00EC2312"/>
    <w:rsid w:val="00EC234C"/>
    <w:rsid w:val="00EC4C73"/>
    <w:rsid w:val="00EC513D"/>
    <w:rsid w:val="00EC61E8"/>
    <w:rsid w:val="00EC69C1"/>
    <w:rsid w:val="00EC6F9C"/>
    <w:rsid w:val="00ED019F"/>
    <w:rsid w:val="00ED01C6"/>
    <w:rsid w:val="00ED08A3"/>
    <w:rsid w:val="00ED0D0C"/>
    <w:rsid w:val="00ED2BD6"/>
    <w:rsid w:val="00ED3225"/>
    <w:rsid w:val="00ED324D"/>
    <w:rsid w:val="00ED34EF"/>
    <w:rsid w:val="00ED3529"/>
    <w:rsid w:val="00ED4D17"/>
    <w:rsid w:val="00ED6A33"/>
    <w:rsid w:val="00EE05D6"/>
    <w:rsid w:val="00EE1B7C"/>
    <w:rsid w:val="00EE6CD3"/>
    <w:rsid w:val="00EF20D7"/>
    <w:rsid w:val="00EF3419"/>
    <w:rsid w:val="00EF36CD"/>
    <w:rsid w:val="00EF487E"/>
    <w:rsid w:val="00EF57D8"/>
    <w:rsid w:val="00EF5B94"/>
    <w:rsid w:val="00EF6F3D"/>
    <w:rsid w:val="00F00213"/>
    <w:rsid w:val="00F00237"/>
    <w:rsid w:val="00F0080D"/>
    <w:rsid w:val="00F0119C"/>
    <w:rsid w:val="00F016CE"/>
    <w:rsid w:val="00F028F6"/>
    <w:rsid w:val="00F02BDB"/>
    <w:rsid w:val="00F02F2C"/>
    <w:rsid w:val="00F0305E"/>
    <w:rsid w:val="00F0441B"/>
    <w:rsid w:val="00F05620"/>
    <w:rsid w:val="00F05D72"/>
    <w:rsid w:val="00F06A48"/>
    <w:rsid w:val="00F07623"/>
    <w:rsid w:val="00F104B5"/>
    <w:rsid w:val="00F10687"/>
    <w:rsid w:val="00F108AC"/>
    <w:rsid w:val="00F10931"/>
    <w:rsid w:val="00F11187"/>
    <w:rsid w:val="00F11870"/>
    <w:rsid w:val="00F12EC8"/>
    <w:rsid w:val="00F136A1"/>
    <w:rsid w:val="00F138BB"/>
    <w:rsid w:val="00F152DC"/>
    <w:rsid w:val="00F15560"/>
    <w:rsid w:val="00F1600F"/>
    <w:rsid w:val="00F161F8"/>
    <w:rsid w:val="00F170A1"/>
    <w:rsid w:val="00F17D11"/>
    <w:rsid w:val="00F239CE"/>
    <w:rsid w:val="00F24399"/>
    <w:rsid w:val="00F247EE"/>
    <w:rsid w:val="00F25D3A"/>
    <w:rsid w:val="00F26259"/>
    <w:rsid w:val="00F303AE"/>
    <w:rsid w:val="00F3136B"/>
    <w:rsid w:val="00F314A3"/>
    <w:rsid w:val="00F314F1"/>
    <w:rsid w:val="00F327EA"/>
    <w:rsid w:val="00F327ED"/>
    <w:rsid w:val="00F33641"/>
    <w:rsid w:val="00F33CEE"/>
    <w:rsid w:val="00F3484C"/>
    <w:rsid w:val="00F34A25"/>
    <w:rsid w:val="00F34B39"/>
    <w:rsid w:val="00F35E7A"/>
    <w:rsid w:val="00F35FB2"/>
    <w:rsid w:val="00F363B8"/>
    <w:rsid w:val="00F36794"/>
    <w:rsid w:val="00F37255"/>
    <w:rsid w:val="00F37625"/>
    <w:rsid w:val="00F40EFA"/>
    <w:rsid w:val="00F424B0"/>
    <w:rsid w:val="00F42842"/>
    <w:rsid w:val="00F43686"/>
    <w:rsid w:val="00F44720"/>
    <w:rsid w:val="00F45BB1"/>
    <w:rsid w:val="00F46A2D"/>
    <w:rsid w:val="00F46E40"/>
    <w:rsid w:val="00F4755D"/>
    <w:rsid w:val="00F4760A"/>
    <w:rsid w:val="00F50E9C"/>
    <w:rsid w:val="00F50F91"/>
    <w:rsid w:val="00F50FE8"/>
    <w:rsid w:val="00F515F1"/>
    <w:rsid w:val="00F52778"/>
    <w:rsid w:val="00F52B8E"/>
    <w:rsid w:val="00F5389A"/>
    <w:rsid w:val="00F53CFD"/>
    <w:rsid w:val="00F54835"/>
    <w:rsid w:val="00F54AF5"/>
    <w:rsid w:val="00F557E3"/>
    <w:rsid w:val="00F55EB3"/>
    <w:rsid w:val="00F5601E"/>
    <w:rsid w:val="00F561DA"/>
    <w:rsid w:val="00F57DF0"/>
    <w:rsid w:val="00F6023A"/>
    <w:rsid w:val="00F6062A"/>
    <w:rsid w:val="00F61339"/>
    <w:rsid w:val="00F61E78"/>
    <w:rsid w:val="00F6232D"/>
    <w:rsid w:val="00F63555"/>
    <w:rsid w:val="00F635C5"/>
    <w:rsid w:val="00F64E29"/>
    <w:rsid w:val="00F64F94"/>
    <w:rsid w:val="00F65425"/>
    <w:rsid w:val="00F6544D"/>
    <w:rsid w:val="00F65CCB"/>
    <w:rsid w:val="00F67E13"/>
    <w:rsid w:val="00F7108E"/>
    <w:rsid w:val="00F711FC"/>
    <w:rsid w:val="00F736E3"/>
    <w:rsid w:val="00F7568B"/>
    <w:rsid w:val="00F767E8"/>
    <w:rsid w:val="00F76E99"/>
    <w:rsid w:val="00F77E50"/>
    <w:rsid w:val="00F77F67"/>
    <w:rsid w:val="00F80B8F"/>
    <w:rsid w:val="00F80C6A"/>
    <w:rsid w:val="00F81460"/>
    <w:rsid w:val="00F8183B"/>
    <w:rsid w:val="00F829A1"/>
    <w:rsid w:val="00F82C35"/>
    <w:rsid w:val="00F84578"/>
    <w:rsid w:val="00F84EE8"/>
    <w:rsid w:val="00F8523F"/>
    <w:rsid w:val="00F857E1"/>
    <w:rsid w:val="00F86186"/>
    <w:rsid w:val="00F86A3F"/>
    <w:rsid w:val="00F91297"/>
    <w:rsid w:val="00F9133B"/>
    <w:rsid w:val="00F918B0"/>
    <w:rsid w:val="00F91E50"/>
    <w:rsid w:val="00F934D5"/>
    <w:rsid w:val="00F94BBC"/>
    <w:rsid w:val="00F955E7"/>
    <w:rsid w:val="00F963EB"/>
    <w:rsid w:val="00F969B2"/>
    <w:rsid w:val="00F96A71"/>
    <w:rsid w:val="00F97730"/>
    <w:rsid w:val="00FA3284"/>
    <w:rsid w:val="00FA3C7F"/>
    <w:rsid w:val="00FA41AA"/>
    <w:rsid w:val="00FA4376"/>
    <w:rsid w:val="00FA4B90"/>
    <w:rsid w:val="00FA6670"/>
    <w:rsid w:val="00FA6D47"/>
    <w:rsid w:val="00FA7566"/>
    <w:rsid w:val="00FB2D2B"/>
    <w:rsid w:val="00FB32A4"/>
    <w:rsid w:val="00FB339A"/>
    <w:rsid w:val="00FB37BE"/>
    <w:rsid w:val="00FB38B7"/>
    <w:rsid w:val="00FB4436"/>
    <w:rsid w:val="00FB4A37"/>
    <w:rsid w:val="00FB57F3"/>
    <w:rsid w:val="00FB594D"/>
    <w:rsid w:val="00FB5994"/>
    <w:rsid w:val="00FB663B"/>
    <w:rsid w:val="00FC0065"/>
    <w:rsid w:val="00FC058C"/>
    <w:rsid w:val="00FC12FB"/>
    <w:rsid w:val="00FC21C1"/>
    <w:rsid w:val="00FC3AD3"/>
    <w:rsid w:val="00FC3D64"/>
    <w:rsid w:val="00FC3DF0"/>
    <w:rsid w:val="00FC40BF"/>
    <w:rsid w:val="00FC4322"/>
    <w:rsid w:val="00FC4804"/>
    <w:rsid w:val="00FC49BB"/>
    <w:rsid w:val="00FC5154"/>
    <w:rsid w:val="00FC525F"/>
    <w:rsid w:val="00FC5B76"/>
    <w:rsid w:val="00FC7058"/>
    <w:rsid w:val="00FC71A1"/>
    <w:rsid w:val="00FD1146"/>
    <w:rsid w:val="00FD14FF"/>
    <w:rsid w:val="00FD168A"/>
    <w:rsid w:val="00FD40ED"/>
    <w:rsid w:val="00FD44E1"/>
    <w:rsid w:val="00FD4CAE"/>
    <w:rsid w:val="00FD52CB"/>
    <w:rsid w:val="00FD616B"/>
    <w:rsid w:val="00FD75AE"/>
    <w:rsid w:val="00FE0E1A"/>
    <w:rsid w:val="00FE1FB4"/>
    <w:rsid w:val="00FE2865"/>
    <w:rsid w:val="00FE367F"/>
    <w:rsid w:val="00FE5DA8"/>
    <w:rsid w:val="00FE71CA"/>
    <w:rsid w:val="00FE78DA"/>
    <w:rsid w:val="00FE7D16"/>
    <w:rsid w:val="00FF0F96"/>
    <w:rsid w:val="00FF1108"/>
    <w:rsid w:val="00FF1713"/>
    <w:rsid w:val="00FF29DC"/>
    <w:rsid w:val="00FF35EB"/>
    <w:rsid w:val="00FF5FED"/>
    <w:rsid w:val="00FF6879"/>
    <w:rsid w:val="00FF6B82"/>
    <w:rsid w:val="03968B9F"/>
    <w:rsid w:val="0E6BF28C"/>
    <w:rsid w:val="113C534E"/>
    <w:rsid w:val="11D00858"/>
    <w:rsid w:val="189BC085"/>
    <w:rsid w:val="189E0A0D"/>
    <w:rsid w:val="1B1FAF08"/>
    <w:rsid w:val="39F274A3"/>
    <w:rsid w:val="45D9682B"/>
    <w:rsid w:val="49B6EA36"/>
    <w:rsid w:val="4BF387EE"/>
    <w:rsid w:val="4F57F879"/>
    <w:rsid w:val="50CE1FFB"/>
    <w:rsid w:val="51567CD1"/>
    <w:rsid w:val="71566F0E"/>
    <w:rsid w:val="7FB53F9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fillcolor="#4bacc6" stroke="f">
      <v:fill color="#4bacc6"/>
      <v:stroke on="f"/>
    </o:shapedefaults>
    <o:shapelayout v:ext="edit">
      <o:idmap v:ext="edit" data="1"/>
    </o:shapelayout>
  </w:shapeDefaults>
  <w:decimalSymbol w:val="."/>
  <w:listSeparator w:val=","/>
  <w14:docId w14:val="69F08E11"/>
  <w15:docId w15:val="{F3FA3A2F-E5B6-4EE0-BEC2-6CC38387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iPriority="0"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D56"/>
    <w:pPr>
      <w:spacing w:after="120" w:line="270" w:lineRule="atLeast"/>
      <w:jc w:val="both"/>
    </w:pPr>
    <w:rPr>
      <w:rFonts w:ascii="Arial" w:eastAsia="Times" w:hAnsi="Arial"/>
      <w:noProof/>
      <w:lang w:eastAsia="en-US"/>
    </w:rPr>
  </w:style>
  <w:style w:type="paragraph" w:styleId="Heading1">
    <w:name w:val="heading 1"/>
    <w:next w:val="DHHSbody"/>
    <w:link w:val="Heading1Char"/>
    <w:qFormat/>
    <w:rsid w:val="00D97EFC"/>
    <w:pPr>
      <w:keepNext/>
      <w:keepLines/>
      <w:numPr>
        <w:numId w:val="5"/>
      </w:numPr>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D97EFC"/>
    <w:pPr>
      <w:keepNext/>
      <w:keepLines/>
      <w:numPr>
        <w:ilvl w:val="1"/>
        <w:numId w:val="5"/>
      </w:numPr>
      <w:spacing w:before="240" w:after="90" w:line="320" w:lineRule="atLeast"/>
      <w:outlineLvl w:val="1"/>
    </w:pPr>
    <w:rPr>
      <w:rFonts w:ascii="Arial" w:hAnsi="Arial"/>
      <w:b/>
      <w:color w:val="004EA8"/>
      <w:sz w:val="28"/>
      <w:szCs w:val="28"/>
    </w:rPr>
  </w:style>
  <w:style w:type="paragraph" w:styleId="Heading3">
    <w:name w:val="heading 3"/>
    <w:aliases w:val="Char1"/>
    <w:next w:val="DHHSbody"/>
    <w:link w:val="Heading3Char"/>
    <w:qFormat/>
    <w:rsid w:val="00FB594D"/>
    <w:pPr>
      <w:keepNext/>
      <w:keepLines/>
      <w:numPr>
        <w:ilvl w:val="2"/>
        <w:numId w:val="5"/>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29593B"/>
    <w:pPr>
      <w:keepNext/>
      <w:keepLines/>
      <w:numPr>
        <w:numId w:val="27"/>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numPr>
        <w:ilvl w:val="4"/>
        <w:numId w:val="5"/>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DHHSbody"/>
    <w:link w:val="Heading6Char"/>
    <w:qFormat/>
    <w:rsid w:val="001B1D85"/>
    <w:pPr>
      <w:numPr>
        <w:ilvl w:val="5"/>
        <w:numId w:val="5"/>
      </w:numPr>
      <w:tabs>
        <w:tab w:val="num" w:pos="1152"/>
      </w:tabs>
      <w:spacing w:before="240" w:after="60" w:line="240" w:lineRule="auto"/>
      <w:jc w:val="left"/>
      <w:outlineLvl w:val="5"/>
    </w:pPr>
    <w:rPr>
      <w:rFonts w:eastAsia="Times New Roman"/>
      <w:b/>
      <w:bCs/>
      <w:noProof w:val="0"/>
      <w:color w:val="404040"/>
      <w:sz w:val="28"/>
      <w:szCs w:val="22"/>
    </w:rPr>
  </w:style>
  <w:style w:type="paragraph" w:styleId="Heading7">
    <w:name w:val="heading 7"/>
    <w:basedOn w:val="Normal"/>
    <w:next w:val="DHHSbody"/>
    <w:link w:val="Heading7Char"/>
    <w:qFormat/>
    <w:rsid w:val="001B1D85"/>
    <w:pPr>
      <w:numPr>
        <w:ilvl w:val="6"/>
        <w:numId w:val="5"/>
      </w:numPr>
      <w:tabs>
        <w:tab w:val="num" w:pos="1296"/>
      </w:tabs>
      <w:spacing w:before="240" w:after="60" w:line="240" w:lineRule="auto"/>
      <w:jc w:val="left"/>
      <w:outlineLvl w:val="6"/>
    </w:pPr>
    <w:rPr>
      <w:rFonts w:eastAsia="Times New Roman"/>
      <w:b/>
      <w:noProof w:val="0"/>
      <w:color w:val="404040"/>
      <w:sz w:val="24"/>
      <w:szCs w:val="24"/>
    </w:rPr>
  </w:style>
  <w:style w:type="paragraph" w:styleId="Heading8">
    <w:name w:val="heading 8"/>
    <w:basedOn w:val="Normal"/>
    <w:next w:val="Normal"/>
    <w:link w:val="Heading8Char"/>
    <w:qFormat/>
    <w:rsid w:val="001B1D85"/>
    <w:pPr>
      <w:numPr>
        <w:ilvl w:val="7"/>
        <w:numId w:val="5"/>
      </w:numPr>
      <w:tabs>
        <w:tab w:val="num" w:pos="1440"/>
      </w:tabs>
      <w:spacing w:before="240" w:after="60" w:line="240" w:lineRule="auto"/>
      <w:jc w:val="left"/>
      <w:outlineLvl w:val="7"/>
    </w:pPr>
    <w:rPr>
      <w:rFonts w:eastAsia="Times New Roman"/>
      <w:b/>
      <w:iCs/>
      <w:noProof w:val="0"/>
      <w:color w:val="4B4B4B"/>
      <w:szCs w:val="24"/>
    </w:rPr>
  </w:style>
  <w:style w:type="paragraph" w:styleId="Heading9">
    <w:name w:val="heading 9"/>
    <w:basedOn w:val="Normal"/>
    <w:next w:val="Normal"/>
    <w:link w:val="Heading9Char"/>
    <w:unhideWhenUsed/>
    <w:qFormat/>
    <w:rsid w:val="001B1D85"/>
    <w:pPr>
      <w:keepNext/>
      <w:keepLines/>
      <w:numPr>
        <w:ilvl w:val="8"/>
        <w:numId w:val="5"/>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7EFC"/>
    <w:rPr>
      <w:rFonts w:ascii="Arial" w:hAnsi="Arial"/>
      <w:bCs/>
      <w:color w:val="004EA8"/>
      <w:sz w:val="44"/>
      <w:szCs w:val="44"/>
      <w:lang w:eastAsia="en-US"/>
    </w:rPr>
  </w:style>
  <w:style w:type="character" w:customStyle="1" w:styleId="Heading2Char">
    <w:name w:val="Heading 2 Char"/>
    <w:link w:val="Heading2"/>
    <w:uiPriority w:val="1"/>
    <w:rsid w:val="00D97EFC"/>
    <w:rPr>
      <w:rFonts w:ascii="Arial" w:hAnsi="Arial"/>
      <w:b/>
      <w:color w:val="004EA8"/>
      <w:sz w:val="28"/>
      <w:szCs w:val="28"/>
    </w:rPr>
  </w:style>
  <w:style w:type="character" w:customStyle="1" w:styleId="Heading3Char">
    <w:name w:val="Heading 3 Char"/>
    <w:aliases w:val="Char1 Char"/>
    <w:link w:val="Heading3"/>
    <w:rsid w:val="00FB594D"/>
    <w:rPr>
      <w:rFonts w:ascii="Arial" w:eastAsia="MS Gothic" w:hAnsi="Arial"/>
      <w:b/>
      <w:bCs/>
      <w:sz w:val="24"/>
      <w:szCs w:val="26"/>
      <w:lang w:eastAsia="en-US"/>
    </w:rPr>
  </w:style>
  <w:style w:type="character" w:customStyle="1" w:styleId="Heading4Char">
    <w:name w:val="Heading 4 Char"/>
    <w:link w:val="Heading4"/>
    <w:uiPriority w:val="1"/>
    <w:rsid w:val="0029593B"/>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line="380" w:lineRule="atLeast"/>
    </w:pPr>
    <w:rPr>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line="200" w:lineRule="atLeast"/>
    </w:pPr>
    <w:rPr>
      <w:rFonts w:eastAsia="MS Gothic" w:cs="Arial"/>
      <w:sz w:val="16"/>
      <w:szCs w:val="16"/>
    </w:rPr>
  </w:style>
  <w:style w:type="paragraph" w:styleId="TOC1">
    <w:name w:val="toc 1"/>
    <w:basedOn w:val="Normal"/>
    <w:next w:val="Normal"/>
    <w:uiPriority w:val="39"/>
    <w:rsid w:val="00AB489C"/>
    <w:pPr>
      <w:keepNext/>
      <w:keepLines/>
      <w:tabs>
        <w:tab w:val="right" w:leader="dot" w:pos="9299"/>
      </w:tabs>
      <w:spacing w:before="160"/>
      <w:ind w:right="680"/>
    </w:pPr>
    <w:rPr>
      <w:b/>
    </w:rPr>
  </w:style>
  <w:style w:type="paragraph" w:styleId="TOC2">
    <w:name w:val="toc 2"/>
    <w:basedOn w:val="Normal"/>
    <w:next w:val="Normal"/>
    <w:uiPriority w:val="39"/>
    <w:rsid w:val="00213772"/>
    <w:pPr>
      <w:keepNext/>
      <w:keepLines/>
      <w:tabs>
        <w:tab w:val="right" w:leader="dot" w:pos="9299"/>
      </w:tabs>
      <w:ind w:right="680"/>
    </w:pPr>
  </w:style>
  <w:style w:type="paragraph" w:styleId="TOC3">
    <w:name w:val="toc 3"/>
    <w:basedOn w:val="Normal"/>
    <w:next w:val="Normal"/>
    <w:uiPriority w:val="39"/>
    <w:rsid w:val="00E969B1"/>
    <w:pPr>
      <w:keepLines/>
      <w:tabs>
        <w:tab w:val="right" w:leader="dot" w:pos="9299"/>
      </w:tabs>
      <w:ind w:left="284" w:right="680"/>
    </w:pPr>
    <w:rPr>
      <w:rFonts w:cs="Arial"/>
    </w:rPr>
  </w:style>
  <w:style w:type="paragraph" w:styleId="TOC4">
    <w:name w:val="toc 4"/>
    <w:basedOn w:val="Normal"/>
    <w:next w:val="Normal"/>
    <w:uiPriority w:val="39"/>
    <w:rsid w:val="00E969B1"/>
    <w:pPr>
      <w:keepLines/>
      <w:tabs>
        <w:tab w:val="right" w:leader="dot" w:pos="9299"/>
      </w:tabs>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4F3054"/>
    <w:pPr>
      <w:spacing w:before="80" w:after="60"/>
    </w:pPr>
    <w:rPr>
      <w:rFonts w:ascii="Arial" w:hAnsi="Arial"/>
      <w:color w:val="000000"/>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qFormat/>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numPr>
        <w:numId w:val="4"/>
      </w:num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LightList-Accent11">
    <w:name w:val="Light List - Accent 11"/>
    <w:basedOn w:val="TableNormal"/>
    <w:uiPriority w:val="61"/>
    <w:rsid w:val="00034BD3"/>
    <w:rPr>
      <w:rFonts w:ascii="Calibri" w:eastAsia="Calibri" w:hAnsi="Calibri"/>
      <w:sz w:val="22"/>
      <w:szCs w:val="22"/>
      <w:lang w:eastAsia="en-US"/>
    </w:rPr>
    <w:tblPr>
      <w:tblStyleRowBandSize w:val="1"/>
      <w:tblStyleColBandSize w:val="1"/>
      <w:tblBorders>
        <w:top w:val="single" w:sz="8" w:space="0" w:color="365F91"/>
        <w:left w:val="single" w:sz="8" w:space="0" w:color="365F91"/>
        <w:bottom w:val="single" w:sz="8" w:space="0" w:color="365F91"/>
        <w:right w:val="single" w:sz="8" w:space="0" w:color="365F91"/>
      </w:tblBorders>
    </w:tblPr>
    <w:tblStylePr w:type="firstRow">
      <w:pPr>
        <w:spacing w:before="0" w:after="0" w:line="240" w:lineRule="auto"/>
      </w:pPr>
      <w:rPr>
        <w:b/>
        <w:bCs/>
        <w:color w:val="FFFFFF"/>
      </w:rPr>
      <w:tblPr/>
      <w:tcPr>
        <w:shd w:val="clear" w:color="auto" w:fill="5E8BC2"/>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6665C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7D28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7D2837"/>
    <w:rPr>
      <w:rFonts w:ascii="Calibri" w:eastAsia="Calibri" w:hAnsi="Calibri" w:cs="Times New Roman"/>
      <w:sz w:val="22"/>
      <w:szCs w:val="22"/>
      <w:lang w:eastAsia="en-US"/>
    </w:rPr>
  </w:style>
  <w:style w:type="character" w:styleId="PlaceholderText">
    <w:name w:val="Placeholder Text"/>
    <w:uiPriority w:val="99"/>
    <w:semiHidden/>
    <w:rsid w:val="00906ABB"/>
    <w:rPr>
      <w:color w:val="808080"/>
    </w:rPr>
  </w:style>
  <w:style w:type="paragraph" w:customStyle="1" w:styleId="RMHTablewhite">
    <w:name w:val="RMH Table (white)"/>
    <w:basedOn w:val="Heading1"/>
    <w:rsid w:val="00BD4A75"/>
    <w:pPr>
      <w:keepLines w:val="0"/>
      <w:numPr>
        <w:numId w:val="0"/>
      </w:numPr>
      <w:spacing w:before="60" w:after="60" w:line="240" w:lineRule="auto"/>
      <w:ind w:left="360" w:hanging="360"/>
    </w:pPr>
    <w:rPr>
      <w:rFonts w:cs="Arial"/>
      <w:bCs w:val="0"/>
      <w:color w:val="FFFFFF"/>
      <w:kern w:val="32"/>
      <w:sz w:val="16"/>
      <w:szCs w:val="32"/>
      <w:lang w:eastAsia="en-AU"/>
    </w:rPr>
  </w:style>
  <w:style w:type="paragraph" w:customStyle="1" w:styleId="RMHTableblack">
    <w:name w:val="RMH Table (black)"/>
    <w:basedOn w:val="Normal"/>
    <w:rsid w:val="00BD4A75"/>
    <w:pPr>
      <w:keepNext/>
      <w:spacing w:before="60"/>
      <w:outlineLvl w:val="0"/>
    </w:pPr>
    <w:rPr>
      <w:rFonts w:cs="Arial"/>
      <w:kern w:val="32"/>
      <w:sz w:val="16"/>
      <w:szCs w:val="32"/>
    </w:rPr>
  </w:style>
  <w:style w:type="character" w:styleId="CommentReference">
    <w:name w:val="annotation reference"/>
    <w:uiPriority w:val="99"/>
    <w:semiHidden/>
    <w:unhideWhenUsed/>
    <w:rsid w:val="00C32581"/>
    <w:rPr>
      <w:sz w:val="16"/>
      <w:szCs w:val="16"/>
    </w:rPr>
  </w:style>
  <w:style w:type="paragraph" w:styleId="CommentText">
    <w:name w:val="annotation text"/>
    <w:basedOn w:val="Normal"/>
    <w:link w:val="CommentTextChar"/>
    <w:unhideWhenUsed/>
    <w:rsid w:val="00C32581"/>
  </w:style>
  <w:style w:type="character" w:customStyle="1" w:styleId="CommentTextChar">
    <w:name w:val="Comment Text Char"/>
    <w:link w:val="CommentText"/>
    <w:rsid w:val="00C3258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32581"/>
    <w:rPr>
      <w:b/>
      <w:bCs/>
    </w:rPr>
  </w:style>
  <w:style w:type="character" w:customStyle="1" w:styleId="CommentSubjectChar">
    <w:name w:val="Comment Subject Char"/>
    <w:link w:val="CommentSubject"/>
    <w:uiPriority w:val="99"/>
    <w:semiHidden/>
    <w:rsid w:val="00C32581"/>
    <w:rPr>
      <w:rFonts w:ascii="Cambria" w:hAnsi="Cambria"/>
      <w:b/>
      <w:bCs/>
      <w:lang w:eastAsia="en-US"/>
    </w:rPr>
  </w:style>
  <w:style w:type="paragraph" w:styleId="BalloonText">
    <w:name w:val="Balloon Text"/>
    <w:basedOn w:val="Normal"/>
    <w:link w:val="BalloonTextChar"/>
    <w:uiPriority w:val="99"/>
    <w:semiHidden/>
    <w:unhideWhenUsed/>
    <w:rsid w:val="00C32581"/>
    <w:rPr>
      <w:rFonts w:ascii="Segoe UI" w:hAnsi="Segoe UI" w:cs="Segoe UI"/>
    </w:rPr>
  </w:style>
  <w:style w:type="character" w:customStyle="1" w:styleId="BalloonTextChar">
    <w:name w:val="Balloon Text Char"/>
    <w:link w:val="BalloonText"/>
    <w:uiPriority w:val="99"/>
    <w:semiHidden/>
    <w:rsid w:val="00C32581"/>
    <w:rPr>
      <w:rFonts w:ascii="Segoe UI" w:hAnsi="Segoe UI" w:cs="Segoe UI"/>
      <w:sz w:val="18"/>
      <w:szCs w:val="18"/>
      <w:lang w:eastAsia="en-US"/>
    </w:rPr>
  </w:style>
  <w:style w:type="character" w:customStyle="1" w:styleId="DHHSbodyChar">
    <w:name w:val="DHHS body Char"/>
    <w:link w:val="DHHSbody"/>
    <w:locked/>
    <w:rsid w:val="00702EED"/>
    <w:rPr>
      <w:rFonts w:ascii="Arial" w:eastAsia="Times" w:hAnsi="Arial"/>
      <w:lang w:eastAsia="en-US"/>
    </w:rPr>
  </w:style>
  <w:style w:type="paragraph" w:styleId="Caption">
    <w:name w:val="caption"/>
    <w:basedOn w:val="Normal"/>
    <w:next w:val="Normal"/>
    <w:uiPriority w:val="35"/>
    <w:unhideWhenUsed/>
    <w:qFormat/>
    <w:rsid w:val="003537EC"/>
    <w:pPr>
      <w:spacing w:after="200"/>
    </w:pPr>
    <w:rPr>
      <w:i/>
      <w:iCs/>
      <w:color w:val="1F497D"/>
    </w:rPr>
  </w:style>
  <w:style w:type="paragraph" w:styleId="TableofFigures">
    <w:name w:val="table of figures"/>
    <w:basedOn w:val="Normal"/>
    <w:next w:val="Normal"/>
    <w:uiPriority w:val="99"/>
    <w:unhideWhenUsed/>
    <w:rsid w:val="00616C5B"/>
  </w:style>
  <w:style w:type="paragraph" w:styleId="Index1">
    <w:name w:val="index 1"/>
    <w:basedOn w:val="Normal"/>
    <w:next w:val="Normal"/>
    <w:autoRedefine/>
    <w:uiPriority w:val="99"/>
    <w:semiHidden/>
    <w:unhideWhenUsed/>
    <w:rsid w:val="00616C5B"/>
    <w:pPr>
      <w:ind w:left="200" w:hanging="200"/>
    </w:pPr>
  </w:style>
  <w:style w:type="character" w:customStyle="1" w:styleId="Heading9Char">
    <w:name w:val="Heading 9 Char"/>
    <w:link w:val="Heading9"/>
    <w:rsid w:val="001B1D85"/>
    <w:rPr>
      <w:rFonts w:ascii="Cambria" w:hAnsi="Cambria"/>
      <w:i/>
      <w:iCs/>
      <w:noProof/>
      <w:color w:val="272727"/>
      <w:sz w:val="21"/>
      <w:szCs w:val="21"/>
      <w:lang w:eastAsia="en-US"/>
    </w:rPr>
  </w:style>
  <w:style w:type="character" w:customStyle="1" w:styleId="Heading6Char">
    <w:name w:val="Heading 6 Char"/>
    <w:link w:val="Heading6"/>
    <w:rsid w:val="001B1D85"/>
    <w:rPr>
      <w:rFonts w:ascii="Arial" w:hAnsi="Arial"/>
      <w:b/>
      <w:bCs/>
      <w:color w:val="404040"/>
      <w:sz w:val="28"/>
      <w:szCs w:val="22"/>
      <w:lang w:eastAsia="en-US"/>
    </w:rPr>
  </w:style>
  <w:style w:type="character" w:customStyle="1" w:styleId="Heading7Char">
    <w:name w:val="Heading 7 Char"/>
    <w:link w:val="Heading7"/>
    <w:rsid w:val="001B1D85"/>
    <w:rPr>
      <w:rFonts w:ascii="Arial" w:hAnsi="Arial"/>
      <w:b/>
      <w:color w:val="404040"/>
      <w:sz w:val="24"/>
      <w:szCs w:val="24"/>
      <w:lang w:eastAsia="en-US"/>
    </w:rPr>
  </w:style>
  <w:style w:type="character" w:customStyle="1" w:styleId="Heading8Char">
    <w:name w:val="Heading 8 Char"/>
    <w:link w:val="Heading8"/>
    <w:rsid w:val="001B1D85"/>
    <w:rPr>
      <w:rFonts w:ascii="Arial" w:hAnsi="Arial"/>
      <w:b/>
      <w:iCs/>
      <w:color w:val="4B4B4B"/>
      <w:szCs w:val="24"/>
      <w:lang w:eastAsia="en-US"/>
    </w:rPr>
  </w:style>
  <w:style w:type="paragraph" w:customStyle="1" w:styleId="CTIBodyText">
    <w:name w:val="CTI Body Text"/>
    <w:basedOn w:val="Normal"/>
    <w:link w:val="CTIBodyTextChar"/>
    <w:rsid w:val="009957F0"/>
    <w:pPr>
      <w:spacing w:before="120" w:line="240" w:lineRule="auto"/>
      <w:ind w:left="724"/>
      <w:jc w:val="left"/>
    </w:pPr>
    <w:rPr>
      <w:noProof w:val="0"/>
    </w:rPr>
  </w:style>
  <w:style w:type="character" w:customStyle="1" w:styleId="CTIBodyTextChar">
    <w:name w:val="CTI Body Text Char"/>
    <w:link w:val="CTIBodyText"/>
    <w:locked/>
    <w:rsid w:val="009957F0"/>
    <w:rPr>
      <w:rFonts w:ascii="Arial" w:eastAsia="Times" w:hAnsi="Arial"/>
      <w:lang w:eastAsia="en-US"/>
    </w:rPr>
  </w:style>
  <w:style w:type="paragraph" w:styleId="ListBullet">
    <w:name w:val="List Bullet"/>
    <w:basedOn w:val="Normal"/>
    <w:uiPriority w:val="99"/>
    <w:unhideWhenUsed/>
    <w:rsid w:val="003C7477"/>
    <w:pPr>
      <w:numPr>
        <w:numId w:val="3"/>
      </w:numPr>
      <w:contextualSpacing/>
    </w:pPr>
  </w:style>
  <w:style w:type="paragraph" w:customStyle="1" w:styleId="msonormal0">
    <w:name w:val="msonormal"/>
    <w:basedOn w:val="Normal"/>
    <w:rsid w:val="001738CD"/>
    <w:pPr>
      <w:spacing w:before="100" w:beforeAutospacing="1" w:after="100" w:afterAutospacing="1" w:line="240" w:lineRule="auto"/>
      <w:jc w:val="left"/>
    </w:pPr>
    <w:rPr>
      <w:rFonts w:ascii="Times New Roman" w:eastAsia="Times New Roman" w:hAnsi="Times New Roman"/>
      <w:noProof w:val="0"/>
      <w:sz w:val="24"/>
      <w:szCs w:val="24"/>
      <w:lang w:eastAsia="en-AU"/>
    </w:rPr>
  </w:style>
  <w:style w:type="paragraph" w:customStyle="1" w:styleId="xl65">
    <w:name w:val="xl65"/>
    <w:basedOn w:val="Normal"/>
    <w:rsid w:val="001738CD"/>
    <w:pPr>
      <w:pBdr>
        <w:top w:val="single" w:sz="8" w:space="0" w:color="59ADDF"/>
        <w:left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6">
    <w:name w:val="xl66"/>
    <w:basedOn w:val="Normal"/>
    <w:rsid w:val="001738CD"/>
    <w:pPr>
      <w:pBdr>
        <w:top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7">
    <w:name w:val="xl67"/>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paragraph" w:customStyle="1" w:styleId="xl68">
    <w:name w:val="xl68"/>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table" w:customStyle="1" w:styleId="PlainTable11">
    <w:name w:val="Plain Table 11"/>
    <w:basedOn w:val="TableNormal"/>
    <w:uiPriority w:val="41"/>
    <w:rsid w:val="00D937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937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D93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37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uiPriority w:val="65"/>
    <w:qFormat/>
    <w:rsid w:val="00C26190"/>
    <w:rPr>
      <w:i/>
      <w:iCs/>
      <w:color w:val="404040"/>
    </w:rPr>
  </w:style>
  <w:style w:type="table" w:customStyle="1" w:styleId="GridTable1Light-Accent51">
    <w:name w:val="Grid Table 1 Light - Accent 51"/>
    <w:basedOn w:val="TableNormal"/>
    <w:uiPriority w:val="46"/>
    <w:rsid w:val="001B13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basedOn w:val="Normal"/>
    <w:link w:val="NoSpacingChar"/>
    <w:qFormat/>
    <w:rsid w:val="00802FD2"/>
    <w:pPr>
      <w:spacing w:after="0" w:line="240" w:lineRule="auto"/>
      <w:jc w:val="left"/>
    </w:pPr>
    <w:rPr>
      <w:rFonts w:ascii="Calibri" w:eastAsia="Times New Roman" w:hAnsi="Calibri"/>
      <w:noProof w:val="0"/>
      <w:lang w:val="en-US" w:bidi="en-US"/>
    </w:rPr>
  </w:style>
  <w:style w:type="character" w:customStyle="1" w:styleId="NoSpacingChar">
    <w:name w:val="No Spacing Char"/>
    <w:link w:val="NoSpacing"/>
    <w:rsid w:val="00802FD2"/>
    <w:rPr>
      <w:rFonts w:ascii="Calibri" w:hAnsi="Calibri"/>
      <w:lang w:val="en-US" w:eastAsia="en-US" w:bidi="en-US"/>
    </w:rPr>
  </w:style>
  <w:style w:type="paragraph" w:styleId="BodyText">
    <w:name w:val="Body Text"/>
    <w:basedOn w:val="Normal"/>
    <w:link w:val="BodyTextChar"/>
    <w:rsid w:val="00766BA2"/>
    <w:pPr>
      <w:spacing w:line="240" w:lineRule="auto"/>
      <w:jc w:val="left"/>
    </w:pPr>
    <w:rPr>
      <w:rFonts w:eastAsia="Times New Roman"/>
      <w:noProof w:val="0"/>
    </w:rPr>
  </w:style>
  <w:style w:type="character" w:customStyle="1" w:styleId="BodyTextChar">
    <w:name w:val="Body Text Char"/>
    <w:basedOn w:val="DefaultParagraphFont"/>
    <w:link w:val="BodyText"/>
    <w:rsid w:val="00766BA2"/>
    <w:rPr>
      <w:rFonts w:ascii="Arial" w:hAnsi="Arial"/>
      <w:lang w:eastAsia="en-US"/>
    </w:rPr>
  </w:style>
  <w:style w:type="paragraph" w:customStyle="1" w:styleId="DHbody">
    <w:name w:val="DH body"/>
    <w:link w:val="DHbodyChar"/>
    <w:rsid w:val="00A5607E"/>
    <w:pPr>
      <w:spacing w:after="120" w:line="270" w:lineRule="exact"/>
    </w:pPr>
    <w:rPr>
      <w:rFonts w:ascii="Arial" w:eastAsia="Times" w:hAnsi="Arial"/>
      <w:lang w:eastAsia="en-US"/>
    </w:rPr>
  </w:style>
  <w:style w:type="character" w:customStyle="1" w:styleId="DHbodyChar">
    <w:name w:val="DH body Char"/>
    <w:link w:val="DHbody"/>
    <w:rsid w:val="00A5607E"/>
    <w:rPr>
      <w:rFonts w:ascii="Arial" w:eastAsia="Times" w:hAnsi="Arial"/>
      <w:lang w:eastAsia="en-US"/>
    </w:rPr>
  </w:style>
  <w:style w:type="paragraph" w:customStyle="1" w:styleId="DHbodyindentbold">
    <w:name w:val="DH body + indent + bold"/>
    <w:basedOn w:val="Normal"/>
    <w:link w:val="DHbodyindentboldChar"/>
    <w:rsid w:val="006E3614"/>
    <w:pPr>
      <w:tabs>
        <w:tab w:val="left" w:pos="357"/>
      </w:tabs>
      <w:spacing w:line="270" w:lineRule="exact"/>
      <w:ind w:left="737"/>
      <w:jc w:val="left"/>
    </w:pPr>
    <w:rPr>
      <w:b/>
      <w:noProof w:val="0"/>
    </w:rPr>
  </w:style>
  <w:style w:type="character" w:customStyle="1" w:styleId="DHbodyindentboldChar">
    <w:name w:val="DH body + indent + bold Char"/>
    <w:link w:val="DHbodyindentbold"/>
    <w:rsid w:val="006E3614"/>
    <w:rPr>
      <w:rFonts w:ascii="Arial" w:eastAsia="Times" w:hAnsi="Arial"/>
      <w:b/>
      <w:lang w:eastAsia="en-US"/>
    </w:rPr>
  </w:style>
  <w:style w:type="paragraph" w:customStyle="1" w:styleId="DHSReportHd2A">
    <w:name w:val="DHS Report Hd 2A"/>
    <w:basedOn w:val="Normal"/>
    <w:next w:val="Normal"/>
    <w:rsid w:val="006E3614"/>
    <w:pPr>
      <w:spacing w:after="560" w:line="240" w:lineRule="auto"/>
      <w:jc w:val="left"/>
    </w:pPr>
    <w:rPr>
      <w:rFonts w:eastAsia="Times New Roman"/>
      <w:noProof w:val="0"/>
      <w:color w:val="0073CF"/>
      <w:sz w:val="44"/>
      <w:szCs w:val="24"/>
    </w:rPr>
  </w:style>
  <w:style w:type="paragraph" w:customStyle="1" w:styleId="DHSReportHd3Numbered">
    <w:name w:val="DHS Report Hd 3 Numbered"/>
    <w:basedOn w:val="Normal"/>
    <w:next w:val="Normal"/>
    <w:link w:val="DHSReportHd3NumberedChar"/>
    <w:rsid w:val="006E3614"/>
    <w:pPr>
      <w:keepNext/>
      <w:numPr>
        <w:ilvl w:val="1"/>
        <w:numId w:val="14"/>
      </w:numPr>
      <w:spacing w:before="200" w:after="0" w:line="260" w:lineRule="atLeast"/>
      <w:jc w:val="left"/>
    </w:pPr>
    <w:rPr>
      <w:rFonts w:eastAsia="Cambria"/>
      <w:noProof w:val="0"/>
      <w:color w:val="0073CF"/>
      <w:kern w:val="16"/>
      <w:sz w:val="28"/>
      <w:szCs w:val="28"/>
      <w:lang w:val="en-US"/>
    </w:rPr>
  </w:style>
  <w:style w:type="paragraph" w:customStyle="1" w:styleId="DHSReportHd4Numbered">
    <w:name w:val="DHS Report Hd 4 Numbered"/>
    <w:basedOn w:val="DHSReportHd3Numbered"/>
    <w:next w:val="Normal"/>
    <w:link w:val="DHSReportHd4NumberedCharChar"/>
    <w:rsid w:val="006E3614"/>
    <w:pPr>
      <w:numPr>
        <w:ilvl w:val="2"/>
      </w:numPr>
    </w:pPr>
    <w:rPr>
      <w:sz w:val="24"/>
    </w:rPr>
  </w:style>
  <w:style w:type="character" w:customStyle="1" w:styleId="DHSReportHd3NumberedChar">
    <w:name w:val="DHS Report Hd 3 Numbered Char"/>
    <w:link w:val="DHSReportHd3Numbered"/>
    <w:rsid w:val="006E3614"/>
    <w:rPr>
      <w:rFonts w:ascii="Arial" w:eastAsia="Cambria" w:hAnsi="Arial"/>
      <w:color w:val="0073CF"/>
      <w:kern w:val="16"/>
      <w:sz w:val="28"/>
      <w:szCs w:val="28"/>
      <w:lang w:val="en-US" w:eastAsia="en-US"/>
    </w:rPr>
  </w:style>
  <w:style w:type="character" w:customStyle="1" w:styleId="DHSReportHd4NumberedCharChar">
    <w:name w:val="DHS Report Hd 4 Numbered Char Char"/>
    <w:link w:val="DHSReportHd4Numbered"/>
    <w:rsid w:val="006E3614"/>
    <w:rPr>
      <w:rFonts w:ascii="Arial" w:eastAsia="Cambria" w:hAnsi="Arial"/>
      <w:color w:val="0073CF"/>
      <w:kern w:val="16"/>
      <w:sz w:val="24"/>
      <w:szCs w:val="28"/>
      <w:lang w:val="en-US" w:eastAsia="en-US"/>
    </w:rPr>
  </w:style>
  <w:style w:type="paragraph" w:customStyle="1" w:styleId="DHSReportHd5Numbered">
    <w:name w:val="DHS Report Hd 5 Numbered"/>
    <w:basedOn w:val="DHSReportHd4Numbered"/>
    <w:next w:val="Normal"/>
    <w:rsid w:val="006E3614"/>
    <w:pPr>
      <w:numPr>
        <w:ilvl w:val="3"/>
      </w:numPr>
      <w:tabs>
        <w:tab w:val="clear" w:pos="2268"/>
      </w:tabs>
      <w:ind w:left="3240" w:hanging="360"/>
    </w:pPr>
    <w:rPr>
      <w:sz w:val="22"/>
      <w:szCs w:val="22"/>
    </w:rPr>
  </w:style>
  <w:style w:type="paragraph" w:customStyle="1" w:styleId="StyleDHSReportHd2NumberedVerdanaBefore0cmFirstline">
    <w:name w:val="Style DHS Report Hd 2 Numbered + Verdana Before:  0 cm First line..."/>
    <w:basedOn w:val="Normal"/>
    <w:rsid w:val="006E3614"/>
    <w:pPr>
      <w:pageBreakBefore/>
      <w:numPr>
        <w:numId w:val="14"/>
      </w:numPr>
      <w:spacing w:before="280" w:after="0" w:line="400" w:lineRule="atLeast"/>
      <w:jc w:val="left"/>
    </w:pPr>
    <w:rPr>
      <w:rFonts w:ascii="Verdana" w:eastAsia="Times New Roman" w:hAnsi="Verdana"/>
      <w:noProof w:val="0"/>
      <w:color w:val="0073CF"/>
      <w:sz w:val="44"/>
    </w:rPr>
  </w:style>
  <w:style w:type="paragraph" w:customStyle="1" w:styleId="DHSBulletText2">
    <w:name w:val="DHS Bullet Text 2"/>
    <w:basedOn w:val="Normal"/>
    <w:rsid w:val="003560F9"/>
    <w:pPr>
      <w:keepLines/>
      <w:widowControl w:val="0"/>
      <w:numPr>
        <w:numId w:val="17"/>
      </w:numPr>
      <w:overflowPunct w:val="0"/>
      <w:autoSpaceDE w:val="0"/>
      <w:autoSpaceDN w:val="0"/>
      <w:adjustRightInd w:val="0"/>
      <w:spacing w:before="60" w:after="0" w:line="240" w:lineRule="atLeast"/>
      <w:jc w:val="left"/>
      <w:textAlignment w:val="baseline"/>
    </w:pPr>
    <w:rPr>
      <w:rFonts w:ascii="Verdana" w:eastAsia="Times New Roman" w:hAnsi="Verdana"/>
      <w:noProof w:val="0"/>
      <w:sz w:val="18"/>
    </w:rPr>
  </w:style>
  <w:style w:type="paragraph" w:styleId="Revision">
    <w:name w:val="Revision"/>
    <w:hidden/>
    <w:uiPriority w:val="71"/>
    <w:rsid w:val="009B0897"/>
    <w:rPr>
      <w:rFonts w:ascii="Arial" w:eastAsia="Times" w:hAnsi="Arial"/>
      <w:noProof/>
      <w:lang w:eastAsia="en-US"/>
    </w:rPr>
  </w:style>
  <w:style w:type="paragraph" w:customStyle="1" w:styleId="Default">
    <w:name w:val="Default"/>
    <w:basedOn w:val="Normal"/>
    <w:rsid w:val="00C27015"/>
    <w:pPr>
      <w:autoSpaceDE w:val="0"/>
      <w:autoSpaceDN w:val="0"/>
      <w:spacing w:after="0" w:line="240" w:lineRule="auto"/>
      <w:jc w:val="left"/>
    </w:pPr>
    <w:rPr>
      <w:rFonts w:ascii="EYInterstate" w:eastAsiaTheme="minorHAnsi" w:hAnsi="EYInterstate" w:cs="Calibri"/>
      <w:noProof w:val="0"/>
      <w:color w:val="000000"/>
      <w:sz w:val="24"/>
      <w:szCs w:val="24"/>
      <w:lang w:eastAsia="en-AU"/>
    </w:rPr>
  </w:style>
  <w:style w:type="character" w:customStyle="1" w:styleId="DHBodyTextCharChar">
    <w:name w:val="DH Body Text Char Char"/>
    <w:basedOn w:val="DefaultParagraphFont"/>
    <w:link w:val="DHBodyText"/>
    <w:locked/>
    <w:rsid w:val="00681D50"/>
    <w:rPr>
      <w:rFonts w:ascii="Arial" w:hAnsi="Arial" w:cs="Arial"/>
      <w:lang w:eastAsia="en-US"/>
    </w:rPr>
  </w:style>
  <w:style w:type="paragraph" w:customStyle="1" w:styleId="DHBodyText">
    <w:name w:val="DH Body Text"/>
    <w:basedOn w:val="Normal"/>
    <w:link w:val="DHBodyTextCharChar"/>
    <w:rsid w:val="00681D50"/>
    <w:pPr>
      <w:spacing w:line="270" w:lineRule="exact"/>
      <w:ind w:left="57"/>
      <w:jc w:val="left"/>
    </w:pPr>
    <w:rPr>
      <w:rFonts w:eastAsia="Times New Roman" w:cs="Arial"/>
      <w:noProof w:val="0"/>
    </w:rPr>
  </w:style>
  <w:style w:type="character" w:styleId="UnresolvedMention">
    <w:name w:val="Unresolved Mention"/>
    <w:basedOn w:val="DefaultParagraphFont"/>
    <w:uiPriority w:val="99"/>
    <w:semiHidden/>
    <w:unhideWhenUsed/>
    <w:rsid w:val="0070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36979853">
      <w:bodyDiv w:val="1"/>
      <w:marLeft w:val="0"/>
      <w:marRight w:val="0"/>
      <w:marTop w:val="0"/>
      <w:marBottom w:val="0"/>
      <w:divBdr>
        <w:top w:val="none" w:sz="0" w:space="0" w:color="auto"/>
        <w:left w:val="none" w:sz="0" w:space="0" w:color="auto"/>
        <w:bottom w:val="none" w:sz="0" w:space="0" w:color="auto"/>
        <w:right w:val="none" w:sz="0" w:space="0" w:color="auto"/>
      </w:divBdr>
    </w:div>
    <w:div w:id="37517703">
      <w:bodyDiv w:val="1"/>
      <w:marLeft w:val="0"/>
      <w:marRight w:val="0"/>
      <w:marTop w:val="0"/>
      <w:marBottom w:val="0"/>
      <w:divBdr>
        <w:top w:val="none" w:sz="0" w:space="0" w:color="auto"/>
        <w:left w:val="none" w:sz="0" w:space="0" w:color="auto"/>
        <w:bottom w:val="none" w:sz="0" w:space="0" w:color="auto"/>
        <w:right w:val="none" w:sz="0" w:space="0" w:color="auto"/>
      </w:divBdr>
    </w:div>
    <w:div w:id="38360339">
      <w:bodyDiv w:val="1"/>
      <w:marLeft w:val="0"/>
      <w:marRight w:val="0"/>
      <w:marTop w:val="0"/>
      <w:marBottom w:val="0"/>
      <w:divBdr>
        <w:top w:val="none" w:sz="0" w:space="0" w:color="auto"/>
        <w:left w:val="none" w:sz="0" w:space="0" w:color="auto"/>
        <w:bottom w:val="none" w:sz="0" w:space="0" w:color="auto"/>
        <w:right w:val="none" w:sz="0" w:space="0" w:color="auto"/>
      </w:divBdr>
      <w:divsChild>
        <w:div w:id="228619411">
          <w:marLeft w:val="0"/>
          <w:marRight w:val="0"/>
          <w:marTop w:val="211"/>
          <w:marBottom w:val="0"/>
          <w:divBdr>
            <w:top w:val="none" w:sz="0" w:space="0" w:color="auto"/>
            <w:left w:val="none" w:sz="0" w:space="0" w:color="auto"/>
            <w:bottom w:val="none" w:sz="0" w:space="0" w:color="auto"/>
            <w:right w:val="none" w:sz="0" w:space="0" w:color="auto"/>
          </w:divBdr>
        </w:div>
        <w:div w:id="1023827127">
          <w:marLeft w:val="0"/>
          <w:marRight w:val="0"/>
          <w:marTop w:val="211"/>
          <w:marBottom w:val="0"/>
          <w:divBdr>
            <w:top w:val="none" w:sz="0" w:space="0" w:color="auto"/>
            <w:left w:val="none" w:sz="0" w:space="0" w:color="auto"/>
            <w:bottom w:val="none" w:sz="0" w:space="0" w:color="auto"/>
            <w:right w:val="none" w:sz="0" w:space="0" w:color="auto"/>
          </w:divBdr>
        </w:div>
        <w:div w:id="1737820165">
          <w:marLeft w:val="0"/>
          <w:marRight w:val="0"/>
          <w:marTop w:val="211"/>
          <w:marBottom w:val="0"/>
          <w:divBdr>
            <w:top w:val="none" w:sz="0" w:space="0" w:color="auto"/>
            <w:left w:val="none" w:sz="0" w:space="0" w:color="auto"/>
            <w:bottom w:val="none" w:sz="0" w:space="0" w:color="auto"/>
            <w:right w:val="none" w:sz="0" w:space="0" w:color="auto"/>
          </w:divBdr>
        </w:div>
        <w:div w:id="1753309598">
          <w:marLeft w:val="0"/>
          <w:marRight w:val="0"/>
          <w:marTop w:val="211"/>
          <w:marBottom w:val="0"/>
          <w:divBdr>
            <w:top w:val="none" w:sz="0" w:space="0" w:color="auto"/>
            <w:left w:val="none" w:sz="0" w:space="0" w:color="auto"/>
            <w:bottom w:val="none" w:sz="0" w:space="0" w:color="auto"/>
            <w:right w:val="none" w:sz="0" w:space="0" w:color="auto"/>
          </w:divBdr>
        </w:div>
        <w:div w:id="2137091738">
          <w:marLeft w:val="0"/>
          <w:marRight w:val="0"/>
          <w:marTop w:val="211"/>
          <w:marBottom w:val="0"/>
          <w:divBdr>
            <w:top w:val="none" w:sz="0" w:space="0" w:color="auto"/>
            <w:left w:val="none" w:sz="0" w:space="0" w:color="auto"/>
            <w:bottom w:val="none" w:sz="0" w:space="0" w:color="auto"/>
            <w:right w:val="none" w:sz="0" w:space="0" w:color="auto"/>
          </w:divBdr>
        </w:div>
      </w:divsChild>
    </w:div>
    <w:div w:id="149446625">
      <w:bodyDiv w:val="1"/>
      <w:marLeft w:val="0"/>
      <w:marRight w:val="0"/>
      <w:marTop w:val="0"/>
      <w:marBottom w:val="0"/>
      <w:divBdr>
        <w:top w:val="none" w:sz="0" w:space="0" w:color="auto"/>
        <w:left w:val="none" w:sz="0" w:space="0" w:color="auto"/>
        <w:bottom w:val="none" w:sz="0" w:space="0" w:color="auto"/>
        <w:right w:val="none" w:sz="0" w:space="0" w:color="auto"/>
      </w:divBdr>
    </w:div>
    <w:div w:id="219245029">
      <w:bodyDiv w:val="1"/>
      <w:marLeft w:val="0"/>
      <w:marRight w:val="0"/>
      <w:marTop w:val="0"/>
      <w:marBottom w:val="0"/>
      <w:divBdr>
        <w:top w:val="none" w:sz="0" w:space="0" w:color="auto"/>
        <w:left w:val="none" w:sz="0" w:space="0" w:color="auto"/>
        <w:bottom w:val="none" w:sz="0" w:space="0" w:color="auto"/>
        <w:right w:val="none" w:sz="0" w:space="0" w:color="auto"/>
      </w:divBdr>
    </w:div>
    <w:div w:id="342317434">
      <w:bodyDiv w:val="1"/>
      <w:marLeft w:val="0"/>
      <w:marRight w:val="0"/>
      <w:marTop w:val="0"/>
      <w:marBottom w:val="0"/>
      <w:divBdr>
        <w:top w:val="none" w:sz="0" w:space="0" w:color="auto"/>
        <w:left w:val="none" w:sz="0" w:space="0" w:color="auto"/>
        <w:bottom w:val="none" w:sz="0" w:space="0" w:color="auto"/>
        <w:right w:val="none" w:sz="0" w:space="0" w:color="auto"/>
      </w:divBdr>
    </w:div>
    <w:div w:id="420375950">
      <w:bodyDiv w:val="1"/>
      <w:marLeft w:val="0"/>
      <w:marRight w:val="0"/>
      <w:marTop w:val="0"/>
      <w:marBottom w:val="0"/>
      <w:divBdr>
        <w:top w:val="none" w:sz="0" w:space="0" w:color="auto"/>
        <w:left w:val="none" w:sz="0" w:space="0" w:color="auto"/>
        <w:bottom w:val="none" w:sz="0" w:space="0" w:color="auto"/>
        <w:right w:val="none" w:sz="0" w:space="0" w:color="auto"/>
      </w:divBdr>
    </w:div>
    <w:div w:id="429589781">
      <w:bodyDiv w:val="1"/>
      <w:marLeft w:val="0"/>
      <w:marRight w:val="0"/>
      <w:marTop w:val="0"/>
      <w:marBottom w:val="0"/>
      <w:divBdr>
        <w:top w:val="none" w:sz="0" w:space="0" w:color="auto"/>
        <w:left w:val="none" w:sz="0" w:space="0" w:color="auto"/>
        <w:bottom w:val="none" w:sz="0" w:space="0" w:color="auto"/>
        <w:right w:val="none" w:sz="0" w:space="0" w:color="auto"/>
      </w:divBdr>
      <w:divsChild>
        <w:div w:id="121073350">
          <w:marLeft w:val="720"/>
          <w:marRight w:val="0"/>
          <w:marTop w:val="0"/>
          <w:marBottom w:val="0"/>
          <w:divBdr>
            <w:top w:val="none" w:sz="0" w:space="0" w:color="auto"/>
            <w:left w:val="none" w:sz="0" w:space="0" w:color="auto"/>
            <w:bottom w:val="none" w:sz="0" w:space="0" w:color="auto"/>
            <w:right w:val="none" w:sz="0" w:space="0" w:color="auto"/>
          </w:divBdr>
        </w:div>
        <w:div w:id="1319647013">
          <w:marLeft w:val="720"/>
          <w:marRight w:val="0"/>
          <w:marTop w:val="0"/>
          <w:marBottom w:val="0"/>
          <w:divBdr>
            <w:top w:val="none" w:sz="0" w:space="0" w:color="auto"/>
            <w:left w:val="none" w:sz="0" w:space="0" w:color="auto"/>
            <w:bottom w:val="none" w:sz="0" w:space="0" w:color="auto"/>
            <w:right w:val="none" w:sz="0" w:space="0" w:color="auto"/>
          </w:divBdr>
        </w:div>
        <w:div w:id="1738430856">
          <w:marLeft w:val="720"/>
          <w:marRight w:val="0"/>
          <w:marTop w:val="0"/>
          <w:marBottom w:val="0"/>
          <w:divBdr>
            <w:top w:val="none" w:sz="0" w:space="0" w:color="auto"/>
            <w:left w:val="none" w:sz="0" w:space="0" w:color="auto"/>
            <w:bottom w:val="none" w:sz="0" w:space="0" w:color="auto"/>
            <w:right w:val="none" w:sz="0" w:space="0" w:color="auto"/>
          </w:divBdr>
        </w:div>
      </w:divsChild>
    </w:div>
    <w:div w:id="525295741">
      <w:bodyDiv w:val="1"/>
      <w:marLeft w:val="0"/>
      <w:marRight w:val="0"/>
      <w:marTop w:val="0"/>
      <w:marBottom w:val="0"/>
      <w:divBdr>
        <w:top w:val="none" w:sz="0" w:space="0" w:color="auto"/>
        <w:left w:val="none" w:sz="0" w:space="0" w:color="auto"/>
        <w:bottom w:val="none" w:sz="0" w:space="0" w:color="auto"/>
        <w:right w:val="none" w:sz="0" w:space="0" w:color="auto"/>
      </w:divBdr>
    </w:div>
    <w:div w:id="539824010">
      <w:bodyDiv w:val="1"/>
      <w:marLeft w:val="0"/>
      <w:marRight w:val="0"/>
      <w:marTop w:val="0"/>
      <w:marBottom w:val="0"/>
      <w:divBdr>
        <w:top w:val="none" w:sz="0" w:space="0" w:color="auto"/>
        <w:left w:val="none" w:sz="0" w:space="0" w:color="auto"/>
        <w:bottom w:val="none" w:sz="0" w:space="0" w:color="auto"/>
        <w:right w:val="none" w:sz="0" w:space="0" w:color="auto"/>
      </w:divBdr>
    </w:div>
    <w:div w:id="553350022">
      <w:bodyDiv w:val="1"/>
      <w:marLeft w:val="0"/>
      <w:marRight w:val="0"/>
      <w:marTop w:val="0"/>
      <w:marBottom w:val="0"/>
      <w:divBdr>
        <w:top w:val="none" w:sz="0" w:space="0" w:color="auto"/>
        <w:left w:val="none" w:sz="0" w:space="0" w:color="auto"/>
        <w:bottom w:val="none" w:sz="0" w:space="0" w:color="auto"/>
        <w:right w:val="none" w:sz="0" w:space="0" w:color="auto"/>
      </w:divBdr>
    </w:div>
    <w:div w:id="557401059">
      <w:bodyDiv w:val="1"/>
      <w:marLeft w:val="0"/>
      <w:marRight w:val="0"/>
      <w:marTop w:val="0"/>
      <w:marBottom w:val="0"/>
      <w:divBdr>
        <w:top w:val="none" w:sz="0" w:space="0" w:color="auto"/>
        <w:left w:val="none" w:sz="0" w:space="0" w:color="auto"/>
        <w:bottom w:val="none" w:sz="0" w:space="0" w:color="auto"/>
        <w:right w:val="none" w:sz="0" w:space="0" w:color="auto"/>
      </w:divBdr>
    </w:div>
    <w:div w:id="571893909">
      <w:bodyDiv w:val="1"/>
      <w:marLeft w:val="0"/>
      <w:marRight w:val="0"/>
      <w:marTop w:val="0"/>
      <w:marBottom w:val="0"/>
      <w:divBdr>
        <w:top w:val="none" w:sz="0" w:space="0" w:color="auto"/>
        <w:left w:val="none" w:sz="0" w:space="0" w:color="auto"/>
        <w:bottom w:val="none" w:sz="0" w:space="0" w:color="auto"/>
        <w:right w:val="none" w:sz="0" w:space="0" w:color="auto"/>
      </w:divBdr>
    </w:div>
    <w:div w:id="611745060">
      <w:bodyDiv w:val="1"/>
      <w:marLeft w:val="0"/>
      <w:marRight w:val="0"/>
      <w:marTop w:val="0"/>
      <w:marBottom w:val="0"/>
      <w:divBdr>
        <w:top w:val="none" w:sz="0" w:space="0" w:color="auto"/>
        <w:left w:val="none" w:sz="0" w:space="0" w:color="auto"/>
        <w:bottom w:val="none" w:sz="0" w:space="0" w:color="auto"/>
        <w:right w:val="none" w:sz="0" w:space="0" w:color="auto"/>
      </w:divBdr>
    </w:div>
    <w:div w:id="625818635">
      <w:bodyDiv w:val="1"/>
      <w:marLeft w:val="0"/>
      <w:marRight w:val="0"/>
      <w:marTop w:val="0"/>
      <w:marBottom w:val="0"/>
      <w:divBdr>
        <w:top w:val="none" w:sz="0" w:space="0" w:color="auto"/>
        <w:left w:val="none" w:sz="0" w:space="0" w:color="auto"/>
        <w:bottom w:val="none" w:sz="0" w:space="0" w:color="auto"/>
        <w:right w:val="none" w:sz="0" w:space="0" w:color="auto"/>
      </w:divBdr>
    </w:div>
    <w:div w:id="715472171">
      <w:bodyDiv w:val="1"/>
      <w:marLeft w:val="0"/>
      <w:marRight w:val="0"/>
      <w:marTop w:val="0"/>
      <w:marBottom w:val="0"/>
      <w:divBdr>
        <w:top w:val="none" w:sz="0" w:space="0" w:color="auto"/>
        <w:left w:val="none" w:sz="0" w:space="0" w:color="auto"/>
        <w:bottom w:val="none" w:sz="0" w:space="0" w:color="auto"/>
        <w:right w:val="none" w:sz="0" w:space="0" w:color="auto"/>
      </w:divBdr>
    </w:div>
    <w:div w:id="811605531">
      <w:bodyDiv w:val="1"/>
      <w:marLeft w:val="0"/>
      <w:marRight w:val="0"/>
      <w:marTop w:val="0"/>
      <w:marBottom w:val="0"/>
      <w:divBdr>
        <w:top w:val="none" w:sz="0" w:space="0" w:color="auto"/>
        <w:left w:val="none" w:sz="0" w:space="0" w:color="auto"/>
        <w:bottom w:val="none" w:sz="0" w:space="0" w:color="auto"/>
        <w:right w:val="none" w:sz="0" w:space="0" w:color="auto"/>
      </w:divBdr>
      <w:divsChild>
        <w:div w:id="1155756142">
          <w:marLeft w:val="720"/>
          <w:marRight w:val="0"/>
          <w:marTop w:val="0"/>
          <w:marBottom w:val="0"/>
          <w:divBdr>
            <w:top w:val="none" w:sz="0" w:space="0" w:color="auto"/>
            <w:left w:val="none" w:sz="0" w:space="0" w:color="auto"/>
            <w:bottom w:val="none" w:sz="0" w:space="0" w:color="auto"/>
            <w:right w:val="none" w:sz="0" w:space="0" w:color="auto"/>
          </w:divBdr>
        </w:div>
        <w:div w:id="1659075677">
          <w:marLeft w:val="720"/>
          <w:marRight w:val="0"/>
          <w:marTop w:val="0"/>
          <w:marBottom w:val="0"/>
          <w:divBdr>
            <w:top w:val="none" w:sz="0" w:space="0" w:color="auto"/>
            <w:left w:val="none" w:sz="0" w:space="0" w:color="auto"/>
            <w:bottom w:val="none" w:sz="0" w:space="0" w:color="auto"/>
            <w:right w:val="none" w:sz="0" w:space="0" w:color="auto"/>
          </w:divBdr>
        </w:div>
      </w:divsChild>
    </w:div>
    <w:div w:id="871651563">
      <w:bodyDiv w:val="1"/>
      <w:marLeft w:val="0"/>
      <w:marRight w:val="0"/>
      <w:marTop w:val="0"/>
      <w:marBottom w:val="0"/>
      <w:divBdr>
        <w:top w:val="none" w:sz="0" w:space="0" w:color="auto"/>
        <w:left w:val="none" w:sz="0" w:space="0" w:color="auto"/>
        <w:bottom w:val="none" w:sz="0" w:space="0" w:color="auto"/>
        <w:right w:val="none" w:sz="0" w:space="0" w:color="auto"/>
      </w:divBdr>
    </w:div>
    <w:div w:id="875386586">
      <w:bodyDiv w:val="1"/>
      <w:marLeft w:val="0"/>
      <w:marRight w:val="0"/>
      <w:marTop w:val="0"/>
      <w:marBottom w:val="0"/>
      <w:divBdr>
        <w:top w:val="none" w:sz="0" w:space="0" w:color="auto"/>
        <w:left w:val="none" w:sz="0" w:space="0" w:color="auto"/>
        <w:bottom w:val="none" w:sz="0" w:space="0" w:color="auto"/>
        <w:right w:val="none" w:sz="0" w:space="0" w:color="auto"/>
      </w:divBdr>
    </w:div>
    <w:div w:id="885989962">
      <w:bodyDiv w:val="1"/>
      <w:marLeft w:val="0"/>
      <w:marRight w:val="0"/>
      <w:marTop w:val="0"/>
      <w:marBottom w:val="0"/>
      <w:divBdr>
        <w:top w:val="none" w:sz="0" w:space="0" w:color="auto"/>
        <w:left w:val="none" w:sz="0" w:space="0" w:color="auto"/>
        <w:bottom w:val="none" w:sz="0" w:space="0" w:color="auto"/>
        <w:right w:val="none" w:sz="0" w:space="0" w:color="auto"/>
      </w:divBdr>
      <w:divsChild>
        <w:div w:id="1933319328">
          <w:marLeft w:val="0"/>
          <w:marRight w:val="0"/>
          <w:marTop w:val="211"/>
          <w:marBottom w:val="0"/>
          <w:divBdr>
            <w:top w:val="none" w:sz="0" w:space="0" w:color="auto"/>
            <w:left w:val="none" w:sz="0" w:space="0" w:color="auto"/>
            <w:bottom w:val="none" w:sz="0" w:space="0" w:color="auto"/>
            <w:right w:val="none" w:sz="0" w:space="0" w:color="auto"/>
          </w:divBdr>
        </w:div>
      </w:divsChild>
    </w:div>
    <w:div w:id="968969793">
      <w:bodyDiv w:val="1"/>
      <w:marLeft w:val="0"/>
      <w:marRight w:val="0"/>
      <w:marTop w:val="0"/>
      <w:marBottom w:val="0"/>
      <w:divBdr>
        <w:top w:val="none" w:sz="0" w:space="0" w:color="auto"/>
        <w:left w:val="none" w:sz="0" w:space="0" w:color="auto"/>
        <w:bottom w:val="none" w:sz="0" w:space="0" w:color="auto"/>
        <w:right w:val="none" w:sz="0" w:space="0" w:color="auto"/>
      </w:divBdr>
    </w:div>
    <w:div w:id="1016419030">
      <w:bodyDiv w:val="1"/>
      <w:marLeft w:val="0"/>
      <w:marRight w:val="0"/>
      <w:marTop w:val="0"/>
      <w:marBottom w:val="0"/>
      <w:divBdr>
        <w:top w:val="none" w:sz="0" w:space="0" w:color="auto"/>
        <w:left w:val="none" w:sz="0" w:space="0" w:color="auto"/>
        <w:bottom w:val="none" w:sz="0" w:space="0" w:color="auto"/>
        <w:right w:val="none" w:sz="0" w:space="0" w:color="auto"/>
      </w:divBdr>
      <w:divsChild>
        <w:div w:id="353044845">
          <w:marLeft w:val="0"/>
          <w:marRight w:val="0"/>
          <w:marTop w:val="211"/>
          <w:marBottom w:val="0"/>
          <w:divBdr>
            <w:top w:val="none" w:sz="0" w:space="0" w:color="auto"/>
            <w:left w:val="none" w:sz="0" w:space="0" w:color="auto"/>
            <w:bottom w:val="none" w:sz="0" w:space="0" w:color="auto"/>
            <w:right w:val="none" w:sz="0" w:space="0" w:color="auto"/>
          </w:divBdr>
        </w:div>
        <w:div w:id="494612286">
          <w:marLeft w:val="0"/>
          <w:marRight w:val="0"/>
          <w:marTop w:val="211"/>
          <w:marBottom w:val="0"/>
          <w:divBdr>
            <w:top w:val="none" w:sz="0" w:space="0" w:color="auto"/>
            <w:left w:val="none" w:sz="0" w:space="0" w:color="auto"/>
            <w:bottom w:val="none" w:sz="0" w:space="0" w:color="auto"/>
            <w:right w:val="none" w:sz="0" w:space="0" w:color="auto"/>
          </w:divBdr>
        </w:div>
        <w:div w:id="736710191">
          <w:marLeft w:val="0"/>
          <w:marRight w:val="0"/>
          <w:marTop w:val="211"/>
          <w:marBottom w:val="0"/>
          <w:divBdr>
            <w:top w:val="none" w:sz="0" w:space="0" w:color="auto"/>
            <w:left w:val="none" w:sz="0" w:space="0" w:color="auto"/>
            <w:bottom w:val="none" w:sz="0" w:space="0" w:color="auto"/>
            <w:right w:val="none" w:sz="0" w:space="0" w:color="auto"/>
          </w:divBdr>
        </w:div>
        <w:div w:id="828668761">
          <w:marLeft w:val="0"/>
          <w:marRight w:val="0"/>
          <w:marTop w:val="211"/>
          <w:marBottom w:val="0"/>
          <w:divBdr>
            <w:top w:val="none" w:sz="0" w:space="0" w:color="auto"/>
            <w:left w:val="none" w:sz="0" w:space="0" w:color="auto"/>
            <w:bottom w:val="none" w:sz="0" w:space="0" w:color="auto"/>
            <w:right w:val="none" w:sz="0" w:space="0" w:color="auto"/>
          </w:divBdr>
        </w:div>
        <w:div w:id="1466123992">
          <w:marLeft w:val="0"/>
          <w:marRight w:val="0"/>
          <w:marTop w:val="211"/>
          <w:marBottom w:val="0"/>
          <w:divBdr>
            <w:top w:val="none" w:sz="0" w:space="0" w:color="auto"/>
            <w:left w:val="none" w:sz="0" w:space="0" w:color="auto"/>
            <w:bottom w:val="none" w:sz="0" w:space="0" w:color="auto"/>
            <w:right w:val="none" w:sz="0" w:space="0" w:color="auto"/>
          </w:divBdr>
        </w:div>
      </w:divsChild>
    </w:div>
    <w:div w:id="1045787486">
      <w:bodyDiv w:val="1"/>
      <w:marLeft w:val="0"/>
      <w:marRight w:val="0"/>
      <w:marTop w:val="0"/>
      <w:marBottom w:val="0"/>
      <w:divBdr>
        <w:top w:val="none" w:sz="0" w:space="0" w:color="auto"/>
        <w:left w:val="none" w:sz="0" w:space="0" w:color="auto"/>
        <w:bottom w:val="none" w:sz="0" w:space="0" w:color="auto"/>
        <w:right w:val="none" w:sz="0" w:space="0" w:color="auto"/>
      </w:divBdr>
    </w:div>
    <w:div w:id="1064334324">
      <w:bodyDiv w:val="1"/>
      <w:marLeft w:val="0"/>
      <w:marRight w:val="0"/>
      <w:marTop w:val="0"/>
      <w:marBottom w:val="0"/>
      <w:divBdr>
        <w:top w:val="none" w:sz="0" w:space="0" w:color="auto"/>
        <w:left w:val="none" w:sz="0" w:space="0" w:color="auto"/>
        <w:bottom w:val="none" w:sz="0" w:space="0" w:color="auto"/>
        <w:right w:val="none" w:sz="0" w:space="0" w:color="auto"/>
      </w:divBdr>
    </w:div>
    <w:div w:id="1133793403">
      <w:bodyDiv w:val="1"/>
      <w:marLeft w:val="0"/>
      <w:marRight w:val="0"/>
      <w:marTop w:val="0"/>
      <w:marBottom w:val="0"/>
      <w:divBdr>
        <w:top w:val="none" w:sz="0" w:space="0" w:color="auto"/>
        <w:left w:val="none" w:sz="0" w:space="0" w:color="auto"/>
        <w:bottom w:val="none" w:sz="0" w:space="0" w:color="auto"/>
        <w:right w:val="none" w:sz="0" w:space="0" w:color="auto"/>
      </w:divBdr>
    </w:div>
    <w:div w:id="1167019476">
      <w:bodyDiv w:val="1"/>
      <w:marLeft w:val="0"/>
      <w:marRight w:val="0"/>
      <w:marTop w:val="0"/>
      <w:marBottom w:val="0"/>
      <w:divBdr>
        <w:top w:val="none" w:sz="0" w:space="0" w:color="auto"/>
        <w:left w:val="none" w:sz="0" w:space="0" w:color="auto"/>
        <w:bottom w:val="none" w:sz="0" w:space="0" w:color="auto"/>
        <w:right w:val="none" w:sz="0" w:space="0" w:color="auto"/>
      </w:divBdr>
    </w:div>
    <w:div w:id="1193572423">
      <w:bodyDiv w:val="1"/>
      <w:marLeft w:val="0"/>
      <w:marRight w:val="0"/>
      <w:marTop w:val="0"/>
      <w:marBottom w:val="0"/>
      <w:divBdr>
        <w:top w:val="none" w:sz="0" w:space="0" w:color="auto"/>
        <w:left w:val="none" w:sz="0" w:space="0" w:color="auto"/>
        <w:bottom w:val="none" w:sz="0" w:space="0" w:color="auto"/>
        <w:right w:val="none" w:sz="0" w:space="0" w:color="auto"/>
      </w:divBdr>
    </w:div>
    <w:div w:id="1252659618">
      <w:bodyDiv w:val="1"/>
      <w:marLeft w:val="0"/>
      <w:marRight w:val="0"/>
      <w:marTop w:val="0"/>
      <w:marBottom w:val="0"/>
      <w:divBdr>
        <w:top w:val="none" w:sz="0" w:space="0" w:color="auto"/>
        <w:left w:val="none" w:sz="0" w:space="0" w:color="auto"/>
        <w:bottom w:val="none" w:sz="0" w:space="0" w:color="auto"/>
        <w:right w:val="none" w:sz="0" w:space="0" w:color="auto"/>
      </w:divBdr>
    </w:div>
    <w:div w:id="1270821444">
      <w:bodyDiv w:val="1"/>
      <w:marLeft w:val="0"/>
      <w:marRight w:val="0"/>
      <w:marTop w:val="0"/>
      <w:marBottom w:val="0"/>
      <w:divBdr>
        <w:top w:val="none" w:sz="0" w:space="0" w:color="auto"/>
        <w:left w:val="none" w:sz="0" w:space="0" w:color="auto"/>
        <w:bottom w:val="none" w:sz="0" w:space="0" w:color="auto"/>
        <w:right w:val="none" w:sz="0" w:space="0" w:color="auto"/>
      </w:divBdr>
    </w:div>
    <w:div w:id="1318193280">
      <w:bodyDiv w:val="1"/>
      <w:marLeft w:val="0"/>
      <w:marRight w:val="0"/>
      <w:marTop w:val="0"/>
      <w:marBottom w:val="0"/>
      <w:divBdr>
        <w:top w:val="none" w:sz="0" w:space="0" w:color="auto"/>
        <w:left w:val="none" w:sz="0" w:space="0" w:color="auto"/>
        <w:bottom w:val="none" w:sz="0" w:space="0" w:color="auto"/>
        <w:right w:val="none" w:sz="0" w:space="0" w:color="auto"/>
      </w:divBdr>
    </w:div>
    <w:div w:id="1351563523">
      <w:bodyDiv w:val="1"/>
      <w:marLeft w:val="0"/>
      <w:marRight w:val="0"/>
      <w:marTop w:val="0"/>
      <w:marBottom w:val="0"/>
      <w:divBdr>
        <w:top w:val="none" w:sz="0" w:space="0" w:color="auto"/>
        <w:left w:val="none" w:sz="0" w:space="0" w:color="auto"/>
        <w:bottom w:val="none" w:sz="0" w:space="0" w:color="auto"/>
        <w:right w:val="none" w:sz="0" w:space="0" w:color="auto"/>
      </w:divBdr>
    </w:div>
    <w:div w:id="1374113611">
      <w:bodyDiv w:val="1"/>
      <w:marLeft w:val="0"/>
      <w:marRight w:val="0"/>
      <w:marTop w:val="0"/>
      <w:marBottom w:val="0"/>
      <w:divBdr>
        <w:top w:val="none" w:sz="0" w:space="0" w:color="auto"/>
        <w:left w:val="none" w:sz="0" w:space="0" w:color="auto"/>
        <w:bottom w:val="none" w:sz="0" w:space="0" w:color="auto"/>
        <w:right w:val="none" w:sz="0" w:space="0" w:color="auto"/>
      </w:divBdr>
    </w:div>
    <w:div w:id="1376008092">
      <w:bodyDiv w:val="1"/>
      <w:marLeft w:val="0"/>
      <w:marRight w:val="0"/>
      <w:marTop w:val="0"/>
      <w:marBottom w:val="0"/>
      <w:divBdr>
        <w:top w:val="none" w:sz="0" w:space="0" w:color="auto"/>
        <w:left w:val="none" w:sz="0" w:space="0" w:color="auto"/>
        <w:bottom w:val="none" w:sz="0" w:space="0" w:color="auto"/>
        <w:right w:val="none" w:sz="0" w:space="0" w:color="auto"/>
      </w:divBdr>
      <w:divsChild>
        <w:div w:id="223880743">
          <w:marLeft w:val="0"/>
          <w:marRight w:val="0"/>
          <w:marTop w:val="211"/>
          <w:marBottom w:val="0"/>
          <w:divBdr>
            <w:top w:val="none" w:sz="0" w:space="0" w:color="auto"/>
            <w:left w:val="none" w:sz="0" w:space="0" w:color="auto"/>
            <w:bottom w:val="none" w:sz="0" w:space="0" w:color="auto"/>
            <w:right w:val="none" w:sz="0" w:space="0" w:color="auto"/>
          </w:divBdr>
        </w:div>
        <w:div w:id="355620813">
          <w:marLeft w:val="0"/>
          <w:marRight w:val="0"/>
          <w:marTop w:val="211"/>
          <w:marBottom w:val="0"/>
          <w:divBdr>
            <w:top w:val="none" w:sz="0" w:space="0" w:color="auto"/>
            <w:left w:val="none" w:sz="0" w:space="0" w:color="auto"/>
            <w:bottom w:val="none" w:sz="0" w:space="0" w:color="auto"/>
            <w:right w:val="none" w:sz="0" w:space="0" w:color="auto"/>
          </w:divBdr>
        </w:div>
        <w:div w:id="517933680">
          <w:marLeft w:val="0"/>
          <w:marRight w:val="0"/>
          <w:marTop w:val="211"/>
          <w:marBottom w:val="0"/>
          <w:divBdr>
            <w:top w:val="none" w:sz="0" w:space="0" w:color="auto"/>
            <w:left w:val="none" w:sz="0" w:space="0" w:color="auto"/>
            <w:bottom w:val="none" w:sz="0" w:space="0" w:color="auto"/>
            <w:right w:val="none" w:sz="0" w:space="0" w:color="auto"/>
          </w:divBdr>
        </w:div>
        <w:div w:id="674187739">
          <w:marLeft w:val="0"/>
          <w:marRight w:val="0"/>
          <w:marTop w:val="211"/>
          <w:marBottom w:val="0"/>
          <w:divBdr>
            <w:top w:val="none" w:sz="0" w:space="0" w:color="auto"/>
            <w:left w:val="none" w:sz="0" w:space="0" w:color="auto"/>
            <w:bottom w:val="none" w:sz="0" w:space="0" w:color="auto"/>
            <w:right w:val="none" w:sz="0" w:space="0" w:color="auto"/>
          </w:divBdr>
        </w:div>
        <w:div w:id="1700398456">
          <w:marLeft w:val="0"/>
          <w:marRight w:val="0"/>
          <w:marTop w:val="211"/>
          <w:marBottom w:val="0"/>
          <w:divBdr>
            <w:top w:val="none" w:sz="0" w:space="0" w:color="auto"/>
            <w:left w:val="none" w:sz="0" w:space="0" w:color="auto"/>
            <w:bottom w:val="none" w:sz="0" w:space="0" w:color="auto"/>
            <w:right w:val="none" w:sz="0" w:space="0" w:color="auto"/>
          </w:divBdr>
        </w:div>
      </w:divsChild>
    </w:div>
    <w:div w:id="1384332997">
      <w:bodyDiv w:val="1"/>
      <w:marLeft w:val="0"/>
      <w:marRight w:val="0"/>
      <w:marTop w:val="0"/>
      <w:marBottom w:val="0"/>
      <w:divBdr>
        <w:top w:val="none" w:sz="0" w:space="0" w:color="auto"/>
        <w:left w:val="none" w:sz="0" w:space="0" w:color="auto"/>
        <w:bottom w:val="none" w:sz="0" w:space="0" w:color="auto"/>
        <w:right w:val="none" w:sz="0" w:space="0" w:color="auto"/>
      </w:divBdr>
    </w:div>
    <w:div w:id="1442604366">
      <w:bodyDiv w:val="1"/>
      <w:marLeft w:val="0"/>
      <w:marRight w:val="0"/>
      <w:marTop w:val="0"/>
      <w:marBottom w:val="0"/>
      <w:divBdr>
        <w:top w:val="none" w:sz="0" w:space="0" w:color="auto"/>
        <w:left w:val="none" w:sz="0" w:space="0" w:color="auto"/>
        <w:bottom w:val="none" w:sz="0" w:space="0" w:color="auto"/>
        <w:right w:val="none" w:sz="0" w:space="0" w:color="auto"/>
      </w:divBdr>
    </w:div>
    <w:div w:id="1550875129">
      <w:bodyDiv w:val="1"/>
      <w:marLeft w:val="0"/>
      <w:marRight w:val="0"/>
      <w:marTop w:val="0"/>
      <w:marBottom w:val="0"/>
      <w:divBdr>
        <w:top w:val="none" w:sz="0" w:space="0" w:color="auto"/>
        <w:left w:val="none" w:sz="0" w:space="0" w:color="auto"/>
        <w:bottom w:val="none" w:sz="0" w:space="0" w:color="auto"/>
        <w:right w:val="none" w:sz="0" w:space="0" w:color="auto"/>
      </w:divBdr>
      <w:divsChild>
        <w:div w:id="432363983">
          <w:marLeft w:val="720"/>
          <w:marRight w:val="0"/>
          <w:marTop w:val="0"/>
          <w:marBottom w:val="0"/>
          <w:divBdr>
            <w:top w:val="none" w:sz="0" w:space="0" w:color="auto"/>
            <w:left w:val="none" w:sz="0" w:space="0" w:color="auto"/>
            <w:bottom w:val="none" w:sz="0" w:space="0" w:color="auto"/>
            <w:right w:val="none" w:sz="0" w:space="0" w:color="auto"/>
          </w:divBdr>
        </w:div>
        <w:div w:id="479344803">
          <w:marLeft w:val="720"/>
          <w:marRight w:val="0"/>
          <w:marTop w:val="0"/>
          <w:marBottom w:val="0"/>
          <w:divBdr>
            <w:top w:val="none" w:sz="0" w:space="0" w:color="auto"/>
            <w:left w:val="none" w:sz="0" w:space="0" w:color="auto"/>
            <w:bottom w:val="none" w:sz="0" w:space="0" w:color="auto"/>
            <w:right w:val="none" w:sz="0" w:space="0" w:color="auto"/>
          </w:divBdr>
        </w:div>
        <w:div w:id="728960492">
          <w:marLeft w:val="720"/>
          <w:marRight w:val="0"/>
          <w:marTop w:val="0"/>
          <w:marBottom w:val="0"/>
          <w:divBdr>
            <w:top w:val="none" w:sz="0" w:space="0" w:color="auto"/>
            <w:left w:val="none" w:sz="0" w:space="0" w:color="auto"/>
            <w:bottom w:val="none" w:sz="0" w:space="0" w:color="auto"/>
            <w:right w:val="none" w:sz="0" w:space="0" w:color="auto"/>
          </w:divBdr>
        </w:div>
        <w:div w:id="939607277">
          <w:marLeft w:val="720"/>
          <w:marRight w:val="0"/>
          <w:marTop w:val="0"/>
          <w:marBottom w:val="0"/>
          <w:divBdr>
            <w:top w:val="none" w:sz="0" w:space="0" w:color="auto"/>
            <w:left w:val="none" w:sz="0" w:space="0" w:color="auto"/>
            <w:bottom w:val="none" w:sz="0" w:space="0" w:color="auto"/>
            <w:right w:val="none" w:sz="0" w:space="0" w:color="auto"/>
          </w:divBdr>
        </w:div>
        <w:div w:id="950360721">
          <w:marLeft w:val="720"/>
          <w:marRight w:val="0"/>
          <w:marTop w:val="0"/>
          <w:marBottom w:val="0"/>
          <w:divBdr>
            <w:top w:val="none" w:sz="0" w:space="0" w:color="auto"/>
            <w:left w:val="none" w:sz="0" w:space="0" w:color="auto"/>
            <w:bottom w:val="none" w:sz="0" w:space="0" w:color="auto"/>
            <w:right w:val="none" w:sz="0" w:space="0" w:color="auto"/>
          </w:divBdr>
        </w:div>
        <w:div w:id="1675494209">
          <w:marLeft w:val="720"/>
          <w:marRight w:val="0"/>
          <w:marTop w:val="0"/>
          <w:marBottom w:val="0"/>
          <w:divBdr>
            <w:top w:val="none" w:sz="0" w:space="0" w:color="auto"/>
            <w:left w:val="none" w:sz="0" w:space="0" w:color="auto"/>
            <w:bottom w:val="none" w:sz="0" w:space="0" w:color="auto"/>
            <w:right w:val="none" w:sz="0" w:space="0" w:color="auto"/>
          </w:divBdr>
        </w:div>
      </w:divsChild>
    </w:div>
    <w:div w:id="1618640674">
      <w:bodyDiv w:val="1"/>
      <w:marLeft w:val="0"/>
      <w:marRight w:val="0"/>
      <w:marTop w:val="0"/>
      <w:marBottom w:val="0"/>
      <w:divBdr>
        <w:top w:val="none" w:sz="0" w:space="0" w:color="auto"/>
        <w:left w:val="none" w:sz="0" w:space="0" w:color="auto"/>
        <w:bottom w:val="none" w:sz="0" w:space="0" w:color="auto"/>
        <w:right w:val="none" w:sz="0" w:space="0" w:color="auto"/>
      </w:divBdr>
    </w:div>
    <w:div w:id="1656301509">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730885037">
      <w:bodyDiv w:val="1"/>
      <w:marLeft w:val="0"/>
      <w:marRight w:val="0"/>
      <w:marTop w:val="0"/>
      <w:marBottom w:val="0"/>
      <w:divBdr>
        <w:top w:val="none" w:sz="0" w:space="0" w:color="auto"/>
        <w:left w:val="none" w:sz="0" w:space="0" w:color="auto"/>
        <w:bottom w:val="none" w:sz="0" w:space="0" w:color="auto"/>
        <w:right w:val="none" w:sz="0" w:space="0" w:color="auto"/>
      </w:divBdr>
      <w:divsChild>
        <w:div w:id="128206499">
          <w:marLeft w:val="720"/>
          <w:marRight w:val="0"/>
          <w:marTop w:val="0"/>
          <w:marBottom w:val="0"/>
          <w:divBdr>
            <w:top w:val="none" w:sz="0" w:space="0" w:color="auto"/>
            <w:left w:val="none" w:sz="0" w:space="0" w:color="auto"/>
            <w:bottom w:val="none" w:sz="0" w:space="0" w:color="auto"/>
            <w:right w:val="none" w:sz="0" w:space="0" w:color="auto"/>
          </w:divBdr>
        </w:div>
        <w:div w:id="219562148">
          <w:marLeft w:val="2160"/>
          <w:marRight w:val="0"/>
          <w:marTop w:val="0"/>
          <w:marBottom w:val="0"/>
          <w:divBdr>
            <w:top w:val="none" w:sz="0" w:space="0" w:color="auto"/>
            <w:left w:val="none" w:sz="0" w:space="0" w:color="auto"/>
            <w:bottom w:val="none" w:sz="0" w:space="0" w:color="auto"/>
            <w:right w:val="none" w:sz="0" w:space="0" w:color="auto"/>
          </w:divBdr>
        </w:div>
        <w:div w:id="241179666">
          <w:marLeft w:val="1440"/>
          <w:marRight w:val="0"/>
          <w:marTop w:val="0"/>
          <w:marBottom w:val="0"/>
          <w:divBdr>
            <w:top w:val="none" w:sz="0" w:space="0" w:color="auto"/>
            <w:left w:val="none" w:sz="0" w:space="0" w:color="auto"/>
            <w:bottom w:val="none" w:sz="0" w:space="0" w:color="auto"/>
            <w:right w:val="none" w:sz="0" w:space="0" w:color="auto"/>
          </w:divBdr>
        </w:div>
        <w:div w:id="376010370">
          <w:marLeft w:val="720"/>
          <w:marRight w:val="0"/>
          <w:marTop w:val="0"/>
          <w:marBottom w:val="0"/>
          <w:divBdr>
            <w:top w:val="none" w:sz="0" w:space="0" w:color="auto"/>
            <w:left w:val="none" w:sz="0" w:space="0" w:color="auto"/>
            <w:bottom w:val="none" w:sz="0" w:space="0" w:color="auto"/>
            <w:right w:val="none" w:sz="0" w:space="0" w:color="auto"/>
          </w:divBdr>
        </w:div>
        <w:div w:id="397291928">
          <w:marLeft w:val="1440"/>
          <w:marRight w:val="0"/>
          <w:marTop w:val="0"/>
          <w:marBottom w:val="0"/>
          <w:divBdr>
            <w:top w:val="none" w:sz="0" w:space="0" w:color="auto"/>
            <w:left w:val="none" w:sz="0" w:space="0" w:color="auto"/>
            <w:bottom w:val="none" w:sz="0" w:space="0" w:color="auto"/>
            <w:right w:val="none" w:sz="0" w:space="0" w:color="auto"/>
          </w:divBdr>
        </w:div>
        <w:div w:id="415785998">
          <w:marLeft w:val="720"/>
          <w:marRight w:val="0"/>
          <w:marTop w:val="0"/>
          <w:marBottom w:val="0"/>
          <w:divBdr>
            <w:top w:val="none" w:sz="0" w:space="0" w:color="auto"/>
            <w:left w:val="none" w:sz="0" w:space="0" w:color="auto"/>
            <w:bottom w:val="none" w:sz="0" w:space="0" w:color="auto"/>
            <w:right w:val="none" w:sz="0" w:space="0" w:color="auto"/>
          </w:divBdr>
        </w:div>
        <w:div w:id="655038777">
          <w:marLeft w:val="720"/>
          <w:marRight w:val="0"/>
          <w:marTop w:val="0"/>
          <w:marBottom w:val="0"/>
          <w:divBdr>
            <w:top w:val="none" w:sz="0" w:space="0" w:color="auto"/>
            <w:left w:val="none" w:sz="0" w:space="0" w:color="auto"/>
            <w:bottom w:val="none" w:sz="0" w:space="0" w:color="auto"/>
            <w:right w:val="none" w:sz="0" w:space="0" w:color="auto"/>
          </w:divBdr>
        </w:div>
        <w:div w:id="707026675">
          <w:marLeft w:val="720"/>
          <w:marRight w:val="0"/>
          <w:marTop w:val="0"/>
          <w:marBottom w:val="0"/>
          <w:divBdr>
            <w:top w:val="none" w:sz="0" w:space="0" w:color="auto"/>
            <w:left w:val="none" w:sz="0" w:space="0" w:color="auto"/>
            <w:bottom w:val="none" w:sz="0" w:space="0" w:color="auto"/>
            <w:right w:val="none" w:sz="0" w:space="0" w:color="auto"/>
          </w:divBdr>
        </w:div>
        <w:div w:id="748038825">
          <w:marLeft w:val="2160"/>
          <w:marRight w:val="0"/>
          <w:marTop w:val="0"/>
          <w:marBottom w:val="0"/>
          <w:divBdr>
            <w:top w:val="none" w:sz="0" w:space="0" w:color="auto"/>
            <w:left w:val="none" w:sz="0" w:space="0" w:color="auto"/>
            <w:bottom w:val="none" w:sz="0" w:space="0" w:color="auto"/>
            <w:right w:val="none" w:sz="0" w:space="0" w:color="auto"/>
          </w:divBdr>
        </w:div>
        <w:div w:id="870992603">
          <w:marLeft w:val="1440"/>
          <w:marRight w:val="0"/>
          <w:marTop w:val="0"/>
          <w:marBottom w:val="0"/>
          <w:divBdr>
            <w:top w:val="none" w:sz="0" w:space="0" w:color="auto"/>
            <w:left w:val="none" w:sz="0" w:space="0" w:color="auto"/>
            <w:bottom w:val="none" w:sz="0" w:space="0" w:color="auto"/>
            <w:right w:val="none" w:sz="0" w:space="0" w:color="auto"/>
          </w:divBdr>
        </w:div>
        <w:div w:id="938217924">
          <w:marLeft w:val="1440"/>
          <w:marRight w:val="0"/>
          <w:marTop w:val="0"/>
          <w:marBottom w:val="0"/>
          <w:divBdr>
            <w:top w:val="none" w:sz="0" w:space="0" w:color="auto"/>
            <w:left w:val="none" w:sz="0" w:space="0" w:color="auto"/>
            <w:bottom w:val="none" w:sz="0" w:space="0" w:color="auto"/>
            <w:right w:val="none" w:sz="0" w:space="0" w:color="auto"/>
          </w:divBdr>
        </w:div>
        <w:div w:id="963383681">
          <w:marLeft w:val="1440"/>
          <w:marRight w:val="0"/>
          <w:marTop w:val="0"/>
          <w:marBottom w:val="0"/>
          <w:divBdr>
            <w:top w:val="none" w:sz="0" w:space="0" w:color="auto"/>
            <w:left w:val="none" w:sz="0" w:space="0" w:color="auto"/>
            <w:bottom w:val="none" w:sz="0" w:space="0" w:color="auto"/>
            <w:right w:val="none" w:sz="0" w:space="0" w:color="auto"/>
          </w:divBdr>
        </w:div>
        <w:div w:id="1166281256">
          <w:marLeft w:val="2160"/>
          <w:marRight w:val="0"/>
          <w:marTop w:val="0"/>
          <w:marBottom w:val="0"/>
          <w:divBdr>
            <w:top w:val="none" w:sz="0" w:space="0" w:color="auto"/>
            <w:left w:val="none" w:sz="0" w:space="0" w:color="auto"/>
            <w:bottom w:val="none" w:sz="0" w:space="0" w:color="auto"/>
            <w:right w:val="none" w:sz="0" w:space="0" w:color="auto"/>
          </w:divBdr>
        </w:div>
        <w:div w:id="1324628545">
          <w:marLeft w:val="720"/>
          <w:marRight w:val="0"/>
          <w:marTop w:val="0"/>
          <w:marBottom w:val="0"/>
          <w:divBdr>
            <w:top w:val="none" w:sz="0" w:space="0" w:color="auto"/>
            <w:left w:val="none" w:sz="0" w:space="0" w:color="auto"/>
            <w:bottom w:val="none" w:sz="0" w:space="0" w:color="auto"/>
            <w:right w:val="none" w:sz="0" w:space="0" w:color="auto"/>
          </w:divBdr>
        </w:div>
        <w:div w:id="1349210492">
          <w:marLeft w:val="1440"/>
          <w:marRight w:val="0"/>
          <w:marTop w:val="0"/>
          <w:marBottom w:val="0"/>
          <w:divBdr>
            <w:top w:val="none" w:sz="0" w:space="0" w:color="auto"/>
            <w:left w:val="none" w:sz="0" w:space="0" w:color="auto"/>
            <w:bottom w:val="none" w:sz="0" w:space="0" w:color="auto"/>
            <w:right w:val="none" w:sz="0" w:space="0" w:color="auto"/>
          </w:divBdr>
        </w:div>
        <w:div w:id="1372726289">
          <w:marLeft w:val="1440"/>
          <w:marRight w:val="0"/>
          <w:marTop w:val="0"/>
          <w:marBottom w:val="0"/>
          <w:divBdr>
            <w:top w:val="none" w:sz="0" w:space="0" w:color="auto"/>
            <w:left w:val="none" w:sz="0" w:space="0" w:color="auto"/>
            <w:bottom w:val="none" w:sz="0" w:space="0" w:color="auto"/>
            <w:right w:val="none" w:sz="0" w:space="0" w:color="auto"/>
          </w:divBdr>
        </w:div>
        <w:div w:id="1497457302">
          <w:marLeft w:val="1440"/>
          <w:marRight w:val="0"/>
          <w:marTop w:val="0"/>
          <w:marBottom w:val="0"/>
          <w:divBdr>
            <w:top w:val="none" w:sz="0" w:space="0" w:color="auto"/>
            <w:left w:val="none" w:sz="0" w:space="0" w:color="auto"/>
            <w:bottom w:val="none" w:sz="0" w:space="0" w:color="auto"/>
            <w:right w:val="none" w:sz="0" w:space="0" w:color="auto"/>
          </w:divBdr>
        </w:div>
        <w:div w:id="1505978567">
          <w:marLeft w:val="1440"/>
          <w:marRight w:val="0"/>
          <w:marTop w:val="0"/>
          <w:marBottom w:val="0"/>
          <w:divBdr>
            <w:top w:val="none" w:sz="0" w:space="0" w:color="auto"/>
            <w:left w:val="none" w:sz="0" w:space="0" w:color="auto"/>
            <w:bottom w:val="none" w:sz="0" w:space="0" w:color="auto"/>
            <w:right w:val="none" w:sz="0" w:space="0" w:color="auto"/>
          </w:divBdr>
        </w:div>
        <w:div w:id="1539464285">
          <w:marLeft w:val="2160"/>
          <w:marRight w:val="0"/>
          <w:marTop w:val="0"/>
          <w:marBottom w:val="0"/>
          <w:divBdr>
            <w:top w:val="none" w:sz="0" w:space="0" w:color="auto"/>
            <w:left w:val="none" w:sz="0" w:space="0" w:color="auto"/>
            <w:bottom w:val="none" w:sz="0" w:space="0" w:color="auto"/>
            <w:right w:val="none" w:sz="0" w:space="0" w:color="auto"/>
          </w:divBdr>
        </w:div>
        <w:div w:id="1555845798">
          <w:marLeft w:val="720"/>
          <w:marRight w:val="0"/>
          <w:marTop w:val="0"/>
          <w:marBottom w:val="0"/>
          <w:divBdr>
            <w:top w:val="none" w:sz="0" w:space="0" w:color="auto"/>
            <w:left w:val="none" w:sz="0" w:space="0" w:color="auto"/>
            <w:bottom w:val="none" w:sz="0" w:space="0" w:color="auto"/>
            <w:right w:val="none" w:sz="0" w:space="0" w:color="auto"/>
          </w:divBdr>
        </w:div>
        <w:div w:id="1572621706">
          <w:marLeft w:val="720"/>
          <w:marRight w:val="0"/>
          <w:marTop w:val="0"/>
          <w:marBottom w:val="0"/>
          <w:divBdr>
            <w:top w:val="none" w:sz="0" w:space="0" w:color="auto"/>
            <w:left w:val="none" w:sz="0" w:space="0" w:color="auto"/>
            <w:bottom w:val="none" w:sz="0" w:space="0" w:color="auto"/>
            <w:right w:val="none" w:sz="0" w:space="0" w:color="auto"/>
          </w:divBdr>
        </w:div>
        <w:div w:id="1613322793">
          <w:marLeft w:val="1440"/>
          <w:marRight w:val="0"/>
          <w:marTop w:val="0"/>
          <w:marBottom w:val="0"/>
          <w:divBdr>
            <w:top w:val="none" w:sz="0" w:space="0" w:color="auto"/>
            <w:left w:val="none" w:sz="0" w:space="0" w:color="auto"/>
            <w:bottom w:val="none" w:sz="0" w:space="0" w:color="auto"/>
            <w:right w:val="none" w:sz="0" w:space="0" w:color="auto"/>
          </w:divBdr>
        </w:div>
        <w:div w:id="1657689181">
          <w:marLeft w:val="720"/>
          <w:marRight w:val="0"/>
          <w:marTop w:val="0"/>
          <w:marBottom w:val="0"/>
          <w:divBdr>
            <w:top w:val="none" w:sz="0" w:space="0" w:color="auto"/>
            <w:left w:val="none" w:sz="0" w:space="0" w:color="auto"/>
            <w:bottom w:val="none" w:sz="0" w:space="0" w:color="auto"/>
            <w:right w:val="none" w:sz="0" w:space="0" w:color="auto"/>
          </w:divBdr>
        </w:div>
        <w:div w:id="1661041481">
          <w:marLeft w:val="720"/>
          <w:marRight w:val="0"/>
          <w:marTop w:val="0"/>
          <w:marBottom w:val="0"/>
          <w:divBdr>
            <w:top w:val="none" w:sz="0" w:space="0" w:color="auto"/>
            <w:left w:val="none" w:sz="0" w:space="0" w:color="auto"/>
            <w:bottom w:val="none" w:sz="0" w:space="0" w:color="auto"/>
            <w:right w:val="none" w:sz="0" w:space="0" w:color="auto"/>
          </w:divBdr>
        </w:div>
        <w:div w:id="1709331636">
          <w:marLeft w:val="720"/>
          <w:marRight w:val="0"/>
          <w:marTop w:val="0"/>
          <w:marBottom w:val="0"/>
          <w:divBdr>
            <w:top w:val="none" w:sz="0" w:space="0" w:color="auto"/>
            <w:left w:val="none" w:sz="0" w:space="0" w:color="auto"/>
            <w:bottom w:val="none" w:sz="0" w:space="0" w:color="auto"/>
            <w:right w:val="none" w:sz="0" w:space="0" w:color="auto"/>
          </w:divBdr>
        </w:div>
        <w:div w:id="1722169178">
          <w:marLeft w:val="2160"/>
          <w:marRight w:val="0"/>
          <w:marTop w:val="0"/>
          <w:marBottom w:val="0"/>
          <w:divBdr>
            <w:top w:val="none" w:sz="0" w:space="0" w:color="auto"/>
            <w:left w:val="none" w:sz="0" w:space="0" w:color="auto"/>
            <w:bottom w:val="none" w:sz="0" w:space="0" w:color="auto"/>
            <w:right w:val="none" w:sz="0" w:space="0" w:color="auto"/>
          </w:divBdr>
        </w:div>
        <w:div w:id="1775511743">
          <w:marLeft w:val="1440"/>
          <w:marRight w:val="0"/>
          <w:marTop w:val="0"/>
          <w:marBottom w:val="0"/>
          <w:divBdr>
            <w:top w:val="none" w:sz="0" w:space="0" w:color="auto"/>
            <w:left w:val="none" w:sz="0" w:space="0" w:color="auto"/>
            <w:bottom w:val="none" w:sz="0" w:space="0" w:color="auto"/>
            <w:right w:val="none" w:sz="0" w:space="0" w:color="auto"/>
          </w:divBdr>
        </w:div>
        <w:div w:id="1786919595">
          <w:marLeft w:val="1440"/>
          <w:marRight w:val="0"/>
          <w:marTop w:val="0"/>
          <w:marBottom w:val="0"/>
          <w:divBdr>
            <w:top w:val="none" w:sz="0" w:space="0" w:color="auto"/>
            <w:left w:val="none" w:sz="0" w:space="0" w:color="auto"/>
            <w:bottom w:val="none" w:sz="0" w:space="0" w:color="auto"/>
            <w:right w:val="none" w:sz="0" w:space="0" w:color="auto"/>
          </w:divBdr>
        </w:div>
        <w:div w:id="1801921067">
          <w:marLeft w:val="1440"/>
          <w:marRight w:val="0"/>
          <w:marTop w:val="0"/>
          <w:marBottom w:val="0"/>
          <w:divBdr>
            <w:top w:val="none" w:sz="0" w:space="0" w:color="auto"/>
            <w:left w:val="none" w:sz="0" w:space="0" w:color="auto"/>
            <w:bottom w:val="none" w:sz="0" w:space="0" w:color="auto"/>
            <w:right w:val="none" w:sz="0" w:space="0" w:color="auto"/>
          </w:divBdr>
        </w:div>
        <w:div w:id="1826773239">
          <w:marLeft w:val="720"/>
          <w:marRight w:val="0"/>
          <w:marTop w:val="0"/>
          <w:marBottom w:val="0"/>
          <w:divBdr>
            <w:top w:val="none" w:sz="0" w:space="0" w:color="auto"/>
            <w:left w:val="none" w:sz="0" w:space="0" w:color="auto"/>
            <w:bottom w:val="none" w:sz="0" w:space="0" w:color="auto"/>
            <w:right w:val="none" w:sz="0" w:space="0" w:color="auto"/>
          </w:divBdr>
        </w:div>
        <w:div w:id="1995720412">
          <w:marLeft w:val="720"/>
          <w:marRight w:val="0"/>
          <w:marTop w:val="0"/>
          <w:marBottom w:val="0"/>
          <w:divBdr>
            <w:top w:val="none" w:sz="0" w:space="0" w:color="auto"/>
            <w:left w:val="none" w:sz="0" w:space="0" w:color="auto"/>
            <w:bottom w:val="none" w:sz="0" w:space="0" w:color="auto"/>
            <w:right w:val="none" w:sz="0" w:space="0" w:color="auto"/>
          </w:divBdr>
        </w:div>
        <w:div w:id="2006669492">
          <w:marLeft w:val="2160"/>
          <w:marRight w:val="0"/>
          <w:marTop w:val="0"/>
          <w:marBottom w:val="0"/>
          <w:divBdr>
            <w:top w:val="none" w:sz="0" w:space="0" w:color="auto"/>
            <w:left w:val="none" w:sz="0" w:space="0" w:color="auto"/>
            <w:bottom w:val="none" w:sz="0" w:space="0" w:color="auto"/>
            <w:right w:val="none" w:sz="0" w:space="0" w:color="auto"/>
          </w:divBdr>
        </w:div>
        <w:div w:id="2063482771">
          <w:marLeft w:val="1440"/>
          <w:marRight w:val="0"/>
          <w:marTop w:val="0"/>
          <w:marBottom w:val="0"/>
          <w:divBdr>
            <w:top w:val="none" w:sz="0" w:space="0" w:color="auto"/>
            <w:left w:val="none" w:sz="0" w:space="0" w:color="auto"/>
            <w:bottom w:val="none" w:sz="0" w:space="0" w:color="auto"/>
            <w:right w:val="none" w:sz="0" w:space="0" w:color="auto"/>
          </w:divBdr>
        </w:div>
        <w:div w:id="2091734236">
          <w:marLeft w:val="720"/>
          <w:marRight w:val="0"/>
          <w:marTop w:val="0"/>
          <w:marBottom w:val="0"/>
          <w:divBdr>
            <w:top w:val="none" w:sz="0" w:space="0" w:color="auto"/>
            <w:left w:val="none" w:sz="0" w:space="0" w:color="auto"/>
            <w:bottom w:val="none" w:sz="0" w:space="0" w:color="auto"/>
            <w:right w:val="none" w:sz="0" w:space="0" w:color="auto"/>
          </w:divBdr>
        </w:div>
        <w:div w:id="2102137207">
          <w:marLeft w:val="2160"/>
          <w:marRight w:val="0"/>
          <w:marTop w:val="0"/>
          <w:marBottom w:val="0"/>
          <w:divBdr>
            <w:top w:val="none" w:sz="0" w:space="0" w:color="auto"/>
            <w:left w:val="none" w:sz="0" w:space="0" w:color="auto"/>
            <w:bottom w:val="none" w:sz="0" w:space="0" w:color="auto"/>
            <w:right w:val="none" w:sz="0" w:space="0" w:color="auto"/>
          </w:divBdr>
        </w:div>
        <w:div w:id="2115637345">
          <w:marLeft w:val="2160"/>
          <w:marRight w:val="0"/>
          <w:marTop w:val="0"/>
          <w:marBottom w:val="0"/>
          <w:divBdr>
            <w:top w:val="none" w:sz="0" w:space="0" w:color="auto"/>
            <w:left w:val="none" w:sz="0" w:space="0" w:color="auto"/>
            <w:bottom w:val="none" w:sz="0" w:space="0" w:color="auto"/>
            <w:right w:val="none" w:sz="0" w:space="0" w:color="auto"/>
          </w:divBdr>
        </w:div>
      </w:divsChild>
    </w:div>
    <w:div w:id="1766076349">
      <w:bodyDiv w:val="1"/>
      <w:marLeft w:val="0"/>
      <w:marRight w:val="0"/>
      <w:marTop w:val="0"/>
      <w:marBottom w:val="0"/>
      <w:divBdr>
        <w:top w:val="none" w:sz="0" w:space="0" w:color="auto"/>
        <w:left w:val="none" w:sz="0" w:space="0" w:color="auto"/>
        <w:bottom w:val="none" w:sz="0" w:space="0" w:color="auto"/>
        <w:right w:val="none" w:sz="0" w:space="0" w:color="auto"/>
      </w:divBdr>
      <w:divsChild>
        <w:div w:id="725836106">
          <w:marLeft w:val="0"/>
          <w:marRight w:val="0"/>
          <w:marTop w:val="0"/>
          <w:marBottom w:val="0"/>
          <w:divBdr>
            <w:top w:val="none" w:sz="0" w:space="0" w:color="auto"/>
            <w:left w:val="none" w:sz="0" w:space="0" w:color="auto"/>
            <w:bottom w:val="none" w:sz="0" w:space="0" w:color="auto"/>
            <w:right w:val="none" w:sz="0" w:space="0" w:color="auto"/>
          </w:divBdr>
          <w:divsChild>
            <w:div w:id="179319559">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sChild>
                    <w:div w:id="1644459372">
                      <w:marLeft w:val="0"/>
                      <w:marRight w:val="0"/>
                      <w:marTop w:val="0"/>
                      <w:marBottom w:val="0"/>
                      <w:divBdr>
                        <w:top w:val="none" w:sz="0" w:space="0" w:color="auto"/>
                        <w:left w:val="none" w:sz="0" w:space="0" w:color="auto"/>
                        <w:bottom w:val="none" w:sz="0" w:space="0" w:color="auto"/>
                        <w:right w:val="none" w:sz="0" w:space="0" w:color="auto"/>
                      </w:divBdr>
                      <w:divsChild>
                        <w:div w:id="1242526043">
                          <w:marLeft w:val="0"/>
                          <w:marRight w:val="0"/>
                          <w:marTop w:val="0"/>
                          <w:marBottom w:val="0"/>
                          <w:divBdr>
                            <w:top w:val="none" w:sz="0" w:space="0" w:color="auto"/>
                            <w:left w:val="none" w:sz="0" w:space="0" w:color="auto"/>
                            <w:bottom w:val="none" w:sz="0" w:space="0" w:color="auto"/>
                            <w:right w:val="none" w:sz="0" w:space="0" w:color="auto"/>
                          </w:divBdr>
                          <w:divsChild>
                            <w:div w:id="725955339">
                              <w:marLeft w:val="0"/>
                              <w:marRight w:val="0"/>
                              <w:marTop w:val="0"/>
                              <w:marBottom w:val="0"/>
                              <w:divBdr>
                                <w:top w:val="none" w:sz="0" w:space="0" w:color="auto"/>
                                <w:left w:val="none" w:sz="0" w:space="0" w:color="auto"/>
                                <w:bottom w:val="none" w:sz="0" w:space="0" w:color="auto"/>
                                <w:right w:val="none" w:sz="0" w:space="0" w:color="auto"/>
                              </w:divBdr>
                              <w:divsChild>
                                <w:div w:id="757214159">
                                  <w:marLeft w:val="0"/>
                                  <w:marRight w:val="0"/>
                                  <w:marTop w:val="0"/>
                                  <w:marBottom w:val="0"/>
                                  <w:divBdr>
                                    <w:top w:val="none" w:sz="0" w:space="0" w:color="auto"/>
                                    <w:left w:val="none" w:sz="0" w:space="0" w:color="auto"/>
                                    <w:bottom w:val="none" w:sz="0" w:space="0" w:color="auto"/>
                                    <w:right w:val="none" w:sz="0" w:space="0" w:color="auto"/>
                                  </w:divBdr>
                                  <w:divsChild>
                                    <w:div w:id="1912883023">
                                      <w:marLeft w:val="0"/>
                                      <w:marRight w:val="0"/>
                                      <w:marTop w:val="0"/>
                                      <w:marBottom w:val="0"/>
                                      <w:divBdr>
                                        <w:top w:val="none" w:sz="0" w:space="0" w:color="auto"/>
                                        <w:left w:val="none" w:sz="0" w:space="0" w:color="auto"/>
                                        <w:bottom w:val="none" w:sz="0" w:space="0" w:color="auto"/>
                                        <w:right w:val="none" w:sz="0" w:space="0" w:color="auto"/>
                                      </w:divBdr>
                                      <w:divsChild>
                                        <w:div w:id="181018632">
                                          <w:marLeft w:val="0"/>
                                          <w:marRight w:val="0"/>
                                          <w:marTop w:val="0"/>
                                          <w:marBottom w:val="0"/>
                                          <w:divBdr>
                                            <w:top w:val="none" w:sz="0" w:space="0" w:color="auto"/>
                                            <w:left w:val="none" w:sz="0" w:space="0" w:color="auto"/>
                                            <w:bottom w:val="none" w:sz="0" w:space="0" w:color="auto"/>
                                            <w:right w:val="none" w:sz="0" w:space="0" w:color="auto"/>
                                          </w:divBdr>
                                          <w:divsChild>
                                            <w:div w:id="1789079642">
                                              <w:marLeft w:val="0"/>
                                              <w:marRight w:val="0"/>
                                              <w:marTop w:val="0"/>
                                              <w:marBottom w:val="0"/>
                                              <w:divBdr>
                                                <w:top w:val="none" w:sz="0" w:space="0" w:color="auto"/>
                                                <w:left w:val="none" w:sz="0" w:space="0" w:color="auto"/>
                                                <w:bottom w:val="none" w:sz="0" w:space="0" w:color="auto"/>
                                                <w:right w:val="none" w:sz="0" w:space="0" w:color="auto"/>
                                              </w:divBdr>
                                              <w:divsChild>
                                                <w:div w:id="200631576">
                                                  <w:marLeft w:val="0"/>
                                                  <w:marRight w:val="0"/>
                                                  <w:marTop w:val="0"/>
                                                  <w:marBottom w:val="0"/>
                                                  <w:divBdr>
                                                    <w:top w:val="none" w:sz="0" w:space="0" w:color="auto"/>
                                                    <w:left w:val="none" w:sz="0" w:space="0" w:color="auto"/>
                                                    <w:bottom w:val="none" w:sz="0" w:space="0" w:color="auto"/>
                                                    <w:right w:val="none" w:sz="0" w:space="0" w:color="auto"/>
                                                  </w:divBdr>
                                                  <w:divsChild>
                                                    <w:div w:id="280841815">
                                                      <w:marLeft w:val="0"/>
                                                      <w:marRight w:val="0"/>
                                                      <w:marTop w:val="0"/>
                                                      <w:marBottom w:val="0"/>
                                                      <w:divBdr>
                                                        <w:top w:val="none" w:sz="0" w:space="0" w:color="auto"/>
                                                        <w:left w:val="none" w:sz="0" w:space="0" w:color="auto"/>
                                                        <w:bottom w:val="none" w:sz="0" w:space="0" w:color="auto"/>
                                                        <w:right w:val="none" w:sz="0" w:space="0" w:color="auto"/>
                                                      </w:divBdr>
                                                      <w:divsChild>
                                                        <w:div w:id="120799057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sChild>
                                                                <w:div w:id="1857841359">
                                                                  <w:marLeft w:val="0"/>
                                                                  <w:marRight w:val="0"/>
                                                                  <w:marTop w:val="0"/>
                                                                  <w:marBottom w:val="0"/>
                                                                  <w:divBdr>
                                                                    <w:top w:val="none" w:sz="0" w:space="0" w:color="auto"/>
                                                                    <w:left w:val="none" w:sz="0" w:space="0" w:color="auto"/>
                                                                    <w:bottom w:val="none" w:sz="0" w:space="0" w:color="auto"/>
                                                                    <w:right w:val="none" w:sz="0" w:space="0" w:color="auto"/>
                                                                  </w:divBdr>
                                                                  <w:divsChild>
                                                                    <w:div w:id="128397375">
                                                                      <w:marLeft w:val="0"/>
                                                                      <w:marRight w:val="0"/>
                                                                      <w:marTop w:val="0"/>
                                                                      <w:marBottom w:val="0"/>
                                                                      <w:divBdr>
                                                                        <w:top w:val="none" w:sz="0" w:space="0" w:color="auto"/>
                                                                        <w:left w:val="none" w:sz="0" w:space="0" w:color="auto"/>
                                                                        <w:bottom w:val="none" w:sz="0" w:space="0" w:color="auto"/>
                                                                        <w:right w:val="none" w:sz="0" w:space="0" w:color="auto"/>
                                                                      </w:divBdr>
                                                                      <w:divsChild>
                                                                        <w:div w:id="292754934">
                                                                          <w:marLeft w:val="0"/>
                                                                          <w:marRight w:val="0"/>
                                                                          <w:marTop w:val="0"/>
                                                                          <w:marBottom w:val="0"/>
                                                                          <w:divBdr>
                                                                            <w:top w:val="none" w:sz="0" w:space="0" w:color="auto"/>
                                                                            <w:left w:val="none" w:sz="0" w:space="0" w:color="auto"/>
                                                                            <w:bottom w:val="none" w:sz="0" w:space="0" w:color="auto"/>
                                                                            <w:right w:val="none" w:sz="0" w:space="0" w:color="auto"/>
                                                                          </w:divBdr>
                                                                          <w:divsChild>
                                                                            <w:div w:id="389504204">
                                                                              <w:marLeft w:val="0"/>
                                                                              <w:marRight w:val="0"/>
                                                                              <w:marTop w:val="0"/>
                                                                              <w:marBottom w:val="0"/>
                                                                              <w:divBdr>
                                                                                <w:top w:val="none" w:sz="0" w:space="0" w:color="auto"/>
                                                                                <w:left w:val="none" w:sz="0" w:space="0" w:color="auto"/>
                                                                                <w:bottom w:val="none" w:sz="0" w:space="0" w:color="auto"/>
                                                                                <w:right w:val="none" w:sz="0" w:space="0" w:color="auto"/>
                                                                              </w:divBdr>
                                                                              <w:divsChild>
                                                                                <w:div w:id="1061713068">
                                                                                  <w:marLeft w:val="0"/>
                                                                                  <w:marRight w:val="0"/>
                                                                                  <w:marTop w:val="0"/>
                                                                                  <w:marBottom w:val="0"/>
                                                                                  <w:divBdr>
                                                                                    <w:top w:val="none" w:sz="0" w:space="0" w:color="auto"/>
                                                                                    <w:left w:val="none" w:sz="0" w:space="0" w:color="auto"/>
                                                                                    <w:bottom w:val="none" w:sz="0" w:space="0" w:color="auto"/>
                                                                                    <w:right w:val="none" w:sz="0" w:space="0" w:color="auto"/>
                                                                                  </w:divBdr>
                                                                                  <w:divsChild>
                                                                                    <w:div w:id="1194463795">
                                                                                      <w:marLeft w:val="0"/>
                                                                                      <w:marRight w:val="0"/>
                                                                                      <w:marTop w:val="0"/>
                                                                                      <w:marBottom w:val="0"/>
                                                                                      <w:divBdr>
                                                                                        <w:top w:val="none" w:sz="0" w:space="0" w:color="auto"/>
                                                                                        <w:left w:val="none" w:sz="0" w:space="0" w:color="auto"/>
                                                                                        <w:bottom w:val="none" w:sz="0" w:space="0" w:color="auto"/>
                                                                                        <w:right w:val="none" w:sz="0" w:space="0" w:color="auto"/>
                                                                                      </w:divBdr>
                                                                                      <w:divsChild>
                                                                                        <w:div w:id="1405840573">
                                                                                          <w:marLeft w:val="0"/>
                                                                                          <w:marRight w:val="0"/>
                                                                                          <w:marTop w:val="0"/>
                                                                                          <w:marBottom w:val="0"/>
                                                                                          <w:divBdr>
                                                                                            <w:top w:val="none" w:sz="0" w:space="0" w:color="auto"/>
                                                                                            <w:left w:val="none" w:sz="0" w:space="0" w:color="auto"/>
                                                                                            <w:bottom w:val="none" w:sz="0" w:space="0" w:color="auto"/>
                                                                                            <w:right w:val="none" w:sz="0" w:space="0" w:color="auto"/>
                                                                                          </w:divBdr>
                                                                                          <w:divsChild>
                                                                                            <w:div w:id="1224606676">
                                                                                              <w:marLeft w:val="0"/>
                                                                                              <w:marRight w:val="0"/>
                                                                                              <w:marTop w:val="0"/>
                                                                                              <w:marBottom w:val="0"/>
                                                                                              <w:divBdr>
                                                                                                <w:top w:val="none" w:sz="0" w:space="0" w:color="auto"/>
                                                                                                <w:left w:val="none" w:sz="0" w:space="0" w:color="auto"/>
                                                                                                <w:bottom w:val="none" w:sz="0" w:space="0" w:color="auto"/>
                                                                                                <w:right w:val="none" w:sz="0" w:space="0" w:color="auto"/>
                                                                                              </w:divBdr>
                                                                                              <w:divsChild>
                                                                                                <w:div w:id="140003285">
                                                                                                  <w:marLeft w:val="0"/>
                                                                                                  <w:marRight w:val="0"/>
                                                                                                  <w:marTop w:val="0"/>
                                                                                                  <w:marBottom w:val="0"/>
                                                                                                  <w:divBdr>
                                                                                                    <w:top w:val="none" w:sz="0" w:space="0" w:color="auto"/>
                                                                                                    <w:left w:val="none" w:sz="0" w:space="0" w:color="auto"/>
                                                                                                    <w:bottom w:val="none" w:sz="0" w:space="0" w:color="auto"/>
                                                                                                    <w:right w:val="none" w:sz="0" w:space="0" w:color="auto"/>
                                                                                                  </w:divBdr>
                                                                                                  <w:divsChild>
                                                                                                    <w:div w:id="109589758">
                                                                                                      <w:marLeft w:val="0"/>
                                                                                                      <w:marRight w:val="0"/>
                                                                                                      <w:marTop w:val="0"/>
                                                                                                      <w:marBottom w:val="0"/>
                                                                                                      <w:divBdr>
                                                                                                        <w:top w:val="none" w:sz="0" w:space="0" w:color="auto"/>
                                                                                                        <w:left w:val="none" w:sz="0" w:space="0" w:color="auto"/>
                                                                                                        <w:bottom w:val="none" w:sz="0" w:space="0" w:color="auto"/>
                                                                                                        <w:right w:val="none" w:sz="0" w:space="0" w:color="auto"/>
                                                                                                      </w:divBdr>
                                                                                                      <w:divsChild>
                                                                                                        <w:div w:id="1797212288">
                                                                                                          <w:marLeft w:val="0"/>
                                                                                                          <w:marRight w:val="0"/>
                                                                                                          <w:marTop w:val="0"/>
                                                                                                          <w:marBottom w:val="0"/>
                                                                                                          <w:divBdr>
                                                                                                            <w:top w:val="none" w:sz="0" w:space="0" w:color="auto"/>
                                                                                                            <w:left w:val="none" w:sz="0" w:space="0" w:color="auto"/>
                                                                                                            <w:bottom w:val="none" w:sz="0" w:space="0" w:color="auto"/>
                                                                                                            <w:right w:val="none" w:sz="0" w:space="0" w:color="auto"/>
                                                                                                          </w:divBdr>
                                                                                                          <w:divsChild>
                                                                                                            <w:div w:id="1317299553">
                                                                                                              <w:marLeft w:val="0"/>
                                                                                                              <w:marRight w:val="0"/>
                                                                                                              <w:marTop w:val="0"/>
                                                                                                              <w:marBottom w:val="0"/>
                                                                                                              <w:divBdr>
                                                                                                                <w:top w:val="none" w:sz="0" w:space="0" w:color="auto"/>
                                                                                                                <w:left w:val="none" w:sz="0" w:space="0" w:color="auto"/>
                                                                                                                <w:bottom w:val="none" w:sz="0" w:space="0" w:color="auto"/>
                                                                                                                <w:right w:val="none" w:sz="0" w:space="0" w:color="auto"/>
                                                                                                              </w:divBdr>
                                                                                                              <w:divsChild>
                                                                                                                <w:div w:id="464541938">
                                                                                                                  <w:marLeft w:val="0"/>
                                                                                                                  <w:marRight w:val="0"/>
                                                                                                                  <w:marTop w:val="0"/>
                                                                                                                  <w:marBottom w:val="0"/>
                                                                                                                  <w:divBdr>
                                                                                                                    <w:top w:val="none" w:sz="0" w:space="0" w:color="auto"/>
                                                                                                                    <w:left w:val="none" w:sz="0" w:space="0" w:color="auto"/>
                                                                                                                    <w:bottom w:val="none" w:sz="0" w:space="0" w:color="auto"/>
                                                                                                                    <w:right w:val="none" w:sz="0" w:space="0" w:color="auto"/>
                                                                                                                  </w:divBdr>
                                                                                                                  <w:divsChild>
                                                                                                                    <w:div w:id="764111827">
                                                                                                                      <w:marLeft w:val="0"/>
                                                                                                                      <w:marRight w:val="0"/>
                                                                                                                      <w:marTop w:val="0"/>
                                                                                                                      <w:marBottom w:val="0"/>
                                                                                                                      <w:divBdr>
                                                                                                                        <w:top w:val="none" w:sz="0" w:space="0" w:color="auto"/>
                                                                                                                        <w:left w:val="none" w:sz="0" w:space="0" w:color="auto"/>
                                                                                                                        <w:bottom w:val="none" w:sz="0" w:space="0" w:color="auto"/>
                                                                                                                        <w:right w:val="none" w:sz="0" w:space="0" w:color="auto"/>
                                                                                                                      </w:divBdr>
                                                                                                                      <w:divsChild>
                                                                                                                        <w:div w:id="916283550">
                                                                                                                          <w:marLeft w:val="0"/>
                                                                                                                          <w:marRight w:val="0"/>
                                                                                                                          <w:marTop w:val="0"/>
                                                                                                                          <w:marBottom w:val="0"/>
                                                                                                                          <w:divBdr>
                                                                                                                            <w:top w:val="none" w:sz="0" w:space="0" w:color="auto"/>
                                                                                                                            <w:left w:val="none" w:sz="0" w:space="0" w:color="auto"/>
                                                                                                                            <w:bottom w:val="none" w:sz="0" w:space="0" w:color="auto"/>
                                                                                                                            <w:right w:val="none" w:sz="0" w:space="0" w:color="auto"/>
                                                                                                                          </w:divBdr>
                                                                                                                          <w:divsChild>
                                                                                                                            <w:div w:id="545988872">
                                                                                                                              <w:marLeft w:val="0"/>
                                                                                                                              <w:marRight w:val="0"/>
                                                                                                                              <w:marTop w:val="0"/>
                                                                                                                              <w:marBottom w:val="0"/>
                                                                                                                              <w:divBdr>
                                                                                                                                <w:top w:val="none" w:sz="0" w:space="0" w:color="auto"/>
                                                                                                                                <w:left w:val="none" w:sz="0" w:space="0" w:color="auto"/>
                                                                                                                                <w:bottom w:val="none" w:sz="0" w:space="0" w:color="auto"/>
                                                                                                                                <w:right w:val="none" w:sz="0" w:space="0" w:color="auto"/>
                                                                                                                              </w:divBdr>
                                                                                                                              <w:divsChild>
                                                                                                                                <w:div w:id="93944591">
                                                                                                                                  <w:marLeft w:val="0"/>
                                                                                                                                  <w:marRight w:val="0"/>
                                                                                                                                  <w:marTop w:val="0"/>
                                                                                                                                  <w:marBottom w:val="0"/>
                                                                                                                                  <w:divBdr>
                                                                                                                                    <w:top w:val="none" w:sz="0" w:space="0" w:color="auto"/>
                                                                                                                                    <w:left w:val="none" w:sz="0" w:space="0" w:color="auto"/>
                                                                                                                                    <w:bottom w:val="none" w:sz="0" w:space="0" w:color="auto"/>
                                                                                                                                    <w:right w:val="none" w:sz="0" w:space="0" w:color="auto"/>
                                                                                                                                  </w:divBdr>
                                                                                                                                </w:div>
                                                                                                                                <w:div w:id="418674419">
                                                                                                                                  <w:marLeft w:val="0"/>
                                                                                                                                  <w:marRight w:val="0"/>
                                                                                                                                  <w:marTop w:val="0"/>
                                                                                                                                  <w:marBottom w:val="0"/>
                                                                                                                                  <w:divBdr>
                                                                                                                                    <w:top w:val="none" w:sz="0" w:space="0" w:color="auto"/>
                                                                                                                                    <w:left w:val="none" w:sz="0" w:space="0" w:color="auto"/>
                                                                                                                                    <w:bottom w:val="none" w:sz="0" w:space="0" w:color="auto"/>
                                                                                                                                    <w:right w:val="none" w:sz="0" w:space="0" w:color="auto"/>
                                                                                                                                  </w:divBdr>
                                                                                                                                </w:div>
                                                                                                                                <w:div w:id="568999440">
                                                                                                                                  <w:marLeft w:val="0"/>
                                                                                                                                  <w:marRight w:val="0"/>
                                                                                                                                  <w:marTop w:val="0"/>
                                                                                                                                  <w:marBottom w:val="0"/>
                                                                                                                                  <w:divBdr>
                                                                                                                                    <w:top w:val="none" w:sz="0" w:space="0" w:color="auto"/>
                                                                                                                                    <w:left w:val="none" w:sz="0" w:space="0" w:color="auto"/>
                                                                                                                                    <w:bottom w:val="none" w:sz="0" w:space="0" w:color="auto"/>
                                                                                                                                    <w:right w:val="none" w:sz="0" w:space="0" w:color="auto"/>
                                                                                                                                  </w:divBdr>
                                                                                                                                </w:div>
                                                                                                                                <w:div w:id="659579705">
                                                                                                                                  <w:marLeft w:val="0"/>
                                                                                                                                  <w:marRight w:val="0"/>
                                                                                                                                  <w:marTop w:val="0"/>
                                                                                                                                  <w:marBottom w:val="0"/>
                                                                                                                                  <w:divBdr>
                                                                                                                                    <w:top w:val="none" w:sz="0" w:space="0" w:color="auto"/>
                                                                                                                                    <w:left w:val="none" w:sz="0" w:space="0" w:color="auto"/>
                                                                                                                                    <w:bottom w:val="none" w:sz="0" w:space="0" w:color="auto"/>
                                                                                                                                    <w:right w:val="none" w:sz="0" w:space="0" w:color="auto"/>
                                                                                                                                  </w:divBdr>
                                                                                                                                </w:div>
                                                                                                                                <w:div w:id="805855740">
                                                                                                                                  <w:marLeft w:val="0"/>
                                                                                                                                  <w:marRight w:val="0"/>
                                                                                                                                  <w:marTop w:val="0"/>
                                                                                                                                  <w:marBottom w:val="0"/>
                                                                                                                                  <w:divBdr>
                                                                                                                                    <w:top w:val="none" w:sz="0" w:space="0" w:color="auto"/>
                                                                                                                                    <w:left w:val="none" w:sz="0" w:space="0" w:color="auto"/>
                                                                                                                                    <w:bottom w:val="none" w:sz="0" w:space="0" w:color="auto"/>
                                                                                                                                    <w:right w:val="none" w:sz="0" w:space="0" w:color="auto"/>
                                                                                                                                  </w:divBdr>
                                                                                                                                </w:div>
                                                                                                                                <w:div w:id="1424179955">
                                                                                                                                  <w:marLeft w:val="0"/>
                                                                                                                                  <w:marRight w:val="0"/>
                                                                                                                                  <w:marTop w:val="0"/>
                                                                                                                                  <w:marBottom w:val="0"/>
                                                                                                                                  <w:divBdr>
                                                                                                                                    <w:top w:val="none" w:sz="0" w:space="0" w:color="auto"/>
                                                                                                                                    <w:left w:val="none" w:sz="0" w:space="0" w:color="auto"/>
                                                                                                                                    <w:bottom w:val="none" w:sz="0" w:space="0" w:color="auto"/>
                                                                                                                                    <w:right w:val="none" w:sz="0" w:space="0" w:color="auto"/>
                                                                                                                                  </w:divBdr>
                                                                                                                                </w:div>
                                                                                                                                <w:div w:id="1663385007">
                                                                                                                                  <w:marLeft w:val="0"/>
                                                                                                                                  <w:marRight w:val="0"/>
                                                                                                                                  <w:marTop w:val="0"/>
                                                                                                                                  <w:marBottom w:val="0"/>
                                                                                                                                  <w:divBdr>
                                                                                                                                    <w:top w:val="none" w:sz="0" w:space="0" w:color="auto"/>
                                                                                                                                    <w:left w:val="none" w:sz="0" w:space="0" w:color="auto"/>
                                                                                                                                    <w:bottom w:val="none" w:sz="0" w:space="0" w:color="auto"/>
                                                                                                                                    <w:right w:val="none" w:sz="0" w:space="0" w:color="auto"/>
                                                                                                                                  </w:divBdr>
                                                                                                                                </w:div>
                                                                                                                                <w:div w:id="1970277674">
                                                                                                                                  <w:marLeft w:val="0"/>
                                                                                                                                  <w:marRight w:val="0"/>
                                                                                                                                  <w:marTop w:val="0"/>
                                                                                                                                  <w:marBottom w:val="0"/>
                                                                                                                                  <w:divBdr>
                                                                                                                                    <w:top w:val="none" w:sz="0" w:space="0" w:color="auto"/>
                                                                                                                                    <w:left w:val="none" w:sz="0" w:space="0" w:color="auto"/>
                                                                                                                                    <w:bottom w:val="none" w:sz="0" w:space="0" w:color="auto"/>
                                                                                                                                    <w:right w:val="none" w:sz="0" w:space="0" w:color="auto"/>
                                                                                                                                  </w:divBdr>
                                                                                                                                </w:div>
                                                                                                                                <w:div w:id="2067873690">
                                                                                                                                  <w:marLeft w:val="0"/>
                                                                                                                                  <w:marRight w:val="0"/>
                                                                                                                                  <w:marTop w:val="0"/>
                                                                                                                                  <w:marBottom w:val="0"/>
                                                                                                                                  <w:divBdr>
                                                                                                                                    <w:top w:val="none" w:sz="0" w:space="0" w:color="auto"/>
                                                                                                                                    <w:left w:val="none" w:sz="0" w:space="0" w:color="auto"/>
                                                                                                                                    <w:bottom w:val="none" w:sz="0" w:space="0" w:color="auto"/>
                                                                                                                                    <w:right w:val="none" w:sz="0" w:space="0" w:color="auto"/>
                                                                                                                                  </w:divBdr>
                                                                                                                                </w:div>
                                                                                                                                <w:div w:id="2096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0563634">
      <w:bodyDiv w:val="1"/>
      <w:marLeft w:val="0"/>
      <w:marRight w:val="0"/>
      <w:marTop w:val="0"/>
      <w:marBottom w:val="0"/>
      <w:divBdr>
        <w:top w:val="none" w:sz="0" w:space="0" w:color="auto"/>
        <w:left w:val="none" w:sz="0" w:space="0" w:color="auto"/>
        <w:bottom w:val="none" w:sz="0" w:space="0" w:color="auto"/>
        <w:right w:val="none" w:sz="0" w:space="0" w:color="auto"/>
      </w:divBdr>
    </w:div>
    <w:div w:id="185213827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56937426">
      <w:bodyDiv w:val="1"/>
      <w:marLeft w:val="0"/>
      <w:marRight w:val="0"/>
      <w:marTop w:val="0"/>
      <w:marBottom w:val="0"/>
      <w:divBdr>
        <w:top w:val="none" w:sz="0" w:space="0" w:color="auto"/>
        <w:left w:val="none" w:sz="0" w:space="0" w:color="auto"/>
        <w:bottom w:val="none" w:sz="0" w:space="0" w:color="auto"/>
        <w:right w:val="none" w:sz="0" w:space="0" w:color="auto"/>
      </w:divBdr>
    </w:div>
    <w:div w:id="1980114243">
      <w:bodyDiv w:val="1"/>
      <w:marLeft w:val="0"/>
      <w:marRight w:val="0"/>
      <w:marTop w:val="0"/>
      <w:marBottom w:val="0"/>
      <w:divBdr>
        <w:top w:val="none" w:sz="0" w:space="0" w:color="auto"/>
        <w:left w:val="none" w:sz="0" w:space="0" w:color="auto"/>
        <w:bottom w:val="none" w:sz="0" w:space="0" w:color="auto"/>
        <w:right w:val="none" w:sz="0" w:space="0" w:color="auto"/>
      </w:divBdr>
    </w:div>
    <w:div w:id="1995257375">
      <w:bodyDiv w:val="1"/>
      <w:marLeft w:val="0"/>
      <w:marRight w:val="0"/>
      <w:marTop w:val="0"/>
      <w:marBottom w:val="0"/>
      <w:divBdr>
        <w:top w:val="none" w:sz="0" w:space="0" w:color="auto"/>
        <w:left w:val="none" w:sz="0" w:space="0" w:color="auto"/>
        <w:bottom w:val="none" w:sz="0" w:space="0" w:color="auto"/>
        <w:right w:val="none" w:sz="0" w:space="0" w:color="auto"/>
      </w:divBdr>
    </w:div>
    <w:div w:id="2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7525317">
          <w:marLeft w:val="0"/>
          <w:marRight w:val="0"/>
          <w:marTop w:val="211"/>
          <w:marBottom w:val="0"/>
          <w:divBdr>
            <w:top w:val="none" w:sz="0" w:space="0" w:color="auto"/>
            <w:left w:val="none" w:sz="0" w:space="0" w:color="auto"/>
            <w:bottom w:val="none" w:sz="0" w:space="0" w:color="auto"/>
            <w:right w:val="none" w:sz="0" w:space="0" w:color="auto"/>
          </w:divBdr>
        </w:div>
        <w:div w:id="387606535">
          <w:marLeft w:val="0"/>
          <w:marRight w:val="0"/>
          <w:marTop w:val="211"/>
          <w:marBottom w:val="0"/>
          <w:divBdr>
            <w:top w:val="none" w:sz="0" w:space="0" w:color="auto"/>
            <w:left w:val="none" w:sz="0" w:space="0" w:color="auto"/>
            <w:bottom w:val="none" w:sz="0" w:space="0" w:color="auto"/>
            <w:right w:val="none" w:sz="0" w:space="0" w:color="auto"/>
          </w:divBdr>
        </w:div>
        <w:div w:id="1311595510">
          <w:marLeft w:val="0"/>
          <w:marRight w:val="0"/>
          <w:marTop w:val="211"/>
          <w:marBottom w:val="0"/>
          <w:divBdr>
            <w:top w:val="none" w:sz="0" w:space="0" w:color="auto"/>
            <w:left w:val="none" w:sz="0" w:space="0" w:color="auto"/>
            <w:bottom w:val="none" w:sz="0" w:space="0" w:color="auto"/>
            <w:right w:val="none" w:sz="0" w:space="0" w:color="auto"/>
          </w:divBdr>
        </w:div>
        <w:div w:id="1639530933">
          <w:marLeft w:val="0"/>
          <w:marRight w:val="0"/>
          <w:marTop w:val="211"/>
          <w:marBottom w:val="0"/>
          <w:divBdr>
            <w:top w:val="none" w:sz="0" w:space="0" w:color="auto"/>
            <w:left w:val="none" w:sz="0" w:space="0" w:color="auto"/>
            <w:bottom w:val="none" w:sz="0" w:space="0" w:color="auto"/>
            <w:right w:val="none" w:sz="0" w:space="0" w:color="auto"/>
          </w:divBdr>
        </w:div>
        <w:div w:id="1648586859">
          <w:marLeft w:val="0"/>
          <w:marRight w:val="0"/>
          <w:marTop w:val="211"/>
          <w:marBottom w:val="0"/>
          <w:divBdr>
            <w:top w:val="none" w:sz="0" w:space="0" w:color="auto"/>
            <w:left w:val="none" w:sz="0" w:space="0" w:color="auto"/>
            <w:bottom w:val="none" w:sz="0" w:space="0" w:color="auto"/>
            <w:right w:val="none" w:sz="0" w:space="0" w:color="auto"/>
          </w:divBdr>
        </w:div>
      </w:divsChild>
    </w:div>
    <w:div w:id="2084641012">
      <w:bodyDiv w:val="1"/>
      <w:marLeft w:val="0"/>
      <w:marRight w:val="0"/>
      <w:marTop w:val="0"/>
      <w:marBottom w:val="0"/>
      <w:divBdr>
        <w:top w:val="none" w:sz="0" w:space="0" w:color="auto"/>
        <w:left w:val="none" w:sz="0" w:space="0" w:color="auto"/>
        <w:bottom w:val="none" w:sz="0" w:space="0" w:color="auto"/>
        <w:right w:val="none" w:sz="0" w:space="0" w:color="auto"/>
      </w:divBdr>
      <w:divsChild>
        <w:div w:id="11304888">
          <w:marLeft w:val="720"/>
          <w:marRight w:val="0"/>
          <w:marTop w:val="0"/>
          <w:marBottom w:val="0"/>
          <w:divBdr>
            <w:top w:val="none" w:sz="0" w:space="0" w:color="auto"/>
            <w:left w:val="none" w:sz="0" w:space="0" w:color="auto"/>
            <w:bottom w:val="none" w:sz="0" w:space="0" w:color="auto"/>
            <w:right w:val="none" w:sz="0" w:space="0" w:color="auto"/>
          </w:divBdr>
        </w:div>
        <w:div w:id="17049379">
          <w:marLeft w:val="720"/>
          <w:marRight w:val="0"/>
          <w:marTop w:val="0"/>
          <w:marBottom w:val="0"/>
          <w:divBdr>
            <w:top w:val="none" w:sz="0" w:space="0" w:color="auto"/>
            <w:left w:val="none" w:sz="0" w:space="0" w:color="auto"/>
            <w:bottom w:val="none" w:sz="0" w:space="0" w:color="auto"/>
            <w:right w:val="none" w:sz="0" w:space="0" w:color="auto"/>
          </w:divBdr>
        </w:div>
      </w:divsChild>
    </w:div>
    <w:div w:id="2118481807">
      <w:bodyDiv w:val="1"/>
      <w:marLeft w:val="0"/>
      <w:marRight w:val="0"/>
      <w:marTop w:val="0"/>
      <w:marBottom w:val="0"/>
      <w:divBdr>
        <w:top w:val="none" w:sz="0" w:space="0" w:color="auto"/>
        <w:left w:val="none" w:sz="0" w:space="0" w:color="auto"/>
        <w:bottom w:val="none" w:sz="0" w:space="0" w:color="auto"/>
        <w:right w:val="none" w:sz="0" w:space="0" w:color="auto"/>
      </w:divBdr>
    </w:div>
    <w:div w:id="2134322234">
      <w:bodyDiv w:val="1"/>
      <w:marLeft w:val="0"/>
      <w:marRight w:val="0"/>
      <w:marTop w:val="0"/>
      <w:marBottom w:val="0"/>
      <w:divBdr>
        <w:top w:val="none" w:sz="0" w:space="0" w:color="auto"/>
        <w:left w:val="none" w:sz="0" w:space="0" w:color="auto"/>
        <w:bottom w:val="none" w:sz="0" w:space="0" w:color="auto"/>
        <w:right w:val="none" w:sz="0" w:space="0" w:color="auto"/>
      </w:divBdr>
    </w:div>
    <w:div w:id="2140416145">
      <w:bodyDiv w:val="1"/>
      <w:marLeft w:val="0"/>
      <w:marRight w:val="0"/>
      <w:marTop w:val="0"/>
      <w:marBottom w:val="0"/>
      <w:divBdr>
        <w:top w:val="none" w:sz="0" w:space="0" w:color="auto"/>
        <w:left w:val="none" w:sz="0" w:space="0" w:color="auto"/>
        <w:bottom w:val="none" w:sz="0" w:space="0" w:color="auto"/>
        <w:right w:val="none" w:sz="0" w:space="0" w:color="auto"/>
      </w:divBdr>
      <w:divsChild>
        <w:div w:id="582298340">
          <w:marLeft w:val="720"/>
          <w:marRight w:val="0"/>
          <w:marTop w:val="0"/>
          <w:marBottom w:val="0"/>
          <w:divBdr>
            <w:top w:val="none" w:sz="0" w:space="0" w:color="auto"/>
            <w:left w:val="none" w:sz="0" w:space="0" w:color="auto"/>
            <w:bottom w:val="none" w:sz="0" w:space="0" w:color="auto"/>
            <w:right w:val="none" w:sz="0" w:space="0" w:color="auto"/>
          </w:divBdr>
        </w:div>
        <w:div w:id="741757004">
          <w:marLeft w:val="720"/>
          <w:marRight w:val="0"/>
          <w:marTop w:val="0"/>
          <w:marBottom w:val="0"/>
          <w:divBdr>
            <w:top w:val="none" w:sz="0" w:space="0" w:color="auto"/>
            <w:left w:val="none" w:sz="0" w:space="0" w:color="auto"/>
            <w:bottom w:val="none" w:sz="0" w:space="0" w:color="auto"/>
            <w:right w:val="none" w:sz="0" w:space="0" w:color="auto"/>
          </w:divBdr>
        </w:div>
        <w:div w:id="208830476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SO%20Work%20coverage\1.%20DHHS_SO\1.%20DHDSR\DH%20Standards\DH%20-%20Application%20Solution%20Guide\DH%20Standard%20-%20Application%20Solution%20Guide%20-%20Final.docx" TargetMode="External"/><Relationship Id="rId18" Type="http://schemas.openxmlformats.org/officeDocument/2006/relationships/footer" Target="footer2.xml"/><Relationship Id="rId26" Type="http://schemas.openxmlformats.org/officeDocument/2006/relationships/hyperlink" Target="https://www2.health.vic.gov.au/hospitals-and-health-services/quality-safety-service/digital-health/dh-standards-guidelines"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quality-safety-service/digital-health/dh-standards-guidelines/digital-design-unified-implementation-guide"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file:///C:\Data\SO%20Work%20coverage\1.%20DHHS_SO\1.%20DHDSR\DH%20Standards\DH%20-%20Application%20Solution%20Guide\DH%20Standard%20-%20Application%20Solution%20Guide%20-%20Final.docx" TargetMode="External"/><Relationship Id="rId17" Type="http://schemas.openxmlformats.org/officeDocument/2006/relationships/footer" Target="footer1.xml"/><Relationship Id="rId25" Type="http://schemas.openxmlformats.org/officeDocument/2006/relationships/hyperlink" Target="https://www.digitalhealth.gov.au/"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igitalhealth@dhhs.vic.gov.au"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eveloper.digitalhealth.gov.au/specifications/clinical-documents/ep-2689-2018" TargetMode="External"/><Relationship Id="rId28" Type="http://schemas.openxmlformats.org/officeDocument/2006/relationships/header" Target="header4.xm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SO%20Work%20coverage\1.%20DHHS_SO\1.%20DHDSR\DH%20Standards\DH%20-%20Application%20Solution%20Guide\DH%20Standard%20-%20Application%20Solution%20Guide%20-%20Final.docx" TargetMode="External"/><Relationship Id="rId22" Type="http://schemas.openxmlformats.org/officeDocument/2006/relationships/hyperlink" Target="https://www2.health.vic.gov.au/hospitals-and-health-services/quality-safety-service/digital-health/dh-standards-guidelines/statewide-pathology-imaging-catalogues" TargetMode="External"/><Relationship Id="rId27" Type="http://schemas.openxmlformats.org/officeDocument/2006/relationships/image" Target="media/image2.png"/><Relationship Id="rId30" Type="http://schemas.openxmlformats.org/officeDocument/2006/relationships/footer" Target="footer4.xml"/><Relationship Id="rId35"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2.health.vic.gov.au/hospitals-and-health-services/quality-safety-service/digital-health/dh-standards-guidelines/digital-design-unified-implementation-guide" TargetMode="External"/><Relationship Id="rId2" Type="http://schemas.openxmlformats.org/officeDocument/2006/relationships/hyperlink" Target="https://www.himssanalytics.org/emram" TargetMode="External"/><Relationship Id="rId1" Type="http://schemas.openxmlformats.org/officeDocument/2006/relationships/hyperlink" Target="https://www2.health.vic.gov.au/hospitals-and-health-services/quality-safety-service/digital-health/dh-standards-guidelines/digital-design-unified-implementation-guide" TargetMode="External"/><Relationship Id="rId4" Type="http://schemas.openxmlformats.org/officeDocument/2006/relationships/hyperlink" Target="https://www2.health.vic.gov.au/hospitals-and-health-services/quality-safety-service/digital-health/dh-standards-guidelines/statewide-pathology-imaging-catalog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4" ma:contentTypeDescription="Create a new document." ma:contentTypeScope="" ma:versionID="a933f7c7b13d2cb0fde14f7609411b59">
  <xsd:schema xmlns:xsd="http://www.w3.org/2001/XMLSchema" xmlns:xs="http://www.w3.org/2001/XMLSchema" xmlns:p="http://schemas.microsoft.com/office/2006/metadata/properties" xmlns:ns2="3fdefc27-9daa-4412-9bc3-ba173f0af375" targetNamespace="http://schemas.microsoft.com/office/2006/metadata/properties" ma:root="true" ma:fieldsID="3e0792a4e5396faddf060c0231ad9812" ns2:_="">
    <xsd:import namespace="3fdefc27-9daa-4412-9bc3-ba173f0af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53F6-F658-48DE-A8E9-9DF91970F6E4}">
  <ds:schemaRefs>
    <ds:schemaRef ds:uri="http://schemas.microsoft.com/sharepoint/v3/contenttype/forms"/>
  </ds:schemaRefs>
</ds:datastoreItem>
</file>

<file path=customXml/itemProps2.xml><?xml version="1.0" encoding="utf-8"?>
<ds:datastoreItem xmlns:ds="http://schemas.openxmlformats.org/officeDocument/2006/customXml" ds:itemID="{1A1C4796-907C-43E5-814C-7B1D66138B21}">
  <ds:schemaRefs>
    <ds:schemaRef ds:uri="http://schemas.microsoft.com/office/2006/metadata/properties"/>
  </ds:schemaRefs>
</ds:datastoreItem>
</file>

<file path=customXml/itemProps3.xml><?xml version="1.0" encoding="utf-8"?>
<ds:datastoreItem xmlns:ds="http://schemas.openxmlformats.org/officeDocument/2006/customXml" ds:itemID="{7166AA46-DEE7-4DCA-858D-855F7CC0C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2BFA5-98C3-4C63-A066-94972336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0</TotalTime>
  <Pages>33</Pages>
  <Words>8356</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Standards Template</vt:lpstr>
    </vt:vector>
  </TitlesOfParts>
  <Company>Department of Health and Human Services</Company>
  <LinksUpToDate>false</LinksUpToDate>
  <CharactersWithSpaces>55880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subject/>
  <dc:creator>Stephen A Oluyide (DHHS)</dc:creator>
  <cp:keywords/>
  <dc:description/>
  <cp:lastModifiedBy>Terry Truman (DHHS)</cp:lastModifiedBy>
  <cp:revision>2</cp:revision>
  <cp:lastPrinted>2019-09-09T02:16:00Z</cp:lastPrinted>
  <dcterms:created xsi:type="dcterms:W3CDTF">2020-09-09T23:07:00Z</dcterms:created>
  <dcterms:modified xsi:type="dcterms:W3CDTF">2020-09-09T23:07:00Z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vineesh.khanna@dhhs.vic.gov.au</vt:lpwstr>
  </property>
  <property fmtid="{D5CDD505-2E9C-101B-9397-08002B2CF9AE}" pid="7" name="MSIP_Label_43e64453-338c-4f93-8a4d-0039a0a41f2a_SetDate">
    <vt:lpwstr>2020-07-24T05:41:48.9363202Z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98913056-4124-4abf-9198-91ab928488ac</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