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988B" w14:textId="77777777" w:rsidR="00002990" w:rsidRPr="003072C6" w:rsidRDefault="003A76B5"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39E8A588" wp14:editId="2D231F5C">
            <wp:simplePos x="0" y="0"/>
            <wp:positionH relativeFrom="page">
              <wp:posOffset>0</wp:posOffset>
            </wp:positionH>
            <wp:positionV relativeFrom="page">
              <wp:posOffset>0</wp:posOffset>
            </wp:positionV>
            <wp:extent cx="7563485" cy="10700385"/>
            <wp:effectExtent l="0" t="0" r="0" b="5715"/>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8A4C868" w14:textId="77777777" w:rsidTr="004C5777">
        <w:trPr>
          <w:trHeight w:val="3988"/>
        </w:trPr>
        <w:tc>
          <w:tcPr>
            <w:tcW w:w="7938" w:type="dxa"/>
            <w:shd w:val="clear" w:color="auto" w:fill="auto"/>
          </w:tcPr>
          <w:p w14:paraId="52AAF984" w14:textId="77777777" w:rsidR="007D61C5" w:rsidRDefault="007D61C5" w:rsidP="00E91933">
            <w:pPr>
              <w:pStyle w:val="DHHSreportsubtitlewhite"/>
              <w:rPr>
                <w:sz w:val="50"/>
                <w:szCs w:val="50"/>
              </w:rPr>
            </w:pPr>
            <w:r w:rsidRPr="007D61C5">
              <w:rPr>
                <w:sz w:val="50"/>
                <w:szCs w:val="50"/>
              </w:rPr>
              <w:t>Appendix 3: Accreditation notification contacts and timelines</w:t>
            </w:r>
          </w:p>
          <w:p w14:paraId="043321D0" w14:textId="77777777" w:rsidR="00444D82" w:rsidRPr="003072C6" w:rsidRDefault="007D61C5" w:rsidP="00E91933">
            <w:pPr>
              <w:pStyle w:val="DHHSreportsubtitlewhite"/>
            </w:pPr>
            <w:r w:rsidRPr="007D61C5">
              <w:t>National Safety and Quality Health Service Standards</w:t>
            </w:r>
          </w:p>
        </w:tc>
      </w:tr>
      <w:tr w:rsidR="001817CD" w:rsidRPr="003072C6" w14:paraId="071E5360" w14:textId="77777777" w:rsidTr="004C5777">
        <w:trPr>
          <w:trHeight w:val="4664"/>
        </w:trPr>
        <w:tc>
          <w:tcPr>
            <w:tcW w:w="10252" w:type="dxa"/>
            <w:shd w:val="clear" w:color="auto" w:fill="auto"/>
          </w:tcPr>
          <w:p w14:paraId="24A91F31" w14:textId="77777777" w:rsidR="00BC01C1" w:rsidRPr="003072C6" w:rsidRDefault="00BC01C1" w:rsidP="004F3441">
            <w:pPr>
              <w:pStyle w:val="Coverinstructions"/>
            </w:pPr>
          </w:p>
        </w:tc>
      </w:tr>
    </w:tbl>
    <w:p w14:paraId="317142AC" w14:textId="77777777" w:rsidR="0069374A" w:rsidRPr="003072C6" w:rsidRDefault="0069374A" w:rsidP="00C2657D">
      <w:pPr>
        <w:pStyle w:val="DHHSbodynospace"/>
        <w:ind w:left="-454"/>
      </w:pPr>
    </w:p>
    <w:p w14:paraId="61178E2F"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5FB688C6" w14:textId="36BA7131" w:rsidR="00AC0C3B" w:rsidRPr="003072C6" w:rsidRDefault="003A76B5"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3776D4CE" wp14:editId="64CEA825">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29F0" w14:textId="77777777"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6D4C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47D929F0" w14:textId="77777777"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6DC867D4" w14:textId="77777777" w:rsidTr="00CA6D4E">
        <w:trPr>
          <w:trHeight w:val="7402"/>
        </w:trPr>
        <w:tc>
          <w:tcPr>
            <w:tcW w:w="9298" w:type="dxa"/>
            <w:shd w:val="clear" w:color="auto" w:fill="auto"/>
            <w:vAlign w:val="center"/>
          </w:tcPr>
          <w:p w14:paraId="3E1F4B31" w14:textId="77777777" w:rsidR="000B246B" w:rsidRDefault="000B246B" w:rsidP="00630937">
            <w:pPr>
              <w:pStyle w:val="DHHSreportsubtitle"/>
              <w:rPr>
                <w:color w:val="87189D"/>
                <w:sz w:val="50"/>
                <w:szCs w:val="24"/>
              </w:rPr>
            </w:pPr>
          </w:p>
          <w:p w14:paraId="483EC367" w14:textId="77777777" w:rsidR="000B246B" w:rsidRDefault="000B246B" w:rsidP="00630937">
            <w:pPr>
              <w:pStyle w:val="DHHSreportsubtitle"/>
              <w:rPr>
                <w:color w:val="87189D"/>
                <w:sz w:val="50"/>
                <w:szCs w:val="24"/>
              </w:rPr>
            </w:pPr>
          </w:p>
          <w:p w14:paraId="3462CAC9" w14:textId="77777777" w:rsidR="000B246B" w:rsidRDefault="000B246B" w:rsidP="00630937">
            <w:pPr>
              <w:pStyle w:val="DHHSreportsubtitle"/>
              <w:rPr>
                <w:color w:val="87189D"/>
                <w:sz w:val="50"/>
                <w:szCs w:val="24"/>
              </w:rPr>
            </w:pPr>
          </w:p>
          <w:p w14:paraId="2118BDEC" w14:textId="77777777" w:rsidR="000B246B" w:rsidRDefault="000B246B" w:rsidP="00630937">
            <w:pPr>
              <w:pStyle w:val="DHHSreportsubtitle"/>
              <w:rPr>
                <w:color w:val="87189D"/>
                <w:sz w:val="50"/>
                <w:szCs w:val="24"/>
              </w:rPr>
            </w:pPr>
          </w:p>
          <w:p w14:paraId="66533E3F" w14:textId="77777777" w:rsidR="000B246B" w:rsidRDefault="000B246B" w:rsidP="00630937">
            <w:pPr>
              <w:pStyle w:val="DHHSreportsubtitle"/>
              <w:rPr>
                <w:color w:val="87189D"/>
                <w:sz w:val="50"/>
                <w:szCs w:val="24"/>
              </w:rPr>
            </w:pPr>
          </w:p>
          <w:p w14:paraId="5102EE5C" w14:textId="77777777" w:rsidR="000B246B" w:rsidRDefault="000B246B" w:rsidP="00630937">
            <w:pPr>
              <w:pStyle w:val="DHHSreportsubtitle"/>
              <w:rPr>
                <w:color w:val="87189D"/>
                <w:sz w:val="50"/>
                <w:szCs w:val="24"/>
              </w:rPr>
            </w:pPr>
          </w:p>
          <w:p w14:paraId="40B95CD6" w14:textId="77777777" w:rsidR="000B246B" w:rsidRDefault="000B246B" w:rsidP="00630937">
            <w:pPr>
              <w:pStyle w:val="DHHSreportsubtitle"/>
              <w:rPr>
                <w:color w:val="87189D"/>
                <w:sz w:val="50"/>
                <w:szCs w:val="24"/>
              </w:rPr>
            </w:pPr>
          </w:p>
          <w:p w14:paraId="7524B147" w14:textId="77777777" w:rsidR="000B246B" w:rsidRDefault="000B246B" w:rsidP="00630937">
            <w:pPr>
              <w:pStyle w:val="DHHSreportsubtitle"/>
              <w:rPr>
                <w:color w:val="87189D"/>
                <w:sz w:val="50"/>
                <w:szCs w:val="24"/>
              </w:rPr>
            </w:pPr>
          </w:p>
          <w:p w14:paraId="1506F1EC" w14:textId="77777777" w:rsidR="000B246B" w:rsidRDefault="000B246B" w:rsidP="00630937">
            <w:pPr>
              <w:pStyle w:val="DHHSreportsubtitle"/>
              <w:rPr>
                <w:color w:val="87189D"/>
                <w:sz w:val="50"/>
                <w:szCs w:val="24"/>
              </w:rPr>
            </w:pPr>
          </w:p>
          <w:p w14:paraId="0E493C9D" w14:textId="77777777" w:rsidR="000B246B" w:rsidRDefault="000B246B" w:rsidP="00630937">
            <w:pPr>
              <w:pStyle w:val="DHHSreportsubtitle"/>
              <w:rPr>
                <w:color w:val="87189D"/>
                <w:sz w:val="50"/>
                <w:szCs w:val="24"/>
              </w:rPr>
            </w:pPr>
          </w:p>
          <w:p w14:paraId="64FF3DC5" w14:textId="77777777" w:rsidR="000B246B" w:rsidRDefault="000B246B" w:rsidP="00630937">
            <w:pPr>
              <w:pStyle w:val="DHHSreportsubtitle"/>
              <w:rPr>
                <w:color w:val="87189D"/>
                <w:sz w:val="50"/>
                <w:szCs w:val="24"/>
              </w:rPr>
            </w:pPr>
          </w:p>
          <w:p w14:paraId="038C29A3" w14:textId="77777777" w:rsidR="000B246B" w:rsidRDefault="000B246B" w:rsidP="00630937">
            <w:pPr>
              <w:pStyle w:val="DHHSreportsubtitle"/>
              <w:rPr>
                <w:color w:val="87189D"/>
                <w:sz w:val="50"/>
                <w:szCs w:val="24"/>
              </w:rPr>
            </w:pPr>
          </w:p>
          <w:p w14:paraId="55983EC1" w14:textId="77777777" w:rsidR="000B246B" w:rsidRDefault="000B246B" w:rsidP="00630937">
            <w:pPr>
              <w:pStyle w:val="DHHSreportsubtitle"/>
              <w:rPr>
                <w:color w:val="87189D"/>
                <w:sz w:val="50"/>
                <w:szCs w:val="24"/>
              </w:rPr>
            </w:pPr>
          </w:p>
          <w:p w14:paraId="0BCD6014" w14:textId="77777777" w:rsidR="000B246B" w:rsidRDefault="000B246B" w:rsidP="00630937">
            <w:pPr>
              <w:pStyle w:val="DHHSreportsubtitle"/>
              <w:rPr>
                <w:color w:val="87189D"/>
                <w:sz w:val="50"/>
                <w:szCs w:val="24"/>
              </w:rPr>
            </w:pPr>
          </w:p>
          <w:p w14:paraId="4A99DB7A" w14:textId="77777777" w:rsidR="000B246B" w:rsidRDefault="000B246B" w:rsidP="00630937">
            <w:pPr>
              <w:pStyle w:val="DHHSreportsubtitle"/>
              <w:rPr>
                <w:color w:val="87189D"/>
                <w:sz w:val="50"/>
                <w:szCs w:val="24"/>
              </w:rPr>
            </w:pPr>
          </w:p>
          <w:p w14:paraId="2326A0DA" w14:textId="77777777" w:rsidR="000B246B" w:rsidRDefault="000B246B" w:rsidP="00630937">
            <w:pPr>
              <w:pStyle w:val="DHHSreportsubtitle"/>
              <w:rPr>
                <w:color w:val="87189D"/>
                <w:sz w:val="50"/>
                <w:szCs w:val="24"/>
              </w:rPr>
            </w:pPr>
          </w:p>
          <w:p w14:paraId="383F4DA9" w14:textId="77777777" w:rsidR="000B246B" w:rsidRDefault="000B246B" w:rsidP="00630937">
            <w:pPr>
              <w:pStyle w:val="DHHSreportsubtitle"/>
              <w:rPr>
                <w:color w:val="87189D"/>
                <w:sz w:val="50"/>
                <w:szCs w:val="24"/>
              </w:rPr>
            </w:pPr>
          </w:p>
          <w:p w14:paraId="797C90FE" w14:textId="77777777" w:rsidR="000B246B" w:rsidRDefault="000B246B" w:rsidP="00630937">
            <w:pPr>
              <w:pStyle w:val="DHHSreportsubtitle"/>
              <w:rPr>
                <w:color w:val="87189D"/>
                <w:sz w:val="50"/>
                <w:szCs w:val="24"/>
              </w:rPr>
            </w:pPr>
          </w:p>
          <w:p w14:paraId="5B5F6C19" w14:textId="77777777" w:rsidR="000B246B" w:rsidRDefault="000B246B" w:rsidP="00630937">
            <w:pPr>
              <w:pStyle w:val="DHHSreportsubtitle"/>
              <w:rPr>
                <w:color w:val="87189D"/>
                <w:sz w:val="50"/>
                <w:szCs w:val="24"/>
              </w:rPr>
            </w:pPr>
          </w:p>
          <w:p w14:paraId="2EB3ADC6" w14:textId="77777777" w:rsidR="000B246B" w:rsidRDefault="000B246B" w:rsidP="00630937">
            <w:pPr>
              <w:pStyle w:val="DHHSreportsubtitle"/>
              <w:rPr>
                <w:color w:val="87189D"/>
                <w:sz w:val="50"/>
                <w:szCs w:val="24"/>
              </w:rPr>
            </w:pPr>
          </w:p>
          <w:p w14:paraId="2C99CF16" w14:textId="77777777" w:rsidR="000B246B" w:rsidRDefault="000B246B" w:rsidP="00630937">
            <w:pPr>
              <w:pStyle w:val="DHHSreportsubtitle"/>
              <w:rPr>
                <w:color w:val="87189D"/>
                <w:sz w:val="50"/>
                <w:szCs w:val="24"/>
              </w:rPr>
            </w:pPr>
          </w:p>
          <w:p w14:paraId="57A5F2E3" w14:textId="77777777" w:rsidR="008339F1" w:rsidRDefault="008339F1" w:rsidP="00630937">
            <w:pPr>
              <w:pStyle w:val="DHHSreportsubtitle"/>
              <w:rPr>
                <w:color w:val="87189D"/>
                <w:sz w:val="50"/>
                <w:szCs w:val="24"/>
              </w:rPr>
            </w:pPr>
          </w:p>
          <w:p w14:paraId="52B4CDC2" w14:textId="77777777" w:rsidR="008339F1" w:rsidRDefault="008339F1" w:rsidP="00630937">
            <w:pPr>
              <w:pStyle w:val="DHHSreportsubtitle"/>
              <w:rPr>
                <w:color w:val="87189D"/>
                <w:sz w:val="50"/>
                <w:szCs w:val="24"/>
              </w:rPr>
            </w:pPr>
          </w:p>
          <w:p w14:paraId="1141FF3F" w14:textId="77777777" w:rsidR="008339F1" w:rsidRDefault="008339F1" w:rsidP="00630937">
            <w:pPr>
              <w:pStyle w:val="DHHSreportsubtitle"/>
              <w:rPr>
                <w:color w:val="87189D"/>
                <w:sz w:val="50"/>
                <w:szCs w:val="24"/>
              </w:rPr>
            </w:pPr>
          </w:p>
          <w:p w14:paraId="78A9FCC0" w14:textId="4E1F8BF5" w:rsidR="007D61C5" w:rsidRDefault="007D61C5" w:rsidP="00630937">
            <w:pPr>
              <w:pStyle w:val="DHHSreportsubtitle"/>
              <w:rPr>
                <w:color w:val="87189D"/>
                <w:sz w:val="50"/>
                <w:szCs w:val="24"/>
              </w:rPr>
            </w:pPr>
            <w:r w:rsidRPr="007D61C5">
              <w:rPr>
                <w:color w:val="87189D"/>
                <w:sz w:val="50"/>
                <w:szCs w:val="24"/>
              </w:rPr>
              <w:t>Appendix 3: Accreditation notification contacts and timelines</w:t>
            </w:r>
          </w:p>
          <w:p w14:paraId="2C525660" w14:textId="77777777" w:rsidR="00BB47D7" w:rsidRPr="003072C6" w:rsidRDefault="007D61C5" w:rsidP="00630937">
            <w:pPr>
              <w:pStyle w:val="DHHSreportsubtitle"/>
            </w:pPr>
            <w:r w:rsidRPr="007D61C5">
              <w:t>National Safety and Quality Health Service Standards</w:t>
            </w:r>
          </w:p>
        </w:tc>
      </w:tr>
      <w:tr w:rsidR="009906C7" w:rsidRPr="003072C6" w14:paraId="1F0EC543" w14:textId="77777777" w:rsidTr="009906C7">
        <w:tc>
          <w:tcPr>
            <w:tcW w:w="9298" w:type="dxa"/>
            <w:shd w:val="clear" w:color="auto" w:fill="auto"/>
            <w:vAlign w:val="center"/>
          </w:tcPr>
          <w:p w14:paraId="3C4430BE" w14:textId="77777777" w:rsidR="009906C7" w:rsidRPr="003072C6" w:rsidRDefault="009906C7" w:rsidP="009906C7">
            <w:pPr>
              <w:pStyle w:val="DHHSbody"/>
            </w:pPr>
          </w:p>
        </w:tc>
      </w:tr>
    </w:tbl>
    <w:p w14:paraId="14B265D2" w14:textId="77777777" w:rsidR="00CA6D4E" w:rsidRPr="003072C6" w:rsidRDefault="00CA6D4E" w:rsidP="00CA6D4E">
      <w:pPr>
        <w:pStyle w:val="DHHSbodynospace"/>
      </w:pPr>
    </w:p>
    <w:p w14:paraId="1AF8F1E6"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3AFBBB8E" w14:textId="77777777" w:rsidTr="00455CA6">
        <w:trPr>
          <w:trHeight w:val="4313"/>
        </w:trPr>
        <w:tc>
          <w:tcPr>
            <w:tcW w:w="9298" w:type="dxa"/>
          </w:tcPr>
          <w:p w14:paraId="61C0C2BD" w14:textId="5D306CA2" w:rsidR="00564E8F" w:rsidRPr="00605B5B" w:rsidRDefault="00564E8F" w:rsidP="00031263">
            <w:pPr>
              <w:pStyle w:val="DHHSbody"/>
              <w:rPr>
                <w:i/>
                <w:color w:val="008950"/>
                <w:sz w:val="26"/>
                <w:szCs w:val="26"/>
              </w:rPr>
            </w:pPr>
          </w:p>
        </w:tc>
      </w:tr>
      <w:tr w:rsidR="00564E8F" w:rsidRPr="003072C6" w14:paraId="102ECCE8" w14:textId="77777777" w:rsidTr="00455CA6">
        <w:trPr>
          <w:trHeight w:val="6336"/>
        </w:trPr>
        <w:tc>
          <w:tcPr>
            <w:tcW w:w="9298" w:type="dxa"/>
            <w:vAlign w:val="bottom"/>
          </w:tcPr>
          <w:p w14:paraId="665709D4" w14:textId="77777777" w:rsidR="007704B5" w:rsidRDefault="007704B5" w:rsidP="00605B5B">
            <w:pPr>
              <w:spacing w:after="200" w:line="300" w:lineRule="atLeast"/>
              <w:rPr>
                <w:rFonts w:ascii="Arial" w:eastAsia="Times" w:hAnsi="Arial"/>
                <w:sz w:val="24"/>
                <w:szCs w:val="19"/>
              </w:rPr>
            </w:pPr>
          </w:p>
          <w:p w14:paraId="342102A7" w14:textId="77777777" w:rsidR="007704B5" w:rsidRDefault="007704B5" w:rsidP="00605B5B">
            <w:pPr>
              <w:spacing w:after="200" w:line="300" w:lineRule="atLeast"/>
              <w:rPr>
                <w:rFonts w:ascii="Arial" w:eastAsia="Times" w:hAnsi="Arial"/>
                <w:sz w:val="24"/>
                <w:szCs w:val="19"/>
              </w:rPr>
            </w:pPr>
          </w:p>
          <w:p w14:paraId="716F8513" w14:textId="77777777" w:rsidR="007704B5" w:rsidRDefault="007704B5" w:rsidP="00605B5B">
            <w:pPr>
              <w:spacing w:after="200" w:line="300" w:lineRule="atLeast"/>
              <w:rPr>
                <w:rFonts w:ascii="Arial" w:eastAsia="Times" w:hAnsi="Arial"/>
                <w:sz w:val="24"/>
                <w:szCs w:val="19"/>
              </w:rPr>
            </w:pPr>
          </w:p>
          <w:p w14:paraId="5E5123E2" w14:textId="77777777" w:rsidR="007704B5" w:rsidRDefault="007704B5" w:rsidP="00605B5B">
            <w:pPr>
              <w:spacing w:after="200" w:line="300" w:lineRule="atLeast"/>
              <w:rPr>
                <w:rFonts w:ascii="Arial" w:eastAsia="Times" w:hAnsi="Arial"/>
                <w:sz w:val="24"/>
                <w:szCs w:val="19"/>
              </w:rPr>
            </w:pPr>
          </w:p>
          <w:p w14:paraId="69DA8A36" w14:textId="77777777" w:rsidR="007704B5" w:rsidRDefault="007704B5" w:rsidP="00605B5B">
            <w:pPr>
              <w:spacing w:after="200" w:line="300" w:lineRule="atLeast"/>
              <w:rPr>
                <w:rFonts w:ascii="Arial" w:eastAsia="Times" w:hAnsi="Arial"/>
                <w:sz w:val="24"/>
                <w:szCs w:val="19"/>
              </w:rPr>
            </w:pPr>
          </w:p>
          <w:p w14:paraId="7FF53625" w14:textId="6C1E4328" w:rsidR="007704B5" w:rsidRDefault="007704B5" w:rsidP="00605B5B">
            <w:pPr>
              <w:spacing w:after="200" w:line="300" w:lineRule="atLeast"/>
              <w:rPr>
                <w:rFonts w:ascii="Arial" w:eastAsia="Times" w:hAnsi="Arial"/>
                <w:sz w:val="24"/>
                <w:szCs w:val="19"/>
              </w:rPr>
            </w:pPr>
          </w:p>
          <w:p w14:paraId="60033E94" w14:textId="7784A714" w:rsidR="00B014C7" w:rsidRDefault="00B014C7" w:rsidP="00605B5B">
            <w:pPr>
              <w:spacing w:after="200" w:line="300" w:lineRule="atLeast"/>
              <w:rPr>
                <w:rFonts w:ascii="Arial" w:eastAsia="Times" w:hAnsi="Arial"/>
                <w:sz w:val="24"/>
                <w:szCs w:val="19"/>
              </w:rPr>
            </w:pPr>
          </w:p>
          <w:p w14:paraId="370A9903" w14:textId="2C9CCD8D" w:rsidR="00B014C7" w:rsidRDefault="00B014C7" w:rsidP="00605B5B">
            <w:pPr>
              <w:spacing w:after="200" w:line="300" w:lineRule="atLeast"/>
              <w:rPr>
                <w:rFonts w:ascii="Arial" w:eastAsia="Times" w:hAnsi="Arial"/>
                <w:sz w:val="24"/>
                <w:szCs w:val="19"/>
              </w:rPr>
            </w:pPr>
          </w:p>
          <w:p w14:paraId="71A0CFC9" w14:textId="40DF6CEC" w:rsidR="00B014C7" w:rsidRDefault="00B014C7" w:rsidP="00605B5B">
            <w:pPr>
              <w:spacing w:after="200" w:line="300" w:lineRule="atLeast"/>
              <w:rPr>
                <w:rFonts w:ascii="Arial" w:eastAsia="Times" w:hAnsi="Arial"/>
                <w:sz w:val="24"/>
                <w:szCs w:val="19"/>
              </w:rPr>
            </w:pPr>
          </w:p>
          <w:p w14:paraId="5453CC9A" w14:textId="77777777" w:rsidR="00FA6102" w:rsidRDefault="00FA6102" w:rsidP="00605B5B">
            <w:pPr>
              <w:spacing w:after="120" w:line="270" w:lineRule="atLeast"/>
              <w:rPr>
                <w:rFonts w:ascii="Arial" w:eastAsia="Times" w:hAnsi="Arial"/>
              </w:rPr>
            </w:pPr>
          </w:p>
          <w:p w14:paraId="12D600D1" w14:textId="77777777" w:rsidR="00FA6102" w:rsidRDefault="00FA6102" w:rsidP="00605B5B">
            <w:pPr>
              <w:spacing w:after="120" w:line="270" w:lineRule="atLeast"/>
              <w:rPr>
                <w:rFonts w:ascii="Arial" w:eastAsia="Times" w:hAnsi="Arial"/>
              </w:rPr>
            </w:pPr>
          </w:p>
          <w:p w14:paraId="4C2B8316" w14:textId="77777777" w:rsidR="00FA6102" w:rsidRDefault="00FA6102" w:rsidP="00605B5B">
            <w:pPr>
              <w:spacing w:after="120" w:line="270" w:lineRule="atLeast"/>
              <w:rPr>
                <w:rFonts w:ascii="Arial" w:eastAsia="Times" w:hAnsi="Arial"/>
              </w:rPr>
            </w:pPr>
          </w:p>
          <w:p w14:paraId="62ECD743" w14:textId="77777777" w:rsidR="00CD6B9E" w:rsidRDefault="00CD6B9E" w:rsidP="00CD6B9E">
            <w:pPr>
              <w:spacing w:after="200" w:line="300" w:lineRule="atLeast"/>
              <w:rPr>
                <w:rFonts w:ascii="Arial" w:eastAsia="Times" w:hAnsi="Arial"/>
                <w:color w:val="000000" w:themeColor="text1"/>
                <w:sz w:val="24"/>
                <w:szCs w:val="19"/>
              </w:rPr>
            </w:pPr>
            <w:r>
              <w:rPr>
                <w:rFonts w:ascii="Arial" w:eastAsia="Times" w:hAnsi="Arial"/>
                <w:color w:val="000000" w:themeColor="text1"/>
                <w:sz w:val="24"/>
                <w:szCs w:val="19"/>
              </w:rPr>
              <w:t>To receive this publication in an accessible format phone (03) 9096 1309, using the National Relay Service 13 36 77 if required, or email accrediation@dhhs.vic.gov.au</w:t>
            </w:r>
          </w:p>
          <w:p w14:paraId="330B1EA6" w14:textId="77777777" w:rsidR="00CD6B9E" w:rsidRDefault="00CD6B9E" w:rsidP="00CD6B9E">
            <w:pPr>
              <w:spacing w:after="120" w:line="270" w:lineRule="atLeast"/>
              <w:rPr>
                <w:rFonts w:ascii="Arial" w:eastAsia="Times" w:hAnsi="Arial"/>
                <w:color w:val="000000" w:themeColor="text1"/>
              </w:rPr>
            </w:pPr>
            <w:r>
              <w:rPr>
                <w:rFonts w:ascii="Arial" w:eastAsia="Times" w:hAnsi="Arial"/>
                <w:color w:val="000000" w:themeColor="text1"/>
              </w:rPr>
              <w:t>Authorised and published by the Victorian Government, 1 Treasury Place, Melbourne.</w:t>
            </w:r>
          </w:p>
          <w:p w14:paraId="4CA3A311" w14:textId="77777777" w:rsidR="00CD6B9E" w:rsidRDefault="00CD6B9E" w:rsidP="00CD6B9E">
            <w:pPr>
              <w:spacing w:after="120" w:line="270" w:lineRule="atLeast"/>
              <w:rPr>
                <w:rFonts w:ascii="Arial" w:eastAsia="Times" w:hAnsi="Arial"/>
                <w:color w:val="000000" w:themeColor="text1"/>
              </w:rPr>
            </w:pPr>
            <w:r>
              <w:rPr>
                <w:rFonts w:ascii="Arial" w:eastAsia="Times" w:hAnsi="Arial"/>
                <w:color w:val="000000" w:themeColor="text1"/>
              </w:rPr>
              <w:t>© State of Victoria, Department of Health and Human Services, January 2019</w:t>
            </w:r>
          </w:p>
          <w:p w14:paraId="3CB39812" w14:textId="77777777" w:rsidR="00CD6B9E" w:rsidRDefault="00CD6B9E" w:rsidP="00CD6B9E">
            <w:pPr>
              <w:spacing w:after="120" w:line="270" w:lineRule="atLeast"/>
              <w:rPr>
                <w:rFonts w:ascii="Arial" w:eastAsia="Times" w:hAnsi="Arial"/>
                <w:color w:val="000000" w:themeColor="text1"/>
              </w:rPr>
            </w:pPr>
            <w:r>
              <w:rPr>
                <w:rFonts w:ascii="Arial" w:eastAsia="Times" w:hAnsi="Arial"/>
                <w:color w:val="000000" w:themeColor="text1"/>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50DDBCA9" w14:textId="77777777" w:rsidR="00CD6B9E" w:rsidRDefault="00CD6B9E" w:rsidP="00CD6B9E">
            <w:pPr>
              <w:spacing w:after="120" w:line="270" w:lineRule="atLeast"/>
              <w:rPr>
                <w:rFonts w:ascii="Arial" w:eastAsia="Times" w:hAnsi="Arial"/>
                <w:color w:val="000000" w:themeColor="text1"/>
              </w:rPr>
            </w:pPr>
            <w:r>
              <w:rPr>
                <w:rFonts w:ascii="Arial" w:eastAsia="Times" w:hAnsi="Arial"/>
                <w:color w:val="000000" w:themeColor="text1"/>
              </w:rPr>
              <w:t>Where the term ‘Aboriginal’ is used it refers to both Aboriginal and Torres Strait Islander people. Indigenous is retained when it is part of the title of a report, program or quotation.</w:t>
            </w:r>
          </w:p>
          <w:p w14:paraId="659B7C3B" w14:textId="77777777" w:rsidR="00CD6B9E" w:rsidRDefault="00CD6B9E" w:rsidP="00CD6B9E">
            <w:pPr>
              <w:spacing w:after="120" w:line="270" w:lineRule="atLeast"/>
              <w:rPr>
                <w:rFonts w:ascii="Arial" w:eastAsia="Times" w:hAnsi="Arial"/>
                <w:color w:val="000000" w:themeColor="text1"/>
                <w:szCs w:val="19"/>
              </w:rPr>
            </w:pPr>
            <w:r>
              <w:rPr>
                <w:rFonts w:ascii="Arial" w:eastAsia="Times" w:hAnsi="Arial"/>
                <w:color w:val="000000" w:themeColor="text1"/>
                <w:szCs w:val="19"/>
              </w:rPr>
              <w:t xml:space="preserve">Available at </w:t>
            </w:r>
            <w:r>
              <w:rPr>
                <w:rFonts w:ascii="Arial" w:eastAsia="Times" w:hAnsi="Arial"/>
                <w:color w:val="000000" w:themeColor="text1"/>
              </w:rPr>
              <w:t>https://www2.health.vic.gov.au/hospitals-and-health-services/quality-safety-service/hospital-accreditation/policy-on-accreditation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2261"/>
              <w:gridCol w:w="3216"/>
              <w:gridCol w:w="2020"/>
            </w:tblGrid>
            <w:tr w:rsidR="007A3A45" w:rsidRPr="007A3A45" w14:paraId="20071A5F" w14:textId="77777777" w:rsidTr="007A3A45">
              <w:trPr>
                <w:trHeight w:val="410"/>
                <w:tblHeader/>
              </w:trPr>
              <w:tc>
                <w:tcPr>
                  <w:tcW w:w="1570" w:type="dxa"/>
                  <w:shd w:val="clear" w:color="auto" w:fill="D9D9D9"/>
                  <w:vAlign w:val="center"/>
                </w:tcPr>
                <w:p w14:paraId="02458B9C" w14:textId="77777777" w:rsidR="007A3A45" w:rsidRPr="007A3A45" w:rsidRDefault="007A3A45" w:rsidP="007A3A45">
                  <w:pPr>
                    <w:pStyle w:val="Default"/>
                    <w:rPr>
                      <w:sz w:val="20"/>
                      <w:szCs w:val="20"/>
                    </w:rPr>
                  </w:pPr>
                  <w:r w:rsidRPr="007A3A45">
                    <w:rPr>
                      <w:b/>
                      <w:bCs/>
                      <w:sz w:val="20"/>
                      <w:szCs w:val="20"/>
                    </w:rPr>
                    <w:lastRenderedPageBreak/>
                    <w:t xml:space="preserve">Notification </w:t>
                  </w:r>
                </w:p>
              </w:tc>
              <w:tc>
                <w:tcPr>
                  <w:tcW w:w="2261" w:type="dxa"/>
                  <w:shd w:val="clear" w:color="auto" w:fill="D9D9D9"/>
                  <w:vAlign w:val="center"/>
                </w:tcPr>
                <w:p w14:paraId="4109A176" w14:textId="77777777" w:rsidR="007A3A45" w:rsidRPr="007A3A45" w:rsidRDefault="007A3A45" w:rsidP="007A3A45">
                  <w:pPr>
                    <w:pStyle w:val="Default"/>
                    <w:rPr>
                      <w:sz w:val="20"/>
                      <w:szCs w:val="20"/>
                    </w:rPr>
                  </w:pPr>
                  <w:r w:rsidRPr="007A3A45">
                    <w:rPr>
                      <w:b/>
                      <w:bCs/>
                      <w:sz w:val="20"/>
                      <w:szCs w:val="20"/>
                    </w:rPr>
                    <w:t xml:space="preserve">When and how </w:t>
                  </w:r>
                </w:p>
              </w:tc>
              <w:tc>
                <w:tcPr>
                  <w:tcW w:w="3216" w:type="dxa"/>
                  <w:shd w:val="clear" w:color="auto" w:fill="D9D9D9"/>
                  <w:vAlign w:val="center"/>
                </w:tcPr>
                <w:p w14:paraId="2983F1C8" w14:textId="77777777" w:rsidR="007A3A45" w:rsidRPr="007A3A45" w:rsidRDefault="007A3A45" w:rsidP="007A3A45">
                  <w:pPr>
                    <w:pStyle w:val="Default"/>
                    <w:rPr>
                      <w:sz w:val="20"/>
                      <w:szCs w:val="20"/>
                    </w:rPr>
                  </w:pPr>
                  <w:r w:rsidRPr="007A3A45">
                    <w:rPr>
                      <w:b/>
                      <w:bCs/>
                      <w:sz w:val="20"/>
                      <w:szCs w:val="20"/>
                    </w:rPr>
                    <w:t xml:space="preserve">Contact </w:t>
                  </w:r>
                </w:p>
              </w:tc>
              <w:tc>
                <w:tcPr>
                  <w:tcW w:w="2020" w:type="dxa"/>
                  <w:shd w:val="clear" w:color="auto" w:fill="D9D9D9"/>
                  <w:vAlign w:val="center"/>
                </w:tcPr>
                <w:p w14:paraId="45DF3BD4" w14:textId="77777777" w:rsidR="007A3A45" w:rsidRPr="007A3A45" w:rsidRDefault="007A3A45" w:rsidP="007A3A45">
                  <w:pPr>
                    <w:pStyle w:val="Default"/>
                    <w:rPr>
                      <w:sz w:val="20"/>
                      <w:szCs w:val="20"/>
                    </w:rPr>
                  </w:pPr>
                  <w:r w:rsidRPr="007A3A45">
                    <w:rPr>
                      <w:b/>
                      <w:bCs/>
                      <w:sz w:val="20"/>
                      <w:szCs w:val="20"/>
                    </w:rPr>
                    <w:t xml:space="preserve">Responsible </w:t>
                  </w:r>
                </w:p>
              </w:tc>
            </w:tr>
            <w:tr w:rsidR="007A3A45" w:rsidRPr="007A3A45" w14:paraId="7A592596" w14:textId="77777777" w:rsidTr="007A3A45">
              <w:trPr>
                <w:trHeight w:val="1073"/>
                <w:tblHeader/>
              </w:trPr>
              <w:tc>
                <w:tcPr>
                  <w:tcW w:w="1570" w:type="dxa"/>
                </w:tcPr>
                <w:p w14:paraId="4B8B66A2" w14:textId="77777777" w:rsidR="007A3A45" w:rsidRPr="007A3A45" w:rsidRDefault="007A3A45" w:rsidP="007A3A45">
                  <w:pPr>
                    <w:spacing w:after="200" w:line="300" w:lineRule="atLeast"/>
                    <w:rPr>
                      <w:rFonts w:ascii="Arial" w:eastAsia="Times" w:hAnsi="Arial" w:cs="Arial"/>
                    </w:rPr>
                  </w:pPr>
                  <w:r w:rsidRPr="007A3A45">
                    <w:rPr>
                      <w:rFonts w:ascii="Arial" w:hAnsi="Arial" w:cs="Arial"/>
                    </w:rPr>
                    <w:t xml:space="preserve">Extension to accreditation expiry date </w:t>
                  </w:r>
                </w:p>
                <w:p w14:paraId="3DED3090" w14:textId="77777777" w:rsidR="007A3A45" w:rsidRPr="007A3A45" w:rsidRDefault="007A3A45" w:rsidP="007A3A45">
                  <w:pPr>
                    <w:spacing w:after="200" w:line="300" w:lineRule="atLeast"/>
                    <w:rPr>
                      <w:rFonts w:ascii="Arial" w:hAnsi="Arial" w:cs="Arial"/>
                    </w:rPr>
                  </w:pPr>
                  <w:r w:rsidRPr="007A3A45">
                    <w:rPr>
                      <w:rFonts w:ascii="Arial" w:eastAsia="Times" w:hAnsi="Arial" w:cs="Arial"/>
                      <w:b/>
                    </w:rPr>
                    <w:t>*Changes to scheduling accreditation expiry dates will only be available as part of the transitional arrangements that will be valid until 1 January 2020</w:t>
                  </w:r>
                </w:p>
              </w:tc>
              <w:tc>
                <w:tcPr>
                  <w:tcW w:w="2261" w:type="dxa"/>
                </w:tcPr>
                <w:p w14:paraId="4F6CEABD" w14:textId="77777777" w:rsidR="007A3A45" w:rsidRPr="007A3A45" w:rsidRDefault="007A3A45" w:rsidP="007A3A45">
                  <w:pPr>
                    <w:pStyle w:val="Default"/>
                    <w:rPr>
                      <w:sz w:val="20"/>
                      <w:szCs w:val="20"/>
                    </w:rPr>
                  </w:pPr>
                  <w:r w:rsidRPr="007A3A45">
                    <w:rPr>
                      <w:sz w:val="20"/>
                      <w:szCs w:val="20"/>
                    </w:rPr>
                    <w:t xml:space="preserve">Request in writing six months in advance of expiry date </w:t>
                  </w:r>
                </w:p>
                <w:p w14:paraId="20763A1E" w14:textId="77777777" w:rsidR="007A3A45" w:rsidRPr="007A3A45" w:rsidRDefault="007A3A45" w:rsidP="007A3A45">
                  <w:pPr>
                    <w:pStyle w:val="Default"/>
                    <w:rPr>
                      <w:sz w:val="20"/>
                      <w:szCs w:val="20"/>
                    </w:rPr>
                  </w:pPr>
                  <w:r w:rsidRPr="007A3A45">
                    <w:rPr>
                      <w:sz w:val="20"/>
                      <w:szCs w:val="20"/>
                    </w:rPr>
                    <w:t xml:space="preserve">Note: Requests for extensions to accreditation expiry dates after a health service organisation has entered a remediation period will not be approved and may result in the organisation becoming unaccredited </w:t>
                  </w:r>
                </w:p>
              </w:tc>
              <w:tc>
                <w:tcPr>
                  <w:tcW w:w="3216" w:type="dxa"/>
                </w:tcPr>
                <w:p w14:paraId="72A04220" w14:textId="77777777" w:rsidR="007A3A45" w:rsidRPr="007A3A45" w:rsidRDefault="007A3A45" w:rsidP="007A3A45">
                  <w:pPr>
                    <w:pStyle w:val="Default"/>
                    <w:rPr>
                      <w:sz w:val="20"/>
                      <w:szCs w:val="20"/>
                    </w:rPr>
                  </w:pPr>
                  <w:r w:rsidRPr="007A3A45">
                    <w:rPr>
                      <w:sz w:val="20"/>
                      <w:szCs w:val="20"/>
                    </w:rPr>
                    <w:t xml:space="preserve">Director, Commissioning, Performance and Regulation (Metropolitan Health Services) </w:t>
                  </w:r>
                </w:p>
                <w:p w14:paraId="0915AC6E" w14:textId="77777777" w:rsidR="007A3A45" w:rsidRPr="007A3A45" w:rsidRDefault="007A3A45" w:rsidP="007A3A45">
                  <w:pPr>
                    <w:pStyle w:val="Default"/>
                    <w:rPr>
                      <w:sz w:val="20"/>
                      <w:szCs w:val="20"/>
                    </w:rPr>
                  </w:pPr>
                  <w:r w:rsidRPr="007A3A45">
                    <w:rPr>
                      <w:sz w:val="20"/>
                      <w:szCs w:val="20"/>
                    </w:rPr>
                    <w:t>Or</w:t>
                  </w:r>
                </w:p>
                <w:p w14:paraId="1F84B388" w14:textId="77777777" w:rsidR="007A3A45" w:rsidRPr="007A3A45" w:rsidRDefault="007A3A45" w:rsidP="007A3A45">
                  <w:pPr>
                    <w:pStyle w:val="Default"/>
                    <w:rPr>
                      <w:sz w:val="20"/>
                      <w:szCs w:val="20"/>
                    </w:rPr>
                  </w:pPr>
                  <w:r w:rsidRPr="007A3A45">
                    <w:rPr>
                      <w:sz w:val="20"/>
                      <w:szCs w:val="20"/>
                    </w:rPr>
                    <w:t>Director, Rural Health (Rural and Regional Health Services)</w:t>
                  </w:r>
                </w:p>
                <w:p w14:paraId="40E82B64" w14:textId="77777777" w:rsidR="007A3A45" w:rsidRPr="007A3A45" w:rsidRDefault="007A3A45" w:rsidP="007A3A45">
                  <w:pPr>
                    <w:pStyle w:val="Default"/>
                    <w:rPr>
                      <w:sz w:val="20"/>
                      <w:szCs w:val="20"/>
                    </w:rPr>
                  </w:pPr>
                  <w:r w:rsidRPr="007A3A45">
                    <w:rPr>
                      <w:sz w:val="20"/>
                      <w:szCs w:val="20"/>
                    </w:rPr>
                    <w:t xml:space="preserve">copy in </w:t>
                  </w:r>
                  <w:hyperlink r:id="rId15" w:history="1">
                    <w:r w:rsidRPr="007A3A45">
                      <w:rPr>
                        <w:rStyle w:val="Hyperlink"/>
                        <w:sz w:val="20"/>
                        <w:szCs w:val="20"/>
                      </w:rPr>
                      <w:t>accreditation@dhhs.vic.gov.au</w:t>
                    </w:r>
                  </w:hyperlink>
                </w:p>
                <w:p w14:paraId="25D58401" w14:textId="77777777" w:rsidR="007A3A45" w:rsidRPr="007A3A45" w:rsidRDefault="007A3A45" w:rsidP="007A3A45">
                  <w:pPr>
                    <w:pStyle w:val="Default"/>
                    <w:rPr>
                      <w:sz w:val="20"/>
                      <w:szCs w:val="20"/>
                    </w:rPr>
                  </w:pPr>
                  <w:r w:rsidRPr="007A3A45">
                    <w:rPr>
                      <w:sz w:val="20"/>
                      <w:szCs w:val="20"/>
                    </w:rPr>
                    <w:t xml:space="preserve">and </w:t>
                  </w:r>
                </w:p>
                <w:p w14:paraId="0B35EAB1" w14:textId="77777777" w:rsidR="007A3A45" w:rsidRPr="007A3A45" w:rsidRDefault="007A3A45" w:rsidP="007A3A45">
                  <w:pPr>
                    <w:pStyle w:val="Default"/>
                    <w:rPr>
                      <w:sz w:val="20"/>
                      <w:szCs w:val="20"/>
                    </w:rPr>
                  </w:pPr>
                  <w:r w:rsidRPr="007A3A45">
                    <w:rPr>
                      <w:sz w:val="20"/>
                      <w:szCs w:val="20"/>
                    </w:rPr>
                    <w:t xml:space="preserve">copy in </w:t>
                  </w:r>
                  <w:hyperlink r:id="rId16" w:history="1">
                    <w:r w:rsidRPr="007A3A45">
                      <w:rPr>
                        <w:rStyle w:val="Hyperlink"/>
                        <w:sz w:val="20"/>
                        <w:szCs w:val="20"/>
                      </w:rPr>
                      <w:t>accreditation@dhhs.vic.gov.au</w:t>
                    </w:r>
                  </w:hyperlink>
                </w:p>
              </w:tc>
              <w:tc>
                <w:tcPr>
                  <w:tcW w:w="2020" w:type="dxa"/>
                </w:tcPr>
                <w:p w14:paraId="2E7930FD" w14:textId="77777777" w:rsidR="007A3A45" w:rsidRPr="007A3A45" w:rsidRDefault="007A3A45" w:rsidP="007A3A45">
                  <w:pPr>
                    <w:pStyle w:val="Default"/>
                    <w:rPr>
                      <w:sz w:val="20"/>
                      <w:szCs w:val="20"/>
                    </w:rPr>
                  </w:pPr>
                  <w:r w:rsidRPr="007A3A45">
                    <w:rPr>
                      <w:sz w:val="20"/>
                      <w:szCs w:val="20"/>
                    </w:rPr>
                    <w:t xml:space="preserve">Health service organisation </w:t>
                  </w:r>
                </w:p>
              </w:tc>
            </w:tr>
            <w:tr w:rsidR="007A3A45" w:rsidRPr="007A3A45" w14:paraId="58CCF439" w14:textId="77777777" w:rsidTr="007A3A45">
              <w:trPr>
                <w:trHeight w:val="4210"/>
                <w:tblHeader/>
              </w:trPr>
              <w:tc>
                <w:tcPr>
                  <w:tcW w:w="1570" w:type="dxa"/>
                </w:tcPr>
                <w:p w14:paraId="4903D6DD" w14:textId="77777777" w:rsidR="007A3A45" w:rsidRPr="007A3A45" w:rsidRDefault="007A3A45" w:rsidP="007A3A45">
                  <w:pPr>
                    <w:pStyle w:val="Default"/>
                    <w:rPr>
                      <w:sz w:val="20"/>
                      <w:szCs w:val="20"/>
                    </w:rPr>
                  </w:pPr>
                  <w:r w:rsidRPr="007A3A45">
                    <w:rPr>
                      <w:sz w:val="20"/>
                      <w:szCs w:val="20"/>
                    </w:rPr>
                    <w:t>Transition to or from “Short Notice Assessment Pathway”</w:t>
                  </w:r>
                </w:p>
              </w:tc>
              <w:tc>
                <w:tcPr>
                  <w:tcW w:w="2261" w:type="dxa"/>
                </w:tcPr>
                <w:p w14:paraId="3356C15D" w14:textId="77777777" w:rsidR="007A3A45" w:rsidRPr="007A3A45" w:rsidRDefault="007A3A45" w:rsidP="007A3A45">
                  <w:pPr>
                    <w:pStyle w:val="Default"/>
                    <w:rPr>
                      <w:sz w:val="20"/>
                      <w:szCs w:val="20"/>
                    </w:rPr>
                  </w:pPr>
                  <w:r w:rsidRPr="007A3A45">
                    <w:rPr>
                      <w:sz w:val="20"/>
                      <w:szCs w:val="20"/>
                    </w:rPr>
                    <w:t>Request in writing six months in advance of expiry date</w:t>
                  </w:r>
                </w:p>
              </w:tc>
              <w:tc>
                <w:tcPr>
                  <w:tcW w:w="3216" w:type="dxa"/>
                </w:tcPr>
                <w:p w14:paraId="2244E7E6" w14:textId="77777777" w:rsidR="007A3A45" w:rsidRPr="007A3A45" w:rsidRDefault="007A3A45" w:rsidP="007A3A45">
                  <w:pPr>
                    <w:pStyle w:val="Default"/>
                    <w:rPr>
                      <w:sz w:val="20"/>
                      <w:szCs w:val="20"/>
                    </w:rPr>
                  </w:pPr>
                  <w:r w:rsidRPr="007A3A45">
                    <w:rPr>
                      <w:sz w:val="20"/>
                      <w:szCs w:val="20"/>
                    </w:rPr>
                    <w:t xml:space="preserve">Director, Commissioning, Performance and Regulation (Metropolitan Health Services) </w:t>
                  </w:r>
                </w:p>
                <w:p w14:paraId="48813799" w14:textId="77777777" w:rsidR="007A3A45" w:rsidRPr="007A3A45" w:rsidRDefault="007A3A45" w:rsidP="007A3A45">
                  <w:pPr>
                    <w:pStyle w:val="Default"/>
                    <w:rPr>
                      <w:sz w:val="20"/>
                      <w:szCs w:val="20"/>
                    </w:rPr>
                  </w:pPr>
                  <w:r w:rsidRPr="007A3A45">
                    <w:rPr>
                      <w:sz w:val="20"/>
                      <w:szCs w:val="20"/>
                    </w:rPr>
                    <w:t>Or</w:t>
                  </w:r>
                </w:p>
                <w:p w14:paraId="203EC8A4" w14:textId="77777777" w:rsidR="007A3A45" w:rsidRPr="007A3A45" w:rsidRDefault="007A3A45" w:rsidP="007A3A45">
                  <w:pPr>
                    <w:pStyle w:val="Default"/>
                    <w:rPr>
                      <w:sz w:val="20"/>
                      <w:szCs w:val="20"/>
                    </w:rPr>
                  </w:pPr>
                  <w:r w:rsidRPr="007A3A45">
                    <w:rPr>
                      <w:sz w:val="20"/>
                      <w:szCs w:val="20"/>
                    </w:rPr>
                    <w:t>Director, Rural Health (Rural and Regional Health Services)</w:t>
                  </w:r>
                </w:p>
                <w:p w14:paraId="23A4102D" w14:textId="77777777" w:rsidR="007A3A45" w:rsidRPr="007A3A45" w:rsidRDefault="007A3A45" w:rsidP="007A3A45">
                  <w:pPr>
                    <w:pStyle w:val="Default"/>
                    <w:rPr>
                      <w:sz w:val="20"/>
                      <w:szCs w:val="20"/>
                    </w:rPr>
                  </w:pPr>
                  <w:r w:rsidRPr="007A3A45">
                    <w:rPr>
                      <w:sz w:val="20"/>
                      <w:szCs w:val="20"/>
                    </w:rPr>
                    <w:t xml:space="preserve">copy in </w:t>
                  </w:r>
                  <w:hyperlink r:id="rId17" w:history="1">
                    <w:r w:rsidRPr="007A3A45">
                      <w:rPr>
                        <w:rStyle w:val="Hyperlink"/>
                        <w:sz w:val="20"/>
                        <w:szCs w:val="20"/>
                      </w:rPr>
                      <w:t>accreditation@dhhs.vic.gov.au</w:t>
                    </w:r>
                  </w:hyperlink>
                </w:p>
                <w:p w14:paraId="680D4498" w14:textId="77777777" w:rsidR="007A3A45" w:rsidRPr="007A3A45" w:rsidRDefault="007A3A45" w:rsidP="007A3A45">
                  <w:pPr>
                    <w:pStyle w:val="Default"/>
                    <w:rPr>
                      <w:sz w:val="20"/>
                      <w:szCs w:val="20"/>
                    </w:rPr>
                  </w:pPr>
                  <w:r w:rsidRPr="007A3A45">
                    <w:rPr>
                      <w:sz w:val="20"/>
                      <w:szCs w:val="20"/>
                    </w:rPr>
                    <w:t xml:space="preserve">and </w:t>
                  </w:r>
                </w:p>
                <w:p w14:paraId="600D688A" w14:textId="77777777" w:rsidR="007A3A45" w:rsidRPr="007A3A45" w:rsidRDefault="007A3A45" w:rsidP="007A3A45">
                  <w:pPr>
                    <w:pStyle w:val="Default"/>
                    <w:rPr>
                      <w:sz w:val="20"/>
                      <w:szCs w:val="20"/>
                    </w:rPr>
                  </w:pPr>
                  <w:r w:rsidRPr="007A3A45">
                    <w:rPr>
                      <w:sz w:val="20"/>
                      <w:szCs w:val="20"/>
                    </w:rPr>
                    <w:t xml:space="preserve">copy in </w:t>
                  </w:r>
                  <w:hyperlink r:id="rId18" w:history="1">
                    <w:r w:rsidRPr="007A3A45">
                      <w:rPr>
                        <w:rStyle w:val="Hyperlink"/>
                        <w:sz w:val="20"/>
                        <w:szCs w:val="20"/>
                      </w:rPr>
                      <w:t>accreditation@dhhs.vic.gov.au</w:t>
                    </w:r>
                  </w:hyperlink>
                </w:p>
              </w:tc>
              <w:tc>
                <w:tcPr>
                  <w:tcW w:w="2020" w:type="dxa"/>
                </w:tcPr>
                <w:p w14:paraId="7D70507E" w14:textId="77777777" w:rsidR="007A3A45" w:rsidRPr="007A3A45" w:rsidRDefault="007A3A45" w:rsidP="007A3A45">
                  <w:pPr>
                    <w:pStyle w:val="Default"/>
                    <w:rPr>
                      <w:sz w:val="20"/>
                      <w:szCs w:val="20"/>
                    </w:rPr>
                  </w:pPr>
                  <w:r w:rsidRPr="007A3A45">
                    <w:rPr>
                      <w:sz w:val="20"/>
                      <w:szCs w:val="20"/>
                    </w:rPr>
                    <w:t>Health service organisation</w:t>
                  </w:r>
                </w:p>
              </w:tc>
            </w:tr>
            <w:tr w:rsidR="007A3A45" w:rsidRPr="007A3A45" w14:paraId="216540D8" w14:textId="77777777" w:rsidTr="007A3A45">
              <w:trPr>
                <w:trHeight w:val="635"/>
                <w:tblHeader/>
              </w:trPr>
              <w:tc>
                <w:tcPr>
                  <w:tcW w:w="1570" w:type="dxa"/>
                  <w:vMerge w:val="restart"/>
                </w:tcPr>
                <w:p w14:paraId="49C211B0" w14:textId="77777777" w:rsidR="007A3A45" w:rsidRPr="007A3A45" w:rsidRDefault="007A3A45" w:rsidP="007A3A45">
                  <w:pPr>
                    <w:pStyle w:val="Default"/>
                    <w:rPr>
                      <w:sz w:val="20"/>
                      <w:szCs w:val="20"/>
                    </w:rPr>
                  </w:pPr>
                  <w:r w:rsidRPr="007A3A45">
                    <w:rPr>
                      <w:sz w:val="20"/>
                      <w:szCs w:val="20"/>
                    </w:rPr>
                    <w:t xml:space="preserve">Significant patient risk </w:t>
                  </w:r>
                </w:p>
              </w:tc>
              <w:tc>
                <w:tcPr>
                  <w:tcW w:w="2261" w:type="dxa"/>
                </w:tcPr>
                <w:p w14:paraId="352D64C1" w14:textId="77777777" w:rsidR="007A3A45" w:rsidRPr="007A3A45" w:rsidRDefault="007A3A45" w:rsidP="007A3A45">
                  <w:pPr>
                    <w:pStyle w:val="Default"/>
                    <w:rPr>
                      <w:sz w:val="20"/>
                      <w:szCs w:val="20"/>
                    </w:rPr>
                  </w:pPr>
                  <w:r w:rsidRPr="007A3A45">
                    <w:rPr>
                      <w:sz w:val="20"/>
                      <w:szCs w:val="20"/>
                    </w:rPr>
                    <w:t xml:space="preserve">Notify immediately upon identification of risk </w:t>
                  </w:r>
                </w:p>
              </w:tc>
              <w:tc>
                <w:tcPr>
                  <w:tcW w:w="3216" w:type="dxa"/>
                  <w:vMerge w:val="restart"/>
                </w:tcPr>
                <w:p w14:paraId="297F1575" w14:textId="77777777" w:rsidR="007A3A45" w:rsidRPr="007A3A45" w:rsidRDefault="007A3A45" w:rsidP="007A3A45">
                  <w:pPr>
                    <w:pStyle w:val="Default"/>
                    <w:rPr>
                      <w:sz w:val="20"/>
                      <w:szCs w:val="20"/>
                    </w:rPr>
                  </w:pPr>
                  <w:r w:rsidRPr="007A3A45">
                    <w:rPr>
                      <w:sz w:val="20"/>
                      <w:szCs w:val="20"/>
                    </w:rPr>
                    <w:t xml:space="preserve">Executive Director Health Services Policy and Commissioning, Health and Wellbeing Division (metro, rural and regional health services, </w:t>
                  </w:r>
                  <w:r w:rsidRPr="007A3A45">
                    <w:rPr>
                      <w:color w:val="auto"/>
                      <w:sz w:val="20"/>
                      <w:szCs w:val="20"/>
                    </w:rPr>
                    <w:t>including Bush Nursing Centres, health services with dental services*, and health services with clinical mental health services)</w:t>
                  </w:r>
                </w:p>
                <w:p w14:paraId="0B66FF13" w14:textId="77777777" w:rsidR="007A3A45" w:rsidRPr="007A3A45" w:rsidRDefault="007A3A45" w:rsidP="007A3A45">
                  <w:pPr>
                    <w:pStyle w:val="Default"/>
                    <w:rPr>
                      <w:sz w:val="20"/>
                      <w:szCs w:val="20"/>
                    </w:rPr>
                  </w:pPr>
                  <w:r w:rsidRPr="007A3A45">
                    <w:rPr>
                      <w:sz w:val="20"/>
                      <w:szCs w:val="20"/>
                    </w:rPr>
                    <w:t xml:space="preserve">and </w:t>
                  </w:r>
                </w:p>
                <w:p w14:paraId="09544004" w14:textId="77777777" w:rsidR="007A3A45" w:rsidRPr="007A3A45" w:rsidRDefault="007A3A45" w:rsidP="007A3A45">
                  <w:pPr>
                    <w:pStyle w:val="Default"/>
                    <w:rPr>
                      <w:sz w:val="20"/>
                      <w:szCs w:val="20"/>
                    </w:rPr>
                  </w:pPr>
                  <w:r w:rsidRPr="007A3A45">
                    <w:rPr>
                      <w:sz w:val="20"/>
                      <w:szCs w:val="20"/>
                    </w:rPr>
                    <w:t xml:space="preserve">copy in accreditation@dhhs.vic.gov.au </w:t>
                  </w:r>
                </w:p>
                <w:p w14:paraId="00289134" w14:textId="77777777" w:rsidR="007A3A45" w:rsidRPr="007A3A45" w:rsidRDefault="007A3A45" w:rsidP="007A3A45">
                  <w:pPr>
                    <w:pStyle w:val="Default"/>
                    <w:rPr>
                      <w:sz w:val="20"/>
                      <w:szCs w:val="20"/>
                    </w:rPr>
                  </w:pPr>
                </w:p>
                <w:p w14:paraId="2F5730C3" w14:textId="77777777" w:rsidR="007A3A45" w:rsidRPr="007A3A45" w:rsidRDefault="007A3A45" w:rsidP="007A3A45">
                  <w:pPr>
                    <w:pStyle w:val="Default"/>
                    <w:rPr>
                      <w:sz w:val="20"/>
                      <w:szCs w:val="20"/>
                    </w:rPr>
                  </w:pPr>
                </w:p>
              </w:tc>
              <w:tc>
                <w:tcPr>
                  <w:tcW w:w="2020" w:type="dxa"/>
                  <w:vMerge w:val="restart"/>
                </w:tcPr>
                <w:p w14:paraId="3EF67D83" w14:textId="77777777" w:rsidR="007A3A45" w:rsidRPr="007A3A45" w:rsidRDefault="007A3A45" w:rsidP="007A3A45">
                  <w:pPr>
                    <w:pStyle w:val="Default"/>
                    <w:rPr>
                      <w:sz w:val="20"/>
                      <w:szCs w:val="20"/>
                    </w:rPr>
                  </w:pPr>
                  <w:r w:rsidRPr="007A3A45">
                    <w:rPr>
                      <w:sz w:val="20"/>
                      <w:szCs w:val="20"/>
                    </w:rPr>
                    <w:t xml:space="preserve">Accrediting agency </w:t>
                  </w:r>
                </w:p>
                <w:p w14:paraId="1139D632" w14:textId="77777777" w:rsidR="007A3A45" w:rsidRPr="007A3A45" w:rsidRDefault="007A3A45" w:rsidP="007A3A45">
                  <w:pPr>
                    <w:pStyle w:val="Default"/>
                    <w:rPr>
                      <w:sz w:val="20"/>
                      <w:szCs w:val="20"/>
                    </w:rPr>
                  </w:pPr>
                </w:p>
                <w:p w14:paraId="72DAFA34" w14:textId="77777777" w:rsidR="007A3A45" w:rsidRPr="007A3A45" w:rsidRDefault="007A3A45" w:rsidP="007A3A45">
                  <w:pPr>
                    <w:pStyle w:val="Default"/>
                    <w:rPr>
                      <w:sz w:val="20"/>
                      <w:szCs w:val="20"/>
                    </w:rPr>
                  </w:pPr>
                </w:p>
                <w:p w14:paraId="55BD8604" w14:textId="77777777" w:rsidR="007A3A45" w:rsidRPr="007A3A45" w:rsidRDefault="007A3A45" w:rsidP="007A3A45">
                  <w:pPr>
                    <w:pStyle w:val="Default"/>
                    <w:rPr>
                      <w:sz w:val="20"/>
                      <w:szCs w:val="20"/>
                    </w:rPr>
                  </w:pPr>
                </w:p>
                <w:p w14:paraId="62CB1B4C" w14:textId="77777777" w:rsidR="007A3A45" w:rsidRPr="007A3A45" w:rsidRDefault="007A3A45" w:rsidP="007A3A45">
                  <w:pPr>
                    <w:pStyle w:val="Default"/>
                    <w:rPr>
                      <w:sz w:val="20"/>
                      <w:szCs w:val="20"/>
                    </w:rPr>
                  </w:pPr>
                </w:p>
                <w:p w14:paraId="24E31644" w14:textId="77777777" w:rsidR="007A3A45" w:rsidRPr="007A3A45" w:rsidRDefault="007A3A45" w:rsidP="007A3A45">
                  <w:pPr>
                    <w:pStyle w:val="Default"/>
                    <w:rPr>
                      <w:sz w:val="20"/>
                      <w:szCs w:val="20"/>
                    </w:rPr>
                  </w:pPr>
                </w:p>
                <w:p w14:paraId="36D9F882" w14:textId="77777777" w:rsidR="007A3A45" w:rsidRPr="007A3A45" w:rsidRDefault="007A3A45" w:rsidP="007A3A45">
                  <w:pPr>
                    <w:pStyle w:val="Default"/>
                    <w:rPr>
                      <w:sz w:val="20"/>
                      <w:szCs w:val="20"/>
                    </w:rPr>
                  </w:pPr>
                </w:p>
                <w:p w14:paraId="631F69D8" w14:textId="77777777" w:rsidR="007A3A45" w:rsidRPr="007A3A45" w:rsidRDefault="007A3A45" w:rsidP="007A3A45">
                  <w:pPr>
                    <w:pStyle w:val="Default"/>
                    <w:rPr>
                      <w:sz w:val="20"/>
                      <w:szCs w:val="20"/>
                    </w:rPr>
                  </w:pPr>
                </w:p>
                <w:p w14:paraId="472C5C69" w14:textId="77777777" w:rsidR="007A3A45" w:rsidRPr="007A3A45" w:rsidRDefault="007A3A45" w:rsidP="007A3A45">
                  <w:pPr>
                    <w:pStyle w:val="Default"/>
                    <w:rPr>
                      <w:sz w:val="20"/>
                      <w:szCs w:val="20"/>
                    </w:rPr>
                  </w:pPr>
                </w:p>
                <w:p w14:paraId="0BE1F2ED" w14:textId="77777777" w:rsidR="007A3A45" w:rsidRPr="007A3A45" w:rsidRDefault="007A3A45" w:rsidP="007A3A45">
                  <w:pPr>
                    <w:pStyle w:val="Default"/>
                    <w:rPr>
                      <w:sz w:val="20"/>
                      <w:szCs w:val="20"/>
                    </w:rPr>
                  </w:pPr>
                </w:p>
                <w:p w14:paraId="76312C36" w14:textId="77777777" w:rsidR="007A3A45" w:rsidRPr="007A3A45" w:rsidRDefault="007A3A45" w:rsidP="007A3A45">
                  <w:pPr>
                    <w:pStyle w:val="Default"/>
                    <w:rPr>
                      <w:sz w:val="20"/>
                      <w:szCs w:val="20"/>
                    </w:rPr>
                  </w:pPr>
                </w:p>
                <w:p w14:paraId="577A03B5" w14:textId="77777777" w:rsidR="007A3A45" w:rsidRPr="007A3A45" w:rsidRDefault="007A3A45" w:rsidP="007A3A45">
                  <w:pPr>
                    <w:pStyle w:val="Default"/>
                    <w:rPr>
                      <w:sz w:val="20"/>
                      <w:szCs w:val="20"/>
                    </w:rPr>
                  </w:pPr>
                </w:p>
                <w:p w14:paraId="7EED2CC3" w14:textId="77777777" w:rsidR="007A3A45" w:rsidRPr="007A3A45" w:rsidRDefault="007A3A45" w:rsidP="007A3A45">
                  <w:pPr>
                    <w:pStyle w:val="Default"/>
                    <w:rPr>
                      <w:sz w:val="20"/>
                      <w:szCs w:val="20"/>
                    </w:rPr>
                  </w:pPr>
                </w:p>
                <w:p w14:paraId="6BDB3843" w14:textId="77777777" w:rsidR="007A3A45" w:rsidRPr="007A3A45" w:rsidRDefault="007A3A45" w:rsidP="007A3A45">
                  <w:pPr>
                    <w:pStyle w:val="Default"/>
                    <w:rPr>
                      <w:sz w:val="20"/>
                      <w:szCs w:val="20"/>
                    </w:rPr>
                  </w:pPr>
                </w:p>
                <w:p w14:paraId="540A5342" w14:textId="77777777" w:rsidR="007A3A45" w:rsidRPr="007A3A45" w:rsidRDefault="007A3A45" w:rsidP="007A3A45">
                  <w:pPr>
                    <w:pStyle w:val="Default"/>
                    <w:rPr>
                      <w:sz w:val="20"/>
                      <w:szCs w:val="20"/>
                    </w:rPr>
                  </w:pPr>
                </w:p>
                <w:p w14:paraId="2B28DAA0" w14:textId="77777777" w:rsidR="007A3A45" w:rsidRPr="007A3A45" w:rsidRDefault="007A3A45" w:rsidP="007A3A45">
                  <w:pPr>
                    <w:pStyle w:val="Default"/>
                    <w:rPr>
                      <w:sz w:val="20"/>
                      <w:szCs w:val="20"/>
                    </w:rPr>
                  </w:pPr>
                </w:p>
                <w:p w14:paraId="5958092F" w14:textId="77777777" w:rsidR="007A3A45" w:rsidRPr="007A3A45" w:rsidRDefault="007A3A45" w:rsidP="007A3A45">
                  <w:pPr>
                    <w:pStyle w:val="Default"/>
                    <w:rPr>
                      <w:sz w:val="20"/>
                      <w:szCs w:val="20"/>
                    </w:rPr>
                  </w:pPr>
                </w:p>
              </w:tc>
            </w:tr>
            <w:tr w:rsidR="007A3A45" w:rsidRPr="007A3A45" w14:paraId="04139416" w14:textId="77777777" w:rsidTr="007A3A45">
              <w:trPr>
                <w:trHeight w:val="634"/>
                <w:tblHeader/>
              </w:trPr>
              <w:tc>
                <w:tcPr>
                  <w:tcW w:w="1570" w:type="dxa"/>
                  <w:vMerge/>
                </w:tcPr>
                <w:p w14:paraId="4475601B" w14:textId="77777777" w:rsidR="007A3A45" w:rsidRPr="007A3A45" w:rsidRDefault="007A3A45" w:rsidP="007A3A45">
                  <w:pPr>
                    <w:pStyle w:val="Default"/>
                    <w:rPr>
                      <w:sz w:val="20"/>
                      <w:szCs w:val="20"/>
                    </w:rPr>
                  </w:pPr>
                </w:p>
              </w:tc>
              <w:tc>
                <w:tcPr>
                  <w:tcW w:w="2261" w:type="dxa"/>
                </w:tcPr>
                <w:p w14:paraId="65F4CA24" w14:textId="77777777" w:rsidR="007A3A45" w:rsidRPr="007A3A45" w:rsidRDefault="007A3A45" w:rsidP="007A3A45">
                  <w:pPr>
                    <w:pStyle w:val="Default"/>
                    <w:rPr>
                      <w:sz w:val="20"/>
                      <w:szCs w:val="20"/>
                    </w:rPr>
                  </w:pPr>
                  <w:r w:rsidRPr="007A3A45">
                    <w:rPr>
                      <w:sz w:val="20"/>
                      <w:szCs w:val="20"/>
                    </w:rPr>
                    <w:t>Notify proposed course of action within 24 hours of risk being identified</w:t>
                  </w:r>
                </w:p>
              </w:tc>
              <w:tc>
                <w:tcPr>
                  <w:tcW w:w="3216" w:type="dxa"/>
                  <w:vMerge/>
                </w:tcPr>
                <w:p w14:paraId="7AFBBB37" w14:textId="77777777" w:rsidR="007A3A45" w:rsidRPr="007A3A45" w:rsidRDefault="007A3A45" w:rsidP="007A3A45">
                  <w:pPr>
                    <w:pStyle w:val="Default"/>
                    <w:rPr>
                      <w:sz w:val="20"/>
                      <w:szCs w:val="20"/>
                    </w:rPr>
                  </w:pPr>
                </w:p>
              </w:tc>
              <w:tc>
                <w:tcPr>
                  <w:tcW w:w="2020" w:type="dxa"/>
                  <w:vMerge/>
                </w:tcPr>
                <w:p w14:paraId="264A1BA7" w14:textId="77777777" w:rsidR="007A3A45" w:rsidRPr="007A3A45" w:rsidRDefault="007A3A45" w:rsidP="007A3A45">
                  <w:pPr>
                    <w:pStyle w:val="Default"/>
                    <w:rPr>
                      <w:sz w:val="20"/>
                      <w:szCs w:val="20"/>
                    </w:rPr>
                  </w:pPr>
                </w:p>
              </w:tc>
            </w:tr>
            <w:tr w:rsidR="007A3A45" w:rsidRPr="007A3A45" w14:paraId="50E7AA7D" w14:textId="77777777" w:rsidTr="007A3A45">
              <w:trPr>
                <w:trHeight w:val="634"/>
                <w:tblHeader/>
              </w:trPr>
              <w:tc>
                <w:tcPr>
                  <w:tcW w:w="1570" w:type="dxa"/>
                  <w:vMerge/>
                </w:tcPr>
                <w:p w14:paraId="7E24CF3A" w14:textId="77777777" w:rsidR="007A3A45" w:rsidRPr="007A3A45" w:rsidRDefault="007A3A45" w:rsidP="007A3A45">
                  <w:pPr>
                    <w:pStyle w:val="Default"/>
                    <w:rPr>
                      <w:sz w:val="20"/>
                      <w:szCs w:val="20"/>
                    </w:rPr>
                  </w:pPr>
                </w:p>
              </w:tc>
              <w:tc>
                <w:tcPr>
                  <w:tcW w:w="2261" w:type="dxa"/>
                </w:tcPr>
                <w:p w14:paraId="652EEFF6" w14:textId="77777777" w:rsidR="007A3A45" w:rsidRPr="007A3A45" w:rsidRDefault="007A3A45" w:rsidP="007A3A45">
                  <w:pPr>
                    <w:pStyle w:val="Default"/>
                    <w:rPr>
                      <w:sz w:val="20"/>
                      <w:szCs w:val="20"/>
                    </w:rPr>
                  </w:pPr>
                  <w:r w:rsidRPr="007A3A45">
                    <w:rPr>
                      <w:sz w:val="20"/>
                      <w:szCs w:val="20"/>
                    </w:rPr>
                    <w:t>Submit action plan within two days of risk being identified</w:t>
                  </w:r>
                </w:p>
              </w:tc>
              <w:tc>
                <w:tcPr>
                  <w:tcW w:w="3216" w:type="dxa"/>
                  <w:vMerge/>
                </w:tcPr>
                <w:p w14:paraId="54B88F00" w14:textId="77777777" w:rsidR="007A3A45" w:rsidRPr="007A3A45" w:rsidRDefault="007A3A45" w:rsidP="007A3A45">
                  <w:pPr>
                    <w:pStyle w:val="Default"/>
                    <w:rPr>
                      <w:sz w:val="20"/>
                      <w:szCs w:val="20"/>
                    </w:rPr>
                  </w:pPr>
                </w:p>
              </w:tc>
              <w:tc>
                <w:tcPr>
                  <w:tcW w:w="2020" w:type="dxa"/>
                  <w:vMerge/>
                </w:tcPr>
                <w:p w14:paraId="4752DCA6" w14:textId="77777777" w:rsidR="007A3A45" w:rsidRPr="007A3A45" w:rsidRDefault="007A3A45" w:rsidP="007A3A45">
                  <w:pPr>
                    <w:pStyle w:val="Default"/>
                    <w:rPr>
                      <w:sz w:val="20"/>
                      <w:szCs w:val="20"/>
                    </w:rPr>
                  </w:pPr>
                </w:p>
              </w:tc>
            </w:tr>
            <w:tr w:rsidR="007A3A45" w:rsidRPr="007A3A45" w14:paraId="7A4366FA" w14:textId="77777777" w:rsidTr="007A3A45">
              <w:trPr>
                <w:trHeight w:val="952"/>
                <w:tblHeader/>
              </w:trPr>
              <w:tc>
                <w:tcPr>
                  <w:tcW w:w="1570" w:type="dxa"/>
                  <w:vMerge w:val="restart"/>
                </w:tcPr>
                <w:p w14:paraId="6284639C" w14:textId="77777777" w:rsidR="007A3A45" w:rsidRPr="007A3A45" w:rsidRDefault="007A3A45" w:rsidP="007A3A45">
                  <w:pPr>
                    <w:pStyle w:val="Default"/>
                    <w:rPr>
                      <w:sz w:val="20"/>
                      <w:szCs w:val="20"/>
                    </w:rPr>
                  </w:pPr>
                  <w:r w:rsidRPr="007A3A45">
                    <w:rPr>
                      <w:sz w:val="20"/>
                      <w:szCs w:val="20"/>
                    </w:rPr>
                    <w:lastRenderedPageBreak/>
                    <w:t xml:space="preserve">Assessment outcome – actions ‘met’ </w:t>
                  </w:r>
                </w:p>
              </w:tc>
              <w:tc>
                <w:tcPr>
                  <w:tcW w:w="2261" w:type="dxa"/>
                </w:tcPr>
                <w:p w14:paraId="0BEE4E96" w14:textId="77777777" w:rsidR="007A3A45" w:rsidRPr="007A3A45" w:rsidRDefault="007A3A45" w:rsidP="007A3A45">
                  <w:pPr>
                    <w:pStyle w:val="Default"/>
                    <w:rPr>
                      <w:sz w:val="20"/>
                      <w:szCs w:val="20"/>
                    </w:rPr>
                  </w:pPr>
                  <w:r w:rsidRPr="007A3A45">
                    <w:rPr>
                      <w:sz w:val="20"/>
                      <w:szCs w:val="20"/>
                    </w:rPr>
                    <w:t xml:space="preserve">Notify within two days of receiving advice from accrediting agency </w:t>
                  </w:r>
                </w:p>
              </w:tc>
              <w:tc>
                <w:tcPr>
                  <w:tcW w:w="3216" w:type="dxa"/>
                  <w:vMerge w:val="restart"/>
                </w:tcPr>
                <w:p w14:paraId="50498E15" w14:textId="77777777" w:rsidR="007A3A45" w:rsidRPr="007A3A45" w:rsidRDefault="007A3A45" w:rsidP="007A3A45">
                  <w:pPr>
                    <w:pStyle w:val="Default"/>
                    <w:rPr>
                      <w:sz w:val="20"/>
                      <w:szCs w:val="20"/>
                    </w:rPr>
                  </w:pPr>
                  <w:r w:rsidRPr="007A3A45">
                    <w:rPr>
                      <w:sz w:val="20"/>
                      <w:szCs w:val="20"/>
                    </w:rPr>
                    <w:t xml:space="preserve">Executive Director Health Services Policy and Commissioning, Health and Wellbeing Division (metro, rural and regional health services, </w:t>
                  </w:r>
                  <w:r w:rsidRPr="007A3A45">
                    <w:rPr>
                      <w:color w:val="auto"/>
                      <w:sz w:val="20"/>
                      <w:szCs w:val="20"/>
                    </w:rPr>
                    <w:t>including Bush Nursing Centres, health services with dental services*, and health services with clinical mental health services)</w:t>
                  </w:r>
                </w:p>
                <w:p w14:paraId="30DCA14F" w14:textId="77777777" w:rsidR="007A3A45" w:rsidRPr="007A3A45" w:rsidRDefault="007A3A45" w:rsidP="007A3A45">
                  <w:pPr>
                    <w:pStyle w:val="Default"/>
                    <w:rPr>
                      <w:sz w:val="20"/>
                      <w:szCs w:val="20"/>
                    </w:rPr>
                  </w:pPr>
                </w:p>
                <w:p w14:paraId="1B2519D6" w14:textId="77777777" w:rsidR="007A3A45" w:rsidRPr="007A3A45" w:rsidRDefault="007A3A45" w:rsidP="007A3A45">
                  <w:pPr>
                    <w:pStyle w:val="Default"/>
                    <w:rPr>
                      <w:sz w:val="20"/>
                      <w:szCs w:val="20"/>
                    </w:rPr>
                  </w:pPr>
                  <w:r w:rsidRPr="007A3A45">
                    <w:rPr>
                      <w:sz w:val="20"/>
                      <w:szCs w:val="20"/>
                    </w:rPr>
                    <w:t xml:space="preserve">and copy in accreditation@dhhs.vic.gov.au </w:t>
                  </w:r>
                </w:p>
              </w:tc>
              <w:tc>
                <w:tcPr>
                  <w:tcW w:w="2020" w:type="dxa"/>
                  <w:vMerge w:val="restart"/>
                </w:tcPr>
                <w:p w14:paraId="795CDAD0" w14:textId="77777777" w:rsidR="007A3A45" w:rsidRPr="007A3A45" w:rsidRDefault="007A3A45" w:rsidP="007A3A45">
                  <w:pPr>
                    <w:pStyle w:val="Default"/>
                    <w:rPr>
                      <w:sz w:val="20"/>
                      <w:szCs w:val="20"/>
                    </w:rPr>
                  </w:pPr>
                  <w:r w:rsidRPr="007A3A45">
                    <w:rPr>
                      <w:sz w:val="20"/>
                      <w:szCs w:val="20"/>
                    </w:rPr>
                    <w:t xml:space="preserve">Health service organisation </w:t>
                  </w:r>
                </w:p>
              </w:tc>
            </w:tr>
            <w:tr w:rsidR="007A3A45" w:rsidRPr="007A3A45" w14:paraId="5F7DD7E4" w14:textId="77777777" w:rsidTr="007A3A45">
              <w:trPr>
                <w:trHeight w:val="951"/>
                <w:tblHeader/>
              </w:trPr>
              <w:tc>
                <w:tcPr>
                  <w:tcW w:w="1570" w:type="dxa"/>
                  <w:vMerge/>
                </w:tcPr>
                <w:p w14:paraId="06D28A1F" w14:textId="77777777" w:rsidR="007A3A45" w:rsidRPr="007A3A45" w:rsidRDefault="007A3A45" w:rsidP="007A3A45">
                  <w:pPr>
                    <w:pStyle w:val="Default"/>
                    <w:rPr>
                      <w:sz w:val="20"/>
                      <w:szCs w:val="20"/>
                    </w:rPr>
                  </w:pPr>
                </w:p>
              </w:tc>
              <w:tc>
                <w:tcPr>
                  <w:tcW w:w="2261" w:type="dxa"/>
                </w:tcPr>
                <w:p w14:paraId="56098022" w14:textId="77777777" w:rsidR="007A3A45" w:rsidRPr="007A3A45" w:rsidRDefault="007A3A45" w:rsidP="007A3A45">
                  <w:pPr>
                    <w:pStyle w:val="Default"/>
                    <w:rPr>
                      <w:sz w:val="20"/>
                      <w:szCs w:val="20"/>
                    </w:rPr>
                  </w:pPr>
                  <w:r w:rsidRPr="007A3A45">
                    <w:rPr>
                      <w:sz w:val="20"/>
                      <w:szCs w:val="20"/>
                    </w:rPr>
                    <w:t xml:space="preserve">Provide accreditation report within a week of receipt from accrediting agency </w:t>
                  </w:r>
                </w:p>
              </w:tc>
              <w:tc>
                <w:tcPr>
                  <w:tcW w:w="3216" w:type="dxa"/>
                  <w:vMerge/>
                </w:tcPr>
                <w:p w14:paraId="45856D05" w14:textId="77777777" w:rsidR="007A3A45" w:rsidRPr="007A3A45" w:rsidRDefault="007A3A45" w:rsidP="007A3A45">
                  <w:pPr>
                    <w:pStyle w:val="Default"/>
                    <w:rPr>
                      <w:sz w:val="20"/>
                      <w:szCs w:val="20"/>
                    </w:rPr>
                  </w:pPr>
                </w:p>
              </w:tc>
              <w:tc>
                <w:tcPr>
                  <w:tcW w:w="2020" w:type="dxa"/>
                  <w:vMerge/>
                </w:tcPr>
                <w:p w14:paraId="2AB43C66" w14:textId="77777777" w:rsidR="007A3A45" w:rsidRPr="007A3A45" w:rsidRDefault="007A3A45" w:rsidP="007A3A45">
                  <w:pPr>
                    <w:pStyle w:val="Default"/>
                    <w:rPr>
                      <w:sz w:val="20"/>
                      <w:szCs w:val="20"/>
                    </w:rPr>
                  </w:pPr>
                </w:p>
              </w:tc>
            </w:tr>
            <w:tr w:rsidR="007A3A45" w:rsidRPr="007A3A45" w14:paraId="4EF2E283" w14:textId="77777777" w:rsidTr="007A3A45">
              <w:trPr>
                <w:trHeight w:val="257"/>
                <w:tblHeader/>
              </w:trPr>
              <w:tc>
                <w:tcPr>
                  <w:tcW w:w="1570" w:type="dxa"/>
                  <w:vMerge w:val="restart"/>
                </w:tcPr>
                <w:p w14:paraId="79D02090" w14:textId="77777777" w:rsidR="007A3A45" w:rsidRPr="007A3A45" w:rsidRDefault="007A3A45" w:rsidP="007A3A45">
                  <w:pPr>
                    <w:pStyle w:val="Default"/>
                    <w:rPr>
                      <w:sz w:val="20"/>
                      <w:szCs w:val="20"/>
                    </w:rPr>
                  </w:pPr>
                  <w:r w:rsidRPr="007A3A45">
                    <w:rPr>
                      <w:sz w:val="20"/>
                      <w:szCs w:val="20"/>
                    </w:rPr>
                    <w:t xml:space="preserve">Assessment outcome –  actions ‘not met’ </w:t>
                  </w:r>
                </w:p>
              </w:tc>
              <w:tc>
                <w:tcPr>
                  <w:tcW w:w="2261" w:type="dxa"/>
                </w:tcPr>
                <w:p w14:paraId="407E333E" w14:textId="77777777" w:rsidR="007A3A45" w:rsidRPr="007A3A45" w:rsidRDefault="007A3A45" w:rsidP="007A3A45">
                  <w:pPr>
                    <w:pStyle w:val="Default"/>
                    <w:rPr>
                      <w:sz w:val="20"/>
                      <w:szCs w:val="20"/>
                    </w:rPr>
                  </w:pPr>
                  <w:r w:rsidRPr="007A3A45">
                    <w:rPr>
                      <w:sz w:val="20"/>
                      <w:szCs w:val="20"/>
                    </w:rPr>
                    <w:t xml:space="preserve">Notify immediately upon receiving advice from accrediting agency </w:t>
                  </w:r>
                </w:p>
              </w:tc>
              <w:tc>
                <w:tcPr>
                  <w:tcW w:w="3216" w:type="dxa"/>
                  <w:vMerge w:val="restart"/>
                </w:tcPr>
                <w:p w14:paraId="44809FF9" w14:textId="77777777" w:rsidR="007A3A45" w:rsidRPr="007A3A45" w:rsidRDefault="007A3A45" w:rsidP="007A3A45">
                  <w:pPr>
                    <w:pStyle w:val="Default"/>
                    <w:rPr>
                      <w:sz w:val="20"/>
                      <w:szCs w:val="20"/>
                    </w:rPr>
                  </w:pPr>
                  <w:r w:rsidRPr="007A3A45">
                    <w:rPr>
                      <w:sz w:val="20"/>
                      <w:szCs w:val="20"/>
                    </w:rPr>
                    <w:t xml:space="preserve">As above </w:t>
                  </w:r>
                </w:p>
              </w:tc>
              <w:tc>
                <w:tcPr>
                  <w:tcW w:w="2020" w:type="dxa"/>
                  <w:vMerge w:val="restart"/>
                </w:tcPr>
                <w:p w14:paraId="1585F41E" w14:textId="77777777" w:rsidR="007A3A45" w:rsidRPr="007A3A45" w:rsidRDefault="007A3A45" w:rsidP="007A3A45">
                  <w:pPr>
                    <w:pStyle w:val="Default"/>
                    <w:rPr>
                      <w:sz w:val="20"/>
                      <w:szCs w:val="20"/>
                    </w:rPr>
                  </w:pPr>
                  <w:r w:rsidRPr="007A3A45">
                    <w:rPr>
                      <w:sz w:val="20"/>
                      <w:szCs w:val="20"/>
                    </w:rPr>
                    <w:t xml:space="preserve">Health service organisation </w:t>
                  </w:r>
                </w:p>
              </w:tc>
            </w:tr>
            <w:tr w:rsidR="007A3A45" w:rsidRPr="007A3A45" w14:paraId="2F9142B9" w14:textId="77777777" w:rsidTr="007A3A45">
              <w:trPr>
                <w:trHeight w:val="256"/>
                <w:tblHeader/>
              </w:trPr>
              <w:tc>
                <w:tcPr>
                  <w:tcW w:w="1570" w:type="dxa"/>
                  <w:vMerge/>
                </w:tcPr>
                <w:p w14:paraId="56E89D98" w14:textId="77777777" w:rsidR="007A3A45" w:rsidRPr="007A3A45" w:rsidRDefault="007A3A45" w:rsidP="007A3A45">
                  <w:pPr>
                    <w:pStyle w:val="Default"/>
                    <w:rPr>
                      <w:sz w:val="20"/>
                      <w:szCs w:val="20"/>
                    </w:rPr>
                  </w:pPr>
                </w:p>
              </w:tc>
              <w:tc>
                <w:tcPr>
                  <w:tcW w:w="2261" w:type="dxa"/>
                </w:tcPr>
                <w:p w14:paraId="34F2C08A" w14:textId="77777777" w:rsidR="007A3A45" w:rsidRPr="007A3A45" w:rsidRDefault="007A3A45" w:rsidP="007A3A45">
                  <w:pPr>
                    <w:pStyle w:val="Default"/>
                    <w:rPr>
                      <w:sz w:val="20"/>
                      <w:szCs w:val="20"/>
                    </w:rPr>
                  </w:pPr>
                  <w:r w:rsidRPr="007A3A45">
                    <w:rPr>
                      <w:sz w:val="20"/>
                      <w:szCs w:val="20"/>
                    </w:rPr>
                    <w:t>Submit remediation action plan within five days (or 1 week) of receiving the ‘not met’ rating from the accrediting agency</w:t>
                  </w:r>
                </w:p>
              </w:tc>
              <w:tc>
                <w:tcPr>
                  <w:tcW w:w="3216" w:type="dxa"/>
                  <w:vMerge/>
                </w:tcPr>
                <w:p w14:paraId="5FD12C52" w14:textId="77777777" w:rsidR="007A3A45" w:rsidRPr="007A3A45" w:rsidRDefault="007A3A45" w:rsidP="007A3A45">
                  <w:pPr>
                    <w:pStyle w:val="Default"/>
                    <w:rPr>
                      <w:sz w:val="20"/>
                      <w:szCs w:val="20"/>
                    </w:rPr>
                  </w:pPr>
                </w:p>
              </w:tc>
              <w:tc>
                <w:tcPr>
                  <w:tcW w:w="2020" w:type="dxa"/>
                  <w:vMerge/>
                </w:tcPr>
                <w:p w14:paraId="769E3CD9" w14:textId="77777777" w:rsidR="007A3A45" w:rsidRPr="007A3A45" w:rsidRDefault="007A3A45" w:rsidP="007A3A45">
                  <w:pPr>
                    <w:pStyle w:val="Default"/>
                    <w:rPr>
                      <w:sz w:val="20"/>
                      <w:szCs w:val="20"/>
                    </w:rPr>
                  </w:pPr>
                </w:p>
              </w:tc>
            </w:tr>
            <w:tr w:rsidR="007A3A45" w:rsidRPr="007A3A45" w14:paraId="5AA5851A" w14:textId="77777777" w:rsidTr="007A3A45">
              <w:trPr>
                <w:trHeight w:val="570"/>
                <w:tblHeader/>
              </w:trPr>
              <w:tc>
                <w:tcPr>
                  <w:tcW w:w="1570" w:type="dxa"/>
                  <w:vMerge w:val="restart"/>
                </w:tcPr>
                <w:p w14:paraId="72B990A4" w14:textId="77777777" w:rsidR="007A3A45" w:rsidRPr="007A3A45" w:rsidRDefault="007A3A45" w:rsidP="007A3A45">
                  <w:pPr>
                    <w:pStyle w:val="Default"/>
                    <w:rPr>
                      <w:sz w:val="20"/>
                      <w:szCs w:val="20"/>
                    </w:rPr>
                  </w:pPr>
                  <w:r w:rsidRPr="007A3A45">
                    <w:rPr>
                      <w:sz w:val="20"/>
                      <w:szCs w:val="20"/>
                    </w:rPr>
                    <w:t xml:space="preserve">Assessment outcome – large number of actions ‘not met’ </w:t>
                  </w:r>
                </w:p>
              </w:tc>
              <w:tc>
                <w:tcPr>
                  <w:tcW w:w="2261" w:type="dxa"/>
                  <w:vMerge w:val="restart"/>
                </w:tcPr>
                <w:p w14:paraId="53EED0D3" w14:textId="77777777" w:rsidR="007A3A45" w:rsidRPr="007A3A45" w:rsidRDefault="007A3A45" w:rsidP="007A3A45">
                  <w:pPr>
                    <w:pStyle w:val="Default"/>
                    <w:rPr>
                      <w:bCs/>
                      <w:sz w:val="20"/>
                      <w:szCs w:val="20"/>
                    </w:rPr>
                  </w:pPr>
                  <w:r w:rsidRPr="007A3A45">
                    <w:rPr>
                      <w:bCs/>
                      <w:sz w:val="20"/>
                      <w:szCs w:val="20"/>
                    </w:rPr>
                    <w:t>Confirm a reassessment date within 10 days (or 2 weeks) of confirmation reassessment required.</w:t>
                  </w:r>
                </w:p>
                <w:p w14:paraId="0BCE0233" w14:textId="77777777" w:rsidR="007A3A45" w:rsidRPr="007A3A45" w:rsidRDefault="007A3A45" w:rsidP="007A3A45">
                  <w:pPr>
                    <w:pStyle w:val="Default"/>
                    <w:rPr>
                      <w:sz w:val="20"/>
                      <w:szCs w:val="20"/>
                    </w:rPr>
                  </w:pPr>
                </w:p>
              </w:tc>
              <w:tc>
                <w:tcPr>
                  <w:tcW w:w="3216" w:type="dxa"/>
                  <w:vMerge w:val="restart"/>
                </w:tcPr>
                <w:p w14:paraId="7937264E" w14:textId="77777777" w:rsidR="007A3A45" w:rsidRPr="007A3A45" w:rsidRDefault="007A3A45" w:rsidP="007A3A45">
                  <w:pPr>
                    <w:pStyle w:val="Default"/>
                    <w:rPr>
                      <w:sz w:val="20"/>
                      <w:szCs w:val="20"/>
                    </w:rPr>
                  </w:pPr>
                  <w:r w:rsidRPr="007A3A45">
                    <w:rPr>
                      <w:sz w:val="20"/>
                      <w:szCs w:val="20"/>
                    </w:rPr>
                    <w:t>As Above</w:t>
                  </w:r>
                </w:p>
              </w:tc>
              <w:tc>
                <w:tcPr>
                  <w:tcW w:w="2020" w:type="dxa"/>
                </w:tcPr>
                <w:p w14:paraId="53C57EFD" w14:textId="77777777" w:rsidR="007A3A45" w:rsidRPr="007A3A45" w:rsidRDefault="007A3A45" w:rsidP="007A3A45">
                  <w:pPr>
                    <w:pStyle w:val="Default"/>
                    <w:rPr>
                      <w:sz w:val="20"/>
                      <w:szCs w:val="20"/>
                    </w:rPr>
                  </w:pPr>
                  <w:r w:rsidRPr="007A3A45">
                    <w:rPr>
                      <w:sz w:val="20"/>
                      <w:szCs w:val="20"/>
                    </w:rPr>
                    <w:t>Accrediting agency</w:t>
                  </w:r>
                </w:p>
              </w:tc>
            </w:tr>
            <w:tr w:rsidR="007A3A45" w:rsidRPr="007A3A45" w14:paraId="3181478E" w14:textId="77777777" w:rsidTr="007A3A45">
              <w:trPr>
                <w:trHeight w:val="569"/>
                <w:tblHeader/>
              </w:trPr>
              <w:tc>
                <w:tcPr>
                  <w:tcW w:w="1570" w:type="dxa"/>
                  <w:vMerge/>
                </w:tcPr>
                <w:p w14:paraId="1AF02471" w14:textId="77777777" w:rsidR="007A3A45" w:rsidRPr="007A3A45" w:rsidRDefault="007A3A45" w:rsidP="007A3A45">
                  <w:pPr>
                    <w:pStyle w:val="Default"/>
                    <w:rPr>
                      <w:sz w:val="20"/>
                      <w:szCs w:val="20"/>
                    </w:rPr>
                  </w:pPr>
                </w:p>
              </w:tc>
              <w:tc>
                <w:tcPr>
                  <w:tcW w:w="2261" w:type="dxa"/>
                  <w:vMerge/>
                </w:tcPr>
                <w:p w14:paraId="09B2CF68" w14:textId="77777777" w:rsidR="007A3A45" w:rsidRPr="007A3A45" w:rsidRDefault="007A3A45" w:rsidP="007A3A45">
                  <w:pPr>
                    <w:pStyle w:val="Default"/>
                    <w:rPr>
                      <w:bCs/>
                      <w:sz w:val="20"/>
                      <w:szCs w:val="20"/>
                    </w:rPr>
                  </w:pPr>
                </w:p>
              </w:tc>
              <w:tc>
                <w:tcPr>
                  <w:tcW w:w="3216" w:type="dxa"/>
                  <w:vMerge/>
                </w:tcPr>
                <w:p w14:paraId="2BCB7FC8" w14:textId="77777777" w:rsidR="007A3A45" w:rsidRPr="007A3A45" w:rsidRDefault="007A3A45" w:rsidP="007A3A45">
                  <w:pPr>
                    <w:pStyle w:val="Default"/>
                    <w:rPr>
                      <w:sz w:val="20"/>
                      <w:szCs w:val="20"/>
                    </w:rPr>
                  </w:pPr>
                </w:p>
              </w:tc>
              <w:tc>
                <w:tcPr>
                  <w:tcW w:w="2020" w:type="dxa"/>
                </w:tcPr>
                <w:p w14:paraId="38F1DB92" w14:textId="77777777" w:rsidR="007A3A45" w:rsidRPr="007A3A45" w:rsidRDefault="007A3A45" w:rsidP="007A3A45">
                  <w:pPr>
                    <w:pStyle w:val="Default"/>
                    <w:rPr>
                      <w:sz w:val="20"/>
                      <w:szCs w:val="20"/>
                    </w:rPr>
                  </w:pPr>
                  <w:r w:rsidRPr="007A3A45">
                    <w:rPr>
                      <w:sz w:val="20"/>
                      <w:szCs w:val="20"/>
                    </w:rPr>
                    <w:t>Health service organisation</w:t>
                  </w:r>
                </w:p>
              </w:tc>
            </w:tr>
            <w:tr w:rsidR="007A3A45" w:rsidRPr="007A3A45" w14:paraId="21A93F33" w14:textId="77777777" w:rsidTr="007A3A45">
              <w:trPr>
                <w:trHeight w:val="689"/>
                <w:tblHeader/>
              </w:trPr>
              <w:tc>
                <w:tcPr>
                  <w:tcW w:w="1570" w:type="dxa"/>
                  <w:vMerge w:val="restart"/>
                </w:tcPr>
                <w:p w14:paraId="47A2F26B" w14:textId="77777777" w:rsidR="007A3A45" w:rsidRPr="007A3A45" w:rsidRDefault="007A3A45" w:rsidP="007A3A45">
                  <w:pPr>
                    <w:pStyle w:val="Default"/>
                    <w:rPr>
                      <w:sz w:val="20"/>
                      <w:szCs w:val="20"/>
                    </w:rPr>
                  </w:pPr>
                  <w:r w:rsidRPr="007A3A45">
                    <w:rPr>
                      <w:sz w:val="20"/>
                      <w:szCs w:val="20"/>
                    </w:rPr>
                    <w:t>Assessment outcome (final assessment) – actions ‘not met’ – Accreditation not awarded or</w:t>
                  </w:r>
                </w:p>
                <w:p w14:paraId="513AD8EC" w14:textId="77777777" w:rsidR="007A3A45" w:rsidRPr="007A3A45" w:rsidRDefault="007A3A45" w:rsidP="007A3A45">
                  <w:pPr>
                    <w:pStyle w:val="Default"/>
                    <w:rPr>
                      <w:sz w:val="20"/>
                      <w:szCs w:val="20"/>
                    </w:rPr>
                  </w:pPr>
                  <w:r w:rsidRPr="007A3A45">
                    <w:rPr>
                      <w:sz w:val="20"/>
                      <w:szCs w:val="20"/>
                    </w:rPr>
                    <w:t xml:space="preserve">withdrawn </w:t>
                  </w:r>
                </w:p>
                <w:p w14:paraId="59A0BEB5" w14:textId="77777777" w:rsidR="007A3A45" w:rsidRPr="007A3A45" w:rsidRDefault="007A3A45" w:rsidP="007A3A45">
                  <w:pPr>
                    <w:pStyle w:val="Default"/>
                    <w:rPr>
                      <w:sz w:val="20"/>
                      <w:szCs w:val="20"/>
                    </w:rPr>
                  </w:pPr>
                </w:p>
              </w:tc>
              <w:tc>
                <w:tcPr>
                  <w:tcW w:w="2261" w:type="dxa"/>
                </w:tcPr>
                <w:p w14:paraId="06C111F4" w14:textId="77777777" w:rsidR="007A3A45" w:rsidRPr="007A3A45" w:rsidRDefault="007A3A45" w:rsidP="007A3A45">
                  <w:pPr>
                    <w:pStyle w:val="Default"/>
                    <w:rPr>
                      <w:sz w:val="20"/>
                      <w:szCs w:val="20"/>
                    </w:rPr>
                  </w:pPr>
                  <w:r w:rsidRPr="007A3A45">
                    <w:rPr>
                      <w:sz w:val="20"/>
                      <w:szCs w:val="20"/>
                    </w:rPr>
                    <w:t xml:space="preserve">Notify immediately following the final assessment if there is a potential risk of non-compliance (accreditation not awarded or withdrawn) </w:t>
                  </w:r>
                </w:p>
              </w:tc>
              <w:tc>
                <w:tcPr>
                  <w:tcW w:w="3216" w:type="dxa"/>
                  <w:vMerge w:val="restart"/>
                </w:tcPr>
                <w:p w14:paraId="37DA7C35" w14:textId="77777777" w:rsidR="007A3A45" w:rsidRPr="007A3A45" w:rsidRDefault="007A3A45" w:rsidP="007A3A45">
                  <w:pPr>
                    <w:pStyle w:val="Default"/>
                    <w:rPr>
                      <w:sz w:val="20"/>
                      <w:szCs w:val="20"/>
                    </w:rPr>
                  </w:pPr>
                  <w:r w:rsidRPr="007A3A45">
                    <w:rPr>
                      <w:sz w:val="20"/>
                      <w:szCs w:val="20"/>
                    </w:rPr>
                    <w:t xml:space="preserve">Executive Director Health Services Policy and Commissioning, Health and Wellbeing Division (metro, rural and regional health services, </w:t>
                  </w:r>
                  <w:r w:rsidRPr="007A3A45">
                    <w:rPr>
                      <w:color w:val="auto"/>
                      <w:sz w:val="20"/>
                      <w:szCs w:val="20"/>
                    </w:rPr>
                    <w:t>including Bush Nursing Centres, health services with dental services*, and health services with clinical mental health services)</w:t>
                  </w:r>
                </w:p>
                <w:p w14:paraId="53DBCA6E" w14:textId="77777777" w:rsidR="007A3A45" w:rsidRPr="007A3A45" w:rsidRDefault="007A3A45" w:rsidP="007A3A45">
                  <w:pPr>
                    <w:pStyle w:val="Default"/>
                    <w:rPr>
                      <w:sz w:val="20"/>
                      <w:szCs w:val="20"/>
                    </w:rPr>
                  </w:pPr>
                  <w:r w:rsidRPr="007A3A45">
                    <w:rPr>
                      <w:sz w:val="20"/>
                      <w:szCs w:val="20"/>
                    </w:rPr>
                    <w:t>and copy in accreditation@dhhs.vic.gov.au</w:t>
                  </w:r>
                </w:p>
              </w:tc>
              <w:tc>
                <w:tcPr>
                  <w:tcW w:w="2020" w:type="dxa"/>
                  <w:vMerge w:val="restart"/>
                </w:tcPr>
                <w:p w14:paraId="31F1BB3F" w14:textId="77777777" w:rsidR="007A3A45" w:rsidRPr="007A3A45" w:rsidRDefault="007A3A45" w:rsidP="007A3A45">
                  <w:pPr>
                    <w:pStyle w:val="Default"/>
                    <w:rPr>
                      <w:sz w:val="20"/>
                      <w:szCs w:val="20"/>
                    </w:rPr>
                  </w:pPr>
                  <w:r w:rsidRPr="007A3A45">
                    <w:rPr>
                      <w:sz w:val="20"/>
                      <w:szCs w:val="20"/>
                    </w:rPr>
                    <w:t xml:space="preserve">Accrediting agency </w:t>
                  </w:r>
                </w:p>
              </w:tc>
            </w:tr>
            <w:tr w:rsidR="007A3A45" w:rsidRPr="007A3A45" w14:paraId="458CE64D" w14:textId="77777777" w:rsidTr="007A3A45">
              <w:trPr>
                <w:trHeight w:val="688"/>
                <w:tblHeader/>
              </w:trPr>
              <w:tc>
                <w:tcPr>
                  <w:tcW w:w="1570" w:type="dxa"/>
                  <w:vMerge/>
                </w:tcPr>
                <w:p w14:paraId="74EA3CCC" w14:textId="77777777" w:rsidR="007A3A45" w:rsidRPr="007A3A45" w:rsidRDefault="007A3A45" w:rsidP="007A3A45">
                  <w:pPr>
                    <w:pStyle w:val="Default"/>
                    <w:rPr>
                      <w:sz w:val="20"/>
                      <w:szCs w:val="20"/>
                    </w:rPr>
                  </w:pPr>
                </w:p>
              </w:tc>
              <w:tc>
                <w:tcPr>
                  <w:tcW w:w="2261" w:type="dxa"/>
                </w:tcPr>
                <w:p w14:paraId="592B63EE" w14:textId="77777777" w:rsidR="007A3A45" w:rsidRPr="007A3A45" w:rsidRDefault="007A3A45" w:rsidP="007A3A45">
                  <w:pPr>
                    <w:pStyle w:val="Default"/>
                    <w:rPr>
                      <w:sz w:val="20"/>
                      <w:szCs w:val="20"/>
                    </w:rPr>
                  </w:pPr>
                  <w:r w:rsidRPr="007A3A45">
                    <w:rPr>
                      <w:sz w:val="20"/>
                      <w:szCs w:val="20"/>
                    </w:rPr>
                    <w:t>Provide formal advice and submit accreditation report within 20 business days of final assessment</w:t>
                  </w:r>
                </w:p>
              </w:tc>
              <w:tc>
                <w:tcPr>
                  <w:tcW w:w="3216" w:type="dxa"/>
                  <w:vMerge/>
                </w:tcPr>
                <w:p w14:paraId="70A58B2F" w14:textId="77777777" w:rsidR="007A3A45" w:rsidRPr="007A3A45" w:rsidRDefault="007A3A45" w:rsidP="007A3A45">
                  <w:pPr>
                    <w:pStyle w:val="Default"/>
                    <w:rPr>
                      <w:sz w:val="20"/>
                      <w:szCs w:val="20"/>
                    </w:rPr>
                  </w:pPr>
                </w:p>
              </w:tc>
              <w:tc>
                <w:tcPr>
                  <w:tcW w:w="2020" w:type="dxa"/>
                  <w:vMerge/>
                </w:tcPr>
                <w:p w14:paraId="19D96F3B" w14:textId="77777777" w:rsidR="007A3A45" w:rsidRPr="007A3A45" w:rsidRDefault="007A3A45" w:rsidP="007A3A45">
                  <w:pPr>
                    <w:pStyle w:val="Default"/>
                    <w:rPr>
                      <w:sz w:val="20"/>
                      <w:szCs w:val="20"/>
                    </w:rPr>
                  </w:pPr>
                </w:p>
              </w:tc>
            </w:tr>
            <w:tr w:rsidR="007A3A45" w:rsidRPr="007A3A45" w14:paraId="3A03154D" w14:textId="77777777" w:rsidTr="007A3A45">
              <w:trPr>
                <w:trHeight w:val="1236"/>
                <w:tblHeader/>
              </w:trPr>
              <w:tc>
                <w:tcPr>
                  <w:tcW w:w="1570" w:type="dxa"/>
                  <w:vMerge/>
                </w:tcPr>
                <w:p w14:paraId="496BF6D5" w14:textId="77777777" w:rsidR="007A3A45" w:rsidRPr="007A3A45" w:rsidRDefault="007A3A45" w:rsidP="007A3A45">
                  <w:pPr>
                    <w:pStyle w:val="Default"/>
                    <w:rPr>
                      <w:sz w:val="20"/>
                      <w:szCs w:val="20"/>
                    </w:rPr>
                  </w:pPr>
                </w:p>
              </w:tc>
              <w:tc>
                <w:tcPr>
                  <w:tcW w:w="2261" w:type="dxa"/>
                </w:tcPr>
                <w:p w14:paraId="4DE92192" w14:textId="77777777" w:rsidR="007A3A45" w:rsidRPr="007A3A45" w:rsidRDefault="007A3A45" w:rsidP="007A3A45">
                  <w:pPr>
                    <w:pStyle w:val="Default"/>
                    <w:rPr>
                      <w:sz w:val="20"/>
                      <w:szCs w:val="20"/>
                    </w:rPr>
                  </w:pPr>
                  <w:r w:rsidRPr="007A3A45">
                    <w:rPr>
                      <w:sz w:val="20"/>
                      <w:szCs w:val="20"/>
                    </w:rPr>
                    <w:t xml:space="preserve">Submit remediation action plan within five business days of receiving the accreditation report from the accrediting agency or the report of an external review (if applicable) </w:t>
                  </w:r>
                </w:p>
                <w:p w14:paraId="03B9AFDD" w14:textId="77777777" w:rsidR="007A3A45" w:rsidRPr="007A3A45" w:rsidRDefault="007A3A45" w:rsidP="007A3A45">
                  <w:pPr>
                    <w:pStyle w:val="Default"/>
                    <w:rPr>
                      <w:sz w:val="20"/>
                      <w:szCs w:val="20"/>
                    </w:rPr>
                  </w:pPr>
                </w:p>
              </w:tc>
              <w:tc>
                <w:tcPr>
                  <w:tcW w:w="3216" w:type="dxa"/>
                  <w:vMerge/>
                </w:tcPr>
                <w:p w14:paraId="059C7240" w14:textId="77777777" w:rsidR="007A3A45" w:rsidRPr="007A3A45" w:rsidRDefault="007A3A45" w:rsidP="007A3A45">
                  <w:pPr>
                    <w:pStyle w:val="Default"/>
                    <w:rPr>
                      <w:sz w:val="20"/>
                      <w:szCs w:val="20"/>
                    </w:rPr>
                  </w:pPr>
                </w:p>
              </w:tc>
              <w:tc>
                <w:tcPr>
                  <w:tcW w:w="2020" w:type="dxa"/>
                </w:tcPr>
                <w:p w14:paraId="5DD7C73B" w14:textId="77777777" w:rsidR="007A3A45" w:rsidRPr="007A3A45" w:rsidRDefault="007A3A45" w:rsidP="007A3A45">
                  <w:pPr>
                    <w:pStyle w:val="Default"/>
                    <w:rPr>
                      <w:b/>
                      <w:sz w:val="20"/>
                      <w:szCs w:val="20"/>
                    </w:rPr>
                  </w:pPr>
                  <w:r w:rsidRPr="007A3A45">
                    <w:rPr>
                      <w:sz w:val="20"/>
                      <w:szCs w:val="20"/>
                    </w:rPr>
                    <w:t>Health service organisation</w:t>
                  </w:r>
                </w:p>
              </w:tc>
            </w:tr>
          </w:tbl>
          <w:p w14:paraId="78632FD4" w14:textId="5381C477" w:rsidR="00564E8F" w:rsidRPr="003072C6" w:rsidRDefault="00564E8F" w:rsidP="00DF5C2A">
            <w:pPr>
              <w:spacing w:after="120" w:line="270" w:lineRule="atLeast"/>
            </w:pPr>
          </w:p>
        </w:tc>
      </w:tr>
    </w:tbl>
    <w:p w14:paraId="3EF9F799" w14:textId="77777777" w:rsidR="007A3A45" w:rsidRDefault="007A3A45" w:rsidP="00F16E03">
      <w:pPr>
        <w:pStyle w:val="Heading1"/>
        <w:spacing w:before="240"/>
      </w:pPr>
    </w:p>
    <w:p w14:paraId="09707296" w14:textId="2CD64F6D" w:rsidR="007D61C5" w:rsidRPr="007D61C5" w:rsidRDefault="00DF5C2A" w:rsidP="00DA32B8">
      <w:r>
        <w:rPr>
          <w:rFonts w:ascii="Arial" w:hAnsi="Arial" w:cs="Arial"/>
          <w:i/>
          <w:sz w:val="16"/>
          <w:szCs w:val="16"/>
        </w:rPr>
        <w:t xml:space="preserve">Note: </w:t>
      </w:r>
      <w:r w:rsidRPr="00355E92">
        <w:rPr>
          <w:rFonts w:ascii="Arial" w:hAnsi="Arial" w:cs="Arial"/>
          <w:i/>
          <w:sz w:val="16"/>
          <w:szCs w:val="16"/>
        </w:rPr>
        <w:t>*In addition to contacting the department, health service organisations with dental health services will also need to contact the Chief Executive Officer, Dental Health Services Victoria, regarding requests to extend the accreditation expiry date, accreditation outcomes, and if there are concerns with the quality and safety of the organisation’s dental health service.</w:t>
      </w:r>
    </w:p>
    <w:sectPr w:rsidR="007D61C5" w:rsidRPr="007D61C5" w:rsidSect="007A3A45">
      <w:headerReference w:type="even" r:id="rId19"/>
      <w:headerReference w:type="default" r:id="rId20"/>
      <w:footerReference w:type="even" r:id="rId21"/>
      <w:footerReference w:type="default" r:id="rId22"/>
      <w:footerReference w:type="first" r:id="rId23"/>
      <w:pgSz w:w="11906" w:h="16838"/>
      <w:pgMar w:top="1418"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709F" w14:textId="77777777" w:rsidR="00717C5B" w:rsidRDefault="00717C5B">
      <w:r>
        <w:separator/>
      </w:r>
    </w:p>
  </w:endnote>
  <w:endnote w:type="continuationSeparator" w:id="0">
    <w:p w14:paraId="2F49A11D" w14:textId="77777777" w:rsidR="00717C5B" w:rsidRDefault="0071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5121" w14:textId="77777777" w:rsidR="00DA32B8" w:rsidRDefault="00DA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BAF6" w14:textId="77777777" w:rsidR="00DA32B8" w:rsidRDefault="00DA3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01856" w14:textId="77777777" w:rsidR="00DA32B8" w:rsidRDefault="00DA3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4A8E9" w14:textId="7E20BC0B" w:rsidR="00977C63" w:rsidRPr="008114D1" w:rsidRDefault="00977C63" w:rsidP="00E969B1">
    <w:pPr>
      <w:pStyle w:val="DHHS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39118" w14:textId="5610E86D" w:rsidR="00977C63" w:rsidRPr="0031753A" w:rsidRDefault="00977C63" w:rsidP="00E969B1">
    <w:pPr>
      <w:pStyle w:val="DHHS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3F25" w14:textId="77777777" w:rsidR="00977C63" w:rsidRPr="001A7E04" w:rsidRDefault="00977C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F6FD5" w14:textId="77777777" w:rsidR="00717C5B" w:rsidRDefault="00717C5B">
      <w:r>
        <w:separator/>
      </w:r>
    </w:p>
  </w:footnote>
  <w:footnote w:type="continuationSeparator" w:id="0">
    <w:p w14:paraId="22FB5AD2" w14:textId="77777777" w:rsidR="00717C5B" w:rsidRDefault="0071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F52" w14:textId="77777777" w:rsidR="00DA32B8" w:rsidRDefault="00DA3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5E0E" w14:textId="77777777" w:rsidR="00DA32B8" w:rsidRDefault="00DA3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0898" w14:textId="77777777" w:rsidR="00DA32B8" w:rsidRDefault="00DA32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929E" w14:textId="46725FE9" w:rsidR="00977C63" w:rsidRPr="0069374A" w:rsidRDefault="00977C63"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54F4" w14:textId="57A1BB39" w:rsidR="00977C63" w:rsidRDefault="00977C6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C5"/>
    <w:rsid w:val="00002990"/>
    <w:rsid w:val="000048AC"/>
    <w:rsid w:val="00014FC4"/>
    <w:rsid w:val="00020AAB"/>
    <w:rsid w:val="000223A4"/>
    <w:rsid w:val="00022E60"/>
    <w:rsid w:val="00026C19"/>
    <w:rsid w:val="00031263"/>
    <w:rsid w:val="0003309F"/>
    <w:rsid w:val="00060E93"/>
    <w:rsid w:val="00064936"/>
    <w:rsid w:val="000734F8"/>
    <w:rsid w:val="000736B8"/>
    <w:rsid w:val="0007645A"/>
    <w:rsid w:val="000817CB"/>
    <w:rsid w:val="000873EF"/>
    <w:rsid w:val="000B246B"/>
    <w:rsid w:val="000B3792"/>
    <w:rsid w:val="000C6242"/>
    <w:rsid w:val="000C68DB"/>
    <w:rsid w:val="000D0C59"/>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679D5"/>
    <w:rsid w:val="002714FD"/>
    <w:rsid w:val="00275F94"/>
    <w:rsid w:val="00281B9C"/>
    <w:rsid w:val="00283644"/>
    <w:rsid w:val="00284C9B"/>
    <w:rsid w:val="002A141B"/>
    <w:rsid w:val="002A26B6"/>
    <w:rsid w:val="002A6A4E"/>
    <w:rsid w:val="002B5A85"/>
    <w:rsid w:val="002B63A7"/>
    <w:rsid w:val="002C29C6"/>
    <w:rsid w:val="002C5543"/>
    <w:rsid w:val="002D0F7F"/>
    <w:rsid w:val="002D72F7"/>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3563"/>
    <w:rsid w:val="00355886"/>
    <w:rsid w:val="00355E92"/>
    <w:rsid w:val="00356814"/>
    <w:rsid w:val="00357A35"/>
    <w:rsid w:val="0038019F"/>
    <w:rsid w:val="00382071"/>
    <w:rsid w:val="003A2F25"/>
    <w:rsid w:val="003A76B5"/>
    <w:rsid w:val="003B2807"/>
    <w:rsid w:val="003C68F2"/>
    <w:rsid w:val="003D58B8"/>
    <w:rsid w:val="003D5CFB"/>
    <w:rsid w:val="003E2636"/>
    <w:rsid w:val="003E2E12"/>
    <w:rsid w:val="003F39CE"/>
    <w:rsid w:val="00401108"/>
    <w:rsid w:val="00402927"/>
    <w:rsid w:val="00407993"/>
    <w:rsid w:val="00411833"/>
    <w:rsid w:val="00412F64"/>
    <w:rsid w:val="00417BEB"/>
    <w:rsid w:val="004213FE"/>
    <w:rsid w:val="004324FF"/>
    <w:rsid w:val="00432A55"/>
    <w:rsid w:val="0044260A"/>
    <w:rsid w:val="00444D82"/>
    <w:rsid w:val="00455CA6"/>
    <w:rsid w:val="004564C6"/>
    <w:rsid w:val="00460ABD"/>
    <w:rsid w:val="004610CC"/>
    <w:rsid w:val="00465464"/>
    <w:rsid w:val="00465E87"/>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375D"/>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77B30"/>
    <w:rsid w:val="00582768"/>
    <w:rsid w:val="00583461"/>
    <w:rsid w:val="005856A4"/>
    <w:rsid w:val="00590730"/>
    <w:rsid w:val="005A278E"/>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1B0C"/>
    <w:rsid w:val="007121A2"/>
    <w:rsid w:val="00713981"/>
    <w:rsid w:val="007176D6"/>
    <w:rsid w:val="00717C5B"/>
    <w:rsid w:val="00727D54"/>
    <w:rsid w:val="00731EF2"/>
    <w:rsid w:val="007344C5"/>
    <w:rsid w:val="00734959"/>
    <w:rsid w:val="00735137"/>
    <w:rsid w:val="0073520D"/>
    <w:rsid w:val="007704B5"/>
    <w:rsid w:val="00780226"/>
    <w:rsid w:val="00781AB4"/>
    <w:rsid w:val="007923B7"/>
    <w:rsid w:val="00792616"/>
    <w:rsid w:val="007926BB"/>
    <w:rsid w:val="0079344C"/>
    <w:rsid w:val="007968AE"/>
    <w:rsid w:val="007A0283"/>
    <w:rsid w:val="007A3A45"/>
    <w:rsid w:val="007B42BF"/>
    <w:rsid w:val="007C02C7"/>
    <w:rsid w:val="007C21EE"/>
    <w:rsid w:val="007D3A2E"/>
    <w:rsid w:val="007D61C5"/>
    <w:rsid w:val="007D6652"/>
    <w:rsid w:val="007D6B6A"/>
    <w:rsid w:val="007E343D"/>
    <w:rsid w:val="007F4383"/>
    <w:rsid w:val="00801601"/>
    <w:rsid w:val="00810991"/>
    <w:rsid w:val="00814A9B"/>
    <w:rsid w:val="00814F66"/>
    <w:rsid w:val="00817C9E"/>
    <w:rsid w:val="008205AF"/>
    <w:rsid w:val="008225E5"/>
    <w:rsid w:val="00831053"/>
    <w:rsid w:val="008314D2"/>
    <w:rsid w:val="0083254D"/>
    <w:rsid w:val="008339F1"/>
    <w:rsid w:val="00836249"/>
    <w:rsid w:val="00836F00"/>
    <w:rsid w:val="00846192"/>
    <w:rsid w:val="00850806"/>
    <w:rsid w:val="008535EC"/>
    <w:rsid w:val="00856A1B"/>
    <w:rsid w:val="008621C3"/>
    <w:rsid w:val="00865486"/>
    <w:rsid w:val="00876275"/>
    <w:rsid w:val="00882B99"/>
    <w:rsid w:val="00886121"/>
    <w:rsid w:val="00896DCF"/>
    <w:rsid w:val="008A295B"/>
    <w:rsid w:val="008A6604"/>
    <w:rsid w:val="008B1C73"/>
    <w:rsid w:val="008B5482"/>
    <w:rsid w:val="008C11F4"/>
    <w:rsid w:val="008C2BEC"/>
    <w:rsid w:val="008C6523"/>
    <w:rsid w:val="008C6D0E"/>
    <w:rsid w:val="008D09D2"/>
    <w:rsid w:val="008D39C5"/>
    <w:rsid w:val="008D3B7C"/>
    <w:rsid w:val="008E1D89"/>
    <w:rsid w:val="008E3E3E"/>
    <w:rsid w:val="008F5F87"/>
    <w:rsid w:val="00900A34"/>
    <w:rsid w:val="00904816"/>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01D9"/>
    <w:rsid w:val="00A75CD5"/>
    <w:rsid w:val="00A83DF3"/>
    <w:rsid w:val="00A85915"/>
    <w:rsid w:val="00A952AB"/>
    <w:rsid w:val="00A9783D"/>
    <w:rsid w:val="00AA45E6"/>
    <w:rsid w:val="00AA4EC5"/>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14C7"/>
    <w:rsid w:val="00B0300B"/>
    <w:rsid w:val="00B05457"/>
    <w:rsid w:val="00B057F5"/>
    <w:rsid w:val="00B10004"/>
    <w:rsid w:val="00B128A0"/>
    <w:rsid w:val="00B20240"/>
    <w:rsid w:val="00B23281"/>
    <w:rsid w:val="00B27571"/>
    <w:rsid w:val="00B4164B"/>
    <w:rsid w:val="00B5409A"/>
    <w:rsid w:val="00B55574"/>
    <w:rsid w:val="00B6525D"/>
    <w:rsid w:val="00B65ABA"/>
    <w:rsid w:val="00B6790F"/>
    <w:rsid w:val="00B71B3B"/>
    <w:rsid w:val="00B853DB"/>
    <w:rsid w:val="00B87D61"/>
    <w:rsid w:val="00B93948"/>
    <w:rsid w:val="00BA4BC7"/>
    <w:rsid w:val="00BA55B7"/>
    <w:rsid w:val="00BA5E47"/>
    <w:rsid w:val="00BA7D57"/>
    <w:rsid w:val="00BB156E"/>
    <w:rsid w:val="00BB3330"/>
    <w:rsid w:val="00BB47D7"/>
    <w:rsid w:val="00BB4A62"/>
    <w:rsid w:val="00BC01C1"/>
    <w:rsid w:val="00BC45A1"/>
    <w:rsid w:val="00BC5A34"/>
    <w:rsid w:val="00BD111F"/>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6B9E"/>
    <w:rsid w:val="00CD733F"/>
    <w:rsid w:val="00CE0942"/>
    <w:rsid w:val="00CE7CA5"/>
    <w:rsid w:val="00CF1D81"/>
    <w:rsid w:val="00CF2DC9"/>
    <w:rsid w:val="00CF7CB6"/>
    <w:rsid w:val="00D11380"/>
    <w:rsid w:val="00D311AB"/>
    <w:rsid w:val="00D325A8"/>
    <w:rsid w:val="00D442AD"/>
    <w:rsid w:val="00D5618A"/>
    <w:rsid w:val="00D5784B"/>
    <w:rsid w:val="00D63EFB"/>
    <w:rsid w:val="00D658AF"/>
    <w:rsid w:val="00D709A2"/>
    <w:rsid w:val="00D83DE9"/>
    <w:rsid w:val="00D8450D"/>
    <w:rsid w:val="00D91B2E"/>
    <w:rsid w:val="00D95AF9"/>
    <w:rsid w:val="00D97957"/>
    <w:rsid w:val="00DA09C9"/>
    <w:rsid w:val="00DA1822"/>
    <w:rsid w:val="00DA32B8"/>
    <w:rsid w:val="00DB5E1F"/>
    <w:rsid w:val="00DC19D8"/>
    <w:rsid w:val="00DC2613"/>
    <w:rsid w:val="00DC4512"/>
    <w:rsid w:val="00DD3691"/>
    <w:rsid w:val="00DD4B55"/>
    <w:rsid w:val="00DE1E90"/>
    <w:rsid w:val="00DE24E6"/>
    <w:rsid w:val="00DF07AD"/>
    <w:rsid w:val="00DF3364"/>
    <w:rsid w:val="00DF5C2A"/>
    <w:rsid w:val="00E055BB"/>
    <w:rsid w:val="00E11988"/>
    <w:rsid w:val="00E15DA9"/>
    <w:rsid w:val="00E2095D"/>
    <w:rsid w:val="00E30414"/>
    <w:rsid w:val="00E40769"/>
    <w:rsid w:val="00E41B3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16E03"/>
    <w:rsid w:val="00F3136B"/>
    <w:rsid w:val="00F314F1"/>
    <w:rsid w:val="00F327EA"/>
    <w:rsid w:val="00F33641"/>
    <w:rsid w:val="00F42842"/>
    <w:rsid w:val="00F43EE0"/>
    <w:rsid w:val="00F441A0"/>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A6102"/>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1C899CF"/>
  <w15:docId w15:val="{B47E250B-9AB3-4A87-B680-B0E43B60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efault">
    <w:name w:val="Default"/>
    <w:rsid w:val="007D61C5"/>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7D61C5"/>
    <w:rPr>
      <w:rFonts w:ascii="Tahoma" w:hAnsi="Tahoma" w:cs="Tahoma"/>
      <w:sz w:val="16"/>
      <w:szCs w:val="16"/>
    </w:rPr>
  </w:style>
  <w:style w:type="character" w:customStyle="1" w:styleId="BalloonTextChar">
    <w:name w:val="Balloon Text Char"/>
    <w:link w:val="BalloonText"/>
    <w:uiPriority w:val="99"/>
    <w:semiHidden/>
    <w:rsid w:val="007D61C5"/>
    <w:rPr>
      <w:rFonts w:ascii="Tahoma" w:hAnsi="Tahoma" w:cs="Tahoma"/>
      <w:sz w:val="16"/>
      <w:szCs w:val="16"/>
      <w:lang w:eastAsia="en-US"/>
    </w:rPr>
  </w:style>
  <w:style w:type="paragraph" w:styleId="TOCHeading">
    <w:name w:val="TOC Heading"/>
    <w:basedOn w:val="Heading1"/>
    <w:next w:val="Normal"/>
    <w:uiPriority w:val="39"/>
    <w:semiHidden/>
    <w:unhideWhenUsed/>
    <w:qFormat/>
    <w:rsid w:val="00F16E03"/>
    <w:pPr>
      <w:spacing w:before="480"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character" w:styleId="CommentReference">
    <w:name w:val="annotation reference"/>
    <w:basedOn w:val="DefaultParagraphFont"/>
    <w:uiPriority w:val="99"/>
    <w:semiHidden/>
    <w:unhideWhenUsed/>
    <w:rsid w:val="005A278E"/>
    <w:rPr>
      <w:sz w:val="16"/>
      <w:szCs w:val="16"/>
    </w:rPr>
  </w:style>
  <w:style w:type="paragraph" w:styleId="CommentText">
    <w:name w:val="annotation text"/>
    <w:basedOn w:val="Normal"/>
    <w:link w:val="CommentTextChar"/>
    <w:uiPriority w:val="99"/>
    <w:semiHidden/>
    <w:unhideWhenUsed/>
    <w:rsid w:val="005A278E"/>
  </w:style>
  <w:style w:type="character" w:customStyle="1" w:styleId="CommentTextChar">
    <w:name w:val="Comment Text Char"/>
    <w:basedOn w:val="DefaultParagraphFont"/>
    <w:link w:val="CommentText"/>
    <w:uiPriority w:val="99"/>
    <w:semiHidden/>
    <w:rsid w:val="005A278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A278E"/>
    <w:rPr>
      <w:b/>
      <w:bCs/>
    </w:rPr>
  </w:style>
  <w:style w:type="character" w:customStyle="1" w:styleId="CommentSubjectChar">
    <w:name w:val="Comment Subject Char"/>
    <w:basedOn w:val="CommentTextChar"/>
    <w:link w:val="CommentSubject"/>
    <w:uiPriority w:val="99"/>
    <w:semiHidden/>
    <w:rsid w:val="005A278E"/>
    <w:rPr>
      <w:rFonts w:ascii="Cambria" w:hAnsi="Cambria"/>
      <w:b/>
      <w:bCs/>
      <w:lang w:eastAsia="en-US"/>
    </w:rPr>
  </w:style>
  <w:style w:type="character" w:styleId="UnresolvedMention">
    <w:name w:val="Unresolved Mention"/>
    <w:basedOn w:val="DefaultParagraphFont"/>
    <w:uiPriority w:val="99"/>
    <w:semiHidden/>
    <w:unhideWhenUsed/>
    <w:rsid w:val="00DF5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942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ccreditation@dhhs.vic.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ccreditation@dhhs.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ccreditation@dhhs.vic.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creditation@dhhs.vic.gov.a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A612-E7BD-467D-AA98-4E6B5DD6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02 Purple 2602.dot</Template>
  <TotalTime>1</TotalTime>
  <Pages>6</Pages>
  <Words>669</Words>
  <Characters>4739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5398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1048626</vt:i4>
      </vt:variant>
      <vt:variant>
        <vt:i4>44</vt:i4>
      </vt:variant>
      <vt:variant>
        <vt:i4>0</vt:i4>
      </vt:variant>
      <vt:variant>
        <vt:i4>5</vt:i4>
      </vt:variant>
      <vt:variant>
        <vt:lpwstr/>
      </vt:variant>
      <vt:variant>
        <vt:lpwstr>_Toc442704404</vt:lpwstr>
      </vt:variant>
      <vt:variant>
        <vt:i4>1048626</vt:i4>
      </vt:variant>
      <vt:variant>
        <vt:i4>38</vt:i4>
      </vt:variant>
      <vt:variant>
        <vt:i4>0</vt:i4>
      </vt:variant>
      <vt:variant>
        <vt:i4>5</vt:i4>
      </vt:variant>
      <vt:variant>
        <vt:lpwstr/>
      </vt:variant>
      <vt:variant>
        <vt:lpwstr>_Toc442704403</vt:lpwstr>
      </vt:variant>
      <vt:variant>
        <vt:i4>1048626</vt:i4>
      </vt:variant>
      <vt:variant>
        <vt:i4>32</vt:i4>
      </vt:variant>
      <vt:variant>
        <vt:i4>0</vt:i4>
      </vt:variant>
      <vt:variant>
        <vt:i4>5</vt:i4>
      </vt:variant>
      <vt:variant>
        <vt:lpwstr/>
      </vt:variant>
      <vt:variant>
        <vt:lpwstr>_Toc442704402</vt:lpwstr>
      </vt:variant>
      <vt:variant>
        <vt:i4>1048626</vt:i4>
      </vt:variant>
      <vt:variant>
        <vt:i4>26</vt:i4>
      </vt:variant>
      <vt:variant>
        <vt:i4>0</vt:i4>
      </vt:variant>
      <vt:variant>
        <vt:i4>5</vt:i4>
      </vt:variant>
      <vt:variant>
        <vt:lpwstr/>
      </vt:variant>
      <vt:variant>
        <vt:lpwstr>_Toc442704401</vt:lpwstr>
      </vt:variant>
      <vt:variant>
        <vt:i4>1048626</vt:i4>
      </vt:variant>
      <vt:variant>
        <vt:i4>20</vt:i4>
      </vt:variant>
      <vt:variant>
        <vt:i4>0</vt:i4>
      </vt:variant>
      <vt:variant>
        <vt:i4>5</vt:i4>
      </vt:variant>
      <vt:variant>
        <vt:lpwstr/>
      </vt:variant>
      <vt:variant>
        <vt:lpwstr>_Toc442704400</vt:lpwstr>
      </vt:variant>
      <vt:variant>
        <vt:i4>1638453</vt:i4>
      </vt:variant>
      <vt:variant>
        <vt:i4>14</vt:i4>
      </vt:variant>
      <vt:variant>
        <vt:i4>0</vt:i4>
      </vt:variant>
      <vt:variant>
        <vt:i4>5</vt:i4>
      </vt:variant>
      <vt:variant>
        <vt:lpwstr/>
      </vt:variant>
      <vt:variant>
        <vt:lpwstr>_Toc442704399</vt:lpwstr>
      </vt:variant>
      <vt:variant>
        <vt:i4>1638453</vt:i4>
      </vt:variant>
      <vt:variant>
        <vt:i4>8</vt:i4>
      </vt:variant>
      <vt:variant>
        <vt:i4>0</vt:i4>
      </vt:variant>
      <vt:variant>
        <vt:i4>5</vt:i4>
      </vt:variant>
      <vt:variant>
        <vt:lpwstr/>
      </vt:variant>
      <vt:variant>
        <vt:lpwstr>_Toc442704398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Brennan (DHHS)</dc:creator>
  <cp:lastModifiedBy>Sophie Jenkins (DHHS)</cp:lastModifiedBy>
  <cp:revision>3</cp:revision>
  <cp:lastPrinted>2019-01-31T02:49:00Z</cp:lastPrinted>
  <dcterms:created xsi:type="dcterms:W3CDTF">2019-02-17T22:45:00Z</dcterms:created>
  <dcterms:modified xsi:type="dcterms:W3CDTF">2019-02-18T00:00:00Z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