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E4D" w:rsidRPr="004C6EEE" w:rsidRDefault="00BF1E4D" w:rsidP="00BF1E4D">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1B221628" wp14:editId="05B8CC1C">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E4D" w:rsidRPr="004C6EEE" w:rsidRDefault="00BF1E4D" w:rsidP="00BF1E4D">
      <w:pPr>
        <w:pStyle w:val="Sectionbreakfirstpage"/>
        <w:sectPr w:rsidR="00BF1E4D" w:rsidRPr="004C6EEE" w:rsidSect="00974A82">
          <w:footerReference w:type="default" r:id="rId8"/>
          <w:pgSz w:w="11906" w:h="16838" w:code="9"/>
          <w:pgMar w:top="567" w:right="851" w:bottom="1418" w:left="851" w:header="510" w:footer="227" w:gutter="0"/>
          <w:cols w:space="708"/>
          <w:docGrid w:linePitch="360"/>
        </w:sectPr>
      </w:pPr>
    </w:p>
    <w:tbl>
      <w:tblPr>
        <w:tblW w:w="0" w:type="auto"/>
        <w:tblLook w:val="04A0" w:firstRow="1" w:lastRow="0" w:firstColumn="1" w:lastColumn="0" w:noHBand="0" w:noVBand="1"/>
      </w:tblPr>
      <w:tblGrid>
        <w:gridCol w:w="8476"/>
      </w:tblGrid>
      <w:tr w:rsidR="00BF1E4D" w:rsidTr="005B7FBD">
        <w:trPr>
          <w:trHeight w:val="974"/>
        </w:trPr>
        <w:tc>
          <w:tcPr>
            <w:tcW w:w="8476" w:type="dxa"/>
            <w:shd w:val="clear" w:color="auto" w:fill="auto"/>
            <w:vAlign w:val="bottom"/>
          </w:tcPr>
          <w:p w:rsidR="00BF1E4D" w:rsidRPr="00161AA0" w:rsidRDefault="00BF1E4D" w:rsidP="005B7FBD">
            <w:pPr>
              <w:pStyle w:val="DHHSmainheading"/>
            </w:pPr>
            <w:r>
              <w:t>Victorian Rural Medical Scholarship (VRMS) Scheme</w:t>
            </w:r>
          </w:p>
        </w:tc>
      </w:tr>
      <w:tr w:rsidR="00BF1E4D" w:rsidTr="00BF1E4D">
        <w:trPr>
          <w:trHeight w:hRule="exact" w:val="1436"/>
        </w:trPr>
        <w:tc>
          <w:tcPr>
            <w:tcW w:w="8476" w:type="dxa"/>
            <w:shd w:val="clear" w:color="auto" w:fill="auto"/>
            <w:tcMar>
              <w:top w:w="170" w:type="dxa"/>
              <w:bottom w:w="510" w:type="dxa"/>
            </w:tcMar>
          </w:tcPr>
          <w:p w:rsidR="00BF1E4D" w:rsidRPr="00AD784C" w:rsidRDefault="00BF1E4D" w:rsidP="005B7FBD">
            <w:pPr>
              <w:pStyle w:val="DHHSmainsubheading"/>
              <w:rPr>
                <w:szCs w:val="28"/>
              </w:rPr>
            </w:pPr>
            <w:r>
              <w:rPr>
                <w:szCs w:val="28"/>
              </w:rPr>
              <w:t>2019 Guidelines</w:t>
            </w:r>
          </w:p>
        </w:tc>
      </w:tr>
    </w:tbl>
    <w:p w:rsidR="00BF1E4D" w:rsidRDefault="00BF1E4D" w:rsidP="00BF1E4D">
      <w:pPr>
        <w:pStyle w:val="Heading2"/>
      </w:pPr>
      <w:bookmarkStart w:id="1" w:name="_Toc410976287"/>
      <w:r>
        <w:t>Key dates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BF1E4D" w:rsidTr="00BF1E4D">
        <w:tc>
          <w:tcPr>
            <w:tcW w:w="5387" w:type="dxa"/>
            <w:shd w:val="clear" w:color="auto" w:fill="auto"/>
          </w:tcPr>
          <w:p w:rsidR="00BF1E4D" w:rsidRPr="002B44A1" w:rsidRDefault="002B44A1" w:rsidP="005B7FBD">
            <w:pPr>
              <w:pStyle w:val="DHHStabletext"/>
              <w:keepNext/>
              <w:keepLines/>
              <w:rPr>
                <w:b/>
                <w:color w:val="007B4B"/>
              </w:rPr>
            </w:pPr>
            <w:r w:rsidRPr="002B44A1">
              <w:rPr>
                <w:b/>
                <w:color w:val="007B4B"/>
              </w:rPr>
              <w:t xml:space="preserve">Date </w:t>
            </w:r>
          </w:p>
        </w:tc>
        <w:tc>
          <w:tcPr>
            <w:tcW w:w="4819" w:type="dxa"/>
            <w:shd w:val="clear" w:color="auto" w:fill="auto"/>
          </w:tcPr>
          <w:p w:rsidR="00BF1E4D" w:rsidRPr="002B44A1" w:rsidRDefault="002B44A1" w:rsidP="002B44A1">
            <w:pPr>
              <w:pStyle w:val="DHHStablebullet"/>
              <w:keepNext/>
              <w:keepLines/>
              <w:numPr>
                <w:ilvl w:val="0"/>
                <w:numId w:val="0"/>
              </w:numPr>
              <w:ind w:left="227" w:hanging="227"/>
              <w:rPr>
                <w:b/>
                <w:color w:val="007B4B"/>
              </w:rPr>
            </w:pPr>
            <w:r w:rsidRPr="002B44A1">
              <w:rPr>
                <w:b/>
                <w:color w:val="007B4B"/>
              </w:rPr>
              <w:t>Activity</w:t>
            </w:r>
          </w:p>
        </w:tc>
      </w:tr>
      <w:tr w:rsidR="00BF1E4D" w:rsidTr="00BF1E4D">
        <w:tc>
          <w:tcPr>
            <w:tcW w:w="5387" w:type="dxa"/>
            <w:shd w:val="clear" w:color="auto" w:fill="auto"/>
          </w:tcPr>
          <w:p w:rsidR="00BF1E4D" w:rsidRDefault="002B44A1" w:rsidP="005B7FBD">
            <w:pPr>
              <w:pStyle w:val="DHHStabletext"/>
              <w:keepNext/>
              <w:keepLines/>
            </w:pPr>
            <w:r w:rsidRPr="00E57EDB">
              <w:t xml:space="preserve">1 May </w:t>
            </w:r>
            <w:r>
              <w:t>2019</w:t>
            </w:r>
          </w:p>
        </w:tc>
        <w:tc>
          <w:tcPr>
            <w:tcW w:w="4819" w:type="dxa"/>
            <w:shd w:val="clear" w:color="auto" w:fill="auto"/>
          </w:tcPr>
          <w:p w:rsidR="00BF1E4D" w:rsidRPr="00E57EDB" w:rsidRDefault="002B44A1" w:rsidP="002B44A1">
            <w:pPr>
              <w:pStyle w:val="DHHStablebullet"/>
              <w:keepNext/>
              <w:keepLines/>
              <w:numPr>
                <w:ilvl w:val="0"/>
                <w:numId w:val="0"/>
              </w:numPr>
            </w:pPr>
            <w:r>
              <w:t>Applications open</w:t>
            </w:r>
          </w:p>
        </w:tc>
      </w:tr>
      <w:tr w:rsidR="00BF1E4D" w:rsidTr="00BF1E4D">
        <w:tc>
          <w:tcPr>
            <w:tcW w:w="5387" w:type="dxa"/>
            <w:shd w:val="clear" w:color="auto" w:fill="auto"/>
          </w:tcPr>
          <w:p w:rsidR="00BF1E4D" w:rsidRDefault="002B44A1" w:rsidP="005B7FBD">
            <w:pPr>
              <w:pStyle w:val="DHHStabletext"/>
              <w:keepNext/>
              <w:keepLines/>
            </w:pPr>
            <w:r>
              <w:t>5</w:t>
            </w:r>
            <w:r w:rsidRPr="00E57EDB">
              <w:t xml:space="preserve"> July </w:t>
            </w:r>
            <w:r>
              <w:t>2019</w:t>
            </w:r>
          </w:p>
        </w:tc>
        <w:tc>
          <w:tcPr>
            <w:tcW w:w="4819" w:type="dxa"/>
            <w:shd w:val="clear" w:color="auto" w:fill="auto"/>
          </w:tcPr>
          <w:p w:rsidR="00BF1E4D" w:rsidRPr="00E57EDB" w:rsidRDefault="002B44A1" w:rsidP="002B44A1">
            <w:pPr>
              <w:pStyle w:val="DHHStablebullet"/>
              <w:keepNext/>
              <w:keepLines/>
              <w:numPr>
                <w:ilvl w:val="0"/>
                <w:numId w:val="0"/>
              </w:numPr>
            </w:pPr>
            <w:r>
              <w:t>Applications close</w:t>
            </w:r>
          </w:p>
        </w:tc>
      </w:tr>
      <w:tr w:rsidR="00BF1E4D" w:rsidTr="00BF1E4D">
        <w:tc>
          <w:tcPr>
            <w:tcW w:w="5387" w:type="dxa"/>
            <w:shd w:val="clear" w:color="auto" w:fill="auto"/>
          </w:tcPr>
          <w:p w:rsidR="00BF1E4D" w:rsidRDefault="002B44A1" w:rsidP="005B7FBD">
            <w:pPr>
              <w:pStyle w:val="DHHStabletext"/>
              <w:keepNext/>
              <w:keepLines/>
            </w:pPr>
            <w:r>
              <w:t>31</w:t>
            </w:r>
            <w:r w:rsidRPr="00E57EDB">
              <w:t xml:space="preserve"> July </w:t>
            </w:r>
            <w:r>
              <w:t>2019</w:t>
            </w:r>
          </w:p>
        </w:tc>
        <w:tc>
          <w:tcPr>
            <w:tcW w:w="4819" w:type="dxa"/>
            <w:shd w:val="clear" w:color="auto" w:fill="auto"/>
          </w:tcPr>
          <w:p w:rsidR="00BF1E4D" w:rsidRPr="00E57EDB" w:rsidRDefault="002B44A1" w:rsidP="002B44A1">
            <w:pPr>
              <w:pStyle w:val="DHHStablebullet"/>
              <w:keepNext/>
              <w:keepLines/>
              <w:numPr>
                <w:ilvl w:val="0"/>
                <w:numId w:val="0"/>
              </w:numPr>
            </w:pPr>
            <w:r>
              <w:t>Offers sent (via email)</w:t>
            </w:r>
          </w:p>
        </w:tc>
      </w:tr>
      <w:tr w:rsidR="00BF1E4D" w:rsidTr="00BF1E4D">
        <w:tc>
          <w:tcPr>
            <w:tcW w:w="5387" w:type="dxa"/>
            <w:shd w:val="clear" w:color="auto" w:fill="auto"/>
          </w:tcPr>
          <w:p w:rsidR="00BF1E4D" w:rsidRDefault="002B44A1" w:rsidP="005B7FBD">
            <w:pPr>
              <w:pStyle w:val="DHHStabletext"/>
              <w:keepNext/>
              <w:keepLines/>
            </w:pPr>
            <w:r>
              <w:t>7 August 2019</w:t>
            </w:r>
          </w:p>
        </w:tc>
        <w:tc>
          <w:tcPr>
            <w:tcW w:w="4819" w:type="dxa"/>
            <w:shd w:val="clear" w:color="auto" w:fill="auto"/>
          </w:tcPr>
          <w:p w:rsidR="00BF1E4D" w:rsidRPr="00E57EDB" w:rsidRDefault="002B44A1" w:rsidP="002B44A1">
            <w:pPr>
              <w:pStyle w:val="DHHStablebullet"/>
              <w:keepNext/>
              <w:keepLines/>
              <w:numPr>
                <w:ilvl w:val="0"/>
                <w:numId w:val="0"/>
              </w:numPr>
            </w:pPr>
            <w:r>
              <w:t>Last day to accept offers</w:t>
            </w:r>
          </w:p>
        </w:tc>
      </w:tr>
      <w:tr w:rsidR="00BF1E4D" w:rsidTr="00BF1E4D">
        <w:tc>
          <w:tcPr>
            <w:tcW w:w="5387" w:type="dxa"/>
            <w:shd w:val="clear" w:color="auto" w:fill="auto"/>
          </w:tcPr>
          <w:p w:rsidR="00BF1E4D" w:rsidRDefault="002B44A1" w:rsidP="005B7FBD">
            <w:pPr>
              <w:pStyle w:val="DHHStabletext"/>
              <w:keepNext/>
              <w:keepLines/>
            </w:pPr>
            <w:r w:rsidRPr="00E57EDB">
              <w:t xml:space="preserve">August to December </w:t>
            </w:r>
            <w:r>
              <w:t>2019</w:t>
            </w:r>
          </w:p>
        </w:tc>
        <w:tc>
          <w:tcPr>
            <w:tcW w:w="4819" w:type="dxa"/>
            <w:shd w:val="clear" w:color="auto" w:fill="auto"/>
          </w:tcPr>
          <w:p w:rsidR="00BF1E4D" w:rsidRPr="00E57EDB" w:rsidRDefault="002B44A1" w:rsidP="002B44A1">
            <w:pPr>
              <w:pStyle w:val="DHHStablebullet"/>
              <w:keepNext/>
              <w:keepLines/>
              <w:numPr>
                <w:ilvl w:val="0"/>
                <w:numId w:val="0"/>
              </w:numPr>
            </w:pPr>
            <w:r>
              <w:t>Payment of scholarships commence</w:t>
            </w:r>
          </w:p>
        </w:tc>
      </w:tr>
    </w:tbl>
    <w:p w:rsidR="00BF1E4D" w:rsidRDefault="00BF1E4D" w:rsidP="00BF1E4D">
      <w:pPr>
        <w:pStyle w:val="DHHSbody"/>
        <w:jc w:val="both"/>
      </w:pPr>
    </w:p>
    <w:p w:rsidR="00BF1E4D" w:rsidRDefault="00BF1E4D" w:rsidP="00BF1E4D">
      <w:pPr>
        <w:pStyle w:val="DHHSbody"/>
        <w:jc w:val="both"/>
        <w:sectPr w:rsidR="00BF1E4D" w:rsidSect="00BF1E4D">
          <w:type w:val="continuous"/>
          <w:pgSz w:w="11906" w:h="16838" w:code="9"/>
          <w:pgMar w:top="1276" w:right="851" w:bottom="1134" w:left="851" w:header="567" w:footer="333" w:gutter="0"/>
          <w:cols w:space="340"/>
          <w:titlePg/>
          <w:docGrid w:linePitch="360"/>
        </w:sectPr>
      </w:pPr>
    </w:p>
    <w:p w:rsidR="00BF1E4D" w:rsidRDefault="00BF1E4D" w:rsidP="00BF1E4D">
      <w:pPr>
        <w:pStyle w:val="DHHSbody"/>
        <w:jc w:val="both"/>
      </w:pPr>
      <w:r>
        <w:t xml:space="preserve">The Victorian Rural Medical Scholarship (VRMS) Scheme supports career pathways to rural medical practice and assists rural and regional health services to attract, employ and retain medical graduates. The VRMS scheme </w:t>
      </w:r>
      <w:r w:rsidR="00E10D16">
        <w:t xml:space="preserve">supports </w:t>
      </w:r>
      <w:r>
        <w:t xml:space="preserve">medical students with a commitment to working in rural and regional Victoria </w:t>
      </w:r>
      <w:r w:rsidR="00E10D16">
        <w:t xml:space="preserve">by providing financial assistance towards </w:t>
      </w:r>
      <w:r>
        <w:t>living and tertiary expenses in the final year of their medical degree and into their rural intern year.</w:t>
      </w:r>
    </w:p>
    <w:p w:rsidR="00BF1E4D" w:rsidRDefault="00BF1E4D" w:rsidP="00BF1E4D">
      <w:pPr>
        <w:pStyle w:val="DHHSbody"/>
        <w:jc w:val="both"/>
      </w:pPr>
      <w:r>
        <w:t>The VRMS scheme is administered by the Postgraduate Medical Council of Victoria (PMCV) on behalf of the Department of Health and Human Services (DHHS).</w:t>
      </w:r>
    </w:p>
    <w:p w:rsidR="00BF1E4D" w:rsidRDefault="00BF1E4D" w:rsidP="00BF1E4D">
      <w:pPr>
        <w:pStyle w:val="DHHSbody"/>
        <w:jc w:val="both"/>
      </w:pPr>
      <w:bookmarkStart w:id="2" w:name="_Toc410976288"/>
      <w:bookmarkEnd w:id="1"/>
      <w:r>
        <w:t xml:space="preserve">Scholarships valued at $20,000 each are available to be awarded to final year medical students in Victoria. Scholarship recipients are required to commit to a two- year return of service in rural or regional Victoria </w:t>
      </w:r>
      <w:bookmarkEnd w:id="2"/>
      <w:r>
        <w:t>(within three years from graduating from medical school).</w:t>
      </w:r>
    </w:p>
    <w:p w:rsidR="00BF1E4D" w:rsidRPr="00DE61EB" w:rsidRDefault="00BF1E4D" w:rsidP="00BF1E4D">
      <w:pPr>
        <w:pStyle w:val="Heading2"/>
      </w:pPr>
      <w:r>
        <w:t xml:space="preserve">How to apply </w:t>
      </w:r>
    </w:p>
    <w:p w:rsidR="00BF1E4D" w:rsidRDefault="00BF1E4D" w:rsidP="00BF1E4D">
      <w:pPr>
        <w:pStyle w:val="DHHSbody"/>
        <w:jc w:val="both"/>
      </w:pPr>
      <w:r>
        <w:t>To apply for a VRMS scholarship in 2019, you must:</w:t>
      </w:r>
    </w:p>
    <w:p w:rsidR="00BF1E4D" w:rsidRDefault="00BF1E4D" w:rsidP="00BF1E4D">
      <w:pPr>
        <w:pStyle w:val="DHHSnumberdigit"/>
        <w:numPr>
          <w:ilvl w:val="0"/>
          <w:numId w:val="4"/>
        </w:numPr>
        <w:jc w:val="both"/>
      </w:pPr>
      <w:r>
        <w:t>review VRMS scheme guidelines for 2019 and ensure that you meet all eligibility criteria</w:t>
      </w:r>
    </w:p>
    <w:p w:rsidR="00BF1E4D" w:rsidRPr="004E44A4" w:rsidRDefault="00BF1E4D" w:rsidP="00BF1E4D">
      <w:pPr>
        <w:pStyle w:val="DHHSnumberdigit"/>
        <w:numPr>
          <w:ilvl w:val="0"/>
          <w:numId w:val="4"/>
        </w:numPr>
        <w:jc w:val="both"/>
      </w:pPr>
      <w:r>
        <w:t>complete and submit the online VRMS 2019 application form to DHHS by 5pm</w:t>
      </w:r>
      <w:r w:rsidRPr="004E44A4">
        <w:t xml:space="preserve"> Friday </w:t>
      </w:r>
      <w:r>
        <w:t>5</w:t>
      </w:r>
      <w:r w:rsidRPr="004E44A4">
        <w:t xml:space="preserve"> July.</w:t>
      </w:r>
    </w:p>
    <w:p w:rsidR="00BF1E4D" w:rsidRDefault="00BF1E4D" w:rsidP="00BF1E4D">
      <w:pPr>
        <w:pStyle w:val="Healthbody"/>
      </w:pPr>
      <w:r>
        <w:t>The VRMS 2019 application form will be available online from 9am 1</w:t>
      </w:r>
      <w:r w:rsidRPr="00001358">
        <w:t xml:space="preserve"> May </w:t>
      </w:r>
      <w:r>
        <w:t>2019</w:t>
      </w:r>
      <w:r w:rsidRPr="00001358">
        <w:t xml:space="preserve"> to 5pm </w:t>
      </w:r>
      <w:r>
        <w:t>5</w:t>
      </w:r>
      <w:r w:rsidRPr="00001358">
        <w:t xml:space="preserve"> July </w:t>
      </w:r>
      <w:r>
        <w:t xml:space="preserve">2019: </w:t>
      </w:r>
      <w:hyperlink r:id="rId9" w:history="1">
        <w:r w:rsidRPr="00E8720A">
          <w:rPr>
            <w:rStyle w:val="Hyperlink"/>
          </w:rPr>
          <w:t>https://vicknowledgebank.net.au/VRMS</w:t>
        </w:r>
      </w:hyperlink>
    </w:p>
    <w:p w:rsidR="00BF1E4D" w:rsidRPr="00205F0C" w:rsidRDefault="00BF1E4D" w:rsidP="00BF1E4D">
      <w:pPr>
        <w:pStyle w:val="Heading2"/>
      </w:pPr>
      <w:r w:rsidRPr="00205F0C">
        <w:t>Eligibility</w:t>
      </w:r>
    </w:p>
    <w:p w:rsidR="00BF1E4D" w:rsidRPr="00205F0C" w:rsidRDefault="00BF1E4D" w:rsidP="00BF1E4D">
      <w:pPr>
        <w:pStyle w:val="Healthbody"/>
        <w:jc w:val="both"/>
      </w:pPr>
      <w:r w:rsidRPr="00205F0C">
        <w:t>To be eligibl</w:t>
      </w:r>
      <w:r>
        <w:t>e for a VRMS scholarship in 2019</w:t>
      </w:r>
      <w:r w:rsidRPr="00205F0C">
        <w:t>, applicants must:</w:t>
      </w:r>
    </w:p>
    <w:p w:rsidR="00BF1E4D" w:rsidRPr="00205F0C" w:rsidRDefault="00BF1E4D" w:rsidP="00BF1E4D">
      <w:pPr>
        <w:pStyle w:val="Healthbullet1lastline"/>
        <w:jc w:val="both"/>
      </w:pPr>
      <w:r w:rsidRPr="00205F0C">
        <w:t>be an Australian or New Zealand citizen or permanent resident</w:t>
      </w:r>
    </w:p>
    <w:p w:rsidR="00BF1E4D" w:rsidRPr="00205F0C" w:rsidRDefault="00BF1E4D" w:rsidP="00BF1E4D">
      <w:pPr>
        <w:pStyle w:val="Healthbullet1lastline"/>
        <w:jc w:val="both"/>
      </w:pPr>
      <w:r w:rsidRPr="00205F0C">
        <w:t>be currently studying full-time towards an accredited Australian primary medical qualification at a Victorian University or Notre Dame University (with final year placement in Victoria)</w:t>
      </w:r>
    </w:p>
    <w:p w:rsidR="00BF1E4D" w:rsidRPr="00205F0C" w:rsidRDefault="00BF1E4D" w:rsidP="00BF1E4D">
      <w:pPr>
        <w:pStyle w:val="Healthbullet1lastline"/>
        <w:jc w:val="both"/>
      </w:pPr>
      <w:r w:rsidRPr="00205F0C">
        <w:t>be in a Commonwealth Supported Place (CSP) or be a domestic full</w:t>
      </w:r>
      <w:r>
        <w:t>-</w:t>
      </w:r>
      <w:r w:rsidRPr="00205F0C">
        <w:t>fee paying student</w:t>
      </w:r>
    </w:p>
    <w:p w:rsidR="00BF1E4D" w:rsidRPr="00205F0C" w:rsidRDefault="00BF1E4D" w:rsidP="00BF1E4D">
      <w:pPr>
        <w:pStyle w:val="Healthbullet1lastline"/>
        <w:jc w:val="both"/>
      </w:pPr>
      <w:r w:rsidRPr="00205F0C">
        <w:t>be in the final year o</w:t>
      </w:r>
      <w:r>
        <w:t>f studies and graduating in 2019</w:t>
      </w:r>
    </w:p>
    <w:p w:rsidR="00BF1E4D" w:rsidRDefault="00BF1E4D" w:rsidP="00BF1E4D">
      <w:pPr>
        <w:pStyle w:val="Healthbullet1lastline"/>
        <w:jc w:val="both"/>
      </w:pPr>
      <w:r w:rsidRPr="00205F0C">
        <w:t>not be in receipt of other scholarships, cadetships or bursaries with a combined value of more than $7,000 per year</w:t>
      </w:r>
    </w:p>
    <w:p w:rsidR="00BF1E4D" w:rsidRDefault="00BF1E4D" w:rsidP="00BF1E4D">
      <w:pPr>
        <w:pStyle w:val="Healthbullet1lastline"/>
        <w:jc w:val="both"/>
      </w:pPr>
      <w:r>
        <w:t>include a minimum of one and maximum of three regions from Table A in your top three preferences in the intern computer match</w:t>
      </w:r>
    </w:p>
    <w:p w:rsidR="00BF1E4D" w:rsidRDefault="00BF1E4D" w:rsidP="00BF1E4D">
      <w:pPr>
        <w:pStyle w:val="Healthbullet1lastline"/>
        <w:jc w:val="both"/>
      </w:pPr>
      <w:r>
        <w:t>not include a metropolitan health service in your top three preferences in the intern computer match</w:t>
      </w:r>
    </w:p>
    <w:p w:rsidR="00BF1E4D" w:rsidRDefault="00BF1E4D" w:rsidP="00BF1E4D">
      <w:pPr>
        <w:pStyle w:val="Healthbullet1lastline"/>
        <w:jc w:val="both"/>
      </w:pPr>
      <w:r w:rsidRPr="00205F0C">
        <w:t xml:space="preserve">commit to working in rural and regional Victoria for </w:t>
      </w:r>
      <w:r>
        <w:t>two</w:t>
      </w:r>
      <w:r w:rsidRPr="00205F0C">
        <w:t xml:space="preserve"> years post-graduation</w:t>
      </w:r>
      <w:r>
        <w:t>.</w:t>
      </w:r>
    </w:p>
    <w:p w:rsidR="00BF1E4D" w:rsidRDefault="00BF1E4D" w:rsidP="00BF1E4D">
      <w:pPr>
        <w:pStyle w:val="Healthbullet1lastline"/>
        <w:numPr>
          <w:ilvl w:val="0"/>
          <w:numId w:val="0"/>
        </w:numPr>
        <w:ind w:left="284" w:hanging="284"/>
        <w:jc w:val="both"/>
      </w:pPr>
    </w:p>
    <w:p w:rsidR="00BF1E4D" w:rsidRDefault="00BF1E4D" w:rsidP="00BF1E4D">
      <w:pPr>
        <w:pStyle w:val="Healthbullet1lastline"/>
        <w:numPr>
          <w:ilvl w:val="0"/>
          <w:numId w:val="0"/>
        </w:numPr>
        <w:ind w:left="284" w:hanging="284"/>
        <w:jc w:val="both"/>
      </w:pPr>
    </w:p>
    <w:p w:rsidR="00BF1E4D" w:rsidRPr="00974A82" w:rsidRDefault="00BF1E4D" w:rsidP="00BF1E4D">
      <w:pPr>
        <w:pStyle w:val="DHHStablecaption"/>
        <w:rPr>
          <w:sz w:val="19"/>
          <w:szCs w:val="19"/>
        </w:rPr>
      </w:pPr>
      <w:r w:rsidRPr="00974A82">
        <w:rPr>
          <w:sz w:val="19"/>
          <w:szCs w:val="19"/>
        </w:rPr>
        <w:lastRenderedPageBreak/>
        <w:t xml:space="preserve">Table A – </w:t>
      </w:r>
      <w:r>
        <w:rPr>
          <w:sz w:val="19"/>
          <w:szCs w:val="19"/>
        </w:rPr>
        <w:t>Rural Generalist Internships</w:t>
      </w:r>
      <w:r w:rsidRPr="00974A82">
        <w:rPr>
          <w:sz w:val="19"/>
          <w:szCs w:val="19"/>
        </w:rPr>
        <w:t xml:space="preserve"> </w:t>
      </w:r>
    </w:p>
    <w:tbl>
      <w:tblPr>
        <w:tblW w:w="4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97"/>
      </w:tblGrid>
      <w:tr w:rsidR="00BF1E4D" w:rsidRPr="00974A82" w:rsidTr="00380175">
        <w:trPr>
          <w:tblHeader/>
        </w:trPr>
        <w:tc>
          <w:tcPr>
            <w:tcW w:w="2552" w:type="dxa"/>
            <w:shd w:val="clear" w:color="auto" w:fill="auto"/>
          </w:tcPr>
          <w:p w:rsidR="00BF1E4D" w:rsidRPr="00974A82" w:rsidRDefault="00BF1E4D" w:rsidP="005B7FBD">
            <w:pPr>
              <w:pStyle w:val="DHHStablecolhead"/>
              <w:rPr>
                <w:sz w:val="19"/>
                <w:szCs w:val="19"/>
              </w:rPr>
            </w:pPr>
            <w:r>
              <w:rPr>
                <w:sz w:val="19"/>
                <w:szCs w:val="19"/>
              </w:rPr>
              <w:t>Region</w:t>
            </w:r>
          </w:p>
        </w:tc>
        <w:tc>
          <w:tcPr>
            <w:tcW w:w="2297" w:type="dxa"/>
          </w:tcPr>
          <w:p w:rsidR="00BF1E4D" w:rsidRPr="00974A82" w:rsidRDefault="00BF1E4D" w:rsidP="005B7FBD">
            <w:pPr>
              <w:pStyle w:val="DHHStablecolhead"/>
              <w:rPr>
                <w:sz w:val="19"/>
                <w:szCs w:val="19"/>
              </w:rPr>
            </w:pPr>
            <w:r w:rsidRPr="00974A82">
              <w:rPr>
                <w:sz w:val="19"/>
                <w:szCs w:val="19"/>
              </w:rPr>
              <w:t>Parent hospital</w:t>
            </w:r>
          </w:p>
        </w:tc>
      </w:tr>
      <w:tr w:rsidR="00BF1E4D" w:rsidRPr="00974A82" w:rsidTr="00380175">
        <w:tc>
          <w:tcPr>
            <w:tcW w:w="2552" w:type="dxa"/>
            <w:shd w:val="clear" w:color="auto" w:fill="auto"/>
          </w:tcPr>
          <w:p w:rsidR="00BF1E4D" w:rsidRPr="00974A82" w:rsidRDefault="00BF1E4D" w:rsidP="00BF1E4D">
            <w:pPr>
              <w:pStyle w:val="DHHStablebullet"/>
              <w:numPr>
                <w:ilvl w:val="6"/>
                <w:numId w:val="3"/>
              </w:numPr>
              <w:rPr>
                <w:sz w:val="19"/>
                <w:szCs w:val="19"/>
              </w:rPr>
            </w:pPr>
            <w:r>
              <w:t>Barwon South West (Rural Generalist - South West Community Intern Program)</w:t>
            </w:r>
          </w:p>
        </w:tc>
        <w:tc>
          <w:tcPr>
            <w:tcW w:w="2297" w:type="dxa"/>
          </w:tcPr>
          <w:p w:rsidR="00BF1E4D" w:rsidRPr="00974A82" w:rsidRDefault="00BF1E4D" w:rsidP="00BF1E4D">
            <w:pPr>
              <w:pStyle w:val="DHHStablebullet"/>
              <w:numPr>
                <w:ilvl w:val="6"/>
                <w:numId w:val="3"/>
              </w:numPr>
              <w:rPr>
                <w:sz w:val="19"/>
                <w:szCs w:val="19"/>
              </w:rPr>
            </w:pPr>
            <w:r w:rsidRPr="00974A82">
              <w:rPr>
                <w:sz w:val="19"/>
                <w:szCs w:val="19"/>
              </w:rPr>
              <w:t>South West Healthcare (Warrnambool)</w:t>
            </w:r>
          </w:p>
        </w:tc>
      </w:tr>
      <w:tr w:rsidR="00BF1E4D" w:rsidRPr="00974A82" w:rsidTr="00380175">
        <w:tc>
          <w:tcPr>
            <w:tcW w:w="2552" w:type="dxa"/>
            <w:shd w:val="clear" w:color="auto" w:fill="auto"/>
          </w:tcPr>
          <w:p w:rsidR="00BF1E4D" w:rsidRPr="00974A82" w:rsidRDefault="00BF1E4D" w:rsidP="00BF1E4D">
            <w:pPr>
              <w:pStyle w:val="DHHStablebullet"/>
              <w:numPr>
                <w:ilvl w:val="6"/>
                <w:numId w:val="3"/>
              </w:numPr>
              <w:rPr>
                <w:sz w:val="19"/>
                <w:szCs w:val="19"/>
              </w:rPr>
            </w:pPr>
            <w:r>
              <w:t>Grampians (Rural Generalist – Grampians Rural Community Intern Program)</w:t>
            </w:r>
          </w:p>
        </w:tc>
        <w:tc>
          <w:tcPr>
            <w:tcW w:w="2297" w:type="dxa"/>
          </w:tcPr>
          <w:p w:rsidR="00BF1E4D" w:rsidRPr="00974A82" w:rsidRDefault="00BF1E4D" w:rsidP="00BF1E4D">
            <w:pPr>
              <w:pStyle w:val="DHHStablebullet"/>
              <w:numPr>
                <w:ilvl w:val="6"/>
                <w:numId w:val="3"/>
              </w:numPr>
              <w:rPr>
                <w:sz w:val="19"/>
                <w:szCs w:val="19"/>
              </w:rPr>
            </w:pPr>
            <w:r w:rsidRPr="00974A82">
              <w:rPr>
                <w:sz w:val="19"/>
                <w:szCs w:val="19"/>
              </w:rPr>
              <w:t>East Grampians Health Service (Ararat)</w:t>
            </w:r>
          </w:p>
        </w:tc>
      </w:tr>
      <w:tr w:rsidR="00BF1E4D" w:rsidRPr="00974A82" w:rsidTr="00380175">
        <w:tc>
          <w:tcPr>
            <w:tcW w:w="2552" w:type="dxa"/>
            <w:shd w:val="clear" w:color="auto" w:fill="auto"/>
          </w:tcPr>
          <w:p w:rsidR="00BF1E4D" w:rsidRPr="00974A82" w:rsidRDefault="00BF1E4D" w:rsidP="00BF1E4D">
            <w:pPr>
              <w:pStyle w:val="DHHStablebullet"/>
              <w:numPr>
                <w:ilvl w:val="6"/>
                <w:numId w:val="3"/>
              </w:numPr>
              <w:rPr>
                <w:sz w:val="19"/>
                <w:szCs w:val="19"/>
              </w:rPr>
            </w:pPr>
            <w:r>
              <w:t>Loddon Mallee (Rural Generalist – Echuca Intern Network)</w:t>
            </w:r>
          </w:p>
        </w:tc>
        <w:tc>
          <w:tcPr>
            <w:tcW w:w="2297" w:type="dxa"/>
          </w:tcPr>
          <w:p w:rsidR="00BF1E4D" w:rsidRPr="00974A82" w:rsidRDefault="00BF1E4D" w:rsidP="00BF1E4D">
            <w:pPr>
              <w:pStyle w:val="DHHStablebullet"/>
              <w:numPr>
                <w:ilvl w:val="6"/>
                <w:numId w:val="3"/>
              </w:numPr>
              <w:rPr>
                <w:sz w:val="19"/>
                <w:szCs w:val="19"/>
              </w:rPr>
            </w:pPr>
            <w:r w:rsidRPr="00974A82">
              <w:rPr>
                <w:sz w:val="19"/>
                <w:szCs w:val="19"/>
              </w:rPr>
              <w:t>Echuca Regional Health</w:t>
            </w:r>
          </w:p>
        </w:tc>
      </w:tr>
      <w:tr w:rsidR="00BF1E4D" w:rsidRPr="00974A82" w:rsidTr="00380175">
        <w:tc>
          <w:tcPr>
            <w:tcW w:w="2552" w:type="dxa"/>
            <w:shd w:val="clear" w:color="auto" w:fill="auto"/>
          </w:tcPr>
          <w:p w:rsidR="00BF1E4D" w:rsidRPr="00974A82" w:rsidRDefault="00BF1E4D" w:rsidP="00BF1E4D">
            <w:pPr>
              <w:pStyle w:val="DHHStablebullet"/>
              <w:numPr>
                <w:ilvl w:val="6"/>
                <w:numId w:val="3"/>
              </w:numPr>
              <w:rPr>
                <w:sz w:val="19"/>
                <w:szCs w:val="19"/>
              </w:rPr>
            </w:pPr>
            <w:r>
              <w:t>Hume (Rural Generalist – Murray to the Mountains Program)</w:t>
            </w:r>
          </w:p>
        </w:tc>
        <w:tc>
          <w:tcPr>
            <w:tcW w:w="2297" w:type="dxa"/>
          </w:tcPr>
          <w:p w:rsidR="00BF1E4D" w:rsidRPr="00974A82" w:rsidRDefault="00BF1E4D" w:rsidP="00BF1E4D">
            <w:pPr>
              <w:pStyle w:val="DHHStablebullet"/>
              <w:numPr>
                <w:ilvl w:val="6"/>
                <w:numId w:val="3"/>
              </w:numPr>
              <w:rPr>
                <w:sz w:val="19"/>
                <w:szCs w:val="19"/>
              </w:rPr>
            </w:pPr>
            <w:r w:rsidRPr="00974A82">
              <w:rPr>
                <w:sz w:val="19"/>
                <w:szCs w:val="19"/>
              </w:rPr>
              <w:t>Numurkah District Health Service</w:t>
            </w:r>
          </w:p>
        </w:tc>
      </w:tr>
      <w:tr w:rsidR="00BF1E4D" w:rsidRPr="00974A82" w:rsidTr="00380175">
        <w:tc>
          <w:tcPr>
            <w:tcW w:w="2552" w:type="dxa"/>
            <w:shd w:val="clear" w:color="auto" w:fill="auto"/>
          </w:tcPr>
          <w:p w:rsidR="00BF1E4D" w:rsidRPr="00974A82" w:rsidRDefault="00BF1E4D" w:rsidP="00BF1E4D">
            <w:pPr>
              <w:pStyle w:val="DHHStablebullet"/>
              <w:numPr>
                <w:ilvl w:val="6"/>
                <w:numId w:val="3"/>
              </w:numPr>
              <w:rPr>
                <w:sz w:val="19"/>
                <w:szCs w:val="19"/>
              </w:rPr>
            </w:pPr>
            <w:r>
              <w:t>Gippsland (Rural Generalist – East Gippsland Community Based Intern Program)</w:t>
            </w:r>
          </w:p>
        </w:tc>
        <w:tc>
          <w:tcPr>
            <w:tcW w:w="2297" w:type="dxa"/>
          </w:tcPr>
          <w:p w:rsidR="00BF1E4D" w:rsidRPr="00974A82" w:rsidRDefault="00BF1E4D" w:rsidP="00BF1E4D">
            <w:pPr>
              <w:pStyle w:val="DHHStablebullet"/>
              <w:numPr>
                <w:ilvl w:val="6"/>
                <w:numId w:val="3"/>
              </w:numPr>
              <w:rPr>
                <w:sz w:val="19"/>
                <w:szCs w:val="19"/>
              </w:rPr>
            </w:pPr>
            <w:r w:rsidRPr="00974A82">
              <w:rPr>
                <w:sz w:val="19"/>
                <w:szCs w:val="19"/>
              </w:rPr>
              <w:t>Bairnsdale Regional Health Service</w:t>
            </w:r>
          </w:p>
        </w:tc>
      </w:tr>
    </w:tbl>
    <w:p w:rsidR="00BF1E4D" w:rsidRPr="00305618" w:rsidRDefault="00BF1E4D" w:rsidP="00BF1E4D">
      <w:pPr>
        <w:pStyle w:val="Heading3"/>
        <w:jc w:val="both"/>
        <w:rPr>
          <w:rFonts w:eastAsia="Times New Roman"/>
          <w:bCs w:val="0"/>
          <w:color w:val="007B4B"/>
          <w:sz w:val="28"/>
          <w:szCs w:val="28"/>
        </w:rPr>
      </w:pPr>
      <w:r w:rsidRPr="00305618">
        <w:rPr>
          <w:rFonts w:eastAsia="Times New Roman"/>
          <w:bCs w:val="0"/>
          <w:color w:val="007B4B"/>
          <w:sz w:val="28"/>
          <w:szCs w:val="28"/>
        </w:rPr>
        <w:t>Terms and Conditions</w:t>
      </w:r>
    </w:p>
    <w:p w:rsidR="00305618" w:rsidRDefault="00BF1E4D" w:rsidP="00BF1E4D">
      <w:pPr>
        <w:pStyle w:val="Healthbody"/>
        <w:jc w:val="both"/>
      </w:pPr>
      <w:r w:rsidRPr="00205F0C">
        <w:t xml:space="preserve">Successful scholarship applicants must commit to working in rural/regional Victoria for </w:t>
      </w:r>
      <w:r>
        <w:t>two</w:t>
      </w:r>
      <w:r w:rsidRPr="00205F0C">
        <w:t xml:space="preserve"> years post-graduation </w:t>
      </w:r>
      <w:r>
        <w:t xml:space="preserve">(within three years from graduating from medical school) </w:t>
      </w:r>
      <w:r w:rsidRPr="00205F0C">
        <w:t>and will be required to enter into a Scholarship Agreement with the Postgraduate Medical Council of Victoria (PMCV). Return of service obligations are monitored by the PMCV.</w:t>
      </w:r>
      <w:r>
        <w:t xml:space="preserve"> </w:t>
      </w:r>
    </w:p>
    <w:p w:rsidR="00BF1E4D" w:rsidRPr="00205F0C" w:rsidRDefault="00BF1E4D" w:rsidP="00BF1E4D">
      <w:pPr>
        <w:pStyle w:val="Healthbody"/>
        <w:jc w:val="both"/>
      </w:pPr>
      <w:r w:rsidRPr="00205F0C">
        <w:t>If you choose to accept the offer you will be required to:</w:t>
      </w:r>
    </w:p>
    <w:p w:rsidR="00BF1E4D" w:rsidRDefault="00E10D16" w:rsidP="00BF1E4D">
      <w:pPr>
        <w:pStyle w:val="Healthbullet1lastline"/>
        <w:jc w:val="both"/>
      </w:pPr>
      <w:r>
        <w:t>a</w:t>
      </w:r>
      <w:r w:rsidR="00BF1E4D" w:rsidRPr="00205F0C">
        <w:t xml:space="preserve">ccept employment with the health service </w:t>
      </w:r>
      <w:r w:rsidR="00BF1E4D">
        <w:t>to which you have been offered employment for 2019;</w:t>
      </w:r>
    </w:p>
    <w:p w:rsidR="00BF1E4D" w:rsidRPr="00205F0C" w:rsidRDefault="00E10D16" w:rsidP="00BF1E4D">
      <w:pPr>
        <w:pStyle w:val="Healthbullet1lastline"/>
        <w:jc w:val="both"/>
      </w:pPr>
      <w:r>
        <w:t>s</w:t>
      </w:r>
      <w:r w:rsidR="00BF1E4D" w:rsidRPr="00205F0C">
        <w:t>ign the Scholarship Agreement with the PMCV</w:t>
      </w:r>
    </w:p>
    <w:p w:rsidR="00BF1E4D" w:rsidRPr="00205F0C" w:rsidRDefault="00BF1E4D" w:rsidP="00BF1E4D">
      <w:pPr>
        <w:pStyle w:val="Healthbody"/>
        <w:jc w:val="both"/>
      </w:pPr>
      <w:r w:rsidRPr="00205F0C">
        <w:t xml:space="preserve">Before accepting a VRMS scholarship, successful applicants are advised to seek independent legal </w:t>
      </w:r>
      <w:r>
        <w:t xml:space="preserve">and financial </w:t>
      </w:r>
      <w:r w:rsidRPr="00205F0C">
        <w:t>advice on the Victorian Rural Medical Scholarship Scheme, the conditions attached to the scholarship, and the consequences if the recipient does not comply with those conditions.</w:t>
      </w:r>
    </w:p>
    <w:p w:rsidR="00BF1E4D" w:rsidRPr="00205F0C" w:rsidRDefault="00BF1E4D" w:rsidP="00BF1E4D">
      <w:pPr>
        <w:pStyle w:val="Healthbody"/>
        <w:jc w:val="both"/>
      </w:pPr>
      <w:r w:rsidRPr="00205F0C">
        <w:t xml:space="preserve">A copy of the Scholarship Agreement is available </w:t>
      </w:r>
      <w:r>
        <w:t xml:space="preserve">from PMCV </w:t>
      </w:r>
      <w:r w:rsidRPr="00205F0C">
        <w:t>upon request.</w:t>
      </w:r>
    </w:p>
    <w:p w:rsidR="00BF1E4D" w:rsidRPr="00205F0C" w:rsidRDefault="00BF1E4D" w:rsidP="00BF1E4D">
      <w:pPr>
        <w:pStyle w:val="Heading2"/>
      </w:pPr>
      <w:r w:rsidRPr="00205F0C">
        <w:t>How applications are assessed</w:t>
      </w:r>
    </w:p>
    <w:p w:rsidR="00BF1E4D" w:rsidRPr="00205F0C" w:rsidRDefault="00BF1E4D" w:rsidP="00BF1E4D">
      <w:pPr>
        <w:pStyle w:val="Healthbody"/>
        <w:jc w:val="both"/>
      </w:pPr>
      <w:r w:rsidRPr="00205F0C">
        <w:t xml:space="preserve">VRMS applications will be assessed by a joint panel from </w:t>
      </w:r>
      <w:r>
        <w:t>DHHS</w:t>
      </w:r>
      <w:r w:rsidRPr="00205F0C">
        <w:t xml:space="preserve"> and the PMCV.</w:t>
      </w:r>
    </w:p>
    <w:p w:rsidR="00305618" w:rsidRPr="00205F0C" w:rsidRDefault="00305618" w:rsidP="00305618">
      <w:pPr>
        <w:pStyle w:val="Healthbody"/>
        <w:jc w:val="both"/>
      </w:pPr>
      <w:r>
        <w:t>A</w:t>
      </w:r>
      <w:r w:rsidRPr="00205F0C">
        <w:t>pplicants will be considered for a scholarship where:</w:t>
      </w:r>
    </w:p>
    <w:p w:rsidR="00305618" w:rsidRDefault="00305618" w:rsidP="00305618">
      <w:pPr>
        <w:pStyle w:val="Healthbullet1"/>
      </w:pPr>
      <w:r>
        <w:t>t</w:t>
      </w:r>
      <w:r w:rsidRPr="00205F0C">
        <w:t>he applicant</w:t>
      </w:r>
      <w:r>
        <w:t xml:space="preserve"> meets all eligibility criteria</w:t>
      </w:r>
    </w:p>
    <w:p w:rsidR="00305618" w:rsidRPr="00205F0C" w:rsidRDefault="00305618" w:rsidP="00305618">
      <w:pPr>
        <w:pStyle w:val="Healthbullet1"/>
      </w:pPr>
      <w:r>
        <w:t>the applicant has agreed to the return of service obligation</w:t>
      </w:r>
    </w:p>
    <w:p w:rsidR="00305618" w:rsidRDefault="00305618" w:rsidP="00305618">
      <w:pPr>
        <w:pStyle w:val="Healthbullet1"/>
        <w:spacing w:after="120"/>
      </w:pPr>
      <w:r>
        <w:t>t</w:t>
      </w:r>
      <w:r w:rsidRPr="00205F0C">
        <w:t xml:space="preserve">he applicant </w:t>
      </w:r>
      <w:r>
        <w:t xml:space="preserve">has provided written responses to the </w:t>
      </w:r>
      <w:r w:rsidR="00E10D16">
        <w:t xml:space="preserve">key </w:t>
      </w:r>
      <w:r>
        <w:t>selection criteria</w:t>
      </w:r>
    </w:p>
    <w:p w:rsidR="00BF1E4D" w:rsidRPr="00205F0C" w:rsidRDefault="00BF1E4D" w:rsidP="00BF1E4D">
      <w:pPr>
        <w:pStyle w:val="Healthbody"/>
        <w:jc w:val="both"/>
      </w:pPr>
      <w:r w:rsidRPr="00205F0C">
        <w:t>Applications will be assessed according to how well applicants address the following key selection criteria:</w:t>
      </w:r>
    </w:p>
    <w:p w:rsidR="00BF1E4D" w:rsidRPr="00205F0C" w:rsidRDefault="00BF1E4D" w:rsidP="00BF1E4D">
      <w:pPr>
        <w:pStyle w:val="Healthbullet1lastline"/>
        <w:jc w:val="both"/>
      </w:pPr>
      <w:r>
        <w:t>d</w:t>
      </w:r>
      <w:r w:rsidRPr="00205F0C">
        <w:t>emonstrated commitment to a career in rural practice within Victoria</w:t>
      </w:r>
    </w:p>
    <w:p w:rsidR="00BF1E4D" w:rsidRPr="00205F0C" w:rsidRDefault="00BF1E4D" w:rsidP="00BF1E4D">
      <w:pPr>
        <w:pStyle w:val="Healthbullet1lastline"/>
        <w:jc w:val="both"/>
      </w:pPr>
      <w:r>
        <w:t>d</w:t>
      </w:r>
      <w:r w:rsidRPr="00205F0C">
        <w:t>emonstrated understanding of the professional and personal issues involved in rural practice</w:t>
      </w:r>
    </w:p>
    <w:p w:rsidR="00BF1E4D" w:rsidRDefault="00BF1E4D" w:rsidP="00BF1E4D">
      <w:pPr>
        <w:pStyle w:val="Healthbullet1lastline"/>
        <w:jc w:val="both"/>
      </w:pPr>
      <w:r>
        <w:t>i</w:t>
      </w:r>
      <w:r w:rsidRPr="00205F0C">
        <w:t>nterest in undertaking</w:t>
      </w:r>
      <w:r>
        <w:t xml:space="preserve"> training as a Victorian Rural Generalist.</w:t>
      </w:r>
    </w:p>
    <w:p w:rsidR="00BF1E4D" w:rsidRPr="00205F0C" w:rsidRDefault="00BF1E4D" w:rsidP="00BF1E4D">
      <w:pPr>
        <w:pStyle w:val="Heading2"/>
      </w:pPr>
      <w:r w:rsidRPr="00205F0C">
        <w:t>How to accept a scholarship offer</w:t>
      </w:r>
    </w:p>
    <w:p w:rsidR="00BF1E4D" w:rsidRPr="00205F0C" w:rsidRDefault="00BF1E4D" w:rsidP="00BF1E4D">
      <w:pPr>
        <w:pStyle w:val="Healthbody"/>
        <w:jc w:val="both"/>
      </w:pPr>
      <w:r w:rsidRPr="00205F0C">
        <w:t>VRMS scholarship offers will be made in writing by the PMCV to eligible applicants.</w:t>
      </w:r>
    </w:p>
    <w:p w:rsidR="00BF1E4D" w:rsidRDefault="00BF1E4D" w:rsidP="00BF1E4D">
      <w:pPr>
        <w:pStyle w:val="Healthbody"/>
        <w:jc w:val="both"/>
      </w:pPr>
      <w:r w:rsidRPr="00205F0C">
        <w:t>Scholarship offers are tied to the outcomes of the intern computer match and contingent on the successful applicant accepting employment with the</w:t>
      </w:r>
      <w:r>
        <w:t xml:space="preserve"> eligible</w:t>
      </w:r>
      <w:r w:rsidRPr="00205F0C">
        <w:t xml:space="preserve"> health service to which they have been matched</w:t>
      </w:r>
      <w:r>
        <w:t>/offered employment for 2019</w:t>
      </w:r>
      <w:r w:rsidRPr="00205F0C">
        <w:t>.</w:t>
      </w:r>
    </w:p>
    <w:p w:rsidR="00BF1E4D" w:rsidRPr="00205F0C" w:rsidRDefault="00BF1E4D" w:rsidP="00BF1E4D">
      <w:pPr>
        <w:pStyle w:val="Healthbody"/>
        <w:jc w:val="both"/>
      </w:pPr>
      <w:r w:rsidRPr="00205F0C">
        <w:t>If you receive an offer, you may accept or decline the</w:t>
      </w:r>
      <w:r>
        <w:t xml:space="preserve"> offer by responding to the PMCV</w:t>
      </w:r>
      <w:r w:rsidRPr="00205F0C">
        <w:t xml:space="preserve"> as instructed in the letter of offer. </w:t>
      </w:r>
    </w:p>
    <w:p w:rsidR="00BF1E4D" w:rsidRPr="00205F0C" w:rsidRDefault="00BF1E4D" w:rsidP="00BF1E4D">
      <w:pPr>
        <w:pStyle w:val="Heading2"/>
      </w:pPr>
      <w:r w:rsidRPr="00205F0C">
        <w:t>Payment of scholarships</w:t>
      </w:r>
    </w:p>
    <w:p w:rsidR="00BF1E4D" w:rsidRDefault="00BF1E4D" w:rsidP="00BF1E4D">
      <w:pPr>
        <w:pStyle w:val="Healthbody"/>
        <w:jc w:val="both"/>
      </w:pPr>
      <w:r w:rsidRPr="00205F0C">
        <w:t xml:space="preserve">VRMS Scholarships are paid to recipients by the PMCV. </w:t>
      </w:r>
    </w:p>
    <w:p w:rsidR="00BF1E4D" w:rsidRPr="00205F0C" w:rsidRDefault="00BF1E4D" w:rsidP="00BF1E4D">
      <w:pPr>
        <w:pStyle w:val="Healthbody"/>
        <w:jc w:val="both"/>
      </w:pPr>
      <w:r w:rsidRPr="00205F0C">
        <w:t xml:space="preserve">Scholarships are paid as a lump sum unless otherwise agreed to by the recipient and the PMCV. If payment is made in instalments, the final payment cannot be received later than </w:t>
      </w:r>
      <w:r>
        <w:t>31 December</w:t>
      </w:r>
      <w:r w:rsidRPr="00205F0C">
        <w:t xml:space="preserve"> </w:t>
      </w:r>
      <w:r>
        <w:t>2019</w:t>
      </w:r>
      <w:r w:rsidRPr="00205F0C">
        <w:t>.</w:t>
      </w:r>
    </w:p>
    <w:p w:rsidR="00BF1E4D" w:rsidRPr="00205F0C" w:rsidRDefault="00BF1E4D" w:rsidP="00BF1E4D">
      <w:pPr>
        <w:pStyle w:val="Heading2"/>
      </w:pPr>
      <w:r>
        <w:t>Contact</w:t>
      </w:r>
    </w:p>
    <w:p w:rsidR="00BF1E4D" w:rsidRPr="002F2BDC" w:rsidRDefault="00BF1E4D" w:rsidP="00BF1E4D">
      <w:pPr>
        <w:pStyle w:val="DHHStablecolhead"/>
      </w:pPr>
      <w:r>
        <w:t>Postgraduate Medical Council of Victoria (PMCV)</w:t>
      </w:r>
    </w:p>
    <w:p w:rsidR="00BF1E4D" w:rsidRDefault="00BF1E4D" w:rsidP="00BF1E4D">
      <w:pPr>
        <w:pStyle w:val="Healthbody"/>
      </w:pPr>
      <w:r>
        <w:t xml:space="preserve">Computer Matching Service, </w:t>
      </w:r>
      <w:r w:rsidRPr="00001358">
        <w:t>(03) 9670 1066</w:t>
      </w:r>
    </w:p>
    <w:p w:rsidR="00BF1E4D" w:rsidRDefault="00D252AA" w:rsidP="00BF1E4D">
      <w:pPr>
        <w:pStyle w:val="Healthbody"/>
      </w:pPr>
      <w:hyperlink r:id="rId10" w:history="1">
        <w:r w:rsidR="00BF1E4D" w:rsidRPr="001F5229">
          <w:rPr>
            <w:rStyle w:val="Hyperlink"/>
          </w:rPr>
          <w:t>computermatching@pmcv.com.au</w:t>
        </w:r>
      </w:hyperlink>
    </w:p>
    <w:p w:rsidR="00BF1E4D" w:rsidRDefault="00BF1E4D" w:rsidP="00BF1E4D">
      <w:pPr>
        <w:pStyle w:val="Healthbody"/>
        <w:rPr>
          <w:rStyle w:val="Hyperlink"/>
        </w:rPr>
        <w:sectPr w:rsidR="00BF1E4D" w:rsidSect="00BF1E4D">
          <w:type w:val="continuous"/>
          <w:pgSz w:w="11906" w:h="16838" w:code="9"/>
          <w:pgMar w:top="1418" w:right="851" w:bottom="1134" w:left="851" w:header="567" w:footer="510" w:gutter="0"/>
          <w:cols w:num="2" w:space="340"/>
          <w:titlePg/>
          <w:docGrid w:linePitch="360"/>
        </w:sectPr>
      </w:pPr>
      <w:r>
        <w:t>The VRMS 2019 application form will be available online from 9am 1</w:t>
      </w:r>
      <w:r w:rsidRPr="00001358">
        <w:t xml:space="preserve"> May </w:t>
      </w:r>
      <w:r>
        <w:t>2019</w:t>
      </w:r>
      <w:r w:rsidRPr="00001358">
        <w:t xml:space="preserve"> to 5pm </w:t>
      </w:r>
      <w:r>
        <w:t>5</w:t>
      </w:r>
      <w:r w:rsidRPr="00001358">
        <w:t xml:space="preserve"> July </w:t>
      </w:r>
      <w:r>
        <w:t xml:space="preserve">2019: </w:t>
      </w:r>
      <w:r w:rsidRPr="00BF1E4D">
        <w:rPr>
          <w:rStyle w:val="Hyperlink"/>
        </w:rPr>
        <w:t>https://vicknowledgebank.net.au/VRMS</w:t>
      </w:r>
    </w:p>
    <w:p w:rsidR="00522932" w:rsidRDefault="00D252AA" w:rsidP="002B44A1">
      <w:pPr>
        <w:pStyle w:val="Healthbody"/>
      </w:pPr>
    </w:p>
    <w:sectPr w:rsidR="00522932" w:rsidSect="00BF1E4D">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614" w:rsidRDefault="00380175">
      <w:pPr>
        <w:spacing w:after="0" w:line="240" w:lineRule="auto"/>
      </w:pPr>
      <w:r>
        <w:separator/>
      </w:r>
    </w:p>
  </w:endnote>
  <w:endnote w:type="continuationSeparator" w:id="0">
    <w:p w:rsidR="00A47614" w:rsidRDefault="0038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2B44A1" w:rsidP="0051568D">
    <w:pPr>
      <w:pStyle w:val="DHHSfooter"/>
    </w:pPr>
    <w:r>
      <w:rPr>
        <w:noProof/>
        <w:lang w:eastAsia="en-AU"/>
      </w:rPr>
      <w:drawing>
        <wp:anchor distT="0" distB="0" distL="114300" distR="114300" simplePos="0" relativeHeight="251658240" behindDoc="0" locked="1" layoutInCell="0" allowOverlap="1" wp14:anchorId="3AB9B7AD" wp14:editId="01C849B5">
          <wp:simplePos x="0" y="0"/>
          <wp:positionH relativeFrom="page">
            <wp:posOffset>0</wp:posOffset>
          </wp:positionH>
          <wp:positionV relativeFrom="page">
            <wp:posOffset>10015855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614" w:rsidRDefault="00380175">
      <w:pPr>
        <w:spacing w:after="0" w:line="240" w:lineRule="auto"/>
      </w:pPr>
      <w:r>
        <w:separator/>
      </w:r>
    </w:p>
  </w:footnote>
  <w:footnote w:type="continuationSeparator" w:id="0">
    <w:p w:rsidR="00A47614" w:rsidRDefault="0038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CCD7EDC"/>
    <w:multiLevelType w:val="hybridMultilevel"/>
    <w:tmpl w:val="2842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4D"/>
    <w:rsid w:val="002B44A1"/>
    <w:rsid w:val="002E7834"/>
    <w:rsid w:val="00305618"/>
    <w:rsid w:val="00380175"/>
    <w:rsid w:val="00614899"/>
    <w:rsid w:val="00A47614"/>
    <w:rsid w:val="00BC28B0"/>
    <w:rsid w:val="00BF1E4D"/>
    <w:rsid w:val="00E10D16"/>
    <w:rsid w:val="00F07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FB8E2-DE45-462F-8B8B-54B874B7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E4D"/>
    <w:rPr>
      <w:rFonts w:ascii="Calibri" w:eastAsia="Calibri" w:hAnsi="Calibri" w:cs="Times New Roman"/>
    </w:rPr>
  </w:style>
  <w:style w:type="paragraph" w:styleId="Heading2">
    <w:name w:val="heading 2"/>
    <w:next w:val="DHHSbody"/>
    <w:link w:val="Heading2Char"/>
    <w:uiPriority w:val="1"/>
    <w:qFormat/>
    <w:rsid w:val="00BF1E4D"/>
    <w:pPr>
      <w:keepNext/>
      <w:keepLines/>
      <w:spacing w:before="240" w:after="90" w:line="320" w:lineRule="atLeast"/>
      <w:outlineLvl w:val="1"/>
    </w:pPr>
    <w:rPr>
      <w:rFonts w:ascii="Arial" w:eastAsia="Times New Roman" w:hAnsi="Arial" w:cs="Times New Roman"/>
      <w:b/>
      <w:color w:val="007B4B"/>
      <w:sz w:val="28"/>
      <w:szCs w:val="28"/>
    </w:rPr>
  </w:style>
  <w:style w:type="paragraph" w:styleId="Heading3">
    <w:name w:val="heading 3"/>
    <w:next w:val="DHHSbody"/>
    <w:link w:val="Heading3Char"/>
    <w:uiPriority w:val="1"/>
    <w:qFormat/>
    <w:rsid w:val="00BF1E4D"/>
    <w:pPr>
      <w:keepNext/>
      <w:keepLines/>
      <w:spacing w:before="280" w:after="120" w:line="280" w:lineRule="atLeast"/>
      <w:outlineLvl w:val="2"/>
    </w:pPr>
    <w:rPr>
      <w:rFonts w:ascii="Arial" w:eastAsia="MS Gothic"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1E4D"/>
    <w:rPr>
      <w:rFonts w:ascii="Arial" w:eastAsia="Times New Roman" w:hAnsi="Arial" w:cs="Times New Roman"/>
      <w:b/>
      <w:color w:val="007B4B"/>
      <w:sz w:val="28"/>
      <w:szCs w:val="28"/>
    </w:rPr>
  </w:style>
  <w:style w:type="character" w:customStyle="1" w:styleId="Heading3Char">
    <w:name w:val="Heading 3 Char"/>
    <w:basedOn w:val="DefaultParagraphFont"/>
    <w:link w:val="Heading3"/>
    <w:uiPriority w:val="1"/>
    <w:rsid w:val="00BF1E4D"/>
    <w:rPr>
      <w:rFonts w:ascii="Arial" w:eastAsia="MS Gothic" w:hAnsi="Arial" w:cs="Times New Roman"/>
      <w:b/>
      <w:bCs/>
      <w:sz w:val="24"/>
      <w:szCs w:val="26"/>
    </w:rPr>
  </w:style>
  <w:style w:type="paragraph" w:customStyle="1" w:styleId="DHHSbody">
    <w:name w:val="DHHS body"/>
    <w:qFormat/>
    <w:rsid w:val="00BF1E4D"/>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BF1E4D"/>
    <w:pPr>
      <w:numPr>
        <w:numId w:val="1"/>
      </w:numPr>
      <w:spacing w:after="40"/>
    </w:pPr>
  </w:style>
  <w:style w:type="paragraph" w:customStyle="1" w:styleId="DHHSTOCheadingfactsheet">
    <w:name w:val="DHHS TOC heading fact sheet"/>
    <w:basedOn w:val="Heading2"/>
    <w:next w:val="DHHSbody"/>
    <w:link w:val="DHHSTOCheadingfactsheetChar"/>
    <w:uiPriority w:val="4"/>
    <w:rsid w:val="00BF1E4D"/>
    <w:pPr>
      <w:spacing w:before="0" w:after="200"/>
      <w:outlineLvl w:val="9"/>
    </w:pPr>
  </w:style>
  <w:style w:type="character" w:customStyle="1" w:styleId="DHHSTOCheadingfactsheetChar">
    <w:name w:val="DHHS TOC heading fact sheet Char"/>
    <w:link w:val="DHHSTOCheadingfactsheet"/>
    <w:uiPriority w:val="4"/>
    <w:rsid w:val="00BF1E4D"/>
    <w:rPr>
      <w:rFonts w:ascii="Arial" w:eastAsia="Times New Roman" w:hAnsi="Arial" w:cs="Times New Roman"/>
      <w:b/>
      <w:color w:val="007B4B"/>
      <w:sz w:val="28"/>
      <w:szCs w:val="28"/>
    </w:rPr>
  </w:style>
  <w:style w:type="paragraph" w:customStyle="1" w:styleId="Sectionbreakfirstpage">
    <w:name w:val="Section break first page"/>
    <w:uiPriority w:val="5"/>
    <w:rsid w:val="00BF1E4D"/>
    <w:pPr>
      <w:spacing w:after="400" w:line="240" w:lineRule="auto"/>
    </w:pPr>
    <w:rPr>
      <w:rFonts w:ascii="Arial" w:eastAsia="Times New Roman" w:hAnsi="Arial" w:cs="Times New Roman"/>
      <w:sz w:val="20"/>
      <w:szCs w:val="20"/>
    </w:rPr>
  </w:style>
  <w:style w:type="paragraph" w:customStyle="1" w:styleId="DHHStabletext">
    <w:name w:val="DHHS table text"/>
    <w:uiPriority w:val="3"/>
    <w:qFormat/>
    <w:rsid w:val="00BF1E4D"/>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BF1E4D"/>
    <w:pPr>
      <w:keepNext/>
      <w:keepLines/>
      <w:spacing w:before="240" w:after="120" w:line="240" w:lineRule="atLeast"/>
    </w:pPr>
    <w:rPr>
      <w:rFonts w:ascii="Arial" w:eastAsia="Times New Roman" w:hAnsi="Arial" w:cs="Times New Roman"/>
      <w:b/>
      <w:sz w:val="20"/>
      <w:szCs w:val="20"/>
    </w:rPr>
  </w:style>
  <w:style w:type="paragraph" w:customStyle="1" w:styleId="DHHSmainheading">
    <w:name w:val="DHHS main heading"/>
    <w:uiPriority w:val="8"/>
    <w:rsid w:val="00BF1E4D"/>
    <w:pPr>
      <w:spacing w:after="0" w:line="560" w:lineRule="atLeast"/>
    </w:pPr>
    <w:rPr>
      <w:rFonts w:ascii="Arial" w:eastAsia="Times New Roman" w:hAnsi="Arial" w:cs="Times New Roman"/>
      <w:color w:val="FFFFFF"/>
      <w:sz w:val="50"/>
      <w:szCs w:val="50"/>
    </w:rPr>
  </w:style>
  <w:style w:type="paragraph" w:customStyle="1" w:styleId="DHHSbullet2">
    <w:name w:val="DHHS bullet 2"/>
    <w:basedOn w:val="DHHSbody"/>
    <w:uiPriority w:val="2"/>
    <w:qFormat/>
    <w:rsid w:val="00BF1E4D"/>
    <w:pPr>
      <w:numPr>
        <w:ilvl w:val="2"/>
        <w:numId w:val="1"/>
      </w:numPr>
      <w:spacing w:after="40"/>
    </w:pPr>
  </w:style>
  <w:style w:type="paragraph" w:customStyle="1" w:styleId="Healthbullet1">
    <w:name w:val="Health bullet 1"/>
    <w:basedOn w:val="Healthbody"/>
    <w:uiPriority w:val="99"/>
    <w:rsid w:val="00BF1E4D"/>
    <w:pPr>
      <w:numPr>
        <w:numId w:val="5"/>
      </w:numPr>
      <w:spacing w:after="40"/>
    </w:pPr>
  </w:style>
  <w:style w:type="paragraph" w:customStyle="1" w:styleId="Healthbullet1lastline">
    <w:name w:val="Health bullet 1 last line"/>
    <w:basedOn w:val="Healthbullet1"/>
    <w:uiPriority w:val="99"/>
    <w:rsid w:val="00BF1E4D"/>
    <w:pPr>
      <w:spacing w:after="120"/>
    </w:pPr>
  </w:style>
  <w:style w:type="paragraph" w:customStyle="1" w:styleId="DHHStablebullet">
    <w:name w:val="DHHS table bullet"/>
    <w:basedOn w:val="DHHStabletext"/>
    <w:uiPriority w:val="3"/>
    <w:qFormat/>
    <w:rsid w:val="00BF1E4D"/>
    <w:pPr>
      <w:numPr>
        <w:ilvl w:val="6"/>
        <w:numId w:val="1"/>
      </w:numPr>
    </w:pPr>
  </w:style>
  <w:style w:type="paragraph" w:customStyle="1" w:styleId="Healthbody">
    <w:name w:val="Health body"/>
    <w:uiPriority w:val="99"/>
    <w:rsid w:val="00BF1E4D"/>
    <w:pPr>
      <w:spacing w:after="120" w:line="270" w:lineRule="atLeast"/>
    </w:pPr>
    <w:rPr>
      <w:rFonts w:ascii="Arial" w:eastAsia="MS Mincho" w:hAnsi="Arial" w:cs="Times New Roman"/>
      <w:sz w:val="20"/>
      <w:szCs w:val="24"/>
    </w:rPr>
  </w:style>
  <w:style w:type="numbering" w:customStyle="1" w:styleId="Bullets">
    <w:name w:val="Bullets"/>
    <w:rsid w:val="00BF1E4D"/>
    <w:pPr>
      <w:numPr>
        <w:numId w:val="3"/>
      </w:numPr>
    </w:pPr>
  </w:style>
  <w:style w:type="paragraph" w:customStyle="1" w:styleId="DHHStablecolhead">
    <w:name w:val="DHHS table col head"/>
    <w:uiPriority w:val="3"/>
    <w:qFormat/>
    <w:rsid w:val="00BF1E4D"/>
    <w:pPr>
      <w:spacing w:before="80" w:after="60" w:line="240" w:lineRule="auto"/>
    </w:pPr>
    <w:rPr>
      <w:rFonts w:ascii="Arial" w:eastAsia="Times New Roman" w:hAnsi="Arial" w:cs="Times New Roman"/>
      <w:b/>
      <w:color w:val="007B4B"/>
      <w:sz w:val="20"/>
      <w:szCs w:val="20"/>
    </w:rPr>
  </w:style>
  <w:style w:type="paragraph" w:customStyle="1" w:styleId="DHHSbulletindent">
    <w:name w:val="DHHS bullet indent"/>
    <w:basedOn w:val="DHHSbody"/>
    <w:rsid w:val="00BF1E4D"/>
    <w:pPr>
      <w:numPr>
        <w:ilvl w:val="4"/>
        <w:numId w:val="1"/>
      </w:numPr>
      <w:spacing w:after="40"/>
    </w:pPr>
  </w:style>
  <w:style w:type="character" w:styleId="Hyperlink">
    <w:name w:val="Hyperlink"/>
    <w:uiPriority w:val="99"/>
    <w:rsid w:val="00BF1E4D"/>
    <w:rPr>
      <w:color w:val="3366FF"/>
      <w:u w:val="dotted"/>
    </w:rPr>
  </w:style>
  <w:style w:type="paragraph" w:customStyle="1" w:styleId="DHHSbullet1lastline">
    <w:name w:val="DHHS bullet 1 last line"/>
    <w:basedOn w:val="DHHSbullet1"/>
    <w:qFormat/>
    <w:rsid w:val="00BF1E4D"/>
    <w:pPr>
      <w:numPr>
        <w:ilvl w:val="1"/>
      </w:numPr>
      <w:spacing w:after="120"/>
    </w:pPr>
  </w:style>
  <w:style w:type="paragraph" w:customStyle="1" w:styleId="DHHSbullet2lastline">
    <w:name w:val="DHHS bullet 2 last line"/>
    <w:basedOn w:val="DHHSbullet2"/>
    <w:uiPriority w:val="2"/>
    <w:qFormat/>
    <w:rsid w:val="00BF1E4D"/>
    <w:pPr>
      <w:numPr>
        <w:ilvl w:val="3"/>
      </w:numPr>
      <w:spacing w:after="120"/>
    </w:pPr>
  </w:style>
  <w:style w:type="paragraph" w:customStyle="1" w:styleId="DHHSmainsubheading">
    <w:name w:val="DHHS main subheading"/>
    <w:uiPriority w:val="8"/>
    <w:rsid w:val="00BF1E4D"/>
    <w:pPr>
      <w:spacing w:after="0" w:line="240" w:lineRule="auto"/>
    </w:pPr>
    <w:rPr>
      <w:rFonts w:ascii="Arial" w:eastAsia="Times New Roman" w:hAnsi="Arial" w:cs="Times New Roman"/>
      <w:color w:val="FFFFFF"/>
      <w:sz w:val="28"/>
      <w:szCs w:val="24"/>
    </w:rPr>
  </w:style>
  <w:style w:type="numbering" w:customStyle="1" w:styleId="Numbers">
    <w:name w:val="Numbers"/>
    <w:rsid w:val="00BF1E4D"/>
    <w:pPr>
      <w:numPr>
        <w:numId w:val="4"/>
      </w:numPr>
    </w:pPr>
  </w:style>
  <w:style w:type="paragraph" w:customStyle="1" w:styleId="Spacerparatopoffirstpage">
    <w:name w:val="Spacer para top of first page"/>
    <w:basedOn w:val="Normal"/>
    <w:semiHidden/>
    <w:rsid w:val="00BF1E4D"/>
    <w:pPr>
      <w:spacing w:after="0" w:line="240" w:lineRule="auto"/>
    </w:pPr>
    <w:rPr>
      <w:rFonts w:ascii="Arial" w:eastAsia="Times" w:hAnsi="Arial"/>
      <w:noProof/>
      <w:sz w:val="12"/>
      <w:szCs w:val="20"/>
    </w:rPr>
  </w:style>
  <w:style w:type="numbering" w:customStyle="1" w:styleId="ZZBullets">
    <w:name w:val="ZZ Bullets"/>
    <w:rsid w:val="00BF1E4D"/>
    <w:pPr>
      <w:numPr>
        <w:numId w:val="1"/>
      </w:numPr>
    </w:pPr>
  </w:style>
  <w:style w:type="numbering" w:customStyle="1" w:styleId="ZZNumbers">
    <w:name w:val="ZZ Numbers"/>
    <w:rsid w:val="00BF1E4D"/>
    <w:pPr>
      <w:numPr>
        <w:numId w:val="2"/>
      </w:numPr>
    </w:pPr>
  </w:style>
  <w:style w:type="paragraph" w:customStyle="1" w:styleId="DHHSbulletindentlastline">
    <w:name w:val="DHHS bullet indent last line"/>
    <w:basedOn w:val="DHHSbody"/>
    <w:rsid w:val="00BF1E4D"/>
    <w:pPr>
      <w:numPr>
        <w:ilvl w:val="5"/>
        <w:numId w:val="1"/>
      </w:numPr>
    </w:pPr>
  </w:style>
  <w:style w:type="paragraph" w:customStyle="1" w:styleId="DHHSnumberdigit">
    <w:name w:val="DHHS number digit"/>
    <w:basedOn w:val="DHHSbody"/>
    <w:uiPriority w:val="4"/>
    <w:rsid w:val="00BF1E4D"/>
    <w:pPr>
      <w:numPr>
        <w:numId w:val="2"/>
      </w:numPr>
    </w:pPr>
  </w:style>
  <w:style w:type="paragraph" w:customStyle="1" w:styleId="DHHSnumberloweralphaindent">
    <w:name w:val="DHHS number lower alpha indent"/>
    <w:basedOn w:val="DHHSbody"/>
    <w:uiPriority w:val="4"/>
    <w:qFormat/>
    <w:rsid w:val="00BF1E4D"/>
    <w:pPr>
      <w:numPr>
        <w:ilvl w:val="3"/>
        <w:numId w:val="2"/>
      </w:numPr>
    </w:pPr>
  </w:style>
  <w:style w:type="paragraph" w:customStyle="1" w:styleId="DHHSnumberdigitindent">
    <w:name w:val="DHHS number digit indent"/>
    <w:basedOn w:val="DHHSnumberloweralphaindent"/>
    <w:uiPriority w:val="4"/>
    <w:qFormat/>
    <w:rsid w:val="00BF1E4D"/>
    <w:pPr>
      <w:numPr>
        <w:ilvl w:val="1"/>
      </w:numPr>
    </w:pPr>
  </w:style>
  <w:style w:type="paragraph" w:customStyle="1" w:styleId="DHHSnumberloweralpha">
    <w:name w:val="DHHS number lower alpha"/>
    <w:basedOn w:val="DHHSbody"/>
    <w:uiPriority w:val="4"/>
    <w:qFormat/>
    <w:rsid w:val="00BF1E4D"/>
    <w:pPr>
      <w:numPr>
        <w:ilvl w:val="2"/>
        <w:numId w:val="2"/>
      </w:numPr>
    </w:pPr>
  </w:style>
  <w:style w:type="paragraph" w:customStyle="1" w:styleId="DHHSnumberlowerroman">
    <w:name w:val="DHHS number lower roman"/>
    <w:basedOn w:val="DHHSbody"/>
    <w:uiPriority w:val="4"/>
    <w:qFormat/>
    <w:rsid w:val="00BF1E4D"/>
    <w:pPr>
      <w:numPr>
        <w:ilvl w:val="4"/>
        <w:numId w:val="2"/>
      </w:numPr>
    </w:pPr>
  </w:style>
  <w:style w:type="paragraph" w:customStyle="1" w:styleId="DHHSnumberlowerromanindent">
    <w:name w:val="DHHS number lower roman indent"/>
    <w:basedOn w:val="DHHSbody"/>
    <w:uiPriority w:val="4"/>
    <w:qFormat/>
    <w:rsid w:val="00BF1E4D"/>
    <w:pPr>
      <w:numPr>
        <w:ilvl w:val="5"/>
        <w:numId w:val="2"/>
      </w:numPr>
    </w:pPr>
  </w:style>
  <w:style w:type="paragraph" w:customStyle="1" w:styleId="DHHSfooter">
    <w:name w:val="DHHS footer"/>
    <w:uiPriority w:val="11"/>
    <w:rsid w:val="00BF1E4D"/>
    <w:pPr>
      <w:tabs>
        <w:tab w:val="right" w:pos="10206"/>
      </w:tabs>
      <w:spacing w:after="0"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putermatching@pmcv.com.au" TargetMode="External"/><Relationship Id="rId4" Type="http://schemas.openxmlformats.org/officeDocument/2006/relationships/webSettings" Target="webSettings.xml"/><Relationship Id="rId9" Type="http://schemas.openxmlformats.org/officeDocument/2006/relationships/hyperlink" Target="https://vicknowledgebank.net.au/V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Smythe (DHHS)</dc:creator>
  <cp:keywords/>
  <dc:description/>
  <cp:lastModifiedBy>Andrew Oates (DHHS)</cp:lastModifiedBy>
  <cp:revision>2</cp:revision>
  <dcterms:created xsi:type="dcterms:W3CDTF">2019-04-16T03:35:00Z</dcterms:created>
  <dcterms:modified xsi:type="dcterms:W3CDTF">2019-04-16T03:35:00Z</dcterms:modified>
</cp:coreProperties>
</file>