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B0" w:rsidRDefault="000E5AB0" w:rsidP="008A36C1">
      <w:pPr>
        <w:pStyle w:val="Heading2"/>
      </w:pPr>
    </w:p>
    <w:tbl>
      <w:tblPr>
        <w:tblpPr w:leftFromText="180" w:rightFromText="180" w:horzAnchor="page" w:tblpX="-41" w:tblpY="-780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D784C" w:rsidTr="00BC351B">
        <w:trPr>
          <w:trHeight w:val="980"/>
        </w:trPr>
        <w:tc>
          <w:tcPr>
            <w:tcW w:w="11023" w:type="dxa"/>
            <w:shd w:val="clear" w:color="auto" w:fill="auto"/>
            <w:vAlign w:val="bottom"/>
          </w:tcPr>
          <w:p w:rsidR="000E5AB0" w:rsidRDefault="000E5AB0" w:rsidP="00BC351B">
            <w:pPr>
              <w:pStyle w:val="DHHSmainheading"/>
              <w:rPr>
                <w:sz w:val="44"/>
                <w:szCs w:val="44"/>
              </w:rPr>
            </w:pPr>
          </w:p>
          <w:p w:rsidR="000E5AB0" w:rsidRDefault="000E5AB0" w:rsidP="00BC351B">
            <w:pPr>
              <w:pStyle w:val="DHHSmainheading"/>
              <w:rPr>
                <w:sz w:val="44"/>
                <w:szCs w:val="44"/>
              </w:rPr>
            </w:pPr>
          </w:p>
          <w:p w:rsidR="009B57CC" w:rsidRPr="00DC3BE3" w:rsidRDefault="000E0970" w:rsidP="00BC351B">
            <w:pPr>
              <w:pStyle w:val="DHHSmainheading"/>
              <w:rPr>
                <w:sz w:val="44"/>
                <w:szCs w:val="4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216" behindDoc="1" locked="1" layoutInCell="0" allowOverlap="1" wp14:anchorId="57C3C622" wp14:editId="0C94E391">
                  <wp:simplePos x="0" y="0"/>
                  <wp:positionH relativeFrom="page">
                    <wp:posOffset>635</wp:posOffset>
                  </wp:positionH>
                  <wp:positionV relativeFrom="page">
                    <wp:posOffset>0</wp:posOffset>
                  </wp:positionV>
                  <wp:extent cx="7561580" cy="1902460"/>
                  <wp:effectExtent l="0" t="0" r="1270" b="2540"/>
                  <wp:wrapNone/>
                  <wp:docPr id="30" name="Picture 30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580" cy="190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7CC" w:rsidRPr="009B57CC">
              <w:rPr>
                <w:sz w:val="44"/>
                <w:szCs w:val="44"/>
              </w:rPr>
              <w:t>201</w:t>
            </w:r>
            <w:r w:rsidR="004B2977">
              <w:rPr>
                <w:sz w:val="44"/>
                <w:szCs w:val="44"/>
              </w:rPr>
              <w:t>8-19</w:t>
            </w:r>
            <w:r w:rsidR="009B57CC" w:rsidRPr="009B57CC">
              <w:rPr>
                <w:sz w:val="44"/>
                <w:szCs w:val="44"/>
              </w:rPr>
              <w:t xml:space="preserve"> </w:t>
            </w:r>
            <w:r w:rsidR="004B4B66">
              <w:rPr>
                <w:sz w:val="44"/>
                <w:szCs w:val="44"/>
              </w:rPr>
              <w:t>Mental Health &amp; Alcohol and Other Drugs Facilities Renewal FUND</w:t>
            </w:r>
          </w:p>
        </w:tc>
      </w:tr>
      <w:tr w:rsidR="00AD784C" w:rsidTr="00BC351B">
        <w:trPr>
          <w:trHeight w:hRule="exact" w:val="574"/>
        </w:trPr>
        <w:tc>
          <w:tcPr>
            <w:tcW w:w="11023" w:type="dxa"/>
            <w:shd w:val="clear" w:color="auto" w:fill="auto"/>
            <w:tcMar>
              <w:top w:w="85" w:type="dxa"/>
              <w:bottom w:w="510" w:type="dxa"/>
            </w:tcMar>
          </w:tcPr>
          <w:p w:rsidR="00357B4E" w:rsidRPr="00DC3BE3" w:rsidRDefault="005336B3" w:rsidP="00BC351B">
            <w:pPr>
              <w:pStyle w:val="DHHSmainsubheading"/>
              <w:rPr>
                <w:b w:val="0"/>
              </w:rPr>
            </w:pPr>
            <w:r w:rsidRPr="00DC3BE3">
              <w:rPr>
                <w:b w:val="0"/>
              </w:rPr>
              <w:t xml:space="preserve">Year </w:t>
            </w:r>
            <w:r w:rsidR="004B2977" w:rsidRPr="00DC3BE3">
              <w:rPr>
                <w:b w:val="0"/>
              </w:rPr>
              <w:t>4</w:t>
            </w:r>
            <w:r w:rsidRPr="00DC3BE3">
              <w:rPr>
                <w:b w:val="0"/>
              </w:rPr>
              <w:t xml:space="preserve"> 201</w:t>
            </w:r>
            <w:r w:rsidR="004B2977" w:rsidRPr="00DC3BE3">
              <w:rPr>
                <w:b w:val="0"/>
              </w:rPr>
              <w:t>8</w:t>
            </w:r>
            <w:r w:rsidRPr="00DC3BE3">
              <w:rPr>
                <w:b w:val="0"/>
              </w:rPr>
              <w:t>/1</w:t>
            </w:r>
            <w:r w:rsidR="004B2977" w:rsidRPr="00DC3BE3">
              <w:rPr>
                <w:b w:val="0"/>
              </w:rPr>
              <w:t>9</w:t>
            </w:r>
            <w:r w:rsidRPr="00DC3BE3">
              <w:rPr>
                <w:b w:val="0"/>
              </w:rPr>
              <w:t xml:space="preserve"> Gu</w:t>
            </w:r>
            <w:r w:rsidR="009B57CC" w:rsidRPr="00DC3BE3">
              <w:rPr>
                <w:b w:val="0"/>
              </w:rPr>
              <w:t>idelines</w:t>
            </w:r>
          </w:p>
        </w:tc>
      </w:tr>
    </w:tbl>
    <w:p w:rsidR="00F828B4" w:rsidRPr="0025734D" w:rsidRDefault="00F828B4" w:rsidP="00F828B4">
      <w:pPr>
        <w:pStyle w:val="Heading2"/>
        <w:rPr>
          <w:sz w:val="24"/>
          <w:szCs w:val="24"/>
        </w:rPr>
      </w:pPr>
      <w:r w:rsidRPr="0025734D">
        <w:rPr>
          <w:sz w:val="24"/>
          <w:szCs w:val="24"/>
        </w:rPr>
        <w:t>Background</w:t>
      </w:r>
    </w:p>
    <w:p w:rsidR="00F828B4" w:rsidRDefault="00905A72" w:rsidP="00261AAC">
      <w:pPr>
        <w:spacing w:after="120" w:line="270" w:lineRule="atLeast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The </w:t>
      </w:r>
      <w:r w:rsidR="00F828B4" w:rsidRPr="00261AAC">
        <w:rPr>
          <w:rFonts w:ascii="Arial" w:eastAsia="Times" w:hAnsi="Arial" w:cs="Arial"/>
          <w:sz w:val="20"/>
          <w:szCs w:val="20"/>
        </w:rPr>
        <w:t xml:space="preserve">$10 million </w:t>
      </w:r>
      <w:r w:rsidR="008F5503">
        <w:rPr>
          <w:rFonts w:ascii="Arial" w:eastAsia="Times" w:hAnsi="Arial" w:cs="Arial"/>
          <w:sz w:val="20"/>
          <w:szCs w:val="20"/>
        </w:rPr>
        <w:t>Mental Health and Alcohol and Other Drugs Facilities Renewal</w:t>
      </w:r>
      <w:r w:rsidR="00F828B4" w:rsidRPr="00261AAC">
        <w:rPr>
          <w:rFonts w:ascii="Arial" w:eastAsia="Times" w:hAnsi="Arial" w:cs="Arial"/>
          <w:sz w:val="20"/>
          <w:szCs w:val="20"/>
        </w:rPr>
        <w:t xml:space="preserve"> Fund</w:t>
      </w:r>
      <w:r w:rsidR="00CE3A93">
        <w:rPr>
          <w:rFonts w:ascii="Arial" w:eastAsia="Times" w:hAnsi="Arial" w:cs="Arial"/>
          <w:sz w:val="20"/>
          <w:szCs w:val="20"/>
        </w:rPr>
        <w:t xml:space="preserve"> for</w:t>
      </w:r>
      <w:r w:rsidR="00F828B4" w:rsidRPr="00261AAC">
        <w:rPr>
          <w:rFonts w:ascii="Arial" w:eastAsia="Times" w:hAnsi="Arial" w:cs="Arial"/>
          <w:sz w:val="20"/>
          <w:szCs w:val="20"/>
        </w:rPr>
        <w:t xml:space="preserve"> </w:t>
      </w:r>
      <w:r w:rsidR="00B54A4D">
        <w:rPr>
          <w:rFonts w:ascii="Arial" w:eastAsia="Times" w:hAnsi="Arial" w:cs="Arial"/>
          <w:sz w:val="20"/>
          <w:szCs w:val="20"/>
        </w:rPr>
        <w:t>2018-19</w:t>
      </w:r>
      <w:r w:rsidR="00D6375C" w:rsidRPr="00261AAC">
        <w:rPr>
          <w:rFonts w:ascii="Arial" w:eastAsia="Times" w:hAnsi="Arial" w:cs="Arial"/>
          <w:sz w:val="20"/>
          <w:szCs w:val="20"/>
        </w:rPr>
        <w:t xml:space="preserve"> </w:t>
      </w:r>
      <w:r w:rsidR="00F828B4" w:rsidRPr="00261AAC">
        <w:rPr>
          <w:rFonts w:ascii="Arial" w:eastAsia="Times" w:hAnsi="Arial" w:cs="Arial"/>
          <w:sz w:val="20"/>
          <w:szCs w:val="20"/>
        </w:rPr>
        <w:t xml:space="preserve">has been established as part of the Victorian Government’s commitment to improve quality and safety of care for </w:t>
      </w:r>
      <w:r w:rsidR="00D6375C">
        <w:rPr>
          <w:rFonts w:ascii="Arial" w:eastAsia="Times" w:hAnsi="Arial" w:cs="Arial"/>
          <w:sz w:val="20"/>
          <w:szCs w:val="20"/>
        </w:rPr>
        <w:t xml:space="preserve">both </w:t>
      </w:r>
      <w:r w:rsidR="00F828B4" w:rsidRPr="00261AAC">
        <w:rPr>
          <w:rFonts w:ascii="Arial" w:eastAsia="Times" w:hAnsi="Arial" w:cs="Arial"/>
          <w:sz w:val="20"/>
          <w:szCs w:val="20"/>
        </w:rPr>
        <w:t>Mental Health and Alcohol and Other Drug service</w:t>
      </w:r>
      <w:r w:rsidR="00D6375C">
        <w:rPr>
          <w:rFonts w:ascii="Arial" w:eastAsia="Times" w:hAnsi="Arial" w:cs="Arial"/>
          <w:sz w:val="20"/>
          <w:szCs w:val="20"/>
        </w:rPr>
        <w:t xml:space="preserve"> </w:t>
      </w:r>
      <w:r w:rsidR="00F14E77">
        <w:rPr>
          <w:rFonts w:ascii="Arial" w:eastAsia="Times" w:hAnsi="Arial" w:cs="Arial"/>
          <w:sz w:val="20"/>
          <w:szCs w:val="20"/>
        </w:rPr>
        <w:t>facilities</w:t>
      </w:r>
      <w:r w:rsidR="00F828B4" w:rsidRPr="00261AAC">
        <w:rPr>
          <w:rFonts w:ascii="Arial" w:eastAsia="Times" w:hAnsi="Arial" w:cs="Arial"/>
          <w:sz w:val="20"/>
          <w:szCs w:val="20"/>
        </w:rPr>
        <w:t>.</w:t>
      </w:r>
    </w:p>
    <w:p w:rsidR="00F828B4" w:rsidRPr="00261AAC" w:rsidRDefault="00F828B4" w:rsidP="00261AAC">
      <w:pPr>
        <w:spacing w:after="120" w:line="270" w:lineRule="atLeast"/>
        <w:jc w:val="both"/>
        <w:rPr>
          <w:rFonts w:ascii="Arial" w:eastAsia="Times" w:hAnsi="Arial" w:cs="Arial"/>
          <w:sz w:val="20"/>
          <w:szCs w:val="20"/>
        </w:rPr>
      </w:pPr>
      <w:r w:rsidRPr="00261AAC">
        <w:rPr>
          <w:rFonts w:ascii="Arial" w:eastAsia="Times" w:hAnsi="Arial" w:cs="Arial"/>
          <w:sz w:val="20"/>
          <w:szCs w:val="20"/>
        </w:rPr>
        <w:t xml:space="preserve">The objective of the </w:t>
      </w:r>
      <w:r w:rsidRPr="00261AAC">
        <w:rPr>
          <w:rFonts w:ascii="Arial" w:hAnsi="Arial" w:cs="Arial"/>
          <w:sz w:val="20"/>
          <w:szCs w:val="20"/>
        </w:rPr>
        <w:t>Fund</w:t>
      </w:r>
      <w:r w:rsidRPr="00261AAC">
        <w:rPr>
          <w:rFonts w:ascii="Arial" w:eastAsia="Times" w:hAnsi="Arial" w:cs="Arial"/>
          <w:sz w:val="20"/>
          <w:szCs w:val="20"/>
        </w:rPr>
        <w:t xml:space="preserve"> </w:t>
      </w:r>
      <w:r w:rsidR="008F5503">
        <w:rPr>
          <w:rFonts w:ascii="Arial" w:eastAsia="Times" w:hAnsi="Arial" w:cs="Arial"/>
          <w:sz w:val="20"/>
          <w:szCs w:val="20"/>
        </w:rPr>
        <w:t>i</w:t>
      </w:r>
      <w:r w:rsidR="006B67B4">
        <w:rPr>
          <w:rFonts w:ascii="Arial" w:eastAsia="Times" w:hAnsi="Arial" w:cs="Arial"/>
          <w:sz w:val="20"/>
          <w:szCs w:val="20"/>
        </w:rPr>
        <w:t>s</w:t>
      </w:r>
      <w:r w:rsidRPr="00261AAC">
        <w:rPr>
          <w:rFonts w:ascii="Arial" w:eastAsia="Times" w:hAnsi="Arial" w:cs="Arial"/>
          <w:sz w:val="20"/>
          <w:szCs w:val="20"/>
        </w:rPr>
        <w:t xml:space="preserve"> to</w:t>
      </w:r>
      <w:bookmarkStart w:id="0" w:name="_GoBack"/>
      <w:bookmarkEnd w:id="0"/>
      <w:r w:rsidRPr="00261AAC">
        <w:rPr>
          <w:rFonts w:ascii="Arial" w:eastAsia="Times" w:hAnsi="Arial" w:cs="Arial"/>
          <w:sz w:val="20"/>
          <w:szCs w:val="20"/>
        </w:rPr>
        <w:t xml:space="preserve"> support </w:t>
      </w:r>
      <w:r w:rsidR="008F5503">
        <w:rPr>
          <w:rFonts w:ascii="Arial" w:eastAsia="Times" w:hAnsi="Arial" w:cs="Arial"/>
          <w:sz w:val="20"/>
          <w:szCs w:val="20"/>
        </w:rPr>
        <w:t xml:space="preserve">the </w:t>
      </w:r>
      <w:r w:rsidR="00F14E77">
        <w:rPr>
          <w:rFonts w:ascii="Arial" w:eastAsia="Times" w:hAnsi="Arial" w:cs="Arial"/>
          <w:sz w:val="20"/>
          <w:szCs w:val="20"/>
        </w:rPr>
        <w:t xml:space="preserve">delivery of </w:t>
      </w:r>
      <w:r w:rsidRPr="00261AAC">
        <w:rPr>
          <w:rFonts w:ascii="Arial" w:eastAsia="Times" w:hAnsi="Arial" w:cs="Arial"/>
          <w:sz w:val="20"/>
          <w:szCs w:val="20"/>
        </w:rPr>
        <w:t xml:space="preserve">mental health </w:t>
      </w:r>
      <w:r w:rsidR="005A77D6">
        <w:rPr>
          <w:rFonts w:ascii="Arial" w:eastAsia="Times" w:hAnsi="Arial" w:cs="Arial"/>
          <w:sz w:val="20"/>
          <w:szCs w:val="20"/>
        </w:rPr>
        <w:t xml:space="preserve">and alcohol and other drug </w:t>
      </w:r>
      <w:r w:rsidR="00F14E77">
        <w:rPr>
          <w:rFonts w:ascii="Arial" w:eastAsia="Times" w:hAnsi="Arial" w:cs="Arial"/>
          <w:sz w:val="20"/>
          <w:szCs w:val="20"/>
        </w:rPr>
        <w:t>services</w:t>
      </w:r>
      <w:r w:rsidRPr="00261AAC">
        <w:rPr>
          <w:rFonts w:ascii="Arial" w:eastAsia="Times" w:hAnsi="Arial" w:cs="Arial"/>
          <w:sz w:val="20"/>
          <w:szCs w:val="20"/>
        </w:rPr>
        <w:t xml:space="preserve"> </w:t>
      </w:r>
      <w:r w:rsidR="00F14E77">
        <w:rPr>
          <w:rFonts w:ascii="Arial" w:eastAsia="Times" w:hAnsi="Arial" w:cs="Arial"/>
          <w:sz w:val="20"/>
          <w:szCs w:val="20"/>
        </w:rPr>
        <w:t>to</w:t>
      </w:r>
      <w:r w:rsidRPr="00261AAC">
        <w:rPr>
          <w:rFonts w:ascii="Arial" w:eastAsia="Times" w:hAnsi="Arial" w:cs="Arial"/>
          <w:sz w:val="20"/>
          <w:szCs w:val="20"/>
        </w:rPr>
        <w:t xml:space="preserve"> the people in Victoria. Grants will be used to renew existing facilities to deliver contemporary models of care and address issues of </w:t>
      </w:r>
      <w:r w:rsidR="00545E37">
        <w:rPr>
          <w:rFonts w:ascii="Arial" w:eastAsia="Times" w:hAnsi="Arial" w:cs="Arial"/>
          <w:sz w:val="20"/>
          <w:szCs w:val="20"/>
        </w:rPr>
        <w:t xml:space="preserve">Victorian </w:t>
      </w:r>
      <w:r w:rsidR="00545E37" w:rsidRPr="00261AAC">
        <w:rPr>
          <w:rFonts w:ascii="Arial" w:eastAsia="Times" w:hAnsi="Arial" w:cs="Arial"/>
          <w:sz w:val="20"/>
          <w:szCs w:val="20"/>
        </w:rPr>
        <w:t>state</w:t>
      </w:r>
      <w:r w:rsidR="00545E37">
        <w:rPr>
          <w:rFonts w:ascii="Arial" w:eastAsia="Times" w:hAnsi="Arial" w:cs="Arial"/>
          <w:sz w:val="20"/>
          <w:szCs w:val="20"/>
        </w:rPr>
        <w:t xml:space="preserve"> government</w:t>
      </w:r>
      <w:r w:rsidR="00545E37" w:rsidRPr="00261AAC">
        <w:rPr>
          <w:rFonts w:ascii="Arial" w:eastAsia="Times" w:hAnsi="Arial" w:cs="Arial"/>
          <w:sz w:val="20"/>
          <w:szCs w:val="20"/>
        </w:rPr>
        <w:t xml:space="preserve"> </w:t>
      </w:r>
      <w:r w:rsidR="00545E37">
        <w:rPr>
          <w:rFonts w:ascii="Arial" w:eastAsia="Times" w:hAnsi="Arial" w:cs="Arial"/>
          <w:sz w:val="20"/>
          <w:szCs w:val="20"/>
        </w:rPr>
        <w:t xml:space="preserve">funded </w:t>
      </w:r>
      <w:r w:rsidR="00545E37" w:rsidRPr="00261AAC">
        <w:rPr>
          <w:rFonts w:ascii="Arial" w:eastAsia="Times" w:hAnsi="Arial" w:cs="Arial"/>
          <w:sz w:val="20"/>
          <w:szCs w:val="20"/>
        </w:rPr>
        <w:t>facilities</w:t>
      </w:r>
      <w:r w:rsidRPr="00261AAC">
        <w:rPr>
          <w:rFonts w:ascii="Arial" w:eastAsia="Times" w:hAnsi="Arial" w:cs="Arial"/>
          <w:sz w:val="20"/>
          <w:szCs w:val="20"/>
        </w:rPr>
        <w:t>. The grants are designed to assist public Mental Health Clinical Services</w:t>
      </w:r>
      <w:r w:rsidR="00F14E77">
        <w:rPr>
          <w:rFonts w:ascii="Arial" w:eastAsia="Times" w:hAnsi="Arial" w:cs="Arial"/>
          <w:sz w:val="20"/>
          <w:szCs w:val="20"/>
        </w:rPr>
        <w:t xml:space="preserve">, Alcohol and </w:t>
      </w:r>
      <w:r w:rsidR="008F5503">
        <w:rPr>
          <w:rFonts w:ascii="Arial" w:eastAsia="Times" w:hAnsi="Arial" w:cs="Arial"/>
          <w:sz w:val="20"/>
          <w:szCs w:val="20"/>
        </w:rPr>
        <w:t xml:space="preserve">Other </w:t>
      </w:r>
      <w:r w:rsidR="00F14E77">
        <w:rPr>
          <w:rFonts w:ascii="Arial" w:eastAsia="Times" w:hAnsi="Arial" w:cs="Arial"/>
          <w:sz w:val="20"/>
          <w:szCs w:val="20"/>
        </w:rPr>
        <w:t>Drug</w:t>
      </w:r>
      <w:r w:rsidR="008F5503">
        <w:rPr>
          <w:rFonts w:ascii="Arial" w:eastAsia="Times" w:hAnsi="Arial" w:cs="Arial"/>
          <w:sz w:val="20"/>
          <w:szCs w:val="20"/>
        </w:rPr>
        <w:t>s</w:t>
      </w:r>
      <w:r w:rsidR="00F14E77">
        <w:rPr>
          <w:rFonts w:ascii="Arial" w:eastAsia="Times" w:hAnsi="Arial" w:cs="Arial"/>
          <w:sz w:val="20"/>
          <w:szCs w:val="20"/>
        </w:rPr>
        <w:t xml:space="preserve"> </w:t>
      </w:r>
      <w:r w:rsidR="0072591B">
        <w:rPr>
          <w:rFonts w:ascii="Arial" w:eastAsia="Times" w:hAnsi="Arial" w:cs="Arial"/>
          <w:sz w:val="20"/>
          <w:szCs w:val="20"/>
        </w:rPr>
        <w:t>s</w:t>
      </w:r>
      <w:r w:rsidR="00F14E77">
        <w:rPr>
          <w:rFonts w:ascii="Arial" w:eastAsia="Times" w:hAnsi="Arial" w:cs="Arial"/>
          <w:sz w:val="20"/>
          <w:szCs w:val="20"/>
        </w:rPr>
        <w:t>ervices</w:t>
      </w:r>
      <w:r w:rsidRPr="00261AAC">
        <w:rPr>
          <w:rFonts w:ascii="Arial" w:eastAsia="Times" w:hAnsi="Arial" w:cs="Arial"/>
          <w:sz w:val="20"/>
          <w:szCs w:val="20"/>
        </w:rPr>
        <w:t xml:space="preserve"> and Mental Health Community Support Services </w:t>
      </w:r>
      <w:r w:rsidRPr="00FE6F36">
        <w:rPr>
          <w:rFonts w:ascii="Arial" w:eastAsia="Times" w:hAnsi="Arial" w:cs="Arial"/>
          <w:sz w:val="20"/>
          <w:szCs w:val="20"/>
        </w:rPr>
        <w:t>–</w:t>
      </w:r>
      <w:r w:rsidRPr="00261AAC">
        <w:rPr>
          <w:rFonts w:ascii="Arial" w:eastAsia="Times" w:hAnsi="Arial" w:cs="Arial"/>
          <w:sz w:val="20"/>
          <w:szCs w:val="20"/>
        </w:rPr>
        <w:t xml:space="preserve"> Youth Residential Rehabilitation to:</w:t>
      </w:r>
    </w:p>
    <w:p w:rsidR="00F828B4" w:rsidRPr="00261424" w:rsidRDefault="00F828B4" w:rsidP="00261AAC">
      <w:pPr>
        <w:numPr>
          <w:ilvl w:val="1"/>
          <w:numId w:val="23"/>
        </w:numPr>
        <w:spacing w:before="120" w:after="40" w:line="270" w:lineRule="atLeast"/>
        <w:jc w:val="both"/>
        <w:rPr>
          <w:rFonts w:ascii="Arial" w:eastAsia="Times" w:hAnsi="Arial"/>
          <w:sz w:val="20"/>
          <w:szCs w:val="20"/>
        </w:rPr>
      </w:pPr>
      <w:r w:rsidRPr="00261424">
        <w:rPr>
          <w:rFonts w:ascii="Arial" w:eastAsia="Times" w:hAnsi="Arial"/>
          <w:sz w:val="20"/>
          <w:szCs w:val="20"/>
        </w:rPr>
        <w:t xml:space="preserve">Improve consumer, carer and staff safety through capital investments </w:t>
      </w:r>
      <w:r>
        <w:rPr>
          <w:rFonts w:ascii="Arial" w:eastAsia="Times" w:hAnsi="Arial"/>
          <w:sz w:val="20"/>
          <w:szCs w:val="20"/>
        </w:rPr>
        <w:t>that balance safety with the need to provide services in a therapeutic and least restrictive environment</w:t>
      </w:r>
      <w:r w:rsidRPr="00261424">
        <w:rPr>
          <w:rFonts w:ascii="Arial" w:eastAsia="Times" w:hAnsi="Arial"/>
          <w:sz w:val="20"/>
          <w:szCs w:val="20"/>
        </w:rPr>
        <w:t xml:space="preserve"> into existing facilities</w:t>
      </w:r>
    </w:p>
    <w:p w:rsidR="00F828B4" w:rsidRPr="00261424" w:rsidRDefault="00F828B4" w:rsidP="00261AAC">
      <w:pPr>
        <w:numPr>
          <w:ilvl w:val="1"/>
          <w:numId w:val="23"/>
        </w:numPr>
        <w:spacing w:before="120" w:after="40" w:line="270" w:lineRule="atLeast"/>
        <w:jc w:val="both"/>
        <w:rPr>
          <w:rFonts w:ascii="Arial" w:eastAsia="Times" w:hAnsi="Arial"/>
          <w:sz w:val="20"/>
          <w:szCs w:val="20"/>
        </w:rPr>
      </w:pPr>
      <w:r w:rsidRPr="00261424">
        <w:rPr>
          <w:rFonts w:ascii="Arial" w:eastAsia="Times" w:hAnsi="Arial"/>
          <w:sz w:val="20"/>
          <w:szCs w:val="20"/>
        </w:rPr>
        <w:t>Improve amenity to enhance recovery</w:t>
      </w:r>
      <w:r>
        <w:rPr>
          <w:rFonts w:ascii="Arial" w:eastAsia="Times" w:hAnsi="Arial"/>
          <w:sz w:val="20"/>
          <w:szCs w:val="20"/>
        </w:rPr>
        <w:t xml:space="preserve">, </w:t>
      </w:r>
      <w:r w:rsidRPr="00261424">
        <w:rPr>
          <w:rFonts w:ascii="Arial" w:eastAsia="Times" w:hAnsi="Arial"/>
          <w:sz w:val="20"/>
          <w:szCs w:val="20"/>
        </w:rPr>
        <w:t xml:space="preserve">rehabilitation </w:t>
      </w:r>
      <w:r>
        <w:rPr>
          <w:rFonts w:ascii="Arial" w:eastAsia="Times" w:hAnsi="Arial"/>
          <w:sz w:val="20"/>
          <w:szCs w:val="20"/>
        </w:rPr>
        <w:t>and therapeutic opportunities</w:t>
      </w:r>
    </w:p>
    <w:p w:rsidR="00F828B4" w:rsidRPr="00261424" w:rsidRDefault="00F828B4" w:rsidP="00261AAC">
      <w:pPr>
        <w:numPr>
          <w:ilvl w:val="1"/>
          <w:numId w:val="23"/>
        </w:numPr>
        <w:spacing w:before="120" w:after="40" w:line="270" w:lineRule="atLeast"/>
        <w:jc w:val="both"/>
        <w:rPr>
          <w:rFonts w:ascii="Arial" w:eastAsia="Times" w:hAnsi="Arial"/>
          <w:sz w:val="20"/>
          <w:szCs w:val="20"/>
        </w:rPr>
      </w:pPr>
      <w:r w:rsidRPr="00261424">
        <w:rPr>
          <w:rFonts w:ascii="Arial" w:eastAsia="Times" w:hAnsi="Arial"/>
          <w:sz w:val="20"/>
          <w:szCs w:val="20"/>
        </w:rPr>
        <w:t>Minimise the use of restrictive practices or clinic</w:t>
      </w:r>
      <w:r>
        <w:rPr>
          <w:rFonts w:ascii="Arial" w:eastAsia="Times" w:hAnsi="Arial"/>
          <w:sz w:val="20"/>
          <w:szCs w:val="20"/>
        </w:rPr>
        <w:t>ally inappropriate environments</w:t>
      </w:r>
    </w:p>
    <w:p w:rsidR="00F828B4" w:rsidRDefault="00F828B4" w:rsidP="00261AAC">
      <w:pPr>
        <w:numPr>
          <w:ilvl w:val="1"/>
          <w:numId w:val="23"/>
        </w:numPr>
        <w:spacing w:before="120" w:after="40" w:line="270" w:lineRule="atLeast"/>
        <w:jc w:val="both"/>
        <w:rPr>
          <w:rFonts w:ascii="Arial" w:eastAsia="Times" w:hAnsi="Arial"/>
          <w:sz w:val="20"/>
          <w:szCs w:val="20"/>
        </w:rPr>
      </w:pPr>
      <w:r w:rsidRPr="00261424">
        <w:rPr>
          <w:rFonts w:ascii="Arial" w:eastAsia="Times" w:hAnsi="Arial"/>
          <w:sz w:val="20"/>
          <w:szCs w:val="20"/>
        </w:rPr>
        <w:t>Improve treatment service quality and efficiency of outcomes</w:t>
      </w:r>
      <w:r>
        <w:rPr>
          <w:rFonts w:ascii="Arial" w:eastAsia="Times" w:hAnsi="Arial"/>
          <w:sz w:val="20"/>
          <w:szCs w:val="20"/>
        </w:rPr>
        <w:t>.</w:t>
      </w:r>
    </w:p>
    <w:p w:rsidR="00FE6F36" w:rsidRPr="00FE6F36" w:rsidRDefault="00FE6F36" w:rsidP="00FE6F36">
      <w:pPr>
        <w:spacing w:before="120" w:after="40" w:line="270" w:lineRule="atLeast"/>
        <w:jc w:val="both"/>
        <w:rPr>
          <w:rFonts w:ascii="Arial" w:eastAsia="Times" w:hAnsi="Arial"/>
          <w:b/>
          <w:sz w:val="20"/>
          <w:szCs w:val="20"/>
        </w:rPr>
      </w:pPr>
      <w:r w:rsidRPr="00FE6F36">
        <w:rPr>
          <w:rFonts w:ascii="Arial" w:eastAsia="Times" w:hAnsi="Arial"/>
          <w:b/>
          <w:sz w:val="20"/>
          <w:szCs w:val="20"/>
        </w:rPr>
        <w:t>Specifically, each submission should demonstrate how the submission will:</w:t>
      </w:r>
    </w:p>
    <w:p w:rsidR="00FE6F36" w:rsidRDefault="00FE6F36" w:rsidP="00FE6F36">
      <w:pPr>
        <w:pStyle w:val="DHHSbullet1lastline"/>
        <w:numPr>
          <w:ilvl w:val="1"/>
          <w:numId w:val="23"/>
        </w:numPr>
        <w:jc w:val="both"/>
      </w:pPr>
      <w:r>
        <w:t>Improve safety of consumers, carers and staff</w:t>
      </w:r>
    </w:p>
    <w:p w:rsidR="00FE6F36" w:rsidRPr="003F2C46" w:rsidRDefault="00905A72" w:rsidP="00FE6F36">
      <w:pPr>
        <w:pStyle w:val="DHHSbullet1lastline"/>
        <w:numPr>
          <w:ilvl w:val="1"/>
          <w:numId w:val="23"/>
        </w:numPr>
        <w:jc w:val="both"/>
      </w:pPr>
      <w:r>
        <w:t xml:space="preserve">Improve </w:t>
      </w:r>
      <w:r w:rsidR="00FE6F36">
        <w:t>the experience of service for consumers and carers</w:t>
      </w:r>
    </w:p>
    <w:p w:rsidR="00FE6F36" w:rsidRDefault="00FE6F36" w:rsidP="00FE6F36">
      <w:pPr>
        <w:pStyle w:val="DHHSbullet1lastline"/>
        <w:numPr>
          <w:ilvl w:val="1"/>
          <w:numId w:val="23"/>
        </w:numPr>
        <w:jc w:val="both"/>
      </w:pPr>
      <w:r>
        <w:t>Promote least restrictive practices</w:t>
      </w:r>
    </w:p>
    <w:p w:rsidR="00FE6F36" w:rsidRDefault="00FE6F36" w:rsidP="00FE6F36">
      <w:pPr>
        <w:pStyle w:val="DHHSbullet1lastline"/>
        <w:numPr>
          <w:ilvl w:val="1"/>
          <w:numId w:val="23"/>
        </w:numPr>
        <w:jc w:val="both"/>
      </w:pPr>
      <w:r w:rsidRPr="00603298">
        <w:t>Suppor</w:t>
      </w:r>
      <w:r>
        <w:t xml:space="preserve">t the advancement of recovery, </w:t>
      </w:r>
      <w:r w:rsidRPr="00603298">
        <w:t>or rehabilitation and therapeutic opportunities</w:t>
      </w:r>
    </w:p>
    <w:p w:rsidR="00FE6F36" w:rsidRDefault="00FE6F36" w:rsidP="00FE6F36">
      <w:pPr>
        <w:pStyle w:val="DHHSbullet1lastline"/>
        <w:numPr>
          <w:ilvl w:val="1"/>
          <w:numId w:val="23"/>
        </w:numPr>
        <w:jc w:val="both"/>
      </w:pPr>
      <w:r>
        <w:t>Assist improving consumer choice and freedoms</w:t>
      </w:r>
    </w:p>
    <w:p w:rsidR="00905A72" w:rsidRPr="00A07904" w:rsidRDefault="00FE6F36" w:rsidP="00F828B4">
      <w:pPr>
        <w:pStyle w:val="DHHSbullet1lastline"/>
        <w:numPr>
          <w:ilvl w:val="1"/>
          <w:numId w:val="23"/>
        </w:numPr>
        <w:jc w:val="both"/>
      </w:pPr>
      <w:r>
        <w:t>Increase quality and efficiency in treatment service outcomes and capacity.</w:t>
      </w:r>
    </w:p>
    <w:p w:rsidR="00F828B4" w:rsidRPr="006A627D" w:rsidRDefault="00F828B4" w:rsidP="00F828B4">
      <w:pPr>
        <w:pStyle w:val="Heading2"/>
        <w:rPr>
          <w:rFonts w:eastAsia="MS Gothic"/>
          <w:sz w:val="24"/>
          <w:szCs w:val="24"/>
        </w:rPr>
      </w:pPr>
      <w:r w:rsidRPr="006A627D">
        <w:rPr>
          <w:rFonts w:eastAsia="MS Gothic"/>
          <w:sz w:val="24"/>
          <w:szCs w:val="24"/>
        </w:rPr>
        <w:t>How will this money be allocated?</w:t>
      </w:r>
    </w:p>
    <w:p w:rsidR="00F828B4" w:rsidRPr="00261424" w:rsidRDefault="00905A72" w:rsidP="00261AAC">
      <w:pPr>
        <w:spacing w:after="40" w:line="270" w:lineRule="atLeast"/>
        <w:jc w:val="both"/>
        <w:rPr>
          <w:rFonts w:ascii="Arial" w:eastAsia="Times" w:hAnsi="Arial"/>
          <w:sz w:val="20"/>
          <w:szCs w:val="20"/>
        </w:rPr>
      </w:pPr>
      <w:r>
        <w:rPr>
          <w:rFonts w:ascii="Arial" w:eastAsia="Times" w:hAnsi="Arial"/>
          <w:sz w:val="20"/>
          <w:szCs w:val="20"/>
        </w:rPr>
        <w:t xml:space="preserve">The </w:t>
      </w:r>
      <w:r w:rsidR="008F5503">
        <w:rPr>
          <w:rFonts w:ascii="Arial" w:eastAsia="Times" w:hAnsi="Arial"/>
          <w:sz w:val="20"/>
          <w:szCs w:val="20"/>
        </w:rPr>
        <w:t>V</w:t>
      </w:r>
      <w:r w:rsidR="00D53F0B">
        <w:rPr>
          <w:rFonts w:ascii="Arial" w:eastAsia="Times" w:hAnsi="Arial"/>
          <w:sz w:val="20"/>
          <w:szCs w:val="20"/>
        </w:rPr>
        <w:t xml:space="preserve">ictorian </w:t>
      </w:r>
      <w:r w:rsidR="008F5503">
        <w:rPr>
          <w:rFonts w:ascii="Arial" w:eastAsia="Times" w:hAnsi="Arial"/>
          <w:sz w:val="20"/>
          <w:szCs w:val="20"/>
        </w:rPr>
        <w:t>H</w:t>
      </w:r>
      <w:r w:rsidR="00D53F0B">
        <w:rPr>
          <w:rFonts w:ascii="Arial" w:eastAsia="Times" w:hAnsi="Arial"/>
          <w:sz w:val="20"/>
          <w:szCs w:val="20"/>
        </w:rPr>
        <w:t xml:space="preserve">ealth and </w:t>
      </w:r>
      <w:r w:rsidR="008F5503">
        <w:rPr>
          <w:rFonts w:ascii="Arial" w:eastAsia="Times" w:hAnsi="Arial"/>
          <w:sz w:val="20"/>
          <w:szCs w:val="20"/>
        </w:rPr>
        <w:t>H</w:t>
      </w:r>
      <w:r w:rsidR="00D53F0B">
        <w:rPr>
          <w:rFonts w:ascii="Arial" w:eastAsia="Times" w:hAnsi="Arial"/>
          <w:sz w:val="20"/>
          <w:szCs w:val="20"/>
        </w:rPr>
        <w:t xml:space="preserve">uman </w:t>
      </w:r>
      <w:r w:rsidR="008F5503">
        <w:rPr>
          <w:rFonts w:ascii="Arial" w:eastAsia="Times" w:hAnsi="Arial"/>
          <w:sz w:val="20"/>
          <w:szCs w:val="20"/>
        </w:rPr>
        <w:t>S</w:t>
      </w:r>
      <w:r w:rsidR="00D53F0B">
        <w:rPr>
          <w:rFonts w:ascii="Arial" w:eastAsia="Times" w:hAnsi="Arial"/>
          <w:sz w:val="20"/>
          <w:szCs w:val="20"/>
        </w:rPr>
        <w:t xml:space="preserve">ervices </w:t>
      </w:r>
      <w:r w:rsidR="008F5503">
        <w:rPr>
          <w:rFonts w:ascii="Arial" w:eastAsia="Times" w:hAnsi="Arial"/>
          <w:sz w:val="20"/>
          <w:szCs w:val="20"/>
        </w:rPr>
        <w:t>B</w:t>
      </w:r>
      <w:r w:rsidR="00D53F0B">
        <w:rPr>
          <w:rFonts w:ascii="Arial" w:eastAsia="Times" w:hAnsi="Arial"/>
          <w:sz w:val="20"/>
          <w:szCs w:val="20"/>
        </w:rPr>
        <w:t xml:space="preserve">uilding </w:t>
      </w:r>
      <w:r w:rsidR="008F5503">
        <w:rPr>
          <w:rFonts w:ascii="Arial" w:eastAsia="Times" w:hAnsi="Arial"/>
          <w:sz w:val="20"/>
          <w:szCs w:val="20"/>
        </w:rPr>
        <w:t>A</w:t>
      </w:r>
      <w:r w:rsidR="00D53F0B">
        <w:rPr>
          <w:rFonts w:ascii="Arial" w:eastAsia="Times" w:hAnsi="Arial"/>
          <w:sz w:val="20"/>
          <w:szCs w:val="20"/>
        </w:rPr>
        <w:t>uthority (VHHSBA)</w:t>
      </w:r>
      <w:r w:rsidR="005C5C6A">
        <w:rPr>
          <w:rFonts w:ascii="Arial" w:eastAsia="Times" w:hAnsi="Arial"/>
          <w:sz w:val="20"/>
          <w:szCs w:val="20"/>
        </w:rPr>
        <w:t xml:space="preserve"> </w:t>
      </w:r>
      <w:r w:rsidR="00F828B4" w:rsidRPr="00261424">
        <w:rPr>
          <w:rFonts w:ascii="Arial" w:eastAsia="Times" w:hAnsi="Arial"/>
          <w:sz w:val="20"/>
          <w:szCs w:val="20"/>
        </w:rPr>
        <w:t xml:space="preserve">will oversee </w:t>
      </w:r>
      <w:r w:rsidR="00F828B4">
        <w:rPr>
          <w:rFonts w:ascii="Arial" w:eastAsia="Times" w:hAnsi="Arial"/>
          <w:sz w:val="20"/>
          <w:szCs w:val="20"/>
        </w:rPr>
        <w:t>a submission / evaluation process in a manner cons</w:t>
      </w:r>
      <w:r w:rsidR="00943666">
        <w:rPr>
          <w:rFonts w:ascii="Arial" w:eastAsia="Times" w:hAnsi="Arial"/>
          <w:sz w:val="20"/>
          <w:szCs w:val="20"/>
        </w:rPr>
        <w:t xml:space="preserve">istent with other departmental </w:t>
      </w:r>
      <w:r>
        <w:rPr>
          <w:rFonts w:ascii="Arial" w:eastAsia="Times" w:hAnsi="Arial"/>
          <w:sz w:val="20"/>
          <w:szCs w:val="20"/>
        </w:rPr>
        <w:t xml:space="preserve">infrastructure </w:t>
      </w:r>
      <w:r w:rsidR="00943666">
        <w:rPr>
          <w:rFonts w:ascii="Arial" w:eastAsia="Times" w:hAnsi="Arial"/>
          <w:sz w:val="20"/>
          <w:szCs w:val="20"/>
        </w:rPr>
        <w:t>grant p</w:t>
      </w:r>
      <w:r w:rsidR="00F828B4">
        <w:rPr>
          <w:rFonts w:ascii="Arial" w:eastAsia="Times" w:hAnsi="Arial"/>
          <w:sz w:val="20"/>
          <w:szCs w:val="20"/>
        </w:rPr>
        <w:t xml:space="preserve">rograms. </w:t>
      </w:r>
    </w:p>
    <w:p w:rsidR="00F828B4" w:rsidRPr="006A627D" w:rsidRDefault="00F828B4" w:rsidP="00F828B4">
      <w:pPr>
        <w:pStyle w:val="Heading2"/>
        <w:rPr>
          <w:rFonts w:eastAsia="MS Gothic"/>
          <w:sz w:val="24"/>
          <w:szCs w:val="24"/>
        </w:rPr>
      </w:pPr>
      <w:r w:rsidRPr="006A627D">
        <w:rPr>
          <w:rFonts w:eastAsia="MS Gothic"/>
          <w:sz w:val="24"/>
          <w:szCs w:val="24"/>
        </w:rPr>
        <w:t>Who can apply?</w:t>
      </w:r>
    </w:p>
    <w:p w:rsidR="005A77D6" w:rsidRPr="00261424" w:rsidRDefault="00F828B4" w:rsidP="005A77D6">
      <w:pPr>
        <w:spacing w:before="120" w:after="0" w:line="270" w:lineRule="atLeast"/>
        <w:rPr>
          <w:rFonts w:ascii="Arial" w:hAnsi="Arial"/>
          <w:sz w:val="20"/>
          <w:szCs w:val="20"/>
        </w:rPr>
      </w:pPr>
      <w:r w:rsidRPr="00261424">
        <w:rPr>
          <w:rFonts w:ascii="Arial" w:eastAsia="Times" w:hAnsi="Arial"/>
          <w:sz w:val="20"/>
          <w:szCs w:val="20"/>
        </w:rPr>
        <w:t xml:space="preserve">Funding is available to Victorian public </w:t>
      </w:r>
      <w:r w:rsidRPr="00211AE5">
        <w:rPr>
          <w:rFonts w:ascii="Arial" w:eastAsia="Times" w:hAnsi="Arial"/>
          <w:sz w:val="20"/>
          <w:szCs w:val="20"/>
        </w:rPr>
        <w:t>Mental Health Clinical Services and Mental Health Community Support Services – Youth Residential Rehabilitation</w:t>
      </w:r>
      <w:r w:rsidR="00E03F70">
        <w:rPr>
          <w:rFonts w:ascii="Arial" w:eastAsia="Times" w:hAnsi="Arial"/>
          <w:sz w:val="20"/>
          <w:szCs w:val="20"/>
        </w:rPr>
        <w:t xml:space="preserve"> and</w:t>
      </w:r>
      <w:r w:rsidR="005A77D6">
        <w:rPr>
          <w:rFonts w:ascii="Arial" w:eastAsia="Times" w:hAnsi="Arial"/>
          <w:sz w:val="20"/>
          <w:szCs w:val="20"/>
        </w:rPr>
        <w:t xml:space="preserve"> </w:t>
      </w:r>
      <w:r w:rsidR="00E03F70">
        <w:rPr>
          <w:rFonts w:ascii="Arial" w:hAnsi="Arial" w:cs="Arial"/>
          <w:sz w:val="20"/>
          <w:szCs w:val="20"/>
        </w:rPr>
        <w:t>a</w:t>
      </w:r>
      <w:r w:rsidR="005A77D6" w:rsidRPr="00EC30A1">
        <w:rPr>
          <w:rFonts w:ascii="Arial" w:hAnsi="Arial" w:cs="Arial"/>
          <w:sz w:val="20"/>
          <w:szCs w:val="20"/>
        </w:rPr>
        <w:t xml:space="preserve">ll state-funded </w:t>
      </w:r>
      <w:r w:rsidR="007F18B2">
        <w:rPr>
          <w:rFonts w:ascii="Arial" w:hAnsi="Arial" w:cs="Arial"/>
          <w:sz w:val="20"/>
          <w:szCs w:val="20"/>
        </w:rPr>
        <w:t>A</w:t>
      </w:r>
      <w:r w:rsidR="005A77D6" w:rsidRPr="00EC30A1">
        <w:rPr>
          <w:rFonts w:ascii="Arial" w:hAnsi="Arial" w:cs="Arial"/>
          <w:sz w:val="20"/>
          <w:szCs w:val="20"/>
        </w:rPr>
        <w:t xml:space="preserve">lcohol and </w:t>
      </w:r>
      <w:r w:rsidR="007F18B2">
        <w:rPr>
          <w:rFonts w:ascii="Arial" w:hAnsi="Arial" w:cs="Arial"/>
          <w:sz w:val="20"/>
          <w:szCs w:val="20"/>
        </w:rPr>
        <w:t>O</w:t>
      </w:r>
      <w:r w:rsidR="005A77D6" w:rsidRPr="00EC30A1">
        <w:rPr>
          <w:rFonts w:ascii="Arial" w:hAnsi="Arial" w:cs="Arial"/>
          <w:sz w:val="20"/>
          <w:szCs w:val="20"/>
        </w:rPr>
        <w:t xml:space="preserve">ther </w:t>
      </w:r>
      <w:r w:rsidR="007F18B2">
        <w:rPr>
          <w:rFonts w:ascii="Arial" w:hAnsi="Arial" w:cs="Arial"/>
          <w:sz w:val="20"/>
          <w:szCs w:val="20"/>
        </w:rPr>
        <w:t>D</w:t>
      </w:r>
      <w:r w:rsidR="005A77D6" w:rsidRPr="00EC30A1">
        <w:rPr>
          <w:rFonts w:ascii="Arial" w:hAnsi="Arial" w:cs="Arial"/>
          <w:sz w:val="20"/>
          <w:szCs w:val="20"/>
        </w:rPr>
        <w:t>rug</w:t>
      </w:r>
      <w:r w:rsidR="007F18B2">
        <w:rPr>
          <w:rFonts w:ascii="Arial" w:hAnsi="Arial" w:cs="Arial"/>
          <w:sz w:val="20"/>
          <w:szCs w:val="20"/>
        </w:rPr>
        <w:t>s</w:t>
      </w:r>
      <w:r w:rsidR="005A77D6" w:rsidRPr="00EC30A1">
        <w:rPr>
          <w:rFonts w:ascii="Arial" w:hAnsi="Arial" w:cs="Arial"/>
          <w:sz w:val="20"/>
          <w:szCs w:val="20"/>
        </w:rPr>
        <w:t xml:space="preserve"> </w:t>
      </w:r>
      <w:r w:rsidR="007F18B2">
        <w:rPr>
          <w:rFonts w:ascii="Arial" w:hAnsi="Arial" w:cs="Arial"/>
          <w:sz w:val="20"/>
          <w:szCs w:val="20"/>
        </w:rPr>
        <w:t>S</w:t>
      </w:r>
      <w:r w:rsidR="005A77D6" w:rsidRPr="00EC30A1">
        <w:rPr>
          <w:rFonts w:ascii="Arial" w:hAnsi="Arial" w:cs="Arial"/>
          <w:sz w:val="20"/>
          <w:szCs w:val="20"/>
        </w:rPr>
        <w:t xml:space="preserve">ervices </w:t>
      </w:r>
      <w:r w:rsidR="00E03F70">
        <w:rPr>
          <w:rFonts w:ascii="Arial" w:hAnsi="Arial" w:cs="Arial"/>
          <w:sz w:val="20"/>
          <w:szCs w:val="20"/>
        </w:rPr>
        <w:t xml:space="preserve">as </w:t>
      </w:r>
      <w:r w:rsidR="00E03F70">
        <w:rPr>
          <w:rFonts w:ascii="Arial" w:eastAsia="Times" w:hAnsi="Arial"/>
          <w:sz w:val="20"/>
          <w:szCs w:val="20"/>
        </w:rPr>
        <w:t>described in the attached schedule</w:t>
      </w:r>
      <w:r w:rsidR="005A77D6">
        <w:rPr>
          <w:rFonts w:ascii="Arial" w:hAnsi="Arial" w:cs="Arial"/>
          <w:sz w:val="20"/>
          <w:szCs w:val="20"/>
        </w:rPr>
        <w:t>.</w:t>
      </w:r>
      <w:r w:rsidR="00331A84">
        <w:rPr>
          <w:rFonts w:ascii="Arial" w:hAnsi="Arial" w:cs="Arial"/>
          <w:sz w:val="20"/>
          <w:szCs w:val="20"/>
        </w:rPr>
        <w:t xml:space="preserve"> Services must have</w:t>
      </w:r>
      <w:r w:rsidR="007F18B2">
        <w:rPr>
          <w:rFonts w:ascii="Arial" w:hAnsi="Arial" w:cs="Arial"/>
          <w:sz w:val="20"/>
          <w:szCs w:val="20"/>
        </w:rPr>
        <w:t xml:space="preserve"> a</w:t>
      </w:r>
      <w:r w:rsidR="00331A84">
        <w:rPr>
          <w:rFonts w:ascii="Arial" w:hAnsi="Arial" w:cs="Arial"/>
          <w:sz w:val="20"/>
          <w:szCs w:val="20"/>
        </w:rPr>
        <w:t xml:space="preserve"> current long-term lease on any property for which funding is sought.</w:t>
      </w:r>
    </w:p>
    <w:p w:rsidR="000E13C4" w:rsidRDefault="000E13C4" w:rsidP="00F828B4">
      <w:pPr>
        <w:pStyle w:val="Heading2"/>
        <w:rPr>
          <w:rFonts w:eastAsia="MS Gothic"/>
          <w:sz w:val="24"/>
          <w:szCs w:val="24"/>
        </w:rPr>
      </w:pPr>
    </w:p>
    <w:p w:rsidR="00F828B4" w:rsidRPr="006A627D" w:rsidRDefault="00F828B4" w:rsidP="00F828B4">
      <w:pPr>
        <w:pStyle w:val="Heading2"/>
        <w:rPr>
          <w:rFonts w:eastAsia="MS Gothic"/>
          <w:sz w:val="24"/>
          <w:szCs w:val="24"/>
        </w:rPr>
      </w:pPr>
      <w:r w:rsidRPr="006A627D">
        <w:rPr>
          <w:rFonts w:eastAsia="MS Gothic"/>
          <w:sz w:val="24"/>
          <w:szCs w:val="24"/>
        </w:rPr>
        <w:t>What are the grants for?</w:t>
      </w:r>
    </w:p>
    <w:p w:rsidR="00F828B4" w:rsidRDefault="00F828B4" w:rsidP="00261AAC">
      <w:pPr>
        <w:numPr>
          <w:ilvl w:val="0"/>
          <w:numId w:val="25"/>
        </w:numPr>
        <w:spacing w:before="120" w:after="0" w:line="270" w:lineRule="atLeast"/>
        <w:jc w:val="both"/>
        <w:rPr>
          <w:rFonts w:ascii="Arial" w:eastAsia="Times" w:hAnsi="Arial"/>
          <w:sz w:val="20"/>
          <w:szCs w:val="20"/>
        </w:rPr>
      </w:pPr>
      <w:r w:rsidRPr="00261424">
        <w:rPr>
          <w:rFonts w:ascii="Arial" w:eastAsia="Times" w:hAnsi="Arial"/>
          <w:sz w:val="20"/>
          <w:szCs w:val="20"/>
        </w:rPr>
        <w:t xml:space="preserve">Victorian </w:t>
      </w:r>
      <w:r w:rsidR="00531766">
        <w:rPr>
          <w:rFonts w:ascii="Arial" w:eastAsia="Times" w:hAnsi="Arial"/>
          <w:sz w:val="20"/>
          <w:szCs w:val="20"/>
        </w:rPr>
        <w:t>state government funded services</w:t>
      </w:r>
    </w:p>
    <w:p w:rsidR="00223369" w:rsidRPr="00A07904" w:rsidRDefault="00A00C3F" w:rsidP="00F828B4">
      <w:pPr>
        <w:numPr>
          <w:ilvl w:val="0"/>
          <w:numId w:val="25"/>
        </w:numPr>
        <w:spacing w:before="120" w:after="0" w:line="270" w:lineRule="atLeast"/>
        <w:jc w:val="both"/>
        <w:rPr>
          <w:rFonts w:ascii="Arial" w:eastAsia="Times" w:hAnsi="Arial"/>
          <w:sz w:val="20"/>
          <w:szCs w:val="20"/>
        </w:rPr>
      </w:pPr>
      <w:r>
        <w:rPr>
          <w:rFonts w:ascii="Arial" w:hAnsi="Arial"/>
          <w:sz w:val="20"/>
        </w:rPr>
        <w:t>M</w:t>
      </w:r>
      <w:r w:rsidRPr="008740B8">
        <w:rPr>
          <w:rFonts w:ascii="Arial" w:hAnsi="Arial"/>
          <w:sz w:val="20"/>
        </w:rPr>
        <w:t xml:space="preserve">inor refurbishment / repairs / </w:t>
      </w:r>
      <w:r>
        <w:rPr>
          <w:rFonts w:ascii="Arial" w:hAnsi="Arial"/>
          <w:sz w:val="20"/>
        </w:rPr>
        <w:t>upgrades</w:t>
      </w:r>
      <w:r w:rsidRPr="008740B8">
        <w:rPr>
          <w:rFonts w:ascii="Arial" w:hAnsi="Arial"/>
          <w:sz w:val="20"/>
        </w:rPr>
        <w:t xml:space="preserve"> of ageing facilities</w:t>
      </w:r>
      <w:r w:rsidR="004106AA">
        <w:rPr>
          <w:rFonts w:ascii="Arial" w:eastAsia="Times" w:hAnsi="Arial"/>
          <w:sz w:val="20"/>
          <w:szCs w:val="20"/>
        </w:rPr>
        <w:t>.</w:t>
      </w:r>
      <w:r w:rsidR="00F828B4" w:rsidRPr="00261424">
        <w:rPr>
          <w:rFonts w:ascii="Arial" w:eastAsia="Times" w:hAnsi="Arial"/>
          <w:sz w:val="20"/>
          <w:szCs w:val="20"/>
        </w:rPr>
        <w:t xml:space="preserve"> </w:t>
      </w:r>
    </w:p>
    <w:p w:rsidR="00F828B4" w:rsidRPr="006A627D" w:rsidRDefault="00F828B4" w:rsidP="00F828B4">
      <w:pPr>
        <w:pStyle w:val="Heading2"/>
        <w:rPr>
          <w:sz w:val="24"/>
          <w:szCs w:val="24"/>
        </w:rPr>
      </w:pPr>
      <w:r w:rsidRPr="006A627D">
        <w:rPr>
          <w:rFonts w:eastAsia="MS Gothic"/>
          <w:sz w:val="24"/>
          <w:szCs w:val="24"/>
        </w:rPr>
        <w:t>Timeline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828B4" w:rsidRPr="00261424" w:rsidTr="00084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  <w:shd w:val="clear" w:color="auto" w:fill="auto"/>
          </w:tcPr>
          <w:p w:rsidR="00F828B4" w:rsidRPr="0008426B" w:rsidRDefault="00F828B4" w:rsidP="00EE4FA1">
            <w:pPr>
              <w:spacing w:before="60" w:after="60" w:line="200" w:lineRule="atLeast"/>
              <w:rPr>
                <w:rFonts w:ascii="Arial" w:eastAsia="Times" w:hAnsi="Arial"/>
                <w:b/>
                <w:sz w:val="20"/>
                <w:szCs w:val="20"/>
              </w:rPr>
            </w:pPr>
            <w:r w:rsidRPr="0008426B">
              <w:rPr>
                <w:rFonts w:ascii="Arial" w:eastAsia="Times" w:hAnsi="Arial"/>
                <w:b/>
                <w:sz w:val="20"/>
                <w:szCs w:val="20"/>
              </w:rPr>
              <w:t>Applications open</w:t>
            </w:r>
          </w:p>
        </w:tc>
        <w:tc>
          <w:tcPr>
            <w:tcW w:w="6804" w:type="dxa"/>
            <w:shd w:val="clear" w:color="auto" w:fill="auto"/>
          </w:tcPr>
          <w:p w:rsidR="00F828B4" w:rsidRPr="0008426B" w:rsidRDefault="00331A84" w:rsidP="00EE4FA1">
            <w:pPr>
              <w:spacing w:before="60" w:after="60" w:line="200" w:lineRule="atLeast"/>
              <w:rPr>
                <w:rFonts w:eastAsia="Times"/>
                <w:szCs w:val="20"/>
              </w:rPr>
            </w:pPr>
            <w:r>
              <w:rPr>
                <w:rFonts w:eastAsia="Times"/>
                <w:szCs w:val="20"/>
              </w:rPr>
              <w:t>9:00am Monday 1 April 2019</w:t>
            </w:r>
          </w:p>
        </w:tc>
      </w:tr>
      <w:tr w:rsidR="00F828B4" w:rsidRPr="00261424" w:rsidTr="009F3290">
        <w:tc>
          <w:tcPr>
            <w:tcW w:w="2552" w:type="dxa"/>
          </w:tcPr>
          <w:p w:rsidR="00F828B4" w:rsidRPr="0008426B" w:rsidRDefault="00F828B4" w:rsidP="00EE4FA1">
            <w:pPr>
              <w:spacing w:before="60" w:after="60" w:line="200" w:lineRule="atLeast"/>
              <w:rPr>
                <w:rFonts w:ascii="Arial" w:eastAsia="Times" w:hAnsi="Arial"/>
                <w:b/>
                <w:sz w:val="20"/>
                <w:szCs w:val="20"/>
              </w:rPr>
            </w:pPr>
            <w:r w:rsidRPr="0008426B">
              <w:rPr>
                <w:rFonts w:ascii="Arial" w:eastAsia="Times" w:hAnsi="Arial"/>
                <w:b/>
                <w:sz w:val="20"/>
                <w:szCs w:val="20"/>
              </w:rPr>
              <w:t>Applications close</w:t>
            </w:r>
          </w:p>
        </w:tc>
        <w:tc>
          <w:tcPr>
            <w:tcW w:w="6804" w:type="dxa"/>
          </w:tcPr>
          <w:p w:rsidR="00F828B4" w:rsidRPr="0008426B" w:rsidRDefault="00F828B4" w:rsidP="00331A84">
            <w:pPr>
              <w:spacing w:before="60" w:after="60" w:line="200" w:lineRule="atLeast"/>
              <w:rPr>
                <w:rFonts w:ascii="Arial" w:eastAsia="Times" w:hAnsi="Arial"/>
                <w:sz w:val="20"/>
                <w:szCs w:val="20"/>
              </w:rPr>
            </w:pPr>
            <w:r w:rsidRPr="0008426B">
              <w:rPr>
                <w:rFonts w:eastAsia="Times"/>
                <w:szCs w:val="20"/>
              </w:rPr>
              <w:t xml:space="preserve">5.00pm </w:t>
            </w:r>
            <w:r w:rsidR="00331A84">
              <w:rPr>
                <w:rFonts w:eastAsia="Times"/>
                <w:szCs w:val="20"/>
              </w:rPr>
              <w:t>Monday 20 May 2019</w:t>
            </w:r>
          </w:p>
        </w:tc>
      </w:tr>
    </w:tbl>
    <w:p w:rsidR="00F828B4" w:rsidRPr="006A627D" w:rsidRDefault="00F828B4" w:rsidP="00F828B4">
      <w:pPr>
        <w:pStyle w:val="Heading2"/>
        <w:rPr>
          <w:rFonts w:eastAsia="MS Gothic"/>
          <w:sz w:val="24"/>
          <w:szCs w:val="24"/>
        </w:rPr>
      </w:pPr>
      <w:r w:rsidRPr="006A627D">
        <w:rPr>
          <w:rFonts w:eastAsia="MS Gothic"/>
          <w:sz w:val="24"/>
          <w:szCs w:val="24"/>
        </w:rPr>
        <w:t xml:space="preserve">Submission requirements </w:t>
      </w:r>
      <w:r>
        <w:rPr>
          <w:rFonts w:eastAsia="MS Gothic"/>
          <w:sz w:val="24"/>
          <w:szCs w:val="24"/>
        </w:rPr>
        <w:t>and process.</w:t>
      </w:r>
    </w:p>
    <w:p w:rsidR="00F828B4" w:rsidRDefault="007F18B2" w:rsidP="00261AAC">
      <w:pPr>
        <w:spacing w:before="120" w:after="120" w:line="270" w:lineRule="atLeast"/>
        <w:jc w:val="both"/>
        <w:rPr>
          <w:rFonts w:ascii="Arial" w:eastAsia="Times" w:hAnsi="Arial"/>
          <w:sz w:val="20"/>
          <w:szCs w:val="20"/>
        </w:rPr>
      </w:pPr>
      <w:r>
        <w:rPr>
          <w:rFonts w:ascii="Arial" w:eastAsia="Times" w:hAnsi="Arial"/>
          <w:sz w:val="20"/>
          <w:szCs w:val="20"/>
        </w:rPr>
        <w:t>Submission will be made using the SmartyGrants online submission portal</w:t>
      </w:r>
      <w:r w:rsidR="00E03F70">
        <w:rPr>
          <w:rFonts w:ascii="Arial" w:eastAsia="Times" w:hAnsi="Arial"/>
          <w:sz w:val="20"/>
          <w:szCs w:val="20"/>
        </w:rPr>
        <w:t>.</w:t>
      </w:r>
    </w:p>
    <w:p w:rsidR="00F828B4" w:rsidRPr="00261424" w:rsidRDefault="00F828B4" w:rsidP="00261AAC">
      <w:pPr>
        <w:spacing w:before="120" w:after="120" w:line="270" w:lineRule="atLeast"/>
        <w:jc w:val="both"/>
        <w:rPr>
          <w:rFonts w:ascii="Arial" w:eastAsia="Times" w:hAnsi="Arial"/>
          <w:sz w:val="20"/>
          <w:szCs w:val="20"/>
        </w:rPr>
      </w:pPr>
      <w:bookmarkStart w:id="1" w:name="_Hlk3975540"/>
      <w:r w:rsidRPr="00261424">
        <w:rPr>
          <w:rFonts w:ascii="Arial" w:eastAsia="Times" w:hAnsi="Arial"/>
          <w:sz w:val="20"/>
          <w:szCs w:val="20"/>
        </w:rPr>
        <w:t>All applications must be:</w:t>
      </w:r>
    </w:p>
    <w:p w:rsidR="00F828B4" w:rsidRDefault="00F828B4" w:rsidP="00586B0E">
      <w:pPr>
        <w:numPr>
          <w:ilvl w:val="0"/>
          <w:numId w:val="24"/>
        </w:numPr>
        <w:spacing w:before="120" w:after="40" w:line="270" w:lineRule="atLeast"/>
        <w:jc w:val="both"/>
        <w:rPr>
          <w:rFonts w:ascii="Arial" w:eastAsia="Times" w:hAnsi="Arial"/>
          <w:sz w:val="20"/>
          <w:szCs w:val="20"/>
        </w:rPr>
      </w:pPr>
      <w:r>
        <w:rPr>
          <w:rFonts w:ascii="Arial" w:eastAsia="Times" w:hAnsi="Arial"/>
          <w:sz w:val="20"/>
          <w:szCs w:val="20"/>
        </w:rPr>
        <w:t>From an eligible agency</w:t>
      </w:r>
    </w:p>
    <w:p w:rsidR="00F828B4" w:rsidRDefault="00F828B4" w:rsidP="00261AAC">
      <w:pPr>
        <w:numPr>
          <w:ilvl w:val="0"/>
          <w:numId w:val="24"/>
        </w:numPr>
        <w:spacing w:before="120" w:after="40" w:line="270" w:lineRule="atLeast"/>
        <w:jc w:val="both"/>
        <w:rPr>
          <w:rFonts w:ascii="Arial" w:eastAsia="Times" w:hAnsi="Arial"/>
          <w:sz w:val="20"/>
          <w:szCs w:val="20"/>
        </w:rPr>
      </w:pPr>
      <w:r>
        <w:rPr>
          <w:rFonts w:ascii="Arial" w:eastAsia="Times" w:hAnsi="Arial"/>
          <w:sz w:val="20"/>
          <w:szCs w:val="20"/>
        </w:rPr>
        <w:t>Endorsed by the Chief Executive Officer</w:t>
      </w:r>
    </w:p>
    <w:bookmarkEnd w:id="1"/>
    <w:p w:rsidR="00F828B4" w:rsidRDefault="00F828B4" w:rsidP="00261AAC">
      <w:pPr>
        <w:pStyle w:val="ListParagraph"/>
        <w:numPr>
          <w:ilvl w:val="0"/>
          <w:numId w:val="26"/>
        </w:numPr>
        <w:spacing w:before="120" w:after="40" w:line="270" w:lineRule="atLeast"/>
        <w:jc w:val="both"/>
        <w:rPr>
          <w:rFonts w:ascii="Arial" w:eastAsia="Times" w:hAnsi="Arial"/>
          <w:sz w:val="20"/>
          <w:szCs w:val="20"/>
        </w:rPr>
      </w:pPr>
      <w:r w:rsidRPr="004019E9">
        <w:rPr>
          <w:rFonts w:ascii="Arial" w:eastAsia="Times" w:hAnsi="Arial"/>
          <w:sz w:val="20"/>
          <w:szCs w:val="20"/>
        </w:rPr>
        <w:t xml:space="preserve">Submitted via the </w:t>
      </w:r>
      <w:r w:rsidR="00CE3A93">
        <w:rPr>
          <w:rFonts w:ascii="Arial" w:eastAsia="Times" w:hAnsi="Arial"/>
          <w:sz w:val="20"/>
          <w:szCs w:val="20"/>
        </w:rPr>
        <w:t>on</w:t>
      </w:r>
      <w:r>
        <w:rPr>
          <w:rFonts w:ascii="Arial" w:eastAsia="Times" w:hAnsi="Arial"/>
          <w:sz w:val="20"/>
          <w:szCs w:val="20"/>
        </w:rPr>
        <w:t xml:space="preserve">line </w:t>
      </w:r>
      <w:r w:rsidRPr="004019E9">
        <w:rPr>
          <w:rFonts w:ascii="Arial" w:eastAsia="Times" w:hAnsi="Arial"/>
          <w:sz w:val="20"/>
          <w:szCs w:val="20"/>
        </w:rPr>
        <w:t xml:space="preserve">Mental Health </w:t>
      </w:r>
      <w:r w:rsidR="005C5C6A">
        <w:rPr>
          <w:rFonts w:ascii="Arial" w:eastAsia="Times" w:hAnsi="Arial"/>
          <w:sz w:val="20"/>
          <w:szCs w:val="20"/>
        </w:rPr>
        <w:t xml:space="preserve">and Alcohol and Other Drugs </w:t>
      </w:r>
      <w:r w:rsidRPr="004019E9">
        <w:rPr>
          <w:rFonts w:ascii="Arial" w:eastAsia="Times" w:hAnsi="Arial"/>
          <w:sz w:val="20"/>
          <w:szCs w:val="20"/>
        </w:rPr>
        <w:t>Facilities Renewal Application Portal and include relevant supporting documentation (e.g. business case, design drawings, photos, cost plans, quotations and other supporting information)</w:t>
      </w:r>
      <w:r w:rsidR="005C5C6A">
        <w:rPr>
          <w:rFonts w:ascii="Arial" w:eastAsia="Times" w:hAnsi="Arial"/>
          <w:sz w:val="20"/>
          <w:szCs w:val="20"/>
        </w:rPr>
        <w:t>.</w:t>
      </w:r>
    </w:p>
    <w:p w:rsidR="004F076E" w:rsidRPr="004019E9" w:rsidRDefault="00331A84" w:rsidP="004F076E">
      <w:pPr>
        <w:pStyle w:val="ListParagraph"/>
        <w:spacing w:before="120" w:after="40" w:line="270" w:lineRule="atLeast"/>
        <w:ind w:left="284"/>
        <w:jc w:val="both"/>
        <w:rPr>
          <w:rFonts w:ascii="Arial" w:eastAsia="Times" w:hAnsi="Arial"/>
          <w:sz w:val="20"/>
          <w:szCs w:val="20"/>
        </w:rPr>
      </w:pPr>
      <w:r>
        <w:rPr>
          <w:rFonts w:ascii="Helvetica" w:hAnsi="Helvetica"/>
          <w:b/>
          <w:bCs/>
          <w:color w:val="085972"/>
          <w:sz w:val="20"/>
          <w:szCs w:val="20"/>
          <w:u w:val="single"/>
          <w:shd w:val="clear" w:color="auto" w:fill="DFF0D8"/>
        </w:rPr>
        <w:t>A</w:t>
      </w:r>
      <w:r w:rsidR="00EC2DD3">
        <w:rPr>
          <w:rFonts w:ascii="Helvetica" w:hAnsi="Helvetica"/>
          <w:b/>
          <w:bCs/>
          <w:color w:val="085972"/>
          <w:sz w:val="20"/>
          <w:szCs w:val="20"/>
          <w:u w:val="single"/>
          <w:shd w:val="clear" w:color="auto" w:fill="DFF0D8"/>
        </w:rPr>
        <w:t>t</w:t>
      </w:r>
      <w:r>
        <w:rPr>
          <w:rFonts w:ascii="Helvetica" w:hAnsi="Helvetica"/>
          <w:b/>
          <w:bCs/>
          <w:color w:val="085972"/>
          <w:sz w:val="20"/>
          <w:szCs w:val="20"/>
          <w:u w:val="single"/>
          <w:shd w:val="clear" w:color="auto" w:fill="DFF0D8"/>
        </w:rPr>
        <w:t xml:space="preserve"> </w:t>
      </w:r>
      <w:hyperlink r:id="rId8" w:history="1">
        <w:r w:rsidRPr="00005D12">
          <w:rPr>
            <w:rStyle w:val="Hyperlink"/>
            <w:rFonts w:ascii="Helvetica" w:hAnsi="Helvetica"/>
            <w:b/>
            <w:bCs/>
            <w:sz w:val="20"/>
            <w:szCs w:val="20"/>
            <w:shd w:val="clear" w:color="auto" w:fill="DFF0D8"/>
          </w:rPr>
          <w:t>https://dhhs.smartygrants.com.au/mhfrfyear4</w:t>
        </w:r>
      </w:hyperlink>
      <w:r w:rsidR="007F18B2">
        <w:rPr>
          <w:rStyle w:val="Hyperlink"/>
          <w:rFonts w:ascii="Helvetica" w:hAnsi="Helvetica"/>
          <w:b/>
          <w:bCs/>
          <w:sz w:val="20"/>
          <w:szCs w:val="20"/>
          <w:shd w:val="clear" w:color="auto" w:fill="DFF0D8"/>
        </w:rPr>
        <w:t xml:space="preserve"> </w:t>
      </w:r>
      <w:r w:rsidR="007F18B2" w:rsidRPr="00E332E7">
        <w:rPr>
          <w:rFonts w:ascii="Helvetica" w:hAnsi="Helvetica"/>
          <w:b/>
          <w:bCs/>
          <w:sz w:val="20"/>
          <w:szCs w:val="20"/>
          <w:u w:val="single"/>
          <w:shd w:val="clear" w:color="auto" w:fill="DFF0D8"/>
        </w:rPr>
        <w:t xml:space="preserve">by </w:t>
      </w:r>
      <w:r w:rsidR="007F18B2">
        <w:rPr>
          <w:rFonts w:ascii="Helvetica" w:hAnsi="Helvetica"/>
          <w:b/>
          <w:bCs/>
          <w:sz w:val="20"/>
          <w:szCs w:val="20"/>
          <w:u w:val="single"/>
          <w:shd w:val="clear" w:color="auto" w:fill="DFF0D8"/>
        </w:rPr>
        <w:t>5:00</w:t>
      </w:r>
      <w:r w:rsidR="00E332E7">
        <w:rPr>
          <w:rFonts w:ascii="Helvetica" w:hAnsi="Helvetica"/>
          <w:b/>
          <w:bCs/>
          <w:sz w:val="20"/>
          <w:szCs w:val="20"/>
          <w:u w:val="single"/>
          <w:shd w:val="clear" w:color="auto" w:fill="DFF0D8"/>
        </w:rPr>
        <w:t xml:space="preserve">pm </w:t>
      </w:r>
      <w:r w:rsidR="00E332E7" w:rsidRPr="00E332E7">
        <w:rPr>
          <w:rFonts w:ascii="Helvetica" w:hAnsi="Helvetica"/>
          <w:b/>
          <w:bCs/>
          <w:sz w:val="20"/>
          <w:szCs w:val="20"/>
          <w:u w:val="single"/>
          <w:shd w:val="clear" w:color="auto" w:fill="DFF0D8"/>
        </w:rPr>
        <w:t xml:space="preserve">Monday 20 </w:t>
      </w:r>
      <w:r w:rsidR="00E332E7">
        <w:rPr>
          <w:rFonts w:ascii="Helvetica" w:hAnsi="Helvetica"/>
          <w:b/>
          <w:bCs/>
          <w:sz w:val="20"/>
          <w:szCs w:val="20"/>
          <w:u w:val="single"/>
          <w:shd w:val="clear" w:color="auto" w:fill="DFF0D8"/>
        </w:rPr>
        <w:t>M</w:t>
      </w:r>
      <w:r w:rsidR="00E332E7" w:rsidRPr="00E332E7">
        <w:rPr>
          <w:rFonts w:ascii="Helvetica" w:hAnsi="Helvetica"/>
          <w:b/>
          <w:bCs/>
          <w:sz w:val="20"/>
          <w:szCs w:val="20"/>
          <w:u w:val="single"/>
          <w:shd w:val="clear" w:color="auto" w:fill="DFF0D8"/>
        </w:rPr>
        <w:t>ay 2019</w:t>
      </w:r>
      <w:r w:rsidR="007F18B2">
        <w:rPr>
          <w:rFonts w:ascii="Helvetica" w:hAnsi="Helvetica"/>
          <w:b/>
          <w:bCs/>
          <w:sz w:val="20"/>
          <w:szCs w:val="20"/>
          <w:u w:val="single"/>
          <w:shd w:val="clear" w:color="auto" w:fill="DFF0D8"/>
        </w:rPr>
        <w:t>.</w:t>
      </w:r>
    </w:p>
    <w:p w:rsidR="00F828B4" w:rsidRPr="006A627D" w:rsidRDefault="00F828B4" w:rsidP="00F828B4">
      <w:pPr>
        <w:pStyle w:val="Heading2"/>
        <w:spacing w:line="360" w:lineRule="auto"/>
        <w:rPr>
          <w:rFonts w:eastAsia="MS Gothic"/>
          <w:sz w:val="24"/>
          <w:szCs w:val="24"/>
        </w:rPr>
      </w:pPr>
      <w:r w:rsidRPr="006A627D">
        <w:rPr>
          <w:rFonts w:eastAsia="MS Gothic"/>
          <w:sz w:val="24"/>
          <w:szCs w:val="24"/>
        </w:rPr>
        <w:t>Consultation and advice</w:t>
      </w:r>
    </w:p>
    <w:p w:rsidR="00023C68" w:rsidRPr="00261424" w:rsidRDefault="00023C68" w:rsidP="00023C68">
      <w:pPr>
        <w:spacing w:before="120" w:after="120" w:line="270" w:lineRule="atLeast"/>
        <w:jc w:val="both"/>
        <w:rPr>
          <w:rFonts w:ascii="Arial" w:eastAsia="Times" w:hAnsi="Arial"/>
          <w:sz w:val="20"/>
          <w:szCs w:val="20"/>
        </w:rPr>
      </w:pPr>
      <w:r>
        <w:rPr>
          <w:rFonts w:ascii="Arial" w:eastAsia="Times" w:hAnsi="Arial"/>
          <w:sz w:val="20"/>
          <w:szCs w:val="20"/>
        </w:rPr>
        <w:t>Applicants are encouraged to seek assistance when preparing applications from the following:</w:t>
      </w:r>
    </w:p>
    <w:p w:rsidR="00023C68" w:rsidRDefault="00023C68" w:rsidP="00023C68">
      <w:pPr>
        <w:numPr>
          <w:ilvl w:val="0"/>
          <w:numId w:val="24"/>
        </w:numPr>
        <w:spacing w:before="120" w:after="40" w:line="270" w:lineRule="atLeast"/>
        <w:jc w:val="both"/>
        <w:rPr>
          <w:rFonts w:ascii="Arial" w:eastAsia="Times" w:hAnsi="Arial"/>
          <w:sz w:val="20"/>
          <w:szCs w:val="20"/>
        </w:rPr>
      </w:pPr>
      <w:r>
        <w:rPr>
          <w:rFonts w:ascii="Arial" w:eastAsia="Times" w:hAnsi="Arial"/>
          <w:sz w:val="20"/>
          <w:szCs w:val="20"/>
        </w:rPr>
        <w:t>Victorian Health and Human Services Building Authority, Asset Strategy Unit on (03) 9096 2644 or via email mhfrf@dhhs.vic.gov.au</w:t>
      </w:r>
    </w:p>
    <w:p w:rsidR="00023C68" w:rsidRDefault="00023C68" w:rsidP="00023C68">
      <w:pPr>
        <w:numPr>
          <w:ilvl w:val="0"/>
          <w:numId w:val="24"/>
        </w:numPr>
        <w:spacing w:before="120" w:after="40" w:line="270" w:lineRule="atLeast"/>
        <w:jc w:val="both"/>
        <w:rPr>
          <w:rFonts w:ascii="Arial" w:eastAsia="Times" w:hAnsi="Arial"/>
          <w:sz w:val="20"/>
          <w:szCs w:val="20"/>
        </w:rPr>
      </w:pPr>
      <w:r>
        <w:rPr>
          <w:rFonts w:ascii="Arial" w:eastAsia="Times" w:hAnsi="Arial"/>
          <w:sz w:val="20"/>
          <w:szCs w:val="20"/>
        </w:rPr>
        <w:t>Design Services, Victorian Health and Human Services Building Authority, (03) 9096 5611</w:t>
      </w:r>
    </w:p>
    <w:p w:rsidR="00B2752E" w:rsidRDefault="00023C68" w:rsidP="00A07904">
      <w:pPr>
        <w:pStyle w:val="DHHSbullet2"/>
        <w:numPr>
          <w:ilvl w:val="2"/>
          <w:numId w:val="26"/>
        </w:numPr>
        <w:jc w:val="both"/>
      </w:pPr>
      <w:r>
        <w:t>Engage the services of an expert design adviser</w:t>
      </w:r>
      <w:r w:rsidR="00E03F70">
        <w:t xml:space="preserve"> and cost consultant</w:t>
      </w:r>
      <w:r>
        <w:t>.</w:t>
      </w:r>
    </w:p>
    <w:p w:rsidR="00F828B4" w:rsidRPr="00721C90" w:rsidRDefault="00F828B4" w:rsidP="00A07904">
      <w:pPr>
        <w:pStyle w:val="Heading2"/>
        <w:spacing w:line="360" w:lineRule="auto"/>
        <w:rPr>
          <w:b w:val="0"/>
          <w:color w:val="215868"/>
          <w:sz w:val="24"/>
          <w:szCs w:val="24"/>
        </w:rPr>
      </w:pPr>
      <w:r w:rsidRPr="002A629A">
        <w:rPr>
          <w:sz w:val="24"/>
          <w:szCs w:val="24"/>
        </w:rPr>
        <w:t>Assessment of applications</w:t>
      </w:r>
    </w:p>
    <w:p w:rsidR="00F828B4" w:rsidRDefault="00F828B4" w:rsidP="00261AAC">
      <w:pPr>
        <w:pStyle w:val="DHHSbody"/>
        <w:spacing w:before="120"/>
        <w:jc w:val="both"/>
      </w:pPr>
      <w:r>
        <w:t>A</w:t>
      </w:r>
      <w:r w:rsidRPr="001C1B03">
        <w:t>pplications will be assessed</w:t>
      </w:r>
      <w:r>
        <w:t xml:space="preserve"> against the grant criteria to meet the government’s objectives for contemporary </w:t>
      </w:r>
      <w:r w:rsidR="00331A84">
        <w:t>person-centred</w:t>
      </w:r>
      <w:r w:rsidRPr="00680DFD">
        <w:t xml:space="preserve"> </w:t>
      </w:r>
      <w:r w:rsidR="007C41DC">
        <w:t>M</w:t>
      </w:r>
      <w:r w:rsidRPr="00680DFD">
        <w:t xml:space="preserve">ental </w:t>
      </w:r>
      <w:r w:rsidR="007C41DC">
        <w:t>H</w:t>
      </w:r>
      <w:r w:rsidRPr="00680DFD">
        <w:t xml:space="preserve">ealth </w:t>
      </w:r>
      <w:r w:rsidR="008900F7">
        <w:t xml:space="preserve">and </w:t>
      </w:r>
      <w:r w:rsidR="000E4521">
        <w:t xml:space="preserve">Alcohol </w:t>
      </w:r>
      <w:r w:rsidR="008900F7">
        <w:t xml:space="preserve">and </w:t>
      </w:r>
      <w:proofErr w:type="gramStart"/>
      <w:r w:rsidR="0059582E">
        <w:t>O</w:t>
      </w:r>
      <w:r w:rsidR="008900F7">
        <w:t>ther</w:t>
      </w:r>
      <w:proofErr w:type="gramEnd"/>
      <w:r w:rsidR="008900F7">
        <w:t xml:space="preserve"> </w:t>
      </w:r>
      <w:r w:rsidR="000E4521">
        <w:t xml:space="preserve">Drug </w:t>
      </w:r>
      <w:r w:rsidRPr="00680DFD">
        <w:t xml:space="preserve">treatment </w:t>
      </w:r>
      <w:r>
        <w:t>in Victoria. Applications should demonstrate:</w:t>
      </w:r>
    </w:p>
    <w:p w:rsidR="00F828B4" w:rsidRDefault="00F828B4" w:rsidP="00261AAC">
      <w:pPr>
        <w:pStyle w:val="DHHSbullet1"/>
        <w:numPr>
          <w:ilvl w:val="0"/>
          <w:numId w:val="1"/>
        </w:numPr>
        <w:spacing w:before="120"/>
        <w:jc w:val="both"/>
      </w:pPr>
      <w:r>
        <w:t>H</w:t>
      </w:r>
      <w:r w:rsidRPr="00915C09">
        <w:t xml:space="preserve">ow the proposed changes will </w:t>
      </w:r>
      <w:r>
        <w:t xml:space="preserve">improve mental health </w:t>
      </w:r>
      <w:r w:rsidR="008900F7">
        <w:t xml:space="preserve">and alcohol and other drug </w:t>
      </w:r>
      <w:r>
        <w:t>services for people in Victoria</w:t>
      </w:r>
    </w:p>
    <w:p w:rsidR="00F828B4" w:rsidRDefault="00F828B4" w:rsidP="00261AAC">
      <w:pPr>
        <w:pStyle w:val="DHHSbullet1"/>
        <w:numPr>
          <w:ilvl w:val="0"/>
          <w:numId w:val="1"/>
        </w:numPr>
        <w:spacing w:before="120"/>
        <w:jc w:val="both"/>
      </w:pPr>
      <w:r>
        <w:t>Alignment with and support</w:t>
      </w:r>
      <w:r w:rsidR="0072591B">
        <w:t>ing</w:t>
      </w:r>
      <w:r>
        <w:t xml:space="preserve"> government legislation, commitments, policies, recommendations and findings</w:t>
      </w:r>
      <w:r w:rsidR="0072591B">
        <w:t xml:space="preserve"> will also be viewed favourably</w:t>
      </w:r>
      <w:r>
        <w:t>, including</w:t>
      </w:r>
      <w:r w:rsidR="00F369CF">
        <w:t xml:space="preserve"> (but not limited to)</w:t>
      </w:r>
      <w:r>
        <w:t>:</w:t>
      </w:r>
    </w:p>
    <w:p w:rsidR="00F828B4" w:rsidRPr="00375E29" w:rsidRDefault="00F828B4" w:rsidP="00375E29">
      <w:pPr>
        <w:pStyle w:val="DHHSbullet2"/>
        <w:numPr>
          <w:ilvl w:val="2"/>
          <w:numId w:val="26"/>
        </w:numPr>
        <w:jc w:val="both"/>
        <w:rPr>
          <w:rStyle w:val="Emphasis"/>
          <w:rFonts w:cs="Arial"/>
          <w:shd w:val="clear" w:color="auto" w:fill="FFFFFF"/>
        </w:rPr>
      </w:pPr>
      <w:r w:rsidRPr="00375E29">
        <w:rPr>
          <w:rStyle w:val="Emphasis"/>
          <w:rFonts w:cs="Arial"/>
          <w:shd w:val="clear" w:color="auto" w:fill="FFFFFF"/>
        </w:rPr>
        <w:t>Victoria’s 10-Year Mental Health Plan</w:t>
      </w:r>
    </w:p>
    <w:p w:rsidR="00F828B4" w:rsidRPr="004226F7" w:rsidRDefault="00F828B4" w:rsidP="00261AAC">
      <w:pPr>
        <w:pStyle w:val="DHHSbullet2"/>
        <w:numPr>
          <w:ilvl w:val="2"/>
          <w:numId w:val="26"/>
        </w:numPr>
        <w:jc w:val="both"/>
        <w:rPr>
          <w:rStyle w:val="Emphasis"/>
          <w:rFonts w:cs="Arial"/>
          <w:shd w:val="clear" w:color="auto" w:fill="FFFFFF"/>
        </w:rPr>
      </w:pPr>
      <w:r w:rsidRPr="005D0A25">
        <w:rPr>
          <w:rStyle w:val="Emphasis"/>
          <w:rFonts w:cs="Arial"/>
          <w:shd w:val="clear" w:color="auto" w:fill="FFFFFF"/>
        </w:rPr>
        <w:t>The Mental Health Act 2014</w:t>
      </w:r>
      <w:r w:rsidR="008900F7" w:rsidRPr="00A566EB">
        <w:rPr>
          <w:rStyle w:val="Emphasis"/>
          <w:rFonts w:cs="Arial"/>
          <w:shd w:val="clear" w:color="auto" w:fill="FFFFFF"/>
        </w:rPr>
        <w:t xml:space="preserve"> (Vic)</w:t>
      </w:r>
    </w:p>
    <w:p w:rsidR="00F828B4" w:rsidRPr="004226F7" w:rsidRDefault="00F828B4" w:rsidP="00261AAC">
      <w:pPr>
        <w:pStyle w:val="DHHSbullet2"/>
        <w:numPr>
          <w:ilvl w:val="2"/>
          <w:numId w:val="26"/>
        </w:numPr>
        <w:jc w:val="both"/>
        <w:rPr>
          <w:rStyle w:val="Emphasis"/>
          <w:rFonts w:cs="Arial"/>
          <w:shd w:val="clear" w:color="auto" w:fill="FFFFFF"/>
        </w:rPr>
      </w:pPr>
      <w:r w:rsidRPr="00A566EB">
        <w:rPr>
          <w:rStyle w:val="Emphasis"/>
          <w:rFonts w:cs="Arial"/>
          <w:shd w:val="clear" w:color="auto" w:fill="FFFFFF"/>
        </w:rPr>
        <w:t>The Framework for Recovery-oriented Practice</w:t>
      </w:r>
    </w:p>
    <w:p w:rsidR="00F828B4" w:rsidRPr="00375E29" w:rsidRDefault="00F828B4" w:rsidP="00261AAC">
      <w:pPr>
        <w:pStyle w:val="DHHSbullet2"/>
        <w:numPr>
          <w:ilvl w:val="2"/>
          <w:numId w:val="26"/>
        </w:numPr>
        <w:jc w:val="both"/>
        <w:rPr>
          <w:i/>
        </w:rPr>
      </w:pPr>
      <w:r w:rsidRPr="00375E29">
        <w:rPr>
          <w:i/>
        </w:rPr>
        <w:t>Promoting Sexual Safety, Responding to Sexual Activity, and Managing Allegations of Sexual Assault in Adult Acute Inpatient Units</w:t>
      </w:r>
    </w:p>
    <w:p w:rsidR="008900F7" w:rsidRPr="005D0A25" w:rsidRDefault="008900F7" w:rsidP="00375E29">
      <w:pPr>
        <w:pStyle w:val="DHHSbullet2"/>
        <w:numPr>
          <w:ilvl w:val="2"/>
          <w:numId w:val="26"/>
        </w:numPr>
        <w:jc w:val="both"/>
        <w:rPr>
          <w:i/>
        </w:rPr>
      </w:pPr>
      <w:r w:rsidRPr="00375E29">
        <w:rPr>
          <w:i/>
        </w:rPr>
        <w:t xml:space="preserve">Victoria’s </w:t>
      </w:r>
      <w:r w:rsidR="00F828B4" w:rsidRPr="00375E29">
        <w:rPr>
          <w:i/>
        </w:rPr>
        <w:t>Ice Action Plan</w:t>
      </w:r>
    </w:p>
    <w:p w:rsidR="008900F7" w:rsidRPr="00375E29" w:rsidRDefault="008900F7">
      <w:pPr>
        <w:pStyle w:val="DHHSbullet2"/>
        <w:numPr>
          <w:ilvl w:val="2"/>
          <w:numId w:val="26"/>
        </w:numPr>
        <w:jc w:val="both"/>
        <w:rPr>
          <w:i/>
        </w:rPr>
      </w:pPr>
      <w:r w:rsidRPr="00375E29">
        <w:rPr>
          <w:rFonts w:cs="Arial"/>
          <w:bCs/>
          <w:i/>
          <w:noProof/>
        </w:rPr>
        <w:lastRenderedPageBreak/>
        <w:t xml:space="preserve">Victorian Charter of Human Rights and Responsibilities Act 2006 (Vic). </w:t>
      </w:r>
    </w:p>
    <w:p w:rsidR="008900F7" w:rsidRPr="00375E29" w:rsidRDefault="00F828B4" w:rsidP="00261AAC">
      <w:pPr>
        <w:pStyle w:val="DHHSbullet2"/>
        <w:numPr>
          <w:ilvl w:val="2"/>
          <w:numId w:val="26"/>
        </w:numPr>
        <w:jc w:val="both"/>
        <w:rPr>
          <w:i/>
        </w:rPr>
      </w:pPr>
      <w:r w:rsidRPr="00375E29">
        <w:rPr>
          <w:i/>
        </w:rPr>
        <w:t xml:space="preserve">Community Visitors Annual Report </w:t>
      </w:r>
      <w:r w:rsidR="006B588C" w:rsidRPr="00375E29">
        <w:rPr>
          <w:i/>
        </w:rPr>
        <w:t>2016-17</w:t>
      </w:r>
    </w:p>
    <w:p w:rsidR="008900F7" w:rsidRPr="00375E29" w:rsidRDefault="008900F7" w:rsidP="00375E29">
      <w:pPr>
        <w:pStyle w:val="DHHSbullet2"/>
        <w:numPr>
          <w:ilvl w:val="2"/>
          <w:numId w:val="26"/>
        </w:numPr>
        <w:jc w:val="both"/>
        <w:rPr>
          <w:rFonts w:cs="Arial"/>
          <w:bCs/>
          <w:i/>
          <w:noProof/>
        </w:rPr>
      </w:pPr>
      <w:r w:rsidRPr="00375E29">
        <w:rPr>
          <w:rFonts w:cs="Arial"/>
          <w:bCs/>
          <w:i/>
          <w:noProof/>
        </w:rPr>
        <w:t>Health 2040. A discussion paper on the future of healtcare in Victoria.</w:t>
      </w:r>
    </w:p>
    <w:p w:rsidR="00F828B4" w:rsidRPr="00375E29" w:rsidRDefault="00F828B4" w:rsidP="00261AAC">
      <w:pPr>
        <w:pStyle w:val="DHHSbullet2"/>
        <w:numPr>
          <w:ilvl w:val="2"/>
          <w:numId w:val="26"/>
        </w:numPr>
        <w:jc w:val="both"/>
        <w:rPr>
          <w:i/>
        </w:rPr>
      </w:pPr>
      <w:r w:rsidRPr="00375E29">
        <w:rPr>
          <w:i/>
        </w:rPr>
        <w:t>Victorian Suicide Prevention Framework 2016-25</w:t>
      </w:r>
    </w:p>
    <w:p w:rsidR="00CC293C" w:rsidRDefault="00F828B4" w:rsidP="00261AAC">
      <w:pPr>
        <w:pStyle w:val="DHHSbullet2"/>
        <w:numPr>
          <w:ilvl w:val="2"/>
          <w:numId w:val="26"/>
        </w:numPr>
        <w:jc w:val="both"/>
        <w:rPr>
          <w:i/>
        </w:rPr>
      </w:pPr>
      <w:r w:rsidRPr="00375E29">
        <w:rPr>
          <w:i/>
        </w:rPr>
        <w:t>Analysis and evidence for the request e.g. building reports, incident data trends, master and service plans supporting the issue.</w:t>
      </w:r>
    </w:p>
    <w:p w:rsidR="00CC293C" w:rsidRPr="00CC293C" w:rsidRDefault="00CC293C" w:rsidP="00CC293C"/>
    <w:p w:rsidR="00F828B4" w:rsidRPr="00CC293C" w:rsidRDefault="00CC293C" w:rsidP="00CC293C">
      <w:pPr>
        <w:tabs>
          <w:tab w:val="left" w:pos="6670"/>
        </w:tabs>
      </w:pPr>
      <w:r>
        <w:tab/>
      </w:r>
    </w:p>
    <w:p w:rsidR="00F828B4" w:rsidRPr="00721C90" w:rsidRDefault="00F828B4" w:rsidP="00F828B4">
      <w:pPr>
        <w:pStyle w:val="Heading1"/>
        <w:spacing w:before="0" w:after="0" w:line="220" w:lineRule="atLeast"/>
        <w:rPr>
          <w:b/>
          <w:color w:val="215868"/>
          <w:sz w:val="24"/>
          <w:szCs w:val="24"/>
        </w:rPr>
      </w:pPr>
    </w:p>
    <w:p w:rsidR="00F828B4" w:rsidRPr="002A629A" w:rsidRDefault="00F828B4" w:rsidP="00F828B4">
      <w:pPr>
        <w:pStyle w:val="Heading1"/>
        <w:spacing w:before="0" w:after="120" w:line="220" w:lineRule="atLeast"/>
        <w:rPr>
          <w:rFonts w:cs="Times New Roman"/>
          <w:b/>
          <w:bCs w:val="0"/>
          <w:kern w:val="0"/>
          <w:sz w:val="24"/>
          <w:szCs w:val="24"/>
        </w:rPr>
      </w:pPr>
      <w:r w:rsidRPr="002A629A">
        <w:rPr>
          <w:rFonts w:cs="Times New Roman"/>
          <w:b/>
          <w:bCs w:val="0"/>
          <w:kern w:val="0"/>
          <w:sz w:val="24"/>
          <w:szCs w:val="24"/>
        </w:rPr>
        <w:t xml:space="preserve">Grants </w:t>
      </w:r>
      <w:r w:rsidR="00FE6F36">
        <w:rPr>
          <w:rFonts w:cs="Times New Roman"/>
          <w:b/>
          <w:bCs w:val="0"/>
          <w:kern w:val="0"/>
          <w:sz w:val="24"/>
          <w:szCs w:val="24"/>
        </w:rPr>
        <w:t xml:space="preserve">assessment </w:t>
      </w:r>
      <w:r w:rsidRPr="002A629A">
        <w:rPr>
          <w:rFonts w:cs="Times New Roman"/>
          <w:b/>
          <w:bCs w:val="0"/>
          <w:kern w:val="0"/>
          <w:sz w:val="24"/>
          <w:szCs w:val="24"/>
        </w:rPr>
        <w:t>criteria</w:t>
      </w:r>
    </w:p>
    <w:p w:rsidR="00F828B4" w:rsidRPr="008740B8" w:rsidRDefault="00A00C3F" w:rsidP="00261AAC">
      <w:pPr>
        <w:spacing w:before="120" w:after="40" w:line="27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 submissions</w:t>
      </w:r>
      <w:r w:rsidR="00F828B4" w:rsidRPr="008740B8">
        <w:rPr>
          <w:rFonts w:ascii="Arial" w:hAnsi="Arial"/>
          <w:sz w:val="20"/>
        </w:rPr>
        <w:t xml:space="preserve"> </w:t>
      </w:r>
      <w:r w:rsidR="005D0A25">
        <w:rPr>
          <w:rFonts w:ascii="Arial" w:hAnsi="Arial"/>
          <w:sz w:val="20"/>
        </w:rPr>
        <w:t>must</w:t>
      </w:r>
      <w:r w:rsidR="005D0A25" w:rsidRPr="008740B8">
        <w:rPr>
          <w:rFonts w:ascii="Arial" w:hAnsi="Arial"/>
          <w:sz w:val="20"/>
        </w:rPr>
        <w:t xml:space="preserve"> </w:t>
      </w:r>
      <w:r w:rsidR="00F828B4" w:rsidRPr="008740B8">
        <w:rPr>
          <w:rFonts w:ascii="Arial" w:hAnsi="Arial"/>
          <w:sz w:val="20"/>
        </w:rPr>
        <w:t xml:space="preserve">address the need for minor refurbishment / repairs / </w:t>
      </w:r>
      <w:r w:rsidR="00F62BD9">
        <w:rPr>
          <w:rFonts w:ascii="Arial" w:hAnsi="Arial"/>
          <w:sz w:val="20"/>
        </w:rPr>
        <w:t>upgrades</w:t>
      </w:r>
      <w:r w:rsidR="00F828B4" w:rsidRPr="008740B8">
        <w:rPr>
          <w:rFonts w:ascii="Arial" w:hAnsi="Arial"/>
          <w:sz w:val="20"/>
        </w:rPr>
        <w:t xml:space="preserve"> of ageing facilities</w:t>
      </w:r>
      <w:r>
        <w:rPr>
          <w:rFonts w:ascii="Arial" w:hAnsi="Arial"/>
          <w:sz w:val="20"/>
        </w:rPr>
        <w:t>. The objective of the projects should be</w:t>
      </w:r>
      <w:r w:rsidR="00F828B4" w:rsidRPr="008740B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to deliver services that</w:t>
      </w:r>
      <w:r w:rsidR="00F828B4" w:rsidRPr="008740B8">
        <w:rPr>
          <w:rFonts w:ascii="Arial" w:hAnsi="Arial"/>
          <w:sz w:val="20"/>
        </w:rPr>
        <w:t xml:space="preserve"> meet </w:t>
      </w:r>
      <w:r>
        <w:rPr>
          <w:rFonts w:ascii="Arial" w:hAnsi="Arial"/>
          <w:sz w:val="20"/>
        </w:rPr>
        <w:t>contemporary</w:t>
      </w:r>
      <w:r w:rsidR="00F828B4" w:rsidRPr="008740B8">
        <w:rPr>
          <w:rFonts w:ascii="Arial" w:hAnsi="Arial"/>
          <w:sz w:val="20"/>
        </w:rPr>
        <w:t xml:space="preserve"> environmental and functional standards</w:t>
      </w:r>
      <w:r>
        <w:rPr>
          <w:rFonts w:ascii="Arial" w:hAnsi="Arial"/>
          <w:sz w:val="20"/>
        </w:rPr>
        <w:t xml:space="preserve">, be fit for purpose and reflect quality and safety standards. The investment should deliver one or more </w:t>
      </w:r>
      <w:r w:rsidR="00F828B4" w:rsidRPr="008740B8">
        <w:rPr>
          <w:rFonts w:ascii="Arial" w:hAnsi="Arial"/>
          <w:sz w:val="20"/>
        </w:rPr>
        <w:t>of the following:</w:t>
      </w:r>
    </w:p>
    <w:p w:rsidR="00F828B4" w:rsidRDefault="00F828B4" w:rsidP="00261AAC">
      <w:pPr>
        <w:pStyle w:val="DHHSbullet1lastline"/>
        <w:numPr>
          <w:ilvl w:val="1"/>
          <w:numId w:val="26"/>
        </w:numPr>
        <w:jc w:val="both"/>
      </w:pPr>
      <w:r>
        <w:t>Improve safety of consumers, carers and staff</w:t>
      </w:r>
    </w:p>
    <w:p w:rsidR="00F828B4" w:rsidRDefault="00F828B4" w:rsidP="00261AAC">
      <w:pPr>
        <w:pStyle w:val="DHHSbullet1lastline"/>
        <w:numPr>
          <w:ilvl w:val="1"/>
          <w:numId w:val="26"/>
        </w:numPr>
        <w:jc w:val="both"/>
      </w:pPr>
      <w:r>
        <w:t>Promote least restrictive practices</w:t>
      </w:r>
    </w:p>
    <w:p w:rsidR="00F828B4" w:rsidRDefault="00F828B4" w:rsidP="00261AAC">
      <w:pPr>
        <w:pStyle w:val="DHHSbullet1lastline"/>
        <w:numPr>
          <w:ilvl w:val="1"/>
          <w:numId w:val="26"/>
        </w:numPr>
        <w:jc w:val="both"/>
      </w:pPr>
      <w:r w:rsidRPr="00603298">
        <w:t>Suppor</w:t>
      </w:r>
      <w:r>
        <w:t xml:space="preserve">t the advancement of recovery, </w:t>
      </w:r>
      <w:r w:rsidRPr="00603298">
        <w:t>or rehabilitation and therapeutic opportunities</w:t>
      </w:r>
    </w:p>
    <w:p w:rsidR="00F828B4" w:rsidRDefault="00F828B4" w:rsidP="00261AAC">
      <w:pPr>
        <w:pStyle w:val="DHHSbullet1lastline"/>
        <w:numPr>
          <w:ilvl w:val="1"/>
          <w:numId w:val="26"/>
        </w:numPr>
        <w:jc w:val="both"/>
      </w:pPr>
      <w:r>
        <w:t>Assist improving consumer choice and freedoms</w:t>
      </w:r>
    </w:p>
    <w:p w:rsidR="00F828B4" w:rsidRDefault="00F828B4" w:rsidP="00261AAC">
      <w:pPr>
        <w:pStyle w:val="DHHSbullet1lastline"/>
        <w:numPr>
          <w:ilvl w:val="1"/>
          <w:numId w:val="26"/>
        </w:numPr>
        <w:jc w:val="both"/>
      </w:pPr>
      <w:r>
        <w:t>Increase quality and efficiency in treatment service outcomes and capacity</w:t>
      </w:r>
      <w:r w:rsidR="005D0A25">
        <w:t>.</w:t>
      </w:r>
    </w:p>
    <w:p w:rsidR="009F3290" w:rsidRDefault="00B1322B" w:rsidP="009F3290">
      <w:pPr>
        <w:pStyle w:val="DHHSbullet1lastline"/>
        <w:ind w:firstLine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682ABC" wp14:editId="7D3C5E89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64484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1" w:rsidRPr="00601581" w:rsidRDefault="00601581" w:rsidP="00601581">
                            <w:pPr>
                              <w:rPr>
                                <w:b/>
                                <w:i/>
                              </w:rPr>
                            </w:pPr>
                            <w:r w:rsidRPr="00601581">
                              <w:rPr>
                                <w:b/>
                                <w:i/>
                              </w:rPr>
                              <w:t>Alcohol and Other Drugs submissions are capped at 2 submissions per agency with a project minimum of $20,000 (excluding GST) per project and a maximum of $200,000 for minor construction, remodelling and refurbishment projects.</w:t>
                            </w:r>
                          </w:p>
                          <w:p w:rsidR="00601581" w:rsidRPr="00601581" w:rsidRDefault="00601581" w:rsidP="00601581">
                            <w:pPr>
                              <w:rPr>
                                <w:b/>
                                <w:i/>
                              </w:rPr>
                            </w:pPr>
                            <w:r w:rsidRPr="00601581">
                              <w:rPr>
                                <w:b/>
                                <w:i/>
                              </w:rPr>
                              <w:t>Mental Health submissions are capped at 2 submissions per agency with a project minimum of $10,000 (excluding GST) per project and a maximum of $500,000 for minor construction, remodelling and refurbishment projects.</w:t>
                            </w:r>
                          </w:p>
                          <w:p w:rsidR="00B1322B" w:rsidRPr="00B06383" w:rsidRDefault="00B1322B" w:rsidP="00B132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82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05pt;width:50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8nOAIAAGoEAAAOAAAAZHJzL2Uyb0RvYy54bWysVNuO0zAQfUfiHyy/01yUXjbadLV0KUJa&#10;FqRdPsBxnMTCN2y3Sfl6xk5bAvuGeLFsz/jMmTMzvr0bpUBHZh3XqsLZIsWIKaobrroKf3vZv9tg&#10;5DxRDRFasQqfmMN327dvbgdTslz3WjTMIgBRrhxMhXvvTZkkjvZMErfQhikwttpK4uFou6SxZAB0&#10;KZI8TVfJoG1jrKbMObh9mIx4G/HbllH/pW0d80hUGLj5uNq41mFNtrek7CwxPadnGuQfWEjCFQS9&#10;Qj0QT9DB8ldQklOrnW79gmqZ6LbllMUcIJss/Sub554YFnMBcZy5yuT+Hyx9On61iDcVzrM1RopI&#10;KNILGz16r0eUB30G40pwezbg6Ee4hjrHXJ151PS7Q0rveqI6dm+tHnpGGuCXhZfJ7OmE4wJIPXzW&#10;DYQhB68j0NhaGcQDORCgQ51O19oEKhQuV0WxKfIlRhRsWZEWqzxWLyHl5bmxzn9kWqKwqbCF4kd4&#10;cnx0PtAh5cUlRHNa8GbPhYiH0HBsJyw6EmiVuptSFAcJXKe79TJNLyFjfwb3iPoHklBoqPDNEri+&#10;jmK7+hoD0GaAczKSexgKwWWFN1cnUgZpP6gmtqwnXEx7yEqos9ZB3kloP9bjuXa1bk6gutVT88Ow&#10;wqbX9idGAzR+hd2PA7EMI/FJQeVusqIIkxIPxXINMiM7t9RzC1EUoCrsMZq2Ox+nK6Zu7qHCex61&#10;D60wMTlzhYaO4p2HL0zM/By9fn8R218AAAD//wMAUEsDBBQABgAIAAAAIQCtgCfa4AAAAAgBAAAP&#10;AAAAZHJzL2Rvd25yZXYueG1sTI9BS8NAFITvgv9heYI3u0ljU4l5KVYxgiDYpuB1mzyTaPZt2N22&#10;8d+7PelxmGHmm3w16UEcybreMEI8i0AQ16bpuUXYVc83dyCcV9yowTAh/JCDVXF5kausMSfe0HHr&#10;WxFK2GUKofN+zKR0dUdauZkZiYP3aaxWPkjbysaqUyjXg5xHUSq16jksdGqkx47q7+1BIyRpual2&#10;ZbJ+K58+vl6r9fK9f7GI11fTwz0IT5P/C8MZP6BDEZj25sCNEwNCOOIRbtMYxNmN4sUCxB5hni4T&#10;kEUu/x8ofgEAAP//AwBQSwECLQAUAAYACAAAACEAtoM4kv4AAADhAQAAEwAAAAAAAAAAAAAAAAAA&#10;AAAAW0NvbnRlbnRfVHlwZXNdLnhtbFBLAQItABQABgAIAAAAIQA4/SH/1gAAAJQBAAALAAAAAAAA&#10;AAAAAAAAAC8BAABfcmVscy8ucmVsc1BLAQItABQABgAIAAAAIQBizy8nOAIAAGoEAAAOAAAAAAAA&#10;AAAAAAAAAC4CAABkcnMvZTJvRG9jLnhtbFBLAQItABQABgAIAAAAIQCtgCfa4AAAAAgBAAAPAAAA&#10;AAAAAAAAAAAAAJIEAABkcnMvZG93bnJldi54bWxQSwUGAAAAAAQABADzAAAAnwUAAAAA&#10;" fillcolor="#bfbfbf [2412]">
                <v:textbox style="mso-fit-shape-to-text:t">
                  <w:txbxContent>
                    <w:p w:rsidR="00601581" w:rsidRPr="00601581" w:rsidRDefault="00601581" w:rsidP="00601581">
                      <w:pPr>
                        <w:rPr>
                          <w:b/>
                          <w:i/>
                        </w:rPr>
                      </w:pPr>
                      <w:r w:rsidRPr="00601581">
                        <w:rPr>
                          <w:b/>
                          <w:i/>
                        </w:rPr>
                        <w:t>Alcohol and Other Drugs submissions are capped at 2 submissions per agency with a project minimum of $20,000 (excluding GST) per project and a maximum of $200,000 for minor construction, remodelling and refurbishment projects.</w:t>
                      </w:r>
                    </w:p>
                    <w:p w:rsidR="00601581" w:rsidRPr="00601581" w:rsidRDefault="00601581" w:rsidP="00601581">
                      <w:pPr>
                        <w:rPr>
                          <w:b/>
                          <w:i/>
                        </w:rPr>
                      </w:pPr>
                      <w:r w:rsidRPr="00601581">
                        <w:rPr>
                          <w:b/>
                          <w:i/>
                        </w:rPr>
                        <w:t>Mental Health submissions are capped at 2 submissions per agency with a project minimum of $10,000 (excluding GST) per project and a maximum of $500,000 for minor construction, remodelling and refurbishment projects.</w:t>
                      </w:r>
                    </w:p>
                    <w:p w:rsidR="00B1322B" w:rsidRPr="00B06383" w:rsidRDefault="00B1322B" w:rsidP="00B1322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3F70" w:rsidRDefault="00E03F70" w:rsidP="00F828B4">
      <w:pPr>
        <w:pStyle w:val="DHHSbullet1"/>
        <w:numPr>
          <w:ilvl w:val="0"/>
          <w:numId w:val="0"/>
        </w:numPr>
        <w:spacing w:before="120"/>
      </w:pPr>
    </w:p>
    <w:p w:rsidR="00F828B4" w:rsidRPr="002A629A" w:rsidRDefault="00F828B4" w:rsidP="00F828B4">
      <w:pPr>
        <w:pStyle w:val="Heading1"/>
        <w:spacing w:before="0" w:after="120" w:line="220" w:lineRule="atLeast"/>
        <w:rPr>
          <w:rFonts w:cs="Times New Roman"/>
          <w:b/>
          <w:bCs w:val="0"/>
          <w:kern w:val="0"/>
          <w:sz w:val="24"/>
          <w:szCs w:val="24"/>
        </w:rPr>
      </w:pPr>
      <w:r w:rsidRPr="002A629A">
        <w:rPr>
          <w:rFonts w:cs="Times New Roman"/>
          <w:b/>
          <w:bCs w:val="0"/>
          <w:kern w:val="0"/>
          <w:sz w:val="24"/>
          <w:szCs w:val="24"/>
        </w:rPr>
        <w:t>What will you report back?</w:t>
      </w:r>
    </w:p>
    <w:p w:rsidR="00012910" w:rsidRDefault="00F828B4" w:rsidP="00261AAC">
      <w:pPr>
        <w:pStyle w:val="DHHSbody"/>
        <w:spacing w:before="240" w:line="240" w:lineRule="auto"/>
        <w:jc w:val="both"/>
      </w:pPr>
      <w:r w:rsidRPr="002E3C23">
        <w:t>Successful applicants are required to</w:t>
      </w:r>
      <w:r w:rsidR="00012910">
        <w:t>:</w:t>
      </w:r>
    </w:p>
    <w:p w:rsidR="00012910" w:rsidRDefault="00F828B4" w:rsidP="00012910">
      <w:pPr>
        <w:pStyle w:val="DHHSbody"/>
        <w:numPr>
          <w:ilvl w:val="0"/>
          <w:numId w:val="35"/>
        </w:numPr>
        <w:spacing w:before="240" w:line="240" w:lineRule="auto"/>
        <w:jc w:val="both"/>
      </w:pPr>
      <w:r>
        <w:t xml:space="preserve">adhere to </w:t>
      </w:r>
      <w:r w:rsidR="006B588C">
        <w:t xml:space="preserve">agreed </w:t>
      </w:r>
      <w:r w:rsidR="00012910">
        <w:t xml:space="preserve">scope of </w:t>
      </w:r>
      <w:r w:rsidR="006B588C">
        <w:t xml:space="preserve">works, </w:t>
      </w:r>
    </w:p>
    <w:p w:rsidR="00012910" w:rsidRDefault="00012910" w:rsidP="00012910">
      <w:pPr>
        <w:pStyle w:val="DHHSbody"/>
        <w:numPr>
          <w:ilvl w:val="0"/>
          <w:numId w:val="35"/>
        </w:numPr>
        <w:spacing w:before="240" w:line="240" w:lineRule="auto"/>
        <w:jc w:val="both"/>
      </w:pPr>
      <w:r>
        <w:t xml:space="preserve">funding </w:t>
      </w:r>
      <w:r w:rsidR="006B588C">
        <w:t>guidelines</w:t>
      </w:r>
    </w:p>
    <w:p w:rsidR="007C3261" w:rsidRDefault="00F828B4" w:rsidP="00A07904">
      <w:pPr>
        <w:pStyle w:val="DHHSbody"/>
        <w:numPr>
          <w:ilvl w:val="0"/>
          <w:numId w:val="35"/>
        </w:numPr>
        <w:spacing w:before="240" w:line="240" w:lineRule="auto"/>
        <w:jc w:val="both"/>
      </w:pPr>
      <w:r>
        <w:t xml:space="preserve">reporting </w:t>
      </w:r>
      <w:r w:rsidR="006B588C">
        <w:t xml:space="preserve">requirements </w:t>
      </w:r>
      <w:r w:rsidR="00012910">
        <w:t>articulated in funding confirmation advice.</w:t>
      </w:r>
    </w:p>
    <w:p w:rsidR="00EE4FA1" w:rsidRDefault="00740A02" w:rsidP="00EE4FA1">
      <w:pPr>
        <w:pStyle w:val="DHHSbody"/>
        <w:spacing w:before="120" w:line="240" w:lineRule="auto"/>
        <w:rPr>
          <w:rFonts w:cs="Arial"/>
        </w:rPr>
      </w:pPr>
      <w:r>
        <w:rPr>
          <w:rFonts w:cs="Arial"/>
        </w:rPr>
        <w:t xml:space="preserve">A final report should be submitted that </w:t>
      </w:r>
      <w:r w:rsidR="00EE4FA1" w:rsidRPr="00A71B67">
        <w:rPr>
          <w:rFonts w:cs="Arial"/>
        </w:rPr>
        <w:t>include</w:t>
      </w:r>
      <w:r>
        <w:rPr>
          <w:rFonts w:cs="Arial"/>
        </w:rPr>
        <w:t xml:space="preserve">s summary of deliverables </w:t>
      </w:r>
      <w:r w:rsidR="00EE4FA1" w:rsidRPr="00A71B67">
        <w:rPr>
          <w:rFonts w:cs="Arial"/>
        </w:rPr>
        <w:t>and funds expended</w:t>
      </w:r>
      <w:r w:rsidR="00012910">
        <w:rPr>
          <w:rFonts w:cs="Arial"/>
        </w:rPr>
        <w:t xml:space="preserve"> upon completion of the project</w:t>
      </w:r>
      <w:r w:rsidR="00EE4FA1" w:rsidRPr="00A71B67">
        <w:rPr>
          <w:rFonts w:cs="Arial"/>
        </w:rPr>
        <w:t>.</w:t>
      </w:r>
    </w:p>
    <w:p w:rsidR="00F828B4" w:rsidRPr="002A629A" w:rsidRDefault="00F828B4" w:rsidP="00F828B4">
      <w:pPr>
        <w:pStyle w:val="Heading1"/>
        <w:spacing w:before="0" w:after="120" w:line="220" w:lineRule="atLeast"/>
        <w:rPr>
          <w:rFonts w:cs="Times New Roman"/>
          <w:b/>
          <w:bCs w:val="0"/>
          <w:kern w:val="0"/>
          <w:sz w:val="24"/>
          <w:szCs w:val="24"/>
        </w:rPr>
      </w:pPr>
      <w:r w:rsidRPr="002A629A">
        <w:rPr>
          <w:rFonts w:cs="Times New Roman"/>
          <w:b/>
          <w:bCs w:val="0"/>
          <w:kern w:val="0"/>
          <w:sz w:val="24"/>
          <w:szCs w:val="24"/>
        </w:rPr>
        <w:t>Appendices</w:t>
      </w:r>
    </w:p>
    <w:p w:rsidR="00F828B4" w:rsidRDefault="00F828B4" w:rsidP="00F828B4">
      <w:pPr>
        <w:pStyle w:val="DHHSbody"/>
        <w:numPr>
          <w:ilvl w:val="0"/>
          <w:numId w:val="30"/>
        </w:numPr>
        <w:ind w:left="426" w:hanging="426"/>
      </w:pPr>
      <w:r>
        <w:t>Criteria</w:t>
      </w:r>
    </w:p>
    <w:p w:rsidR="00F828B4" w:rsidRDefault="00F828B4" w:rsidP="00F828B4">
      <w:pPr>
        <w:pStyle w:val="DHHSbody"/>
        <w:numPr>
          <w:ilvl w:val="0"/>
          <w:numId w:val="30"/>
        </w:numPr>
        <w:ind w:left="426" w:hanging="426"/>
      </w:pPr>
      <w:r w:rsidRPr="00F74DE4">
        <w:t>Construction Projects in Victoria - References and Links</w:t>
      </w:r>
    </w:p>
    <w:p w:rsidR="00F828B4" w:rsidRDefault="00F828B4" w:rsidP="00F828B4">
      <w:pPr>
        <w:pStyle w:val="DHHSbody"/>
        <w:numPr>
          <w:ilvl w:val="0"/>
          <w:numId w:val="30"/>
        </w:numPr>
        <w:ind w:left="426" w:hanging="426"/>
      </w:pPr>
      <w:r>
        <w:t>Eligible services</w:t>
      </w:r>
    </w:p>
    <w:p w:rsidR="00261AAC" w:rsidRPr="00F74DE4" w:rsidRDefault="00261AAC" w:rsidP="00261AAC">
      <w:pPr>
        <w:pStyle w:val="DHHSbody"/>
        <w:ind w:left="426"/>
      </w:pPr>
    </w:p>
    <w:p w:rsidR="00F828B4" w:rsidRPr="002A629A" w:rsidRDefault="00F828B4" w:rsidP="00F828B4">
      <w:pPr>
        <w:pStyle w:val="Heading1"/>
        <w:spacing w:before="0" w:after="120" w:line="220" w:lineRule="atLeast"/>
        <w:rPr>
          <w:rFonts w:cs="Times New Roman"/>
          <w:b/>
          <w:bCs w:val="0"/>
          <w:kern w:val="0"/>
          <w:sz w:val="24"/>
          <w:szCs w:val="24"/>
        </w:rPr>
      </w:pPr>
      <w:r w:rsidRPr="002A629A">
        <w:rPr>
          <w:rFonts w:cs="Times New Roman"/>
          <w:b/>
          <w:bCs w:val="0"/>
          <w:kern w:val="0"/>
          <w:sz w:val="24"/>
          <w:szCs w:val="24"/>
        </w:rPr>
        <w:t>Conditions of funding</w:t>
      </w:r>
    </w:p>
    <w:p w:rsidR="00F828B4" w:rsidRPr="00930053" w:rsidRDefault="00F828B4" w:rsidP="00261AAC">
      <w:pPr>
        <w:pStyle w:val="DHHSnumberdigit"/>
        <w:numPr>
          <w:ilvl w:val="0"/>
          <w:numId w:val="29"/>
        </w:numPr>
        <w:jc w:val="both"/>
      </w:pPr>
      <w:r>
        <w:t xml:space="preserve">The </w:t>
      </w:r>
      <w:r w:rsidRPr="00930053">
        <w:t>funds provided must not be used for any purpose other than that for which the grant was made.</w:t>
      </w:r>
    </w:p>
    <w:p w:rsidR="00F828B4" w:rsidRDefault="00F828B4" w:rsidP="00261AAC">
      <w:pPr>
        <w:pStyle w:val="DHHSnumberdigit"/>
        <w:numPr>
          <w:ilvl w:val="0"/>
          <w:numId w:val="29"/>
        </w:numPr>
        <w:jc w:val="both"/>
      </w:pPr>
      <w:r w:rsidRPr="00930053">
        <w:t>The funds provided are based on your organisation</w:t>
      </w:r>
      <w:r>
        <w:t>’</w:t>
      </w:r>
      <w:r w:rsidRPr="00930053">
        <w:t>s submission to this fund. Any increased capital/project costs associated with the project will be the respo</w:t>
      </w:r>
      <w:r>
        <w:t>nsibility of the health service / agency.</w:t>
      </w:r>
    </w:p>
    <w:p w:rsidR="006E2778" w:rsidRPr="00930053" w:rsidRDefault="006E2778" w:rsidP="00261AAC">
      <w:pPr>
        <w:pStyle w:val="DHHSnumberdigit"/>
        <w:numPr>
          <w:ilvl w:val="0"/>
          <w:numId w:val="29"/>
        </w:numPr>
        <w:jc w:val="both"/>
      </w:pPr>
      <w:r>
        <w:t>No recurrent growth is required to deliver this infrastructure / capital works.</w:t>
      </w:r>
    </w:p>
    <w:p w:rsidR="00F828B4" w:rsidRDefault="00F828B4" w:rsidP="00261AAC">
      <w:pPr>
        <w:pStyle w:val="DHHSnumberdigit"/>
        <w:numPr>
          <w:ilvl w:val="0"/>
          <w:numId w:val="29"/>
        </w:numPr>
        <w:jc w:val="both"/>
      </w:pPr>
      <w:r>
        <w:t>F</w:t>
      </w:r>
      <w:r w:rsidRPr="00BF3D9C">
        <w:t xml:space="preserve">unds </w:t>
      </w:r>
      <w:r>
        <w:t>are</w:t>
      </w:r>
      <w:r w:rsidRPr="00BF3D9C">
        <w:t xml:space="preserve"> a one-off grant</w:t>
      </w:r>
      <w:r>
        <w:t>. A</w:t>
      </w:r>
      <w:r w:rsidRPr="00BF3D9C">
        <w:t>pplicants should demonstrate that project viability is not depen</w:t>
      </w:r>
      <w:r>
        <w:t>dant on continuing capital</w:t>
      </w:r>
      <w:r w:rsidR="00E03F70">
        <w:t xml:space="preserve"> </w:t>
      </w:r>
      <w:r w:rsidR="005B084B">
        <w:t>funds</w:t>
      </w:r>
      <w:r w:rsidRPr="00BF3D9C">
        <w:t>.</w:t>
      </w:r>
    </w:p>
    <w:p w:rsidR="005B084B" w:rsidRDefault="005B084B" w:rsidP="00261AAC">
      <w:pPr>
        <w:pStyle w:val="DHHSnumberdigit"/>
        <w:numPr>
          <w:ilvl w:val="0"/>
          <w:numId w:val="29"/>
        </w:numPr>
        <w:jc w:val="both"/>
      </w:pPr>
      <w:r>
        <w:t>Funding wil</w:t>
      </w:r>
      <w:r w:rsidR="009F3290">
        <w:t>l</w:t>
      </w:r>
      <w:r>
        <w:t xml:space="preserve"> be provided in two stages. An </w:t>
      </w:r>
      <w:r w:rsidR="009F3290">
        <w:t>initial</w:t>
      </w:r>
      <w:r>
        <w:t xml:space="preserve"> payment of </w:t>
      </w:r>
      <w:r w:rsidR="00D757F8">
        <w:t>8</w:t>
      </w:r>
      <w:r>
        <w:t xml:space="preserve">0% and final </w:t>
      </w:r>
      <w:r w:rsidR="00D757F8">
        <w:t>2</w:t>
      </w:r>
      <w:r>
        <w:t xml:space="preserve">0% paid upon project completion. </w:t>
      </w:r>
    </w:p>
    <w:p w:rsidR="00F828B4" w:rsidRDefault="00F828B4" w:rsidP="00261AAC">
      <w:pPr>
        <w:pStyle w:val="DHHSnumberdigit"/>
        <w:numPr>
          <w:ilvl w:val="0"/>
          <w:numId w:val="29"/>
        </w:numPr>
        <w:jc w:val="both"/>
      </w:pPr>
      <w:r w:rsidRPr="00930053">
        <w:t>Capital works shall not require additional recurrent funding from the department.</w:t>
      </w:r>
    </w:p>
    <w:p w:rsidR="00BF436E" w:rsidRDefault="00650E42" w:rsidP="00375E29">
      <w:pPr>
        <w:pStyle w:val="DHHSnumberdigit"/>
        <w:numPr>
          <w:ilvl w:val="0"/>
          <w:numId w:val="29"/>
        </w:numPr>
        <w:spacing w:line="220" w:lineRule="atLeast"/>
        <w:rPr>
          <w:rFonts w:cs="Arial"/>
        </w:rPr>
      </w:pPr>
      <w:r>
        <w:rPr>
          <w:rFonts w:cs="Arial"/>
        </w:rPr>
        <w:t>On completion of the project a</w:t>
      </w:r>
      <w:r w:rsidR="00BF436E" w:rsidRPr="00A71B67">
        <w:rPr>
          <w:rFonts w:cs="Arial"/>
        </w:rPr>
        <w:t xml:space="preserve"> </w:t>
      </w:r>
      <w:r>
        <w:rPr>
          <w:rFonts w:cs="Arial"/>
        </w:rPr>
        <w:t xml:space="preserve">final </w:t>
      </w:r>
      <w:r w:rsidR="00BF436E" w:rsidRPr="00A71B67">
        <w:rPr>
          <w:rFonts w:cs="Arial"/>
        </w:rPr>
        <w:t xml:space="preserve">report must be provided </w:t>
      </w:r>
      <w:r w:rsidR="002042CA">
        <w:rPr>
          <w:rFonts w:cs="Arial"/>
        </w:rPr>
        <w:t>to Victorian Health &amp; Human Services Building Authority</w:t>
      </w:r>
      <w:r>
        <w:rPr>
          <w:rFonts w:cs="Arial"/>
        </w:rPr>
        <w:t xml:space="preserve">. </w:t>
      </w:r>
      <w:r w:rsidR="002042CA">
        <w:rPr>
          <w:rFonts w:cs="Arial"/>
        </w:rPr>
        <w:t xml:space="preserve">  </w:t>
      </w:r>
    </w:p>
    <w:p w:rsidR="00B83961" w:rsidRPr="00E36C04" w:rsidRDefault="00B83961" w:rsidP="00375E29">
      <w:pPr>
        <w:pStyle w:val="DHHSnumberdigit"/>
        <w:numPr>
          <w:ilvl w:val="0"/>
          <w:numId w:val="29"/>
        </w:numPr>
        <w:spacing w:line="220" w:lineRule="atLeast"/>
        <w:rPr>
          <w:rFonts w:cs="Arial"/>
        </w:rPr>
      </w:pPr>
      <w:r>
        <w:rPr>
          <w:rFonts w:cs="Arial"/>
        </w:rPr>
        <w:t xml:space="preserve">Projects should be fully acquitted by June </w:t>
      </w:r>
      <w:r w:rsidR="0075135C">
        <w:rPr>
          <w:rFonts w:cs="Arial"/>
        </w:rPr>
        <w:t>30,</w:t>
      </w:r>
      <w:r>
        <w:rPr>
          <w:rFonts w:cs="Arial"/>
        </w:rPr>
        <w:t xml:space="preserve"> 2021 (end of Financial Year). Failure to complete the project within the specified time, may see a recall of allocated funds.</w:t>
      </w:r>
    </w:p>
    <w:p w:rsidR="00F828B4" w:rsidRDefault="00F828B4" w:rsidP="00261AAC">
      <w:pPr>
        <w:pStyle w:val="DHHSnumberdigit"/>
        <w:numPr>
          <w:ilvl w:val="0"/>
          <w:numId w:val="29"/>
        </w:numPr>
        <w:jc w:val="both"/>
      </w:pPr>
      <w:r>
        <w:t xml:space="preserve">If other contributing organisations fail to provide funding, the Victorian Government is not obliged to provide this funding. </w:t>
      </w:r>
    </w:p>
    <w:p w:rsidR="005B084B" w:rsidRDefault="00F828B4" w:rsidP="00261AAC">
      <w:pPr>
        <w:pStyle w:val="DHHSnumberdigit"/>
        <w:numPr>
          <w:ilvl w:val="0"/>
          <w:numId w:val="29"/>
        </w:numPr>
        <w:jc w:val="both"/>
      </w:pPr>
      <w:r w:rsidRPr="00930053">
        <w:t>The project(s) will be directly managed by the health service</w:t>
      </w:r>
      <w:r>
        <w:t xml:space="preserve"> / agency organisation in a manner that reflects government procurement and probity guidelines</w:t>
      </w:r>
      <w:r w:rsidRPr="00930053">
        <w:t xml:space="preserve">. </w:t>
      </w:r>
    </w:p>
    <w:p w:rsidR="00F828B4" w:rsidRDefault="005B084B" w:rsidP="00261AAC">
      <w:pPr>
        <w:pStyle w:val="DHHSnumberdigit"/>
        <w:numPr>
          <w:ilvl w:val="0"/>
          <w:numId w:val="29"/>
        </w:numPr>
        <w:jc w:val="both"/>
      </w:pPr>
      <w:r>
        <w:t>Project reports will be made to the department as required.</w:t>
      </w:r>
    </w:p>
    <w:p w:rsidR="00F828B4" w:rsidRPr="00930053" w:rsidRDefault="00F828B4" w:rsidP="00261AAC">
      <w:pPr>
        <w:pStyle w:val="DHHSnumberdigit"/>
        <w:numPr>
          <w:ilvl w:val="0"/>
          <w:numId w:val="29"/>
        </w:numPr>
        <w:jc w:val="both"/>
      </w:pPr>
      <w:r>
        <w:t>Asset registers and other related registers are required to be updated.</w:t>
      </w:r>
    </w:p>
    <w:p w:rsidR="00B83961" w:rsidRDefault="00F828B4" w:rsidP="00F828B4">
      <w:pPr>
        <w:pStyle w:val="DHHSnumberdigit"/>
        <w:numPr>
          <w:ilvl w:val="0"/>
          <w:numId w:val="29"/>
        </w:numPr>
      </w:pPr>
      <w:r w:rsidRPr="00197968">
        <w:t>Capital development projects must be completed in accordance with</w:t>
      </w:r>
      <w:r>
        <w:t>,</w:t>
      </w:r>
      <w:r w:rsidRPr="00197968">
        <w:t xml:space="preserve"> National Construction Code and relevant Australian Standards, regulatory requirements</w:t>
      </w:r>
      <w:r>
        <w:t xml:space="preserve"> and g</w:t>
      </w:r>
      <w:r w:rsidRPr="00197968">
        <w:t>uidelines (</w:t>
      </w:r>
      <w:hyperlink r:id="rId9" w:history="1">
        <w:r w:rsidR="00AF3979" w:rsidRPr="00087989">
          <w:rPr>
            <w:rStyle w:val="Hyperlink"/>
          </w:rPr>
          <w:t>http://www.capital.health.vic.gov.au</w:t>
        </w:r>
      </w:hyperlink>
      <w:r w:rsidRPr="00197968">
        <w:t>).</w:t>
      </w:r>
    </w:p>
    <w:p w:rsidR="00B83961" w:rsidRDefault="00B83961">
      <w:pPr>
        <w:spacing w:after="0" w:line="240" w:lineRule="auto"/>
        <w:rPr>
          <w:rFonts w:ascii="Arial" w:eastAsia="Times" w:hAnsi="Arial"/>
          <w:sz w:val="20"/>
          <w:szCs w:val="20"/>
        </w:rPr>
      </w:pPr>
      <w:r>
        <w:br w:type="page"/>
      </w:r>
    </w:p>
    <w:p w:rsidR="00AF3979" w:rsidRPr="00197968" w:rsidRDefault="00AF3979" w:rsidP="006674D3">
      <w:pPr>
        <w:pStyle w:val="DHHSnumberdigit"/>
        <w:numPr>
          <w:ilvl w:val="0"/>
          <w:numId w:val="0"/>
        </w:numPr>
      </w:pPr>
    </w:p>
    <w:p w:rsidR="00F828B4" w:rsidRPr="00261424" w:rsidRDefault="00F828B4" w:rsidP="00F828B4">
      <w:pPr>
        <w:pStyle w:val="Heading1"/>
        <w:spacing w:before="0" w:after="120" w:line="220" w:lineRule="atLeast"/>
        <w:rPr>
          <w:b/>
          <w:color w:val="215868"/>
          <w:sz w:val="24"/>
          <w:szCs w:val="24"/>
        </w:rPr>
      </w:pPr>
      <w:r w:rsidRPr="002A629A">
        <w:rPr>
          <w:rFonts w:cs="Times New Roman"/>
          <w:b/>
          <w:bCs w:val="0"/>
          <w:kern w:val="0"/>
          <w:sz w:val="24"/>
          <w:szCs w:val="24"/>
        </w:rPr>
        <w:t>Appendix 1- Criteria</w:t>
      </w:r>
    </w:p>
    <w:p w:rsidR="00F828B4" w:rsidRPr="00690B3F" w:rsidRDefault="00F828B4" w:rsidP="00F828B4">
      <w:pPr>
        <w:pStyle w:val="Healthbody"/>
        <w:spacing w:line="240" w:lineRule="auto"/>
        <w:rPr>
          <w:rFonts w:eastAsia="MS Gothic" w:cs="Arial"/>
          <w:bCs/>
          <w:color w:val="201547"/>
          <w:kern w:val="32"/>
          <w:szCs w:val="20"/>
        </w:rPr>
      </w:pPr>
      <w:r w:rsidRPr="00690B3F">
        <w:rPr>
          <w:rFonts w:eastAsia="MS Gothic" w:cs="Arial"/>
          <w:bCs/>
          <w:color w:val="201547"/>
          <w:kern w:val="32"/>
          <w:szCs w:val="20"/>
        </w:rPr>
        <w:t xml:space="preserve">The following criteria will be used to assess the application and will be considered with the evidence provided. Please note the criteria are </w:t>
      </w:r>
      <w:r>
        <w:rPr>
          <w:rFonts w:eastAsia="MS Gothic" w:cs="Arial"/>
          <w:bCs/>
          <w:color w:val="201547"/>
          <w:kern w:val="32"/>
          <w:szCs w:val="20"/>
        </w:rPr>
        <w:t xml:space="preserve">also </w:t>
      </w:r>
      <w:r w:rsidRPr="00690B3F">
        <w:rPr>
          <w:rFonts w:eastAsia="MS Gothic" w:cs="Arial"/>
          <w:bCs/>
          <w:color w:val="201547"/>
          <w:kern w:val="32"/>
          <w:szCs w:val="20"/>
        </w:rPr>
        <w:t>outlined in the application form.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08"/>
        <w:gridCol w:w="2107"/>
        <w:gridCol w:w="4998"/>
        <w:gridCol w:w="1119"/>
        <w:gridCol w:w="12"/>
      </w:tblGrid>
      <w:tr w:rsidR="00F828B4" w:rsidRPr="0059582E" w:rsidTr="00EE4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tcW w:w="1508" w:type="dxa"/>
          </w:tcPr>
          <w:p w:rsidR="00F828B4" w:rsidRPr="0059582E" w:rsidRDefault="00F828B4" w:rsidP="00E40CD8">
            <w:pPr>
              <w:pStyle w:val="Healthbody"/>
              <w:spacing w:line="240" w:lineRule="auto"/>
              <w:jc w:val="center"/>
              <w:rPr>
                <w:rFonts w:cs="Arial"/>
                <w:b/>
                <w:smallCaps/>
                <w:color w:val="FFFFFF" w:themeColor="background1"/>
                <w:szCs w:val="20"/>
              </w:rPr>
            </w:pPr>
            <w:r w:rsidRPr="0059582E">
              <w:rPr>
                <w:rFonts w:cs="Arial"/>
                <w:b/>
                <w:smallCaps/>
                <w:color w:val="FFFFFF" w:themeColor="background1"/>
                <w:szCs w:val="20"/>
              </w:rPr>
              <w:t>Criteria number</w:t>
            </w:r>
          </w:p>
        </w:tc>
        <w:tc>
          <w:tcPr>
            <w:tcW w:w="2107" w:type="dxa"/>
          </w:tcPr>
          <w:p w:rsidR="00F828B4" w:rsidRPr="0059582E" w:rsidRDefault="00F828B4" w:rsidP="00E40CD8">
            <w:pPr>
              <w:pStyle w:val="Healthbody"/>
              <w:spacing w:line="240" w:lineRule="auto"/>
              <w:jc w:val="center"/>
              <w:rPr>
                <w:rFonts w:cs="Arial"/>
                <w:b/>
                <w:smallCaps/>
                <w:color w:val="FFFFFF" w:themeColor="background1"/>
                <w:szCs w:val="20"/>
              </w:rPr>
            </w:pPr>
            <w:r w:rsidRPr="0059582E">
              <w:rPr>
                <w:rFonts w:cs="Arial"/>
                <w:b/>
                <w:smallCaps/>
                <w:color w:val="FFFFFF" w:themeColor="background1"/>
                <w:szCs w:val="20"/>
              </w:rPr>
              <w:t>Criteria</w:t>
            </w:r>
          </w:p>
        </w:tc>
        <w:tc>
          <w:tcPr>
            <w:tcW w:w="4998" w:type="dxa"/>
          </w:tcPr>
          <w:p w:rsidR="00F828B4" w:rsidRPr="0059582E" w:rsidRDefault="00F828B4" w:rsidP="00E40CD8">
            <w:pPr>
              <w:pStyle w:val="Healthbody"/>
              <w:spacing w:line="240" w:lineRule="auto"/>
              <w:jc w:val="center"/>
              <w:rPr>
                <w:rFonts w:cs="Arial"/>
                <w:b/>
                <w:smallCaps/>
                <w:color w:val="FFFFFF" w:themeColor="background1"/>
                <w:szCs w:val="20"/>
              </w:rPr>
            </w:pPr>
            <w:r w:rsidRPr="0059582E">
              <w:rPr>
                <w:rFonts w:cs="Arial"/>
                <w:b/>
                <w:smallCaps/>
                <w:color w:val="FFFFFF" w:themeColor="background1"/>
                <w:szCs w:val="20"/>
              </w:rPr>
              <w:t>Descriptor</w:t>
            </w:r>
          </w:p>
        </w:tc>
        <w:tc>
          <w:tcPr>
            <w:tcW w:w="1131" w:type="dxa"/>
            <w:gridSpan w:val="2"/>
          </w:tcPr>
          <w:p w:rsidR="00F828B4" w:rsidRPr="0059582E" w:rsidRDefault="00F828B4" w:rsidP="00E40CD8">
            <w:pPr>
              <w:pStyle w:val="Healthbody"/>
              <w:spacing w:line="240" w:lineRule="auto"/>
              <w:jc w:val="center"/>
              <w:rPr>
                <w:rFonts w:cs="Arial"/>
                <w:b/>
                <w:smallCaps/>
                <w:color w:val="FFFFFF" w:themeColor="background1"/>
                <w:szCs w:val="20"/>
              </w:rPr>
            </w:pPr>
            <w:r w:rsidRPr="0059582E">
              <w:rPr>
                <w:rFonts w:cs="Arial"/>
                <w:b/>
                <w:smallCaps/>
                <w:color w:val="FFFFFF" w:themeColor="background1"/>
                <w:szCs w:val="20"/>
              </w:rPr>
              <w:t>Weighting</w:t>
            </w:r>
          </w:p>
        </w:tc>
      </w:tr>
      <w:tr w:rsidR="00F828B4" w:rsidRPr="0059582E" w:rsidTr="00EE4FA1">
        <w:trPr>
          <w:gridAfter w:val="1"/>
          <w:wAfter w:w="12" w:type="dxa"/>
          <w:trHeight w:val="445"/>
        </w:trPr>
        <w:tc>
          <w:tcPr>
            <w:tcW w:w="1508" w:type="dxa"/>
            <w:vMerge w:val="restart"/>
          </w:tcPr>
          <w:p w:rsidR="00F828B4" w:rsidRPr="0059582E" w:rsidRDefault="00F828B4" w:rsidP="00EE4FA1">
            <w:pPr>
              <w:pStyle w:val="Healthbody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9582E">
              <w:rPr>
                <w:rFonts w:cs="Arial"/>
                <w:b/>
                <w:szCs w:val="20"/>
              </w:rPr>
              <w:t>Criterion 1</w:t>
            </w:r>
          </w:p>
        </w:tc>
        <w:tc>
          <w:tcPr>
            <w:tcW w:w="2107" w:type="dxa"/>
            <w:vMerge w:val="restart"/>
          </w:tcPr>
          <w:p w:rsidR="00F828B4" w:rsidRPr="0059582E" w:rsidRDefault="00F828B4" w:rsidP="00EE4FA1">
            <w:pPr>
              <w:pStyle w:val="Healthbody"/>
              <w:spacing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Strategic Alignment</w:t>
            </w:r>
          </w:p>
        </w:tc>
        <w:tc>
          <w:tcPr>
            <w:tcW w:w="4998" w:type="dxa"/>
          </w:tcPr>
          <w:p w:rsidR="00F828B4" w:rsidRPr="0059582E" w:rsidRDefault="00F828B4" w:rsidP="00EE4FA1">
            <w:pPr>
              <w:pStyle w:val="Healthbody"/>
              <w:spacing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 xml:space="preserve">Alignment with Government commitments and policies </w:t>
            </w:r>
          </w:p>
        </w:tc>
        <w:tc>
          <w:tcPr>
            <w:tcW w:w="1119" w:type="dxa"/>
            <w:vMerge w:val="restart"/>
          </w:tcPr>
          <w:p w:rsidR="003E5EF9" w:rsidRPr="0059582E" w:rsidRDefault="003E5EF9" w:rsidP="003E5EF9">
            <w:pPr>
              <w:pStyle w:val="Healthbody"/>
              <w:spacing w:line="240" w:lineRule="auto"/>
              <w:ind w:left="301" w:hanging="301"/>
              <w:jc w:val="center"/>
              <w:rPr>
                <w:rFonts w:cs="Arial"/>
                <w:szCs w:val="20"/>
              </w:rPr>
            </w:pPr>
          </w:p>
          <w:p w:rsidR="00F828B4" w:rsidRPr="0059582E" w:rsidRDefault="00F828B4" w:rsidP="003E5EF9">
            <w:pPr>
              <w:pStyle w:val="Healthbody"/>
              <w:spacing w:line="240" w:lineRule="auto"/>
              <w:ind w:left="301" w:hanging="301"/>
              <w:jc w:val="center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15%</w:t>
            </w:r>
          </w:p>
        </w:tc>
      </w:tr>
      <w:tr w:rsidR="00F828B4" w:rsidRPr="0059582E" w:rsidTr="00EE4FA1">
        <w:trPr>
          <w:gridAfter w:val="1"/>
          <w:wAfter w:w="12" w:type="dxa"/>
          <w:trHeight w:val="564"/>
        </w:trPr>
        <w:tc>
          <w:tcPr>
            <w:tcW w:w="1508" w:type="dxa"/>
            <w:vMerge/>
          </w:tcPr>
          <w:p w:rsidR="00F828B4" w:rsidRPr="0059582E" w:rsidRDefault="00F828B4" w:rsidP="00EE4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828B4" w:rsidRPr="0059582E" w:rsidRDefault="00F828B4" w:rsidP="00EE4FA1">
            <w:pPr>
              <w:pStyle w:val="Healthbody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998" w:type="dxa"/>
          </w:tcPr>
          <w:p w:rsidR="00F828B4" w:rsidRPr="0059582E" w:rsidRDefault="00F828B4" w:rsidP="00EE4FA1">
            <w:pPr>
              <w:pStyle w:val="Healthbody"/>
              <w:spacing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 xml:space="preserve">Alignment with the applicants’ strategic plans, Statement of Priorities, service plan and masterplans </w:t>
            </w:r>
            <w:r w:rsidRPr="0059582E">
              <w:rPr>
                <w:rFonts w:cs="Arial"/>
                <w:i/>
                <w:szCs w:val="20"/>
              </w:rPr>
              <w:t>(where relevant)</w:t>
            </w:r>
            <w:r w:rsidR="005837B5" w:rsidRPr="0059582E"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1119" w:type="dxa"/>
            <w:vMerge/>
          </w:tcPr>
          <w:p w:rsidR="00F828B4" w:rsidRPr="0059582E" w:rsidRDefault="00F828B4" w:rsidP="003E5EF9">
            <w:pPr>
              <w:pStyle w:val="Healthbody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F828B4" w:rsidRPr="0059582E" w:rsidTr="00EE4FA1">
        <w:trPr>
          <w:gridAfter w:val="1"/>
          <w:wAfter w:w="12" w:type="dxa"/>
          <w:trHeight w:val="710"/>
        </w:trPr>
        <w:tc>
          <w:tcPr>
            <w:tcW w:w="1508" w:type="dxa"/>
          </w:tcPr>
          <w:p w:rsidR="00F828B4" w:rsidRPr="0059582E" w:rsidRDefault="00F828B4" w:rsidP="00EE4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82E">
              <w:rPr>
                <w:rFonts w:ascii="Arial" w:hAnsi="Arial" w:cs="Arial"/>
                <w:b/>
                <w:sz w:val="20"/>
                <w:szCs w:val="20"/>
              </w:rPr>
              <w:t>Criterion 2</w:t>
            </w:r>
          </w:p>
        </w:tc>
        <w:tc>
          <w:tcPr>
            <w:tcW w:w="2107" w:type="dxa"/>
          </w:tcPr>
          <w:p w:rsidR="00F828B4" w:rsidRPr="0059582E" w:rsidRDefault="00F828B4" w:rsidP="00EE4FA1">
            <w:pPr>
              <w:pStyle w:val="Healthbody"/>
              <w:spacing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Consumer and carer engagement and leadership with proposal</w:t>
            </w:r>
          </w:p>
        </w:tc>
        <w:tc>
          <w:tcPr>
            <w:tcW w:w="4998" w:type="dxa"/>
          </w:tcPr>
          <w:p w:rsidR="00F828B4" w:rsidRPr="0059582E" w:rsidRDefault="00F828B4" w:rsidP="00EE4FA1">
            <w:pPr>
              <w:pStyle w:val="Healthbody"/>
              <w:spacing w:after="0"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Demonstrate how consumers and carers have been fully engaged in the project design, prioritisation and may be involved in project implementation</w:t>
            </w:r>
            <w:r w:rsidR="005837B5" w:rsidRPr="0059582E">
              <w:rPr>
                <w:rFonts w:cs="Arial"/>
                <w:szCs w:val="20"/>
              </w:rPr>
              <w:t>.</w:t>
            </w:r>
          </w:p>
        </w:tc>
        <w:tc>
          <w:tcPr>
            <w:tcW w:w="1119" w:type="dxa"/>
          </w:tcPr>
          <w:p w:rsidR="003E5EF9" w:rsidRPr="0059582E" w:rsidRDefault="003E5EF9" w:rsidP="003E5EF9">
            <w:pPr>
              <w:pStyle w:val="Healthbody"/>
              <w:spacing w:line="240" w:lineRule="auto"/>
              <w:jc w:val="center"/>
              <w:rPr>
                <w:rFonts w:cs="Arial"/>
                <w:szCs w:val="20"/>
              </w:rPr>
            </w:pPr>
          </w:p>
          <w:p w:rsidR="00F828B4" w:rsidRPr="0059582E" w:rsidRDefault="00F828B4" w:rsidP="003E5EF9">
            <w:pPr>
              <w:pStyle w:val="Healthbody"/>
              <w:spacing w:line="240" w:lineRule="auto"/>
              <w:jc w:val="center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15%</w:t>
            </w:r>
          </w:p>
        </w:tc>
      </w:tr>
      <w:tr w:rsidR="00F828B4" w:rsidRPr="0059582E" w:rsidTr="00EE4FA1">
        <w:trPr>
          <w:gridAfter w:val="1"/>
          <w:wAfter w:w="12" w:type="dxa"/>
          <w:trHeight w:val="1968"/>
        </w:trPr>
        <w:tc>
          <w:tcPr>
            <w:tcW w:w="1508" w:type="dxa"/>
          </w:tcPr>
          <w:p w:rsidR="00F828B4" w:rsidRPr="0059582E" w:rsidRDefault="00F828B4" w:rsidP="00EE4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82E">
              <w:rPr>
                <w:rFonts w:ascii="Arial" w:hAnsi="Arial" w:cs="Arial"/>
                <w:b/>
                <w:sz w:val="20"/>
                <w:szCs w:val="20"/>
              </w:rPr>
              <w:t>Criterion 3</w:t>
            </w:r>
          </w:p>
        </w:tc>
        <w:tc>
          <w:tcPr>
            <w:tcW w:w="2107" w:type="dxa"/>
          </w:tcPr>
          <w:p w:rsidR="00F828B4" w:rsidRPr="0059582E" w:rsidRDefault="00F828B4" w:rsidP="00EE4FA1">
            <w:pPr>
              <w:pStyle w:val="Healthbody"/>
              <w:spacing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 xml:space="preserve">Facility improvement </w:t>
            </w:r>
          </w:p>
        </w:tc>
        <w:tc>
          <w:tcPr>
            <w:tcW w:w="4998" w:type="dxa"/>
          </w:tcPr>
          <w:p w:rsidR="00F828B4" w:rsidRPr="0059582E" w:rsidRDefault="00F828B4" w:rsidP="00EE4FA1">
            <w:pPr>
              <w:pStyle w:val="Healthbody"/>
              <w:spacing w:after="0"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Addresses poor quality aged amenity plus one or more of the following:</w:t>
            </w:r>
          </w:p>
          <w:p w:rsidR="00F828B4" w:rsidRPr="0059582E" w:rsidRDefault="00F828B4" w:rsidP="00EE4FA1">
            <w:pPr>
              <w:pStyle w:val="Healthbody"/>
              <w:spacing w:after="0"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• Meets contemporary practice, such as the conversion of double bedrooms into single rooms</w:t>
            </w:r>
            <w:r w:rsidR="00215ECD" w:rsidRPr="0059582E">
              <w:rPr>
                <w:rFonts w:cs="Arial"/>
                <w:szCs w:val="20"/>
              </w:rPr>
              <w:t>, remodelling mental health high dependency areas.</w:t>
            </w:r>
          </w:p>
          <w:p w:rsidR="00AA170A" w:rsidRPr="0059582E" w:rsidRDefault="00F828B4" w:rsidP="00EE4FA1">
            <w:pPr>
              <w:pStyle w:val="Healthbody"/>
              <w:spacing w:after="0"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• Improves safety, such as ligature risks, addressing gender safety needs</w:t>
            </w:r>
          </w:p>
          <w:p w:rsidR="00F828B4" w:rsidRPr="0059582E" w:rsidRDefault="00AA170A" w:rsidP="00EE4FA1">
            <w:pPr>
              <w:pStyle w:val="Healthbody"/>
              <w:spacing w:after="0"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•</w:t>
            </w:r>
            <w:r w:rsidR="00361CD0" w:rsidRPr="0059582E">
              <w:rPr>
                <w:rFonts w:cs="Arial"/>
                <w:szCs w:val="20"/>
              </w:rPr>
              <w:t xml:space="preserve"> Grants </w:t>
            </w:r>
            <w:r w:rsidR="00F828B4" w:rsidRPr="0059582E">
              <w:rPr>
                <w:rFonts w:cs="Arial"/>
                <w:szCs w:val="20"/>
              </w:rPr>
              <w:t>consumer swipe card access to rooms and/or facility</w:t>
            </w:r>
          </w:p>
          <w:p w:rsidR="00F828B4" w:rsidRPr="0059582E" w:rsidRDefault="00F828B4" w:rsidP="00EE4FA1">
            <w:pPr>
              <w:pStyle w:val="Healthbody"/>
              <w:spacing w:after="0"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 xml:space="preserve">• Provides improved amenity, e.g., upgrading unsafe and degraded outdoor/indoor spaces, </w:t>
            </w:r>
          </w:p>
          <w:p w:rsidR="00F828B4" w:rsidRPr="0059582E" w:rsidRDefault="00F828B4" w:rsidP="00EE4FA1">
            <w:pPr>
              <w:pStyle w:val="Healthbody"/>
              <w:spacing w:after="0"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• Improves the experience of service for consumers and carers</w:t>
            </w:r>
            <w:r w:rsidR="00215ECD" w:rsidRPr="0059582E">
              <w:rPr>
                <w:rFonts w:cs="Arial"/>
                <w:szCs w:val="20"/>
              </w:rPr>
              <w:t>.</w:t>
            </w:r>
          </w:p>
          <w:p w:rsidR="00F828B4" w:rsidRPr="0059582E" w:rsidRDefault="00F828B4" w:rsidP="00EE4FA1">
            <w:pPr>
              <w:pStyle w:val="Healthbody"/>
              <w:spacing w:after="0"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• Creates adaptable spaces for family and carers of all ages to spend time engaging with staff for support and visiting</w:t>
            </w:r>
          </w:p>
          <w:p w:rsidR="00F828B4" w:rsidRPr="0059582E" w:rsidRDefault="00F828B4" w:rsidP="00EE4FA1">
            <w:pPr>
              <w:pStyle w:val="Healthbody"/>
              <w:spacing w:after="0"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• Creates specific spaces for drug withdrawal to reduce distress to other consumers</w:t>
            </w:r>
            <w:r w:rsidR="00215ECD" w:rsidRPr="0059582E">
              <w:rPr>
                <w:rFonts w:cs="Arial"/>
                <w:szCs w:val="20"/>
              </w:rPr>
              <w:t>.</w:t>
            </w:r>
          </w:p>
        </w:tc>
        <w:tc>
          <w:tcPr>
            <w:tcW w:w="1119" w:type="dxa"/>
          </w:tcPr>
          <w:p w:rsidR="003E5EF9" w:rsidRPr="0059582E" w:rsidRDefault="003E5EF9" w:rsidP="003E5EF9">
            <w:pPr>
              <w:pStyle w:val="Healthbody"/>
              <w:spacing w:line="240" w:lineRule="auto"/>
              <w:jc w:val="center"/>
              <w:rPr>
                <w:rFonts w:cs="Arial"/>
                <w:szCs w:val="20"/>
              </w:rPr>
            </w:pPr>
          </w:p>
          <w:p w:rsidR="003E5EF9" w:rsidRPr="0059582E" w:rsidRDefault="003E5EF9" w:rsidP="003E5EF9">
            <w:pPr>
              <w:pStyle w:val="Healthbody"/>
              <w:spacing w:line="240" w:lineRule="auto"/>
              <w:jc w:val="center"/>
              <w:rPr>
                <w:rFonts w:cs="Arial"/>
                <w:szCs w:val="20"/>
              </w:rPr>
            </w:pPr>
          </w:p>
          <w:p w:rsidR="003E5EF9" w:rsidRPr="0059582E" w:rsidRDefault="003E5EF9" w:rsidP="003E5EF9">
            <w:pPr>
              <w:pStyle w:val="Healthbody"/>
              <w:spacing w:line="240" w:lineRule="auto"/>
              <w:jc w:val="center"/>
              <w:rPr>
                <w:rFonts w:cs="Arial"/>
                <w:szCs w:val="20"/>
              </w:rPr>
            </w:pPr>
          </w:p>
          <w:p w:rsidR="003E5EF9" w:rsidRPr="0059582E" w:rsidRDefault="003E5EF9" w:rsidP="00AA170A">
            <w:pPr>
              <w:pStyle w:val="Healthbody"/>
              <w:spacing w:line="240" w:lineRule="auto"/>
              <w:rPr>
                <w:rFonts w:cs="Arial"/>
                <w:szCs w:val="20"/>
              </w:rPr>
            </w:pPr>
          </w:p>
          <w:p w:rsidR="003E5EF9" w:rsidRPr="0059582E" w:rsidRDefault="003E5EF9" w:rsidP="003E5EF9">
            <w:pPr>
              <w:pStyle w:val="Healthbody"/>
              <w:spacing w:line="240" w:lineRule="auto"/>
              <w:jc w:val="center"/>
              <w:rPr>
                <w:rFonts w:cs="Arial"/>
                <w:szCs w:val="20"/>
              </w:rPr>
            </w:pPr>
          </w:p>
          <w:p w:rsidR="00F828B4" w:rsidRPr="0059582E" w:rsidRDefault="00F828B4" w:rsidP="003E5EF9">
            <w:pPr>
              <w:pStyle w:val="Healthbody"/>
              <w:spacing w:line="240" w:lineRule="auto"/>
              <w:jc w:val="center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3</w:t>
            </w:r>
            <w:r w:rsidR="00E40CD8" w:rsidRPr="0059582E">
              <w:rPr>
                <w:rFonts w:cs="Arial"/>
                <w:szCs w:val="20"/>
              </w:rPr>
              <w:t>0</w:t>
            </w:r>
            <w:r w:rsidRPr="0059582E">
              <w:rPr>
                <w:rFonts w:cs="Arial"/>
                <w:szCs w:val="20"/>
              </w:rPr>
              <w:t>%</w:t>
            </w:r>
          </w:p>
        </w:tc>
      </w:tr>
      <w:tr w:rsidR="00F828B4" w:rsidRPr="0059582E" w:rsidTr="003E5EF9">
        <w:trPr>
          <w:gridAfter w:val="1"/>
          <w:wAfter w:w="12" w:type="dxa"/>
          <w:trHeight w:val="1563"/>
        </w:trPr>
        <w:tc>
          <w:tcPr>
            <w:tcW w:w="1508" w:type="dxa"/>
          </w:tcPr>
          <w:p w:rsidR="00F828B4" w:rsidRPr="0059582E" w:rsidRDefault="00F828B4" w:rsidP="00EE4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82E">
              <w:rPr>
                <w:rFonts w:ascii="Arial" w:hAnsi="Arial" w:cs="Arial"/>
                <w:b/>
                <w:sz w:val="20"/>
                <w:szCs w:val="20"/>
              </w:rPr>
              <w:t>Criterion 4</w:t>
            </w:r>
          </w:p>
        </w:tc>
        <w:tc>
          <w:tcPr>
            <w:tcW w:w="2107" w:type="dxa"/>
          </w:tcPr>
          <w:p w:rsidR="00F828B4" w:rsidRPr="0059582E" w:rsidRDefault="00F828B4" w:rsidP="00EE4FA1">
            <w:pPr>
              <w:pStyle w:val="Healthbody"/>
              <w:spacing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Treatment outcomes</w:t>
            </w:r>
            <w:r w:rsidRPr="0059582E">
              <w:rPr>
                <w:rFonts w:cs="Arial"/>
                <w:szCs w:val="20"/>
                <w:highlight w:val="yellow"/>
              </w:rPr>
              <w:t xml:space="preserve"> </w:t>
            </w:r>
          </w:p>
          <w:p w:rsidR="00F828B4" w:rsidRPr="0059582E" w:rsidRDefault="00F828B4" w:rsidP="00EE4FA1">
            <w:pPr>
              <w:pStyle w:val="Healthbody"/>
              <w:spacing w:line="240" w:lineRule="auto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4998" w:type="dxa"/>
          </w:tcPr>
          <w:p w:rsidR="00EA1806" w:rsidRPr="0059582E" w:rsidRDefault="00EA1806" w:rsidP="00EA1806">
            <w:pPr>
              <w:pStyle w:val="Healthbody"/>
              <w:spacing w:after="0"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Effect on one or more of the following:</w:t>
            </w:r>
          </w:p>
          <w:p w:rsidR="00EA1806" w:rsidRPr="0059582E" w:rsidRDefault="00EA1806" w:rsidP="00EA1806">
            <w:pPr>
              <w:pStyle w:val="DHHSbody"/>
              <w:spacing w:after="0" w:line="240" w:lineRule="auto"/>
              <w:rPr>
                <w:rFonts w:eastAsia="MS Mincho" w:cs="Arial"/>
              </w:rPr>
            </w:pPr>
            <w:r w:rsidRPr="0059582E">
              <w:rPr>
                <w:rFonts w:cs="Arial"/>
              </w:rPr>
              <w:t>• Reduces restrictive or inappropriate env</w:t>
            </w:r>
            <w:r w:rsidR="00215ECD" w:rsidRPr="0059582E">
              <w:rPr>
                <w:rFonts w:cs="Arial"/>
              </w:rPr>
              <w:t>ironments for clients or staff.</w:t>
            </w:r>
          </w:p>
          <w:p w:rsidR="00EA1806" w:rsidRPr="0059582E" w:rsidRDefault="00EA1806" w:rsidP="00EA180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59582E">
              <w:rPr>
                <w:rFonts w:ascii="Arial" w:eastAsia="MS Mincho" w:hAnsi="Arial" w:cs="Arial"/>
                <w:sz w:val="20"/>
                <w:szCs w:val="20"/>
              </w:rPr>
              <w:t>• Improves consumer health and wellbeing and addresses the incidence of suicide / near misses</w:t>
            </w:r>
          </w:p>
          <w:p w:rsidR="00EA1806" w:rsidRPr="0059582E" w:rsidRDefault="00EA1806" w:rsidP="00EA180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59582E">
              <w:rPr>
                <w:rFonts w:ascii="Arial" w:eastAsia="MS Mincho" w:hAnsi="Arial" w:cs="Arial"/>
                <w:sz w:val="20"/>
                <w:szCs w:val="20"/>
              </w:rPr>
              <w:t>• Improves access to the “right care right time”</w:t>
            </w:r>
          </w:p>
          <w:p w:rsidR="00EA1806" w:rsidRPr="0059582E" w:rsidRDefault="00EA1806" w:rsidP="00EA180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59582E">
              <w:rPr>
                <w:rFonts w:ascii="Arial" w:eastAsia="MS Mincho" w:hAnsi="Arial" w:cs="Arial"/>
                <w:sz w:val="20"/>
                <w:szCs w:val="20"/>
              </w:rPr>
              <w:t>• Addresses service fragmentation</w:t>
            </w:r>
          </w:p>
          <w:p w:rsidR="00EA1806" w:rsidRPr="0059582E" w:rsidRDefault="00EA1806" w:rsidP="00EA1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82E">
              <w:rPr>
                <w:rFonts w:ascii="Arial" w:hAnsi="Arial" w:cs="Arial"/>
                <w:sz w:val="20"/>
                <w:szCs w:val="20"/>
              </w:rPr>
              <w:t>• Improves local service options to meet best practice, support individual recovery and reduce readmission rates</w:t>
            </w:r>
          </w:p>
          <w:p w:rsidR="00F828B4" w:rsidRPr="0059582E" w:rsidRDefault="00EA1806" w:rsidP="00215E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82E">
              <w:rPr>
                <w:rFonts w:ascii="Arial" w:hAnsi="Arial" w:cs="Arial"/>
                <w:sz w:val="20"/>
                <w:szCs w:val="20"/>
              </w:rPr>
              <w:t>•Address client physical health needs, e.g., through exercise or mobility areas</w:t>
            </w:r>
          </w:p>
        </w:tc>
        <w:tc>
          <w:tcPr>
            <w:tcW w:w="1119" w:type="dxa"/>
          </w:tcPr>
          <w:p w:rsidR="003E5EF9" w:rsidRPr="0059582E" w:rsidRDefault="003E5EF9" w:rsidP="003E5EF9">
            <w:pPr>
              <w:pStyle w:val="Healthbody"/>
              <w:spacing w:line="240" w:lineRule="auto"/>
              <w:jc w:val="center"/>
              <w:rPr>
                <w:rFonts w:cs="Arial"/>
                <w:szCs w:val="20"/>
              </w:rPr>
            </w:pPr>
          </w:p>
          <w:p w:rsidR="003E5EF9" w:rsidRPr="0059582E" w:rsidRDefault="003E5EF9" w:rsidP="003E5EF9">
            <w:pPr>
              <w:pStyle w:val="Healthbody"/>
              <w:spacing w:line="240" w:lineRule="auto"/>
              <w:jc w:val="center"/>
              <w:rPr>
                <w:rFonts w:cs="Arial"/>
                <w:szCs w:val="20"/>
              </w:rPr>
            </w:pPr>
          </w:p>
          <w:p w:rsidR="00F828B4" w:rsidRPr="0059582E" w:rsidRDefault="00E40CD8" w:rsidP="003E5EF9">
            <w:pPr>
              <w:pStyle w:val="Healthbody"/>
              <w:spacing w:line="240" w:lineRule="auto"/>
              <w:jc w:val="center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35</w:t>
            </w:r>
            <w:r w:rsidR="00F828B4" w:rsidRPr="0059582E">
              <w:rPr>
                <w:rFonts w:cs="Arial"/>
                <w:szCs w:val="20"/>
              </w:rPr>
              <w:t>%</w:t>
            </w:r>
          </w:p>
        </w:tc>
      </w:tr>
      <w:tr w:rsidR="00894316" w:rsidRPr="0059582E" w:rsidTr="00195022">
        <w:trPr>
          <w:gridAfter w:val="1"/>
          <w:wAfter w:w="12" w:type="dxa"/>
          <w:trHeight w:val="1425"/>
        </w:trPr>
        <w:tc>
          <w:tcPr>
            <w:tcW w:w="1508" w:type="dxa"/>
          </w:tcPr>
          <w:p w:rsidR="00894316" w:rsidRPr="0059582E" w:rsidRDefault="00894316" w:rsidP="00EE4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82E">
              <w:rPr>
                <w:rFonts w:ascii="Arial" w:hAnsi="Arial" w:cs="Arial"/>
                <w:b/>
                <w:sz w:val="20"/>
                <w:szCs w:val="20"/>
              </w:rPr>
              <w:t>Criterion 5</w:t>
            </w:r>
          </w:p>
        </w:tc>
        <w:tc>
          <w:tcPr>
            <w:tcW w:w="2107" w:type="dxa"/>
          </w:tcPr>
          <w:p w:rsidR="00894316" w:rsidRPr="0059582E" w:rsidRDefault="00894316" w:rsidP="00EE4FA1">
            <w:pPr>
              <w:pStyle w:val="Healthbody"/>
              <w:spacing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Project readiness and Governance</w:t>
            </w:r>
          </w:p>
        </w:tc>
        <w:tc>
          <w:tcPr>
            <w:tcW w:w="4998" w:type="dxa"/>
          </w:tcPr>
          <w:p w:rsidR="00894316" w:rsidRPr="0059582E" w:rsidRDefault="00894316" w:rsidP="00EE4FA1">
            <w:pPr>
              <w:pStyle w:val="Healthbody"/>
              <w:spacing w:line="240" w:lineRule="auto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The degree to which health service/agency governance structures and processes are in place to oversee the proposed project readiness, development, implementation, monitoring and reporting.</w:t>
            </w:r>
          </w:p>
        </w:tc>
        <w:tc>
          <w:tcPr>
            <w:tcW w:w="1119" w:type="dxa"/>
          </w:tcPr>
          <w:p w:rsidR="00894316" w:rsidRPr="0059582E" w:rsidRDefault="00894316" w:rsidP="003E5EF9">
            <w:pPr>
              <w:pStyle w:val="Healthbody"/>
              <w:spacing w:line="240" w:lineRule="auto"/>
              <w:jc w:val="center"/>
              <w:rPr>
                <w:rFonts w:cs="Arial"/>
                <w:szCs w:val="20"/>
              </w:rPr>
            </w:pPr>
          </w:p>
          <w:p w:rsidR="00894316" w:rsidRPr="0059582E" w:rsidRDefault="00894316" w:rsidP="003E5EF9">
            <w:pPr>
              <w:pStyle w:val="Healthbody"/>
              <w:spacing w:line="240" w:lineRule="auto"/>
              <w:jc w:val="center"/>
              <w:rPr>
                <w:rFonts w:cs="Arial"/>
                <w:szCs w:val="20"/>
              </w:rPr>
            </w:pPr>
          </w:p>
          <w:p w:rsidR="00894316" w:rsidRPr="0059582E" w:rsidRDefault="00894316" w:rsidP="00894316">
            <w:pPr>
              <w:pStyle w:val="Healthbody"/>
              <w:spacing w:line="240" w:lineRule="auto"/>
              <w:jc w:val="center"/>
              <w:rPr>
                <w:rFonts w:cs="Arial"/>
                <w:szCs w:val="20"/>
              </w:rPr>
            </w:pPr>
            <w:r w:rsidRPr="0059582E">
              <w:rPr>
                <w:rFonts w:cs="Arial"/>
                <w:szCs w:val="20"/>
              </w:rPr>
              <w:t>5%</w:t>
            </w:r>
          </w:p>
        </w:tc>
      </w:tr>
    </w:tbl>
    <w:p w:rsidR="00F828B4" w:rsidRDefault="00F828B4" w:rsidP="00F828B4">
      <w:pPr>
        <w:pStyle w:val="Heading1"/>
        <w:spacing w:before="0" w:after="120" w:line="220" w:lineRule="atLeast"/>
        <w:rPr>
          <w:rFonts w:cs="Times New Roman"/>
          <w:b/>
          <w:bCs w:val="0"/>
          <w:kern w:val="0"/>
          <w:sz w:val="24"/>
          <w:szCs w:val="24"/>
        </w:rPr>
      </w:pPr>
    </w:p>
    <w:p w:rsidR="00F828B4" w:rsidRDefault="00F828B4" w:rsidP="00F828B4">
      <w:pPr>
        <w:spacing w:after="0" w:line="240" w:lineRule="auto"/>
        <w:rPr>
          <w:rFonts w:ascii="Arial" w:eastAsia="MS Gothic" w:hAnsi="Arial"/>
          <w:b/>
          <w:color w:val="D50032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61AAC" w:rsidRDefault="00261AAC" w:rsidP="00F828B4">
      <w:pPr>
        <w:pStyle w:val="Heading1"/>
        <w:spacing w:before="0" w:after="120" w:line="220" w:lineRule="atLeast"/>
        <w:rPr>
          <w:rFonts w:cs="Times New Roman"/>
          <w:b/>
          <w:bCs w:val="0"/>
          <w:kern w:val="0"/>
          <w:sz w:val="24"/>
          <w:szCs w:val="24"/>
        </w:rPr>
      </w:pPr>
    </w:p>
    <w:p w:rsidR="00F828B4" w:rsidRPr="002A629A" w:rsidRDefault="00F828B4" w:rsidP="00F828B4">
      <w:pPr>
        <w:pStyle w:val="Heading1"/>
        <w:spacing w:before="0" w:after="120" w:line="220" w:lineRule="atLeast"/>
        <w:rPr>
          <w:rFonts w:cs="Times New Roman"/>
          <w:b/>
          <w:bCs w:val="0"/>
          <w:kern w:val="0"/>
          <w:sz w:val="24"/>
          <w:szCs w:val="24"/>
        </w:rPr>
      </w:pPr>
      <w:r w:rsidRPr="002A629A">
        <w:rPr>
          <w:rFonts w:cs="Times New Roman"/>
          <w:b/>
          <w:bCs w:val="0"/>
          <w:kern w:val="0"/>
          <w:sz w:val="24"/>
          <w:szCs w:val="24"/>
        </w:rPr>
        <w:t>Appendix 2 - Construction Projects in Victoria - References and Links</w:t>
      </w:r>
    </w:p>
    <w:p w:rsidR="00F828B4" w:rsidRDefault="00F828B4" w:rsidP="00F828B4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3606B">
        <w:rPr>
          <w:rFonts w:ascii="Arial" w:hAnsi="Arial" w:cs="Arial"/>
          <w:b/>
          <w:sz w:val="20"/>
          <w:szCs w:val="20"/>
        </w:rPr>
        <w:t>Some Useful links</w:t>
      </w:r>
      <w:r w:rsidRPr="00BA51B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7E83">
        <w:rPr>
          <w:rFonts w:ascii="Arial" w:hAnsi="Arial" w:cs="Arial"/>
          <w:sz w:val="20"/>
          <w:szCs w:val="20"/>
        </w:rPr>
        <w:t>The following sites provide an ov</w:t>
      </w:r>
      <w:r>
        <w:rPr>
          <w:rFonts w:ascii="Arial" w:hAnsi="Arial" w:cs="Arial"/>
          <w:sz w:val="20"/>
          <w:szCs w:val="20"/>
        </w:rPr>
        <w:t>erview of the requirements for g</w:t>
      </w:r>
      <w:r w:rsidRPr="00F87E83">
        <w:rPr>
          <w:rFonts w:ascii="Arial" w:hAnsi="Arial" w:cs="Arial"/>
          <w:sz w:val="20"/>
          <w:szCs w:val="20"/>
        </w:rPr>
        <w:t>overnment funded projects in Victoria.</w:t>
      </w:r>
    </w:p>
    <w:p w:rsidR="00F828B4" w:rsidRDefault="00F828B4" w:rsidP="00F828B4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F828B4" w:rsidRPr="00824A56" w:rsidRDefault="00F828B4" w:rsidP="00F828B4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Australasian Health Facility </w:t>
      </w:r>
      <w:r w:rsidRPr="00824A56">
        <w:rPr>
          <w:rFonts w:ascii="Arial" w:hAnsi="Arial" w:cs="Arial"/>
          <w:b/>
          <w:sz w:val="20"/>
          <w:szCs w:val="20"/>
        </w:rPr>
        <w:t>Guidelines</w:t>
      </w:r>
    </w:p>
    <w:p w:rsidR="00F828B4" w:rsidRDefault="00A25C81" w:rsidP="00F828B4">
      <w:pPr>
        <w:spacing w:before="120" w:after="40" w:line="360" w:lineRule="auto"/>
        <w:ind w:left="1134"/>
        <w:rPr>
          <w:rStyle w:val="Hyperlink"/>
          <w:rFonts w:ascii="Arial" w:hAnsi="Arial" w:cs="Arial"/>
          <w:sz w:val="16"/>
          <w:szCs w:val="16"/>
        </w:rPr>
      </w:pPr>
      <w:hyperlink r:id="rId10" w:history="1">
        <w:r w:rsidR="00F828B4" w:rsidRPr="00055022">
          <w:rPr>
            <w:rStyle w:val="Hyperlink"/>
            <w:rFonts w:ascii="Arial" w:hAnsi="Arial" w:cs="Arial"/>
            <w:sz w:val="16"/>
            <w:szCs w:val="16"/>
          </w:rPr>
          <w:t>https://healthfacilityguidelines.com.au/</w:t>
        </w:r>
      </w:hyperlink>
    </w:p>
    <w:p w:rsidR="00F828B4" w:rsidRPr="00F87E83" w:rsidRDefault="00F828B4" w:rsidP="00F828B4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F828B4" w:rsidRDefault="00F828B4" w:rsidP="00F828B4">
      <w:pPr>
        <w:spacing w:before="40" w:after="4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AE7564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Australian Government Fair Work Building and Construction Code</w:t>
      </w:r>
    </w:p>
    <w:p w:rsidR="004B2408" w:rsidRDefault="00A25C81" w:rsidP="0059582E">
      <w:pPr>
        <w:spacing w:before="40" w:after="40" w:line="240" w:lineRule="auto"/>
        <w:ind w:left="1134"/>
        <w:rPr>
          <w:rStyle w:val="Hyperlink"/>
        </w:rPr>
      </w:pPr>
      <w:hyperlink r:id="rId11" w:history="1">
        <w:r w:rsidR="00F828B4" w:rsidRPr="00055022">
          <w:rPr>
            <w:rStyle w:val="Hyperlink"/>
            <w:rFonts w:ascii="Arial" w:hAnsi="Arial" w:cs="Arial"/>
            <w:sz w:val="16"/>
            <w:szCs w:val="16"/>
          </w:rPr>
          <w:t>https://www.fwbc.gov.au/building-code</w:t>
        </w:r>
      </w:hyperlink>
      <w:r w:rsidR="00F828B4" w:rsidRPr="00055022">
        <w:rPr>
          <w:rStyle w:val="Hyperlink"/>
        </w:rPr>
        <w:t xml:space="preserve"> </w:t>
      </w:r>
    </w:p>
    <w:p w:rsidR="004B2408" w:rsidRPr="0059582E" w:rsidRDefault="004B2408" w:rsidP="004B2408">
      <w:pPr>
        <w:spacing w:before="40" w:after="40" w:line="240" w:lineRule="auto"/>
        <w:ind w:left="1134"/>
        <w:rPr>
          <w:rStyle w:val="Hyperlink"/>
          <w:rFonts w:ascii="Arial" w:hAnsi="Arial" w:cs="Arial"/>
          <w:sz w:val="16"/>
          <w:szCs w:val="16"/>
        </w:rPr>
      </w:pPr>
      <w:r w:rsidRPr="0059582E">
        <w:rPr>
          <w:rStyle w:val="Hyperlink"/>
          <w:rFonts w:ascii="Arial" w:hAnsi="Arial" w:cs="Arial"/>
          <w:sz w:val="16"/>
          <w:szCs w:val="16"/>
        </w:rPr>
        <w:t>https://www.abcc.gov.au/building-code</w:t>
      </w:r>
    </w:p>
    <w:p w:rsidR="00F828B4" w:rsidRPr="00AE7564" w:rsidRDefault="00F828B4" w:rsidP="00F828B4">
      <w:pPr>
        <w:spacing w:before="40" w:after="4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F828B4" w:rsidRPr="00A8415B" w:rsidRDefault="00F828B4" w:rsidP="00F828B4">
      <w:pPr>
        <w:spacing w:before="40" w:after="4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Department of Health and</w:t>
      </w:r>
      <w:r w:rsidRPr="00A8415B">
        <w:rPr>
          <w:rFonts w:ascii="Arial" w:hAnsi="Arial" w:cs="Arial"/>
          <w:b/>
          <w:sz w:val="20"/>
          <w:szCs w:val="20"/>
        </w:rPr>
        <w:t xml:space="preserve"> Human Services Website</w:t>
      </w:r>
    </w:p>
    <w:p w:rsidR="00F828B4" w:rsidRPr="000130D2" w:rsidRDefault="00F828B4" w:rsidP="00F828B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30D2">
        <w:rPr>
          <w:rFonts w:ascii="Arial" w:hAnsi="Arial" w:cs="Arial"/>
          <w:b/>
          <w:sz w:val="20"/>
          <w:szCs w:val="20"/>
        </w:rPr>
        <w:t>Capital Development Guidelines, Essential Services Guidelines, Property Management</w:t>
      </w:r>
    </w:p>
    <w:p w:rsidR="00F828B4" w:rsidRPr="00055022" w:rsidRDefault="00A25C81" w:rsidP="00F828B4">
      <w:pPr>
        <w:spacing w:before="120" w:after="40" w:line="240" w:lineRule="auto"/>
        <w:ind w:left="1134"/>
        <w:rPr>
          <w:rStyle w:val="Hyperlink"/>
          <w:rFonts w:ascii="Arial" w:hAnsi="Arial" w:cs="Arial"/>
          <w:sz w:val="16"/>
          <w:szCs w:val="16"/>
        </w:rPr>
      </w:pPr>
      <w:hyperlink r:id="rId12" w:history="1">
        <w:r w:rsidR="00F828B4" w:rsidRPr="00055022">
          <w:rPr>
            <w:rStyle w:val="Hyperlink"/>
            <w:rFonts w:ascii="Arial" w:hAnsi="Arial" w:cs="Arial"/>
            <w:sz w:val="16"/>
            <w:szCs w:val="16"/>
          </w:rPr>
          <w:t>http://www.capital.health.vic.gov.au/</w:t>
        </w:r>
      </w:hyperlink>
      <w:r w:rsidR="00F828B4" w:rsidRPr="00055022">
        <w:rPr>
          <w:rStyle w:val="Hyperlink"/>
          <w:rFonts w:ascii="Arial" w:hAnsi="Arial" w:cs="Arial"/>
          <w:sz w:val="16"/>
          <w:szCs w:val="16"/>
        </w:rPr>
        <w:t xml:space="preserve"> </w:t>
      </w:r>
    </w:p>
    <w:p w:rsidR="00F828B4" w:rsidRPr="00B17751" w:rsidRDefault="00F828B4" w:rsidP="00F828B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751">
        <w:rPr>
          <w:rFonts w:ascii="Arial" w:hAnsi="Arial" w:cs="Arial"/>
          <w:b/>
          <w:sz w:val="20"/>
          <w:szCs w:val="20"/>
        </w:rPr>
        <w:t>Design Guidelines for Hospitals and Day Procedure Centres</w:t>
      </w:r>
    </w:p>
    <w:p w:rsidR="00F828B4" w:rsidRPr="00055022" w:rsidRDefault="00A25C81" w:rsidP="00F828B4">
      <w:pPr>
        <w:spacing w:before="120" w:after="40" w:line="240" w:lineRule="auto"/>
        <w:ind w:left="1134"/>
        <w:jc w:val="both"/>
        <w:rPr>
          <w:rStyle w:val="Hyperlink"/>
        </w:rPr>
      </w:pPr>
      <w:hyperlink r:id="rId13" w:history="1">
        <w:r w:rsidR="00F828B4" w:rsidRPr="00055022">
          <w:rPr>
            <w:rStyle w:val="Hyperlink"/>
            <w:rFonts w:ascii="Arial" w:hAnsi="Arial" w:cs="Arial"/>
            <w:sz w:val="16"/>
            <w:szCs w:val="16"/>
          </w:rPr>
          <w:t>http://healthdesign.com.au/vic.dghdp/</w:t>
        </w:r>
      </w:hyperlink>
      <w:r w:rsidR="00F828B4" w:rsidRPr="00055022">
        <w:rPr>
          <w:rStyle w:val="Hyperlink"/>
          <w:rFonts w:ascii="Arial" w:hAnsi="Arial" w:cs="Arial"/>
          <w:sz w:val="16"/>
          <w:szCs w:val="16"/>
        </w:rPr>
        <w:t xml:space="preserve"> </w:t>
      </w:r>
    </w:p>
    <w:p w:rsidR="00F828B4" w:rsidRPr="00B17751" w:rsidRDefault="00F828B4" w:rsidP="00F828B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7751">
        <w:rPr>
          <w:rFonts w:ascii="Arial" w:hAnsi="Arial" w:cs="Arial"/>
          <w:b/>
          <w:sz w:val="20"/>
          <w:szCs w:val="20"/>
        </w:rPr>
        <w:t>Fire Risk Management Unit</w:t>
      </w:r>
    </w:p>
    <w:p w:rsidR="00F828B4" w:rsidRDefault="00A25C81" w:rsidP="00F828B4">
      <w:pPr>
        <w:spacing w:before="120" w:after="40" w:line="240" w:lineRule="auto"/>
        <w:ind w:left="1134"/>
        <w:rPr>
          <w:rStyle w:val="Hyperlink"/>
          <w:rFonts w:ascii="Arial" w:hAnsi="Arial" w:cs="Arial"/>
          <w:sz w:val="16"/>
          <w:szCs w:val="16"/>
        </w:rPr>
      </w:pPr>
      <w:hyperlink r:id="rId14" w:history="1">
        <w:r w:rsidR="00F828B4" w:rsidRPr="00055022">
          <w:rPr>
            <w:rStyle w:val="Hyperlink"/>
            <w:rFonts w:ascii="Arial" w:hAnsi="Arial" w:cs="Arial"/>
            <w:sz w:val="16"/>
            <w:szCs w:val="16"/>
          </w:rPr>
          <w:t>http://www.dhs.vic.gov.au/about-the-department/our-organisation/organisational-structure/our-groups/fire-risk-management-unit</w:t>
        </w:r>
      </w:hyperlink>
    </w:p>
    <w:p w:rsidR="004B2408" w:rsidRDefault="004B2408" w:rsidP="004B2408">
      <w:pPr>
        <w:spacing w:before="120" w:after="40" w:line="240" w:lineRule="auto"/>
        <w:ind w:left="1134"/>
        <w:rPr>
          <w:rStyle w:val="Hyperlink"/>
          <w:rFonts w:ascii="Arial" w:hAnsi="Arial" w:cs="Arial"/>
          <w:sz w:val="16"/>
          <w:szCs w:val="16"/>
        </w:rPr>
      </w:pPr>
      <w:r w:rsidRPr="00BD6248">
        <w:rPr>
          <w:rStyle w:val="Hyperlink"/>
          <w:rFonts w:ascii="Arial" w:hAnsi="Arial" w:cs="Arial"/>
          <w:sz w:val="16"/>
          <w:szCs w:val="16"/>
        </w:rPr>
        <w:t>https://dhhs.vic.gov.au/fire-risk-management-unit</w:t>
      </w:r>
    </w:p>
    <w:p w:rsidR="00F828B4" w:rsidRPr="00865B0B" w:rsidRDefault="00F828B4" w:rsidP="00F828B4">
      <w:pPr>
        <w:pStyle w:val="ListParagraph"/>
        <w:numPr>
          <w:ilvl w:val="0"/>
          <w:numId w:val="32"/>
        </w:numPr>
        <w:spacing w:before="120" w:after="40" w:line="360" w:lineRule="auto"/>
        <w:rPr>
          <w:rFonts w:ascii="Arial" w:hAnsi="Arial" w:cs="Arial"/>
          <w:b/>
          <w:sz w:val="20"/>
          <w:szCs w:val="20"/>
        </w:rPr>
      </w:pPr>
      <w:r w:rsidRPr="00865B0B">
        <w:rPr>
          <w:rFonts w:ascii="Arial" w:hAnsi="Arial" w:cs="Arial"/>
          <w:b/>
          <w:sz w:val="20"/>
          <w:szCs w:val="20"/>
        </w:rPr>
        <w:t>Medical Equipment and asset management</w:t>
      </w:r>
    </w:p>
    <w:p w:rsidR="00F828B4" w:rsidRPr="00035E2D" w:rsidRDefault="00A25C81" w:rsidP="00F828B4">
      <w:pPr>
        <w:pStyle w:val="ListParagraph"/>
        <w:spacing w:before="120" w:after="40" w:line="240" w:lineRule="auto"/>
        <w:ind w:left="1004"/>
        <w:rPr>
          <w:rFonts w:ascii="Arial" w:hAnsi="Arial" w:cs="Arial"/>
          <w:sz w:val="16"/>
          <w:szCs w:val="16"/>
        </w:rPr>
      </w:pPr>
      <w:hyperlink r:id="rId15" w:history="1">
        <w:r w:rsidR="00F828B4" w:rsidRPr="00865B0B">
          <w:rPr>
            <w:rStyle w:val="Hyperlink"/>
            <w:rFonts w:ascii="Arial" w:hAnsi="Arial" w:cs="Arial"/>
            <w:sz w:val="16"/>
            <w:szCs w:val="16"/>
          </w:rPr>
          <w:t>https://www2.health.vic.gov.au/about/publications/policiesandguidelines/medical-equipment-asset-management-framework-part-c</w:t>
        </w:r>
      </w:hyperlink>
    </w:p>
    <w:p w:rsidR="00F828B4" w:rsidRPr="00055022" w:rsidRDefault="00F828B4" w:rsidP="00F828B4">
      <w:pPr>
        <w:spacing w:before="40" w:after="40" w:line="240" w:lineRule="auto"/>
        <w:ind w:left="349"/>
        <w:rPr>
          <w:rStyle w:val="Hyperlink"/>
          <w:rFonts w:ascii="Arial" w:hAnsi="Arial" w:cs="Arial"/>
          <w:sz w:val="16"/>
          <w:szCs w:val="16"/>
        </w:rPr>
      </w:pPr>
    </w:p>
    <w:p w:rsidR="00F828B4" w:rsidRDefault="00F828B4" w:rsidP="00F828B4">
      <w:pPr>
        <w:spacing w:after="0"/>
        <w:ind w:left="284"/>
        <w:rPr>
          <w:rFonts w:ascii="Arial" w:hAnsi="Arial" w:cs="Arial"/>
          <w:b/>
          <w:sz w:val="20"/>
          <w:szCs w:val="20"/>
        </w:rPr>
      </w:pPr>
    </w:p>
    <w:p w:rsidR="00F828B4" w:rsidRDefault="00F828B4" w:rsidP="00F828B4">
      <w:pPr>
        <w:spacing w:before="40" w:after="40" w:line="240" w:lineRule="auto"/>
        <w:ind w:left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Department of Treasury and</w:t>
      </w:r>
      <w:r w:rsidRPr="002205F8">
        <w:rPr>
          <w:rFonts w:ascii="Arial" w:hAnsi="Arial" w:cs="Arial"/>
          <w:b/>
          <w:sz w:val="20"/>
          <w:szCs w:val="20"/>
        </w:rPr>
        <w:t xml:space="preserve"> Finance website</w:t>
      </w:r>
    </w:p>
    <w:p w:rsidR="00F828B4" w:rsidRDefault="00F828B4" w:rsidP="00F828B4">
      <w:pPr>
        <w:spacing w:before="40" w:after="40" w:line="240" w:lineRule="auto"/>
        <w:ind w:left="349"/>
        <w:rPr>
          <w:rFonts w:ascii="Arial" w:hAnsi="Arial" w:cs="Arial"/>
          <w:b/>
          <w:sz w:val="20"/>
          <w:szCs w:val="20"/>
        </w:rPr>
      </w:pPr>
      <w:r w:rsidRPr="00824A56">
        <w:rPr>
          <w:rFonts w:ascii="Arial" w:hAnsi="Arial" w:cs="Arial"/>
          <w:sz w:val="20"/>
          <w:szCs w:val="20"/>
        </w:rPr>
        <w:t>The Project Development and Construction Management Act 1994 provide the overarching legislation under which public construction in Victoria is carried out.  Section 30 of this Act provides that</w:t>
      </w:r>
      <w:r w:rsidRPr="00824A56">
        <w:rPr>
          <w:rFonts w:ascii="Arial" w:hAnsi="Arial" w:cs="Arial"/>
          <w:i/>
          <w:sz w:val="20"/>
          <w:szCs w:val="20"/>
        </w:rPr>
        <w:t xml:space="preserve"> “The Minister may issue written directions, not inconsistent with any other Act or statutory rule, relating to public construction”.  </w:t>
      </w:r>
    </w:p>
    <w:p w:rsidR="00F828B4" w:rsidRPr="002205F8" w:rsidRDefault="00F828B4" w:rsidP="00F828B4">
      <w:pPr>
        <w:pStyle w:val="ListParagraph"/>
        <w:numPr>
          <w:ilvl w:val="0"/>
          <w:numId w:val="31"/>
        </w:numPr>
        <w:spacing w:before="40" w:after="40" w:line="240" w:lineRule="auto"/>
        <w:rPr>
          <w:rFonts w:ascii="Arial" w:hAnsi="Arial" w:cs="Arial"/>
          <w:b/>
          <w:sz w:val="20"/>
          <w:szCs w:val="20"/>
        </w:rPr>
      </w:pPr>
      <w:r w:rsidRPr="002205F8">
        <w:rPr>
          <w:rFonts w:ascii="Arial" w:hAnsi="Arial" w:cs="Arial"/>
          <w:b/>
          <w:sz w:val="20"/>
          <w:szCs w:val="20"/>
        </w:rPr>
        <w:t>Delivery of government funded projects in Victoria</w:t>
      </w:r>
    </w:p>
    <w:p w:rsidR="00F828B4" w:rsidRPr="00980554" w:rsidRDefault="00A25C81" w:rsidP="00F828B4">
      <w:pPr>
        <w:spacing w:before="120" w:after="40" w:line="240" w:lineRule="auto"/>
        <w:ind w:left="1134"/>
        <w:rPr>
          <w:rFonts w:ascii="Arial" w:hAnsi="Arial" w:cs="Arial"/>
          <w:sz w:val="16"/>
          <w:szCs w:val="16"/>
        </w:rPr>
      </w:pPr>
      <w:hyperlink r:id="rId16" w:history="1">
        <w:r w:rsidR="00F828B4" w:rsidRPr="00055022">
          <w:rPr>
            <w:rStyle w:val="Hyperlink"/>
            <w:rFonts w:ascii="Arial" w:hAnsi="Arial" w:cs="Arial"/>
            <w:sz w:val="16"/>
            <w:szCs w:val="16"/>
          </w:rPr>
          <w:t>http://www.dtf.vic.gov.au/Infrastructure-Delivery/Public-construction-policy-and-resources</w:t>
        </w:r>
      </w:hyperlink>
      <w:r w:rsidR="00F828B4" w:rsidRPr="00980554">
        <w:rPr>
          <w:rFonts w:ascii="Arial" w:hAnsi="Arial" w:cs="Arial"/>
          <w:sz w:val="16"/>
          <w:szCs w:val="16"/>
        </w:rPr>
        <w:t xml:space="preserve"> </w:t>
      </w:r>
    </w:p>
    <w:p w:rsidR="00F828B4" w:rsidRDefault="00F828B4" w:rsidP="00F828B4">
      <w:pPr>
        <w:pStyle w:val="ListParagraph"/>
        <w:numPr>
          <w:ilvl w:val="0"/>
          <w:numId w:val="31"/>
        </w:numPr>
        <w:spacing w:before="40" w:after="40" w:line="240" w:lineRule="auto"/>
        <w:ind w:left="1134"/>
      </w:pPr>
      <w:r w:rsidRPr="002A629A">
        <w:rPr>
          <w:rFonts w:ascii="Arial" w:hAnsi="Arial" w:cs="Arial"/>
          <w:b/>
          <w:sz w:val="20"/>
          <w:szCs w:val="20"/>
        </w:rPr>
        <w:t>Ministerial Direction 1: Tendering Provisions for Public Construction</w:t>
      </w:r>
    </w:p>
    <w:p w:rsidR="00F828B4" w:rsidRPr="00055022" w:rsidRDefault="00A25C81" w:rsidP="00F828B4">
      <w:pPr>
        <w:spacing w:before="120" w:after="40" w:line="240" w:lineRule="auto"/>
        <w:ind w:left="1134"/>
        <w:rPr>
          <w:rStyle w:val="Hyperlink"/>
          <w:rFonts w:ascii="Arial" w:hAnsi="Arial" w:cs="Arial"/>
          <w:sz w:val="16"/>
          <w:szCs w:val="16"/>
        </w:rPr>
      </w:pPr>
      <w:hyperlink r:id="rId17" w:history="1">
        <w:r w:rsidR="00F828B4" w:rsidRPr="00055022">
          <w:rPr>
            <w:rStyle w:val="Hyperlink"/>
            <w:rFonts w:ascii="Arial" w:hAnsi="Arial" w:cs="Arial"/>
            <w:sz w:val="16"/>
            <w:szCs w:val="16"/>
          </w:rPr>
          <w:t>http://www.dtf.vic.gov.au/Publications/Infrastructure-Delivery-publications/Public-Construction-Policy/Ministerial-Direction-No-1-Tendering-Provisions-for-Public-Construction</w:t>
        </w:r>
      </w:hyperlink>
      <w:r w:rsidR="00F828B4" w:rsidRPr="00055022">
        <w:rPr>
          <w:rStyle w:val="Hyperlink"/>
          <w:rFonts w:ascii="Arial" w:hAnsi="Arial" w:cs="Arial"/>
          <w:sz w:val="16"/>
          <w:szCs w:val="16"/>
        </w:rPr>
        <w:t xml:space="preserve"> </w:t>
      </w:r>
    </w:p>
    <w:p w:rsidR="00F828B4" w:rsidRPr="002205F8" w:rsidRDefault="00F828B4" w:rsidP="00F828B4">
      <w:pPr>
        <w:pStyle w:val="ListParagraph"/>
        <w:numPr>
          <w:ilvl w:val="0"/>
          <w:numId w:val="31"/>
        </w:numPr>
        <w:spacing w:before="40" w:after="40" w:line="240" w:lineRule="auto"/>
        <w:rPr>
          <w:rFonts w:ascii="Arial" w:hAnsi="Arial" w:cs="Arial"/>
          <w:b/>
          <w:sz w:val="20"/>
          <w:szCs w:val="20"/>
        </w:rPr>
      </w:pPr>
      <w:r w:rsidRPr="00824A56">
        <w:rPr>
          <w:rFonts w:ascii="Arial" w:hAnsi="Arial" w:cs="Arial"/>
          <w:b/>
          <w:sz w:val="20"/>
          <w:szCs w:val="20"/>
        </w:rPr>
        <w:t>Ministerial Direction 2: Contractual Provisions for Public Construction</w:t>
      </w:r>
    </w:p>
    <w:p w:rsidR="00F828B4" w:rsidRDefault="00A25C81" w:rsidP="00F828B4">
      <w:pPr>
        <w:spacing w:before="120" w:after="40" w:line="240" w:lineRule="auto"/>
        <w:ind w:left="1134"/>
        <w:rPr>
          <w:rFonts w:ascii="Arial" w:hAnsi="Arial" w:cs="Arial"/>
          <w:sz w:val="16"/>
          <w:szCs w:val="16"/>
        </w:rPr>
      </w:pPr>
      <w:hyperlink r:id="rId18" w:history="1">
        <w:r w:rsidR="00F828B4" w:rsidRPr="00055022">
          <w:rPr>
            <w:rStyle w:val="Hyperlink"/>
            <w:rFonts w:ascii="Arial" w:hAnsi="Arial" w:cs="Arial"/>
            <w:sz w:val="16"/>
            <w:szCs w:val="16"/>
          </w:rPr>
          <w:t>http://www.dtf.vic.gov.au/Publications/Infrastructure-Delivery-publications/Public-Construction-Policy/Ministerial-Direction-No-2-Contractual-Provisions-for-Public-Construction</w:t>
        </w:r>
      </w:hyperlink>
      <w:r w:rsidR="00F828B4" w:rsidRPr="00055022">
        <w:rPr>
          <w:rStyle w:val="Hyperlink"/>
        </w:rPr>
        <w:t xml:space="preserve"> </w:t>
      </w:r>
    </w:p>
    <w:p w:rsidR="00F828B4" w:rsidRPr="002205F8" w:rsidRDefault="00F828B4" w:rsidP="00F828B4">
      <w:pPr>
        <w:pStyle w:val="ListParagraph"/>
        <w:numPr>
          <w:ilvl w:val="0"/>
          <w:numId w:val="31"/>
        </w:numPr>
        <w:spacing w:before="40" w:after="0" w:line="240" w:lineRule="auto"/>
        <w:rPr>
          <w:rFonts w:ascii="Arial" w:hAnsi="Arial" w:cs="Arial"/>
          <w:b/>
          <w:sz w:val="20"/>
          <w:szCs w:val="20"/>
        </w:rPr>
      </w:pPr>
      <w:r w:rsidRPr="002205F8">
        <w:rPr>
          <w:rFonts w:ascii="Arial" w:hAnsi="Arial" w:cs="Arial"/>
          <w:b/>
          <w:sz w:val="20"/>
          <w:szCs w:val="20"/>
        </w:rPr>
        <w:t>Ministerial Direction 3: Bushfire provisions for buildings of a public nature</w:t>
      </w:r>
    </w:p>
    <w:p w:rsidR="00F828B4" w:rsidRDefault="00A25C81" w:rsidP="00F828B4">
      <w:pPr>
        <w:spacing w:before="120" w:after="40" w:line="240" w:lineRule="auto"/>
        <w:ind w:left="1134"/>
        <w:rPr>
          <w:rStyle w:val="Hyperlink"/>
          <w:rFonts w:ascii="Arial" w:hAnsi="Arial" w:cs="Arial"/>
          <w:sz w:val="16"/>
          <w:szCs w:val="16"/>
        </w:rPr>
      </w:pPr>
      <w:hyperlink r:id="rId19" w:history="1">
        <w:r w:rsidR="00F828B4" w:rsidRPr="00055022">
          <w:rPr>
            <w:rStyle w:val="Hyperlink"/>
            <w:rFonts w:ascii="Arial" w:hAnsi="Arial" w:cs="Arial"/>
            <w:sz w:val="16"/>
            <w:szCs w:val="16"/>
          </w:rPr>
          <w:t>http://www.dtf.vic.gov.au/Publications/Infrastructure-Delivery-publications/Public-Construction-Policy/Ministerial-Direction-No-3-Bushfire-provisions-for-buildings-of-a-public-nature</w:t>
        </w:r>
      </w:hyperlink>
    </w:p>
    <w:p w:rsidR="00F828B4" w:rsidRDefault="00F828B4" w:rsidP="00F828B4">
      <w:pPr>
        <w:spacing w:before="120" w:after="40" w:line="240" w:lineRule="auto"/>
        <w:ind w:left="1134"/>
        <w:rPr>
          <w:rStyle w:val="Hyperlink"/>
          <w:rFonts w:ascii="Arial" w:hAnsi="Arial" w:cs="Arial"/>
          <w:sz w:val="16"/>
          <w:szCs w:val="16"/>
        </w:rPr>
      </w:pPr>
    </w:p>
    <w:p w:rsidR="00F828B4" w:rsidRPr="00AA4488" w:rsidRDefault="00F828B4" w:rsidP="00AA4488">
      <w:pPr>
        <w:spacing w:before="120" w:after="40" w:line="240" w:lineRule="auto"/>
        <w:rPr>
          <w:rFonts w:ascii="Arial" w:hAnsi="Arial" w:cs="Arial"/>
          <w:color w:val="0074BC"/>
          <w:sz w:val="16"/>
          <w:szCs w:val="16"/>
          <w:u w:val="dotted"/>
        </w:rPr>
      </w:pPr>
    </w:p>
    <w:sectPr w:rsidR="00F828B4" w:rsidRPr="00AA4488" w:rsidSect="00AA4488">
      <w:footerReference w:type="default" r:id="rId20"/>
      <w:type w:val="continuous"/>
      <w:pgSz w:w="11906" w:h="16838"/>
      <w:pgMar w:top="709" w:right="144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63" w:rsidRDefault="00917F63">
      <w:r>
        <w:separator/>
      </w:r>
    </w:p>
  </w:endnote>
  <w:endnote w:type="continuationSeparator" w:id="0">
    <w:p w:rsidR="00917F63" w:rsidRDefault="0091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571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93C" w:rsidRDefault="00CC29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408" w:rsidRPr="00A11421" w:rsidRDefault="00CC293C" w:rsidP="0051568D">
    <w:pPr>
      <w:pStyle w:val="DHHSfooter"/>
    </w:pPr>
    <w:r>
      <w:rPr>
        <w:noProof/>
      </w:rPr>
      <w:drawing>
        <wp:inline distT="0" distB="0" distL="0" distR="0" wp14:anchorId="304331A0" wp14:editId="1CD39F8B">
          <wp:extent cx="6917137" cy="10168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991" cy="10691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63" w:rsidRDefault="00917F63" w:rsidP="002862F1">
      <w:pPr>
        <w:spacing w:before="120"/>
      </w:pPr>
      <w:r>
        <w:separator/>
      </w:r>
    </w:p>
  </w:footnote>
  <w:footnote w:type="continuationSeparator" w:id="0">
    <w:p w:rsidR="00917F63" w:rsidRDefault="0091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9B64B44"/>
    <w:multiLevelType w:val="hybridMultilevel"/>
    <w:tmpl w:val="63E22D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D76462"/>
    <w:multiLevelType w:val="multilevel"/>
    <w:tmpl w:val="83C238F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07428BB"/>
    <w:multiLevelType w:val="hybridMultilevel"/>
    <w:tmpl w:val="00BA5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4959"/>
    <w:multiLevelType w:val="hybridMultilevel"/>
    <w:tmpl w:val="09602D3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C4303A5"/>
    <w:multiLevelType w:val="multilevel"/>
    <w:tmpl w:val="4B4E7622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1AD5B0D"/>
    <w:multiLevelType w:val="hybridMultilevel"/>
    <w:tmpl w:val="9078C0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4935"/>
    <w:multiLevelType w:val="hybridMultilevel"/>
    <w:tmpl w:val="95FA01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B02195"/>
    <w:multiLevelType w:val="multilevel"/>
    <w:tmpl w:val="E9168CF6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B214C7A"/>
    <w:multiLevelType w:val="hybridMultilevel"/>
    <w:tmpl w:val="81FE674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CB1439C"/>
    <w:multiLevelType w:val="hybridMultilevel"/>
    <w:tmpl w:val="55307D72"/>
    <w:lvl w:ilvl="0" w:tplc="31866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3F30FD1"/>
    <w:multiLevelType w:val="multilevel"/>
    <w:tmpl w:val="3E06C0F8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ascii="Calibri" w:hAnsi="Calibri" w:hint="default"/>
          <w:color w:val="auto"/>
        </w:rPr>
      </w:lvl>
    </w:lvlOverride>
  </w:num>
  <w:num w:numId="25">
    <w:abstractNumId w:val="18"/>
  </w:num>
  <w:num w:numId="26">
    <w:abstractNumId w:val="14"/>
  </w:num>
  <w:num w:numId="27">
    <w:abstractNumId w:val="2"/>
  </w:num>
  <w:num w:numId="28">
    <w:abstractNumId w:val="9"/>
  </w:num>
  <w:num w:numId="29">
    <w:abstractNumId w:val="21"/>
  </w:num>
  <w:num w:numId="30">
    <w:abstractNumId w:val="12"/>
  </w:num>
  <w:num w:numId="31">
    <w:abstractNumId w:val="17"/>
  </w:num>
  <w:num w:numId="32">
    <w:abstractNumId w:val="7"/>
  </w:num>
  <w:num w:numId="33">
    <w:abstractNumId w:val="16"/>
  </w:num>
  <w:num w:numId="34">
    <w:abstractNumId w:val="6"/>
  </w:num>
  <w:num w:numId="35">
    <w:abstractNumId w:val="13"/>
  </w:num>
  <w:num w:numId="3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CC"/>
    <w:rsid w:val="0000682E"/>
    <w:rsid w:val="000072B6"/>
    <w:rsid w:val="0001021B"/>
    <w:rsid w:val="00011D89"/>
    <w:rsid w:val="00012910"/>
    <w:rsid w:val="000154FD"/>
    <w:rsid w:val="00023C68"/>
    <w:rsid w:val="00024D89"/>
    <w:rsid w:val="000250B6"/>
    <w:rsid w:val="00033D81"/>
    <w:rsid w:val="0003636E"/>
    <w:rsid w:val="00041A5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426B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13C4"/>
    <w:rsid w:val="000E1A14"/>
    <w:rsid w:val="000E3CC7"/>
    <w:rsid w:val="000E4521"/>
    <w:rsid w:val="000E5AB0"/>
    <w:rsid w:val="000E6BD4"/>
    <w:rsid w:val="000E778A"/>
    <w:rsid w:val="000F1F1E"/>
    <w:rsid w:val="000F2259"/>
    <w:rsid w:val="000F7246"/>
    <w:rsid w:val="0010392D"/>
    <w:rsid w:val="0010447F"/>
    <w:rsid w:val="00104491"/>
    <w:rsid w:val="00104FE3"/>
    <w:rsid w:val="00115B07"/>
    <w:rsid w:val="00120BD3"/>
    <w:rsid w:val="00122FEA"/>
    <w:rsid w:val="001232BD"/>
    <w:rsid w:val="00124ED5"/>
    <w:rsid w:val="001276FA"/>
    <w:rsid w:val="00130757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1931"/>
    <w:rsid w:val="001D3C09"/>
    <w:rsid w:val="001D44E8"/>
    <w:rsid w:val="001D60EC"/>
    <w:rsid w:val="001E44DF"/>
    <w:rsid w:val="001E68A5"/>
    <w:rsid w:val="001E6BB0"/>
    <w:rsid w:val="001F3826"/>
    <w:rsid w:val="001F6E46"/>
    <w:rsid w:val="001F7942"/>
    <w:rsid w:val="001F7C91"/>
    <w:rsid w:val="002042CA"/>
    <w:rsid w:val="00206463"/>
    <w:rsid w:val="00206F2F"/>
    <w:rsid w:val="0021053D"/>
    <w:rsid w:val="00210A92"/>
    <w:rsid w:val="00215ECD"/>
    <w:rsid w:val="00216C03"/>
    <w:rsid w:val="00220C04"/>
    <w:rsid w:val="0022278D"/>
    <w:rsid w:val="00223369"/>
    <w:rsid w:val="0022701F"/>
    <w:rsid w:val="002333F5"/>
    <w:rsid w:val="00233724"/>
    <w:rsid w:val="0023634E"/>
    <w:rsid w:val="00237B64"/>
    <w:rsid w:val="002432E1"/>
    <w:rsid w:val="00246207"/>
    <w:rsid w:val="00246C5E"/>
    <w:rsid w:val="00251343"/>
    <w:rsid w:val="002536A4"/>
    <w:rsid w:val="00254F58"/>
    <w:rsid w:val="00261AAC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001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C4079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7870"/>
    <w:rsid w:val="00331A84"/>
    <w:rsid w:val="0033259D"/>
    <w:rsid w:val="003333D2"/>
    <w:rsid w:val="003406C6"/>
    <w:rsid w:val="003418CC"/>
    <w:rsid w:val="003459BD"/>
    <w:rsid w:val="00350D38"/>
    <w:rsid w:val="00351B36"/>
    <w:rsid w:val="00357B4E"/>
    <w:rsid w:val="00361CD0"/>
    <w:rsid w:val="00364996"/>
    <w:rsid w:val="003716FD"/>
    <w:rsid w:val="0037204B"/>
    <w:rsid w:val="003744CF"/>
    <w:rsid w:val="00374717"/>
    <w:rsid w:val="00375DF9"/>
    <w:rsid w:val="00375E29"/>
    <w:rsid w:val="0037676C"/>
    <w:rsid w:val="003767E6"/>
    <w:rsid w:val="00381043"/>
    <w:rsid w:val="003829E5"/>
    <w:rsid w:val="0039085C"/>
    <w:rsid w:val="003956CC"/>
    <w:rsid w:val="00395C9A"/>
    <w:rsid w:val="003A6B67"/>
    <w:rsid w:val="003B13B6"/>
    <w:rsid w:val="003B15E6"/>
    <w:rsid w:val="003B7947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E5EF9"/>
    <w:rsid w:val="003F0445"/>
    <w:rsid w:val="003F0CF0"/>
    <w:rsid w:val="003F14B1"/>
    <w:rsid w:val="003F3289"/>
    <w:rsid w:val="004013C7"/>
    <w:rsid w:val="00401FCF"/>
    <w:rsid w:val="00406285"/>
    <w:rsid w:val="004106AA"/>
    <w:rsid w:val="0041452E"/>
    <w:rsid w:val="004148F9"/>
    <w:rsid w:val="0042084E"/>
    <w:rsid w:val="00421EEF"/>
    <w:rsid w:val="004226F7"/>
    <w:rsid w:val="00424D65"/>
    <w:rsid w:val="00442C6C"/>
    <w:rsid w:val="00443CBE"/>
    <w:rsid w:val="00443E8A"/>
    <w:rsid w:val="004441BC"/>
    <w:rsid w:val="004468B4"/>
    <w:rsid w:val="0045230A"/>
    <w:rsid w:val="00457337"/>
    <w:rsid w:val="0046085E"/>
    <w:rsid w:val="0047372D"/>
    <w:rsid w:val="00473BA3"/>
    <w:rsid w:val="004743DD"/>
    <w:rsid w:val="00474CEA"/>
    <w:rsid w:val="00475DD4"/>
    <w:rsid w:val="00483968"/>
    <w:rsid w:val="00484F86"/>
    <w:rsid w:val="00487F58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2408"/>
    <w:rsid w:val="004B2977"/>
    <w:rsid w:val="004B4B66"/>
    <w:rsid w:val="004B6F52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0529"/>
    <w:rsid w:val="004F076E"/>
    <w:rsid w:val="004F2133"/>
    <w:rsid w:val="004F55F1"/>
    <w:rsid w:val="004F6936"/>
    <w:rsid w:val="00503DC6"/>
    <w:rsid w:val="00506F5D"/>
    <w:rsid w:val="005126D0"/>
    <w:rsid w:val="0051568D"/>
    <w:rsid w:val="00526C15"/>
    <w:rsid w:val="0052768F"/>
    <w:rsid w:val="00531766"/>
    <w:rsid w:val="005336B3"/>
    <w:rsid w:val="00536499"/>
    <w:rsid w:val="00543903"/>
    <w:rsid w:val="00543F11"/>
    <w:rsid w:val="00545E37"/>
    <w:rsid w:val="00547A95"/>
    <w:rsid w:val="00572031"/>
    <w:rsid w:val="00572282"/>
    <w:rsid w:val="00576E84"/>
    <w:rsid w:val="00582B8C"/>
    <w:rsid w:val="005837B5"/>
    <w:rsid w:val="00584AE8"/>
    <w:rsid w:val="00586B0E"/>
    <w:rsid w:val="0058757E"/>
    <w:rsid w:val="0059582E"/>
    <w:rsid w:val="00596A4B"/>
    <w:rsid w:val="00597507"/>
    <w:rsid w:val="005A77D6"/>
    <w:rsid w:val="005B084B"/>
    <w:rsid w:val="005B1C6D"/>
    <w:rsid w:val="005B21B6"/>
    <w:rsid w:val="005B3A08"/>
    <w:rsid w:val="005B7A63"/>
    <w:rsid w:val="005C0955"/>
    <w:rsid w:val="005C2AF0"/>
    <w:rsid w:val="005C49DA"/>
    <w:rsid w:val="005C50F3"/>
    <w:rsid w:val="005C54B5"/>
    <w:rsid w:val="005C5C6A"/>
    <w:rsid w:val="005C5D80"/>
    <w:rsid w:val="005C5D91"/>
    <w:rsid w:val="005D07B8"/>
    <w:rsid w:val="005D0A25"/>
    <w:rsid w:val="005D6597"/>
    <w:rsid w:val="005E14E7"/>
    <w:rsid w:val="005E26A3"/>
    <w:rsid w:val="005E447E"/>
    <w:rsid w:val="005F0775"/>
    <w:rsid w:val="005F0CF5"/>
    <w:rsid w:val="005F21EB"/>
    <w:rsid w:val="00601581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92E"/>
    <w:rsid w:val="00650E42"/>
    <w:rsid w:val="006557A7"/>
    <w:rsid w:val="00656290"/>
    <w:rsid w:val="00661682"/>
    <w:rsid w:val="006621D7"/>
    <w:rsid w:val="0066302A"/>
    <w:rsid w:val="006674D3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3510"/>
    <w:rsid w:val="006B588C"/>
    <w:rsid w:val="006B67B4"/>
    <w:rsid w:val="006B6803"/>
    <w:rsid w:val="006D0F16"/>
    <w:rsid w:val="006D2A3F"/>
    <w:rsid w:val="006D2FBC"/>
    <w:rsid w:val="006E138B"/>
    <w:rsid w:val="006E22DE"/>
    <w:rsid w:val="006E2778"/>
    <w:rsid w:val="006E61C9"/>
    <w:rsid w:val="006F0EE6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2591B"/>
    <w:rsid w:val="007346E4"/>
    <w:rsid w:val="00740A02"/>
    <w:rsid w:val="00740F22"/>
    <w:rsid w:val="00741B57"/>
    <w:rsid w:val="00741F1A"/>
    <w:rsid w:val="007450F8"/>
    <w:rsid w:val="0074696E"/>
    <w:rsid w:val="00750135"/>
    <w:rsid w:val="00750EC2"/>
    <w:rsid w:val="0075135C"/>
    <w:rsid w:val="00752B28"/>
    <w:rsid w:val="00754E36"/>
    <w:rsid w:val="00763139"/>
    <w:rsid w:val="007635AB"/>
    <w:rsid w:val="00765FA8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3261"/>
    <w:rsid w:val="007C41DC"/>
    <w:rsid w:val="007C7301"/>
    <w:rsid w:val="007C7859"/>
    <w:rsid w:val="007D22B1"/>
    <w:rsid w:val="007D2BDE"/>
    <w:rsid w:val="007D2FB6"/>
    <w:rsid w:val="007D49EB"/>
    <w:rsid w:val="007E0DE2"/>
    <w:rsid w:val="007E3B98"/>
    <w:rsid w:val="007E417A"/>
    <w:rsid w:val="007F18B2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4603"/>
    <w:rsid w:val="00875285"/>
    <w:rsid w:val="00883122"/>
    <w:rsid w:val="00884B62"/>
    <w:rsid w:val="0088529C"/>
    <w:rsid w:val="00887903"/>
    <w:rsid w:val="008900F7"/>
    <w:rsid w:val="0089270A"/>
    <w:rsid w:val="00893AF6"/>
    <w:rsid w:val="00894316"/>
    <w:rsid w:val="00894542"/>
    <w:rsid w:val="00894BC4"/>
    <w:rsid w:val="008A36C1"/>
    <w:rsid w:val="008A5B32"/>
    <w:rsid w:val="008B2EE4"/>
    <w:rsid w:val="008B4D3D"/>
    <w:rsid w:val="008B57C7"/>
    <w:rsid w:val="008C2F92"/>
    <w:rsid w:val="008C38EF"/>
    <w:rsid w:val="008D2846"/>
    <w:rsid w:val="008D4236"/>
    <w:rsid w:val="008D462F"/>
    <w:rsid w:val="008D6DCF"/>
    <w:rsid w:val="008E4376"/>
    <w:rsid w:val="008E7A0A"/>
    <w:rsid w:val="008E7B49"/>
    <w:rsid w:val="008F5503"/>
    <w:rsid w:val="008F59F6"/>
    <w:rsid w:val="00900719"/>
    <w:rsid w:val="009017AC"/>
    <w:rsid w:val="00904A1C"/>
    <w:rsid w:val="00905030"/>
    <w:rsid w:val="00905A72"/>
    <w:rsid w:val="00906490"/>
    <w:rsid w:val="009111B2"/>
    <w:rsid w:val="00917F63"/>
    <w:rsid w:val="00920A93"/>
    <w:rsid w:val="00924AE1"/>
    <w:rsid w:val="009269B1"/>
    <w:rsid w:val="0092724D"/>
    <w:rsid w:val="0093338F"/>
    <w:rsid w:val="00937BD9"/>
    <w:rsid w:val="00943666"/>
    <w:rsid w:val="00947730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7CC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3A9A"/>
    <w:rsid w:val="009E496F"/>
    <w:rsid w:val="009E4B0D"/>
    <w:rsid w:val="009E7F92"/>
    <w:rsid w:val="009F02A3"/>
    <w:rsid w:val="009F2F27"/>
    <w:rsid w:val="009F3290"/>
    <w:rsid w:val="009F34AA"/>
    <w:rsid w:val="009F6BCB"/>
    <w:rsid w:val="009F7B78"/>
    <w:rsid w:val="00A0057A"/>
    <w:rsid w:val="00A00C3F"/>
    <w:rsid w:val="00A0776B"/>
    <w:rsid w:val="00A07904"/>
    <w:rsid w:val="00A11421"/>
    <w:rsid w:val="00A157B1"/>
    <w:rsid w:val="00A22229"/>
    <w:rsid w:val="00A242B2"/>
    <w:rsid w:val="00A25C81"/>
    <w:rsid w:val="00A330BB"/>
    <w:rsid w:val="00A44882"/>
    <w:rsid w:val="00A50B00"/>
    <w:rsid w:val="00A54715"/>
    <w:rsid w:val="00A561D0"/>
    <w:rsid w:val="00A566EB"/>
    <w:rsid w:val="00A6061C"/>
    <w:rsid w:val="00A62D44"/>
    <w:rsid w:val="00A6333E"/>
    <w:rsid w:val="00A67263"/>
    <w:rsid w:val="00A7161C"/>
    <w:rsid w:val="00A77AA3"/>
    <w:rsid w:val="00A854EB"/>
    <w:rsid w:val="00A872E5"/>
    <w:rsid w:val="00A91406"/>
    <w:rsid w:val="00A96E65"/>
    <w:rsid w:val="00A97C72"/>
    <w:rsid w:val="00AA170A"/>
    <w:rsid w:val="00AA384A"/>
    <w:rsid w:val="00AA4488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3979"/>
    <w:rsid w:val="00AF5F04"/>
    <w:rsid w:val="00B00672"/>
    <w:rsid w:val="00B01B4D"/>
    <w:rsid w:val="00B06571"/>
    <w:rsid w:val="00B068BA"/>
    <w:rsid w:val="00B1322B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4A4D"/>
    <w:rsid w:val="00B57329"/>
    <w:rsid w:val="00B60E61"/>
    <w:rsid w:val="00B62B50"/>
    <w:rsid w:val="00B635B7"/>
    <w:rsid w:val="00B63AE8"/>
    <w:rsid w:val="00B65950"/>
    <w:rsid w:val="00B66804"/>
    <w:rsid w:val="00B66D83"/>
    <w:rsid w:val="00B672C0"/>
    <w:rsid w:val="00B71F8D"/>
    <w:rsid w:val="00B75646"/>
    <w:rsid w:val="00B77409"/>
    <w:rsid w:val="00B83961"/>
    <w:rsid w:val="00B90729"/>
    <w:rsid w:val="00B907DA"/>
    <w:rsid w:val="00B950BC"/>
    <w:rsid w:val="00B9714C"/>
    <w:rsid w:val="00BA29AD"/>
    <w:rsid w:val="00BA3F8D"/>
    <w:rsid w:val="00BB3C8F"/>
    <w:rsid w:val="00BB7A10"/>
    <w:rsid w:val="00BC351B"/>
    <w:rsid w:val="00BC64BB"/>
    <w:rsid w:val="00BC7468"/>
    <w:rsid w:val="00BC7D4F"/>
    <w:rsid w:val="00BC7ED7"/>
    <w:rsid w:val="00BD2850"/>
    <w:rsid w:val="00BE28D2"/>
    <w:rsid w:val="00BE4A64"/>
    <w:rsid w:val="00BF436E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75963"/>
    <w:rsid w:val="00C83AC9"/>
    <w:rsid w:val="00C863C4"/>
    <w:rsid w:val="00C920EA"/>
    <w:rsid w:val="00C93C3E"/>
    <w:rsid w:val="00CA12E3"/>
    <w:rsid w:val="00CA30F2"/>
    <w:rsid w:val="00CA6611"/>
    <w:rsid w:val="00CA6AE6"/>
    <w:rsid w:val="00CA782F"/>
    <w:rsid w:val="00CB3285"/>
    <w:rsid w:val="00CC0C72"/>
    <w:rsid w:val="00CC293C"/>
    <w:rsid w:val="00CC2BFD"/>
    <w:rsid w:val="00CD3476"/>
    <w:rsid w:val="00CD64DF"/>
    <w:rsid w:val="00CE3A93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14C3"/>
    <w:rsid w:val="00D4606D"/>
    <w:rsid w:val="00D50B9C"/>
    <w:rsid w:val="00D52D73"/>
    <w:rsid w:val="00D52E58"/>
    <w:rsid w:val="00D53F0B"/>
    <w:rsid w:val="00D56B20"/>
    <w:rsid w:val="00D6375C"/>
    <w:rsid w:val="00D714CC"/>
    <w:rsid w:val="00D72136"/>
    <w:rsid w:val="00D757F8"/>
    <w:rsid w:val="00D75EA7"/>
    <w:rsid w:val="00D81F21"/>
    <w:rsid w:val="00D95470"/>
    <w:rsid w:val="00DA2619"/>
    <w:rsid w:val="00DA4239"/>
    <w:rsid w:val="00DA7D18"/>
    <w:rsid w:val="00DB0B61"/>
    <w:rsid w:val="00DB52FB"/>
    <w:rsid w:val="00DC090B"/>
    <w:rsid w:val="00DC1679"/>
    <w:rsid w:val="00DC2CF1"/>
    <w:rsid w:val="00DC3BE3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03F70"/>
    <w:rsid w:val="00E10C67"/>
    <w:rsid w:val="00E11332"/>
    <w:rsid w:val="00E11352"/>
    <w:rsid w:val="00E170DC"/>
    <w:rsid w:val="00E26818"/>
    <w:rsid w:val="00E27FFC"/>
    <w:rsid w:val="00E30B15"/>
    <w:rsid w:val="00E332E7"/>
    <w:rsid w:val="00E36C04"/>
    <w:rsid w:val="00E40181"/>
    <w:rsid w:val="00E40CD8"/>
    <w:rsid w:val="00E56A01"/>
    <w:rsid w:val="00E629A1"/>
    <w:rsid w:val="00E6794C"/>
    <w:rsid w:val="00E71591"/>
    <w:rsid w:val="00E80DE3"/>
    <w:rsid w:val="00E82C55"/>
    <w:rsid w:val="00E92AC3"/>
    <w:rsid w:val="00EA1806"/>
    <w:rsid w:val="00EB00E0"/>
    <w:rsid w:val="00EC059F"/>
    <w:rsid w:val="00EC101D"/>
    <w:rsid w:val="00EC1F24"/>
    <w:rsid w:val="00EC22F6"/>
    <w:rsid w:val="00EC2DD3"/>
    <w:rsid w:val="00ED5B9B"/>
    <w:rsid w:val="00ED6BAD"/>
    <w:rsid w:val="00ED7447"/>
    <w:rsid w:val="00EE1488"/>
    <w:rsid w:val="00EE3E24"/>
    <w:rsid w:val="00EE4D5D"/>
    <w:rsid w:val="00EE4FA1"/>
    <w:rsid w:val="00EE5131"/>
    <w:rsid w:val="00EE74E5"/>
    <w:rsid w:val="00EF109B"/>
    <w:rsid w:val="00EF36AF"/>
    <w:rsid w:val="00F00F9C"/>
    <w:rsid w:val="00F01C7D"/>
    <w:rsid w:val="00F01E5F"/>
    <w:rsid w:val="00F02ABA"/>
    <w:rsid w:val="00F0437A"/>
    <w:rsid w:val="00F11037"/>
    <w:rsid w:val="00F14E77"/>
    <w:rsid w:val="00F16F1B"/>
    <w:rsid w:val="00F250A9"/>
    <w:rsid w:val="00F30FF4"/>
    <w:rsid w:val="00F3122E"/>
    <w:rsid w:val="00F331AD"/>
    <w:rsid w:val="00F35287"/>
    <w:rsid w:val="00F369CF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85F"/>
    <w:rsid w:val="00F61A9F"/>
    <w:rsid w:val="00F62BD9"/>
    <w:rsid w:val="00F64696"/>
    <w:rsid w:val="00F65AA9"/>
    <w:rsid w:val="00F6768F"/>
    <w:rsid w:val="00F67E33"/>
    <w:rsid w:val="00F72C2C"/>
    <w:rsid w:val="00F76CAB"/>
    <w:rsid w:val="00F772C6"/>
    <w:rsid w:val="00F815B5"/>
    <w:rsid w:val="00F828B4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E6F36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936C4F83-4CCE-4F4A-B774-46F89D1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8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D1931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4BC" w:themeColor="text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1D1931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4BC" w:themeColor="text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uiPriority w:val="99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D1931"/>
    <w:rPr>
      <w:rFonts w:ascii="Arial" w:eastAsia="MS Gothic" w:hAnsi="Arial" w:cs="Arial"/>
      <w:bCs/>
      <w:color w:val="0074BC" w:themeColor="text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1D1931"/>
    <w:rPr>
      <w:rFonts w:ascii="Arial" w:hAnsi="Arial"/>
      <w:b/>
      <w:color w:val="0074BC" w:themeColor="text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2C4079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0074BC" w:themeFill="accent1"/>
      </w:tcPr>
    </w:tblStyle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uiPriority w:val="99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1D1931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1D1931"/>
    <w:rPr>
      <w:rFonts w:ascii="Arial" w:hAnsi="Arial"/>
      <w:b/>
      <w:color w:val="0074BC" w:themeColor="text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EE74E5"/>
    <w:pPr>
      <w:spacing w:line="216" w:lineRule="auto"/>
    </w:pPr>
    <w:rPr>
      <w:rFonts w:ascii="Arial" w:hAnsi="Arial"/>
      <w:caps/>
      <w:color w:val="FFFFFF"/>
      <w:sz w:val="64"/>
      <w:szCs w:val="64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99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041A51"/>
    <w:pPr>
      <w:spacing w:before="80" w:after="60"/>
    </w:pPr>
    <w:rPr>
      <w:rFonts w:ascii="Arial" w:hAnsi="Arial"/>
      <w:b/>
      <w:color w:val="FFFFFF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rsid w:val="002C4079"/>
    <w:rPr>
      <w:color w:val="0074BC"/>
      <w:u w:val="dotted"/>
    </w:rPr>
  </w:style>
  <w:style w:type="paragraph" w:customStyle="1" w:styleId="DHHSmainsubheading">
    <w:name w:val="DHHS main subheading"/>
    <w:uiPriority w:val="8"/>
    <w:rsid w:val="00EE74E5"/>
    <w:rPr>
      <w:rFonts w:ascii="Arial" w:hAnsi="Arial"/>
      <w:b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99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99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99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99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99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99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CC"/>
    <w:rPr>
      <w:rFonts w:ascii="Tahoma" w:hAnsi="Tahoma" w:cs="Tahoma"/>
      <w:sz w:val="16"/>
      <w:szCs w:val="16"/>
      <w:lang w:eastAsia="en-US"/>
    </w:rPr>
  </w:style>
  <w:style w:type="paragraph" w:customStyle="1" w:styleId="DHHStablebullet">
    <w:name w:val="DHHS table bullet"/>
    <w:basedOn w:val="DHHStabletext"/>
    <w:uiPriority w:val="99"/>
    <w:qFormat/>
    <w:rsid w:val="00F828B4"/>
    <w:pPr>
      <w:ind w:left="227" w:hanging="227"/>
    </w:pPr>
  </w:style>
  <w:style w:type="paragraph" w:styleId="ListParagraph">
    <w:name w:val="List Paragraph"/>
    <w:basedOn w:val="Normal"/>
    <w:uiPriority w:val="34"/>
    <w:qFormat/>
    <w:rsid w:val="00F828B4"/>
    <w:pPr>
      <w:ind w:left="720"/>
      <w:contextualSpacing/>
    </w:pPr>
  </w:style>
  <w:style w:type="paragraph" w:customStyle="1" w:styleId="DHHSbulletindent">
    <w:name w:val="DHHS bullet indent"/>
    <w:basedOn w:val="DHHSbody"/>
    <w:uiPriority w:val="99"/>
    <w:rsid w:val="00F828B4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uiPriority w:val="99"/>
    <w:qFormat/>
    <w:rsid w:val="00F828B4"/>
    <w:pPr>
      <w:numPr>
        <w:numId w:val="0"/>
      </w:numPr>
      <w:spacing w:after="120"/>
      <w:ind w:left="284" w:hanging="284"/>
    </w:pPr>
  </w:style>
  <w:style w:type="paragraph" w:customStyle="1" w:styleId="DHHSbullet2lastline">
    <w:name w:val="DHHS bullet 2 last line"/>
    <w:basedOn w:val="DHHSbullet2"/>
    <w:uiPriority w:val="99"/>
    <w:qFormat/>
    <w:rsid w:val="00F828B4"/>
    <w:pPr>
      <w:numPr>
        <w:ilvl w:val="0"/>
        <w:numId w:val="0"/>
      </w:numPr>
      <w:spacing w:after="120"/>
      <w:ind w:left="567" w:hanging="283"/>
    </w:pPr>
  </w:style>
  <w:style w:type="paragraph" w:customStyle="1" w:styleId="DHHSbulletindentlastline">
    <w:name w:val="DHHS bullet indent last line"/>
    <w:basedOn w:val="DHHSbody"/>
    <w:uiPriority w:val="99"/>
    <w:rsid w:val="00F828B4"/>
    <w:pPr>
      <w:ind w:left="680" w:hanging="283"/>
    </w:pPr>
  </w:style>
  <w:style w:type="character" w:customStyle="1" w:styleId="DHHSbodyChar">
    <w:name w:val="DHHS body Char"/>
    <w:link w:val="DHHSbody"/>
    <w:uiPriority w:val="99"/>
    <w:locked/>
    <w:rsid w:val="00F828B4"/>
    <w:rPr>
      <w:rFonts w:ascii="Arial" w:eastAsia="Times" w:hAnsi="Arial"/>
      <w:lang w:eastAsia="en-US"/>
    </w:rPr>
  </w:style>
  <w:style w:type="character" w:styleId="Emphasis">
    <w:name w:val="Emphasis"/>
    <w:uiPriority w:val="20"/>
    <w:qFormat/>
    <w:rsid w:val="00F828B4"/>
    <w:rPr>
      <w:i/>
      <w:iCs/>
    </w:rPr>
  </w:style>
  <w:style w:type="numbering" w:customStyle="1" w:styleId="Numbers">
    <w:name w:val="Numbers"/>
    <w:rsid w:val="00F828B4"/>
    <w:pPr>
      <w:numPr>
        <w:numId w:val="29"/>
      </w:numPr>
    </w:pPr>
  </w:style>
  <w:style w:type="numbering" w:customStyle="1" w:styleId="ZZNumbers">
    <w:name w:val="ZZ Numbers"/>
    <w:rsid w:val="00F828B4"/>
    <w:pPr>
      <w:numPr>
        <w:numId w:val="28"/>
      </w:numPr>
    </w:pPr>
  </w:style>
  <w:style w:type="paragraph" w:customStyle="1" w:styleId="Healthbody">
    <w:name w:val="Health body"/>
    <w:link w:val="HealthbodyChar"/>
    <w:uiPriority w:val="99"/>
    <w:rsid w:val="00F828B4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HealthbodyChar">
    <w:name w:val="Health body Char"/>
    <w:link w:val="Healthbody"/>
    <w:uiPriority w:val="99"/>
    <w:locked/>
    <w:rsid w:val="00F828B4"/>
    <w:rPr>
      <w:rFonts w:ascii="Arial" w:eastAsia="MS Mincho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28B4"/>
    <w:rPr>
      <w:rFonts w:ascii="Arial" w:hAnsi="Arial" w:cs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00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0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0F7"/>
    <w:rPr>
      <w:rFonts w:ascii="Calibri" w:eastAsia="Calibri" w:hAnsi="Calibr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0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0F7"/>
    <w:rPr>
      <w:rFonts w:ascii="Calibri" w:eastAsia="Calibri" w:hAnsi="Calibri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1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hs.smartygrants.com.au/mhfrfyear4" TargetMode="External"/><Relationship Id="rId13" Type="http://schemas.openxmlformats.org/officeDocument/2006/relationships/hyperlink" Target="http://healthdesign.com.au/vic.dghdp/" TargetMode="External"/><Relationship Id="rId18" Type="http://schemas.openxmlformats.org/officeDocument/2006/relationships/hyperlink" Target="http://www.dtf.vic.gov.au/Publications/Infrastructure-Delivery-publications/Public-Construction-Policy/Ministerial-Direction-No-2-Contractual-Provisions-for-Public-Construc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apital.health.vic.gov.au/" TargetMode="External"/><Relationship Id="rId17" Type="http://schemas.openxmlformats.org/officeDocument/2006/relationships/hyperlink" Target="http://www.dtf.vic.gov.au/Publications/Infrastructure-Delivery-publications/Public-Construction-Policy/Ministerial-Direction-No-1-Tendering-Provisions-for-Public-Construc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tf.vic.gov.au/Infrastructure-Delivery/Public-construction-policy-and-resourc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wbc.gov.au/building-co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2.health.vic.gov.au/about/publications/policiesandguidelines/medical-equipment-asset-management-framework-part-c" TargetMode="External"/><Relationship Id="rId10" Type="http://schemas.openxmlformats.org/officeDocument/2006/relationships/hyperlink" Target="https://healthfacilityguidelines.com.au/" TargetMode="External"/><Relationship Id="rId19" Type="http://schemas.openxmlformats.org/officeDocument/2006/relationships/hyperlink" Target="http://www.dtf.vic.gov.au/Publications/Infrastructure-Delivery-publications/Public-Construction-Policy/Ministerial-Direction-No-3-Bushfire-provisions-for-buildings-of-a-public-n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ital.health.vic.gov.au" TargetMode="External"/><Relationship Id="rId14" Type="http://schemas.openxmlformats.org/officeDocument/2006/relationships/hyperlink" Target="http://www.dhs.vic.gov.au/about-the-department/our-organisation/organisational-structure/our-groups/fire-risk-management-uni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r0901\AppData\Local\Microsoft\Windows\INetCache\IE\IQUGG3WH\VHHSBA_Fact_Sheet.dotx" TargetMode="External"/></Relationships>
</file>

<file path=word/theme/theme1.xml><?xml version="1.0" encoding="utf-8"?>
<a:theme xmlns:a="http://schemas.openxmlformats.org/drawingml/2006/main" name="Office Theme">
  <a:themeElements>
    <a:clrScheme name="VHHSBA main">
      <a:dk1>
        <a:sysClr val="windowText" lastClr="000000"/>
      </a:dk1>
      <a:lt1>
        <a:sysClr val="window" lastClr="FFFFFF"/>
      </a:lt1>
      <a:dk2>
        <a:srgbClr val="0074BC"/>
      </a:dk2>
      <a:lt2>
        <a:srgbClr val="FFFFFF"/>
      </a:lt2>
      <a:accent1>
        <a:srgbClr val="0074BC"/>
      </a:accent1>
      <a:accent2>
        <a:srgbClr val="F1582E"/>
      </a:accent2>
      <a:accent3>
        <a:srgbClr val="414042"/>
      </a:accent3>
      <a:accent4>
        <a:srgbClr val="5BCBF5"/>
      </a:accent4>
      <a:accent5>
        <a:srgbClr val="D03061"/>
      </a:accent5>
      <a:accent6>
        <a:srgbClr val="6D9D31"/>
      </a:accent6>
      <a:hlink>
        <a:srgbClr val="0074BC"/>
      </a:hlink>
      <a:folHlink>
        <a:srgbClr val="8718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VHHSBA_Fact_Sheet.dotx</Template>
  <TotalTime>35</TotalTime>
  <Pages>6</Pages>
  <Words>1535</Words>
  <Characters>11660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Health and Human Services Building Authority</Company>
  <LinksUpToDate>false</LinksUpToDate>
  <CharactersWithSpaces>13169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Murray (DHHS)</dc:creator>
  <cp:lastModifiedBy>Tania Hayes (DHHS)</cp:lastModifiedBy>
  <cp:revision>13</cp:revision>
  <cp:lastPrinted>2017-07-07T00:32:00Z</cp:lastPrinted>
  <dcterms:created xsi:type="dcterms:W3CDTF">2019-03-25T21:02:00Z</dcterms:created>
  <dcterms:modified xsi:type="dcterms:W3CDTF">2019-03-26T00:49:00Z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