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F64318"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5728B" w:rsidP="001E4EB9">
            <w:pPr>
              <w:pStyle w:val="DHHSmainheading"/>
            </w:pPr>
            <w:bookmarkStart w:id="0" w:name="_GoBack" w:colFirst="0" w:colLast="0"/>
            <w:r>
              <w:t xml:space="preserve">2019 </w:t>
            </w:r>
            <w:r w:rsidR="008F410F">
              <w:t xml:space="preserve">palliative care </w:t>
            </w:r>
            <w:r w:rsidR="004A539C">
              <w:t xml:space="preserve">service innovation </w:t>
            </w:r>
            <w:r w:rsidR="008F410F">
              <w:t>and development grant</w:t>
            </w:r>
          </w:p>
        </w:tc>
      </w:tr>
      <w:tr w:rsidR="00AD784C" w:rsidTr="00357B4E">
        <w:trPr>
          <w:trHeight w:hRule="exact" w:val="1162"/>
        </w:trPr>
        <w:tc>
          <w:tcPr>
            <w:tcW w:w="8046" w:type="dxa"/>
            <w:shd w:val="clear" w:color="auto" w:fill="auto"/>
            <w:tcMar>
              <w:top w:w="170" w:type="dxa"/>
              <w:bottom w:w="510" w:type="dxa"/>
            </w:tcMar>
          </w:tcPr>
          <w:p w:rsidR="00357B4E" w:rsidRPr="00AD784C" w:rsidRDefault="001E4EB9" w:rsidP="000820D5">
            <w:pPr>
              <w:pStyle w:val="DHHSmainsubheading"/>
              <w:rPr>
                <w:szCs w:val="28"/>
              </w:rPr>
            </w:pPr>
            <w:r>
              <w:rPr>
                <w:szCs w:val="28"/>
              </w:rPr>
              <w:t xml:space="preserve">Guideline and application process </w:t>
            </w:r>
            <w:r w:rsidR="00CE16F8">
              <w:rPr>
                <w:szCs w:val="28"/>
              </w:rPr>
              <w:t xml:space="preserve">- </w:t>
            </w:r>
            <w:r w:rsidR="00DC6011">
              <w:rPr>
                <w:szCs w:val="28"/>
              </w:rPr>
              <w:t>April</w:t>
            </w:r>
            <w:r w:rsidR="001200D2">
              <w:rPr>
                <w:szCs w:val="28"/>
              </w:rPr>
              <w:t xml:space="preserve"> 2019</w:t>
            </w: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bookmarkEnd w:id="0"/>
    </w:p>
    <w:p w:rsidR="001E4EB9" w:rsidRDefault="001E4EB9" w:rsidP="008D0702">
      <w:pPr>
        <w:pStyle w:val="Heading1"/>
      </w:pPr>
      <w:bookmarkStart w:id="2" w:name="_Toc440566509"/>
      <w:bookmarkEnd w:id="1"/>
      <w:r>
        <w:t>Background</w:t>
      </w:r>
    </w:p>
    <w:p w:rsidR="0095728B" w:rsidRDefault="0095728B" w:rsidP="001E4EB9">
      <w:pPr>
        <w:pStyle w:val="DHHSbody"/>
      </w:pPr>
      <w:r>
        <w:t>On 30 October 2018, the Andrews Labor Government</w:t>
      </w:r>
      <w:r w:rsidR="001E4EB9">
        <w:t xml:space="preserve"> announced a</w:t>
      </w:r>
      <w:r>
        <w:t xml:space="preserve">n extra $23.4 million </w:t>
      </w:r>
      <w:r w:rsidR="00B37299">
        <w:t xml:space="preserve">dollars </w:t>
      </w:r>
      <w:r>
        <w:t>to implement recomme</w:t>
      </w:r>
      <w:r w:rsidR="00FF5AFF">
        <w:t>ndatio</w:t>
      </w:r>
      <w:r>
        <w:t>n</w:t>
      </w:r>
      <w:r w:rsidR="00FF5AFF">
        <w:t>s f</w:t>
      </w:r>
      <w:r>
        <w:t>r</w:t>
      </w:r>
      <w:r w:rsidR="00FF5AFF">
        <w:t xml:space="preserve">om an </w:t>
      </w:r>
      <w:r>
        <w:t>expert panel’s review into palliative care funding.</w:t>
      </w:r>
    </w:p>
    <w:p w:rsidR="00505F53" w:rsidRDefault="0095728B" w:rsidP="001E4EB9">
      <w:pPr>
        <w:pStyle w:val="DHHSbody"/>
      </w:pPr>
      <w:r>
        <w:t>Of the</w:t>
      </w:r>
      <w:r w:rsidR="00FF5AFF">
        <w:t xml:space="preserve"> $23.4 million</w:t>
      </w:r>
      <w:r w:rsidR="00B37299">
        <w:t xml:space="preserve"> dollars</w:t>
      </w:r>
      <w:r w:rsidR="00FF5AFF">
        <w:t xml:space="preserve">, </w:t>
      </w:r>
      <w:r w:rsidR="00FE64C3">
        <w:t xml:space="preserve">$2.5 million </w:t>
      </w:r>
      <w:r w:rsidR="00FF5AFF">
        <w:t>ha</w:t>
      </w:r>
      <w:r>
        <w:t>s</w:t>
      </w:r>
      <w:r w:rsidR="00FF5AFF">
        <w:t xml:space="preserve"> </w:t>
      </w:r>
      <w:r>
        <w:t xml:space="preserve">been set </w:t>
      </w:r>
      <w:r w:rsidR="00FF5AFF">
        <w:t>a</w:t>
      </w:r>
      <w:r>
        <w:t xml:space="preserve">side to </w:t>
      </w:r>
      <w:r w:rsidR="00352648">
        <w:t xml:space="preserve">support </w:t>
      </w:r>
      <w:r w:rsidR="00B666CF">
        <w:t>projects that enable better integration between hospital and community palliative care services so that clients, their families and carers can access the best possible end of life and palliative care irrespective of their care setting</w:t>
      </w:r>
      <w:r>
        <w:t>.</w:t>
      </w:r>
      <w:r w:rsidR="00EB05B8">
        <w:t xml:space="preserve"> </w:t>
      </w:r>
    </w:p>
    <w:p w:rsidR="00FE64C3" w:rsidRDefault="00950B97" w:rsidP="001E4EB9">
      <w:pPr>
        <w:pStyle w:val="DHHSbody"/>
      </w:pPr>
      <w:r>
        <w:t xml:space="preserve">The one-off grant round will provide </w:t>
      </w:r>
      <w:r w:rsidR="00B666CF">
        <w:t>project funds for the development and testing of new models of care</w:t>
      </w:r>
      <w:r w:rsidR="00481628">
        <w:t>, workforce models</w:t>
      </w:r>
      <w:r w:rsidR="00B666CF">
        <w:t xml:space="preserve"> and support systems </w:t>
      </w:r>
      <w:r>
        <w:t>to enable more efficient service provision</w:t>
      </w:r>
      <w:r w:rsidR="00B666CF">
        <w:t xml:space="preserve"> aimed at improving the continuity of care across multiple care settings for V</w:t>
      </w:r>
      <w:r w:rsidR="00505F53">
        <w:t xml:space="preserve">ictorians with life-limiting illnesses </w:t>
      </w:r>
      <w:r w:rsidR="001200D2">
        <w:t xml:space="preserve">who would benefit from </w:t>
      </w:r>
      <w:r w:rsidR="0045444C">
        <w:t>palliative care</w:t>
      </w:r>
      <w:r w:rsidR="00B666CF">
        <w:t xml:space="preserve">. </w:t>
      </w:r>
      <w:r w:rsidR="00FB17BC">
        <w:t xml:space="preserve">The grant will support services to improve how they deliver services that are person-centred and more broadly integrate </w:t>
      </w:r>
      <w:r w:rsidR="00CE16F8">
        <w:t xml:space="preserve">with </w:t>
      </w:r>
      <w:r w:rsidR="00F47E1F">
        <w:t xml:space="preserve">healthcare providers </w:t>
      </w:r>
      <w:r w:rsidR="00FB17BC">
        <w:t>across the healthcare system</w:t>
      </w:r>
      <w:r w:rsidR="00505F53">
        <w:t>.</w:t>
      </w:r>
      <w:r w:rsidR="00FE64C3" w:rsidRPr="00FE64C3">
        <w:t xml:space="preserve"> </w:t>
      </w:r>
    </w:p>
    <w:p w:rsidR="0095728B" w:rsidRDefault="00FE64C3" w:rsidP="001E4EB9">
      <w:pPr>
        <w:pStyle w:val="DHHSbody"/>
      </w:pPr>
      <w:r>
        <w:t xml:space="preserve">There is no set amount per funding application. </w:t>
      </w:r>
    </w:p>
    <w:p w:rsidR="00AE4E57" w:rsidRDefault="00F64318" w:rsidP="001E4EB9">
      <w:pPr>
        <w:pStyle w:val="DHHSbody"/>
      </w:pPr>
      <w:r>
        <w:t xml:space="preserve">These guidelines are in two parts. Part A </w:t>
      </w:r>
      <w:r w:rsidR="00505F53">
        <w:t>explains the purpose of the 2019</w:t>
      </w:r>
      <w:r w:rsidR="00950B97">
        <w:t xml:space="preserve"> </w:t>
      </w:r>
      <w:r w:rsidR="00B666CF">
        <w:t xml:space="preserve">service innovation and development grant, </w:t>
      </w:r>
      <w:r>
        <w:t xml:space="preserve">including eligibility </w:t>
      </w:r>
      <w:r w:rsidR="002C5A1A">
        <w:t xml:space="preserve">criteria. </w:t>
      </w:r>
      <w:r>
        <w:t xml:space="preserve">Part B </w:t>
      </w:r>
      <w:r w:rsidR="00AE4E57">
        <w:t xml:space="preserve">outlines the steps to be followed by service providers applying for funding together with information and guidance on how </w:t>
      </w:r>
      <w:r w:rsidR="00507034">
        <w:t xml:space="preserve">the </w:t>
      </w:r>
      <w:r w:rsidR="00AE4E57">
        <w:t xml:space="preserve">applications will be assessed. </w:t>
      </w:r>
    </w:p>
    <w:p w:rsidR="00726A9D" w:rsidRPr="00AE4E57" w:rsidRDefault="00726A9D" w:rsidP="001E4EB9">
      <w:pPr>
        <w:pStyle w:val="DHHSbody"/>
        <w:rPr>
          <w:b/>
          <w:sz w:val="22"/>
          <w:szCs w:val="22"/>
        </w:rPr>
      </w:pPr>
      <w:r w:rsidRPr="00CE16F8">
        <w:rPr>
          <w:b/>
          <w:sz w:val="22"/>
          <w:szCs w:val="22"/>
        </w:rPr>
        <w:t>Applications clo</w:t>
      </w:r>
      <w:r w:rsidR="00D55B23" w:rsidRPr="00CE16F8">
        <w:rPr>
          <w:b/>
          <w:sz w:val="22"/>
          <w:szCs w:val="22"/>
        </w:rPr>
        <w:t xml:space="preserve">se </w:t>
      </w:r>
      <w:r w:rsidR="00DC6011">
        <w:rPr>
          <w:b/>
          <w:sz w:val="22"/>
          <w:szCs w:val="22"/>
        </w:rPr>
        <w:t>midnight Sunday 19 May 2019</w:t>
      </w:r>
    </w:p>
    <w:p w:rsidR="001E4EB9" w:rsidRDefault="001E4EB9" w:rsidP="008D0702">
      <w:pPr>
        <w:pStyle w:val="Heading1"/>
      </w:pPr>
      <w:r>
        <w:t>Part A: About the guidelines</w:t>
      </w:r>
    </w:p>
    <w:p w:rsidR="001E4EB9" w:rsidRDefault="00AE4E57" w:rsidP="00AE4E57">
      <w:pPr>
        <w:pStyle w:val="Heading3"/>
      </w:pPr>
      <w:r>
        <w:t>Eligibility</w:t>
      </w:r>
    </w:p>
    <w:p w:rsidR="00774D4F" w:rsidRDefault="00AE4E57" w:rsidP="001E4EB9">
      <w:pPr>
        <w:pStyle w:val="DHHSbody"/>
      </w:pPr>
      <w:r>
        <w:t xml:space="preserve">Applications </w:t>
      </w:r>
      <w:r w:rsidR="006C369F">
        <w:t xml:space="preserve">for </w:t>
      </w:r>
      <w:r w:rsidR="00015BD0">
        <w:t>the 2019</w:t>
      </w:r>
      <w:r w:rsidR="00950B97">
        <w:t xml:space="preserve"> </w:t>
      </w:r>
      <w:r w:rsidR="006F1B34">
        <w:t xml:space="preserve">service innovation and development grant </w:t>
      </w:r>
      <w:r>
        <w:t>are restricted to</w:t>
      </w:r>
      <w:r w:rsidR="00774D4F">
        <w:t xml:space="preserve"> Victorian </w:t>
      </w:r>
      <w:r w:rsidR="00FB17BC">
        <w:t xml:space="preserve">designated specialist </w:t>
      </w:r>
      <w:r>
        <w:t xml:space="preserve">palliative care </w:t>
      </w:r>
      <w:r w:rsidR="00BA5C15">
        <w:t>service</w:t>
      </w:r>
      <w:r w:rsidR="00DB2499">
        <w:t>s</w:t>
      </w:r>
      <w:r w:rsidR="00015BD0">
        <w:t xml:space="preserve"> </w:t>
      </w:r>
      <w:r w:rsidR="00525681">
        <w:t>and public funded health services, community health services and</w:t>
      </w:r>
      <w:r w:rsidR="0003367D">
        <w:t xml:space="preserve"> </w:t>
      </w:r>
      <w:r w:rsidR="00525681">
        <w:t xml:space="preserve">non-government organisations. </w:t>
      </w:r>
    </w:p>
    <w:p w:rsidR="00AE4E57" w:rsidRDefault="00950B97" w:rsidP="001E4EB9">
      <w:pPr>
        <w:pStyle w:val="DHHSbody"/>
      </w:pPr>
      <w:r w:rsidRPr="00950B97">
        <w:t xml:space="preserve">Grants </w:t>
      </w:r>
      <w:r>
        <w:t xml:space="preserve">are available to fund </w:t>
      </w:r>
      <w:r w:rsidR="001454EF">
        <w:t xml:space="preserve">the following </w:t>
      </w:r>
      <w:r w:rsidR="0089459F">
        <w:t>categories of innovation and service development:</w:t>
      </w:r>
    </w:p>
    <w:p w:rsidR="001454EF" w:rsidRDefault="0089459F" w:rsidP="0047438F">
      <w:pPr>
        <w:pStyle w:val="ListParagraph"/>
        <w:numPr>
          <w:ilvl w:val="0"/>
          <w:numId w:val="14"/>
        </w:numPr>
        <w:spacing w:after="40" w:line="270" w:lineRule="atLeast"/>
        <w:ind w:left="284" w:hanging="284"/>
        <w:rPr>
          <w:rFonts w:ascii="Arial" w:eastAsia="Times" w:hAnsi="Arial"/>
        </w:rPr>
      </w:pPr>
      <w:r>
        <w:rPr>
          <w:rFonts w:ascii="Arial" w:eastAsia="Times" w:hAnsi="Arial"/>
        </w:rPr>
        <w:t xml:space="preserve">enhancements to models of care, including proof of concept testing and evaluation </w:t>
      </w:r>
    </w:p>
    <w:p w:rsidR="0047438F" w:rsidRDefault="0089459F" w:rsidP="001454EF">
      <w:pPr>
        <w:pStyle w:val="ListParagraph"/>
        <w:numPr>
          <w:ilvl w:val="0"/>
          <w:numId w:val="14"/>
        </w:numPr>
        <w:spacing w:after="40" w:line="270" w:lineRule="atLeast"/>
        <w:ind w:left="284" w:hanging="284"/>
        <w:rPr>
          <w:rFonts w:ascii="Arial" w:eastAsia="Times" w:hAnsi="Arial"/>
        </w:rPr>
      </w:pPr>
      <w:r>
        <w:rPr>
          <w:rFonts w:ascii="Arial" w:eastAsia="Times" w:hAnsi="Arial"/>
        </w:rPr>
        <w:t>business model innovation</w:t>
      </w:r>
    </w:p>
    <w:p w:rsidR="0089459F" w:rsidRPr="0089459F" w:rsidRDefault="0089459F" w:rsidP="00285444">
      <w:pPr>
        <w:pStyle w:val="ListParagraph"/>
        <w:numPr>
          <w:ilvl w:val="0"/>
          <w:numId w:val="14"/>
        </w:numPr>
        <w:spacing w:after="40" w:line="270" w:lineRule="atLeast"/>
        <w:ind w:left="284" w:hanging="284"/>
        <w:rPr>
          <w:rFonts w:ascii="Arial" w:eastAsia="Times" w:hAnsi="Arial"/>
        </w:rPr>
      </w:pPr>
      <w:r w:rsidRPr="0089459F">
        <w:rPr>
          <w:rFonts w:ascii="Arial" w:eastAsia="Times" w:hAnsi="Arial"/>
        </w:rPr>
        <w:t>workforce model innovation.</w:t>
      </w:r>
    </w:p>
    <w:p w:rsidR="0089459F" w:rsidRDefault="0089459F" w:rsidP="0089459F">
      <w:pPr>
        <w:pStyle w:val="Heading3"/>
      </w:pPr>
      <w:r>
        <w:t>Focus areas</w:t>
      </w:r>
    </w:p>
    <w:p w:rsidR="00481628" w:rsidRDefault="00481628" w:rsidP="001E4EB9">
      <w:pPr>
        <w:pStyle w:val="DHHSbody"/>
      </w:pPr>
      <w:r>
        <w:t xml:space="preserve">Applicants will be asked to address </w:t>
      </w:r>
      <w:r w:rsidR="00B432F3">
        <w:t xml:space="preserve">one or more of </w:t>
      </w:r>
      <w:r>
        <w:t>the following key focus areas:</w:t>
      </w:r>
    </w:p>
    <w:p w:rsidR="0089459F" w:rsidRPr="00637940" w:rsidRDefault="00481628" w:rsidP="00637940">
      <w:pPr>
        <w:pStyle w:val="ListParagraph"/>
        <w:numPr>
          <w:ilvl w:val="0"/>
          <w:numId w:val="14"/>
        </w:numPr>
        <w:spacing w:after="40" w:line="270" w:lineRule="atLeast"/>
        <w:ind w:left="284" w:hanging="284"/>
        <w:rPr>
          <w:rFonts w:ascii="Arial" w:eastAsia="Times" w:hAnsi="Arial"/>
        </w:rPr>
      </w:pPr>
      <w:r w:rsidRPr="00637940">
        <w:rPr>
          <w:rFonts w:ascii="Arial" w:eastAsia="Times" w:hAnsi="Arial"/>
        </w:rPr>
        <w:t>joined up management of palliative care and care at the end of life</w:t>
      </w:r>
    </w:p>
    <w:p w:rsidR="00481628" w:rsidRPr="00637940" w:rsidRDefault="00481628" w:rsidP="00637940">
      <w:pPr>
        <w:pStyle w:val="ListParagraph"/>
        <w:numPr>
          <w:ilvl w:val="0"/>
          <w:numId w:val="14"/>
        </w:numPr>
        <w:spacing w:after="40" w:line="270" w:lineRule="atLeast"/>
        <w:ind w:left="284" w:hanging="284"/>
        <w:rPr>
          <w:rFonts w:ascii="Arial" w:eastAsia="Times" w:hAnsi="Arial"/>
        </w:rPr>
      </w:pPr>
      <w:r w:rsidRPr="00637940">
        <w:rPr>
          <w:rFonts w:ascii="Arial" w:eastAsia="Times" w:hAnsi="Arial"/>
        </w:rPr>
        <w:t>continuity of care across multiple care settings</w:t>
      </w:r>
    </w:p>
    <w:p w:rsidR="00481628" w:rsidRPr="00637940" w:rsidRDefault="00481628" w:rsidP="00637940">
      <w:pPr>
        <w:pStyle w:val="ListParagraph"/>
        <w:numPr>
          <w:ilvl w:val="0"/>
          <w:numId w:val="14"/>
        </w:numPr>
        <w:spacing w:after="40" w:line="270" w:lineRule="atLeast"/>
        <w:ind w:left="284" w:hanging="284"/>
        <w:rPr>
          <w:rFonts w:ascii="Arial" w:eastAsia="Times" w:hAnsi="Arial"/>
        </w:rPr>
      </w:pPr>
      <w:r w:rsidRPr="00637940">
        <w:rPr>
          <w:rFonts w:ascii="Arial" w:eastAsia="Times" w:hAnsi="Arial"/>
        </w:rPr>
        <w:t>enhancement of client, family and carer outcomes</w:t>
      </w:r>
    </w:p>
    <w:p w:rsidR="00481628" w:rsidRPr="00637940" w:rsidRDefault="00481628" w:rsidP="00637940">
      <w:pPr>
        <w:pStyle w:val="ListParagraph"/>
        <w:numPr>
          <w:ilvl w:val="0"/>
          <w:numId w:val="14"/>
        </w:numPr>
        <w:spacing w:after="40" w:line="270" w:lineRule="atLeast"/>
        <w:ind w:left="284" w:hanging="284"/>
        <w:rPr>
          <w:rFonts w:ascii="Arial" w:eastAsia="Times" w:hAnsi="Arial"/>
        </w:rPr>
      </w:pPr>
      <w:r w:rsidRPr="00637940">
        <w:rPr>
          <w:rFonts w:ascii="Arial" w:eastAsia="Times" w:hAnsi="Arial"/>
        </w:rPr>
        <w:t>shared decision making</w:t>
      </w:r>
    </w:p>
    <w:p w:rsidR="00892F5E" w:rsidRPr="008D0702" w:rsidRDefault="00481628" w:rsidP="00481628">
      <w:pPr>
        <w:pStyle w:val="ListParagraph"/>
        <w:numPr>
          <w:ilvl w:val="0"/>
          <w:numId w:val="14"/>
        </w:numPr>
        <w:spacing w:after="40" w:line="270" w:lineRule="atLeast"/>
        <w:ind w:left="284" w:hanging="284"/>
        <w:rPr>
          <w:rFonts w:ascii="Arial" w:eastAsia="Times" w:hAnsi="Arial"/>
        </w:rPr>
      </w:pPr>
      <w:r w:rsidRPr="00637940">
        <w:rPr>
          <w:rFonts w:ascii="Arial" w:eastAsia="Times" w:hAnsi="Arial"/>
        </w:rPr>
        <w:lastRenderedPageBreak/>
        <w:t>a reduction of barriers to care at end of life and palliative care for underserved populations.</w:t>
      </w:r>
    </w:p>
    <w:p w:rsidR="00892F5E" w:rsidRDefault="00892F5E" w:rsidP="00481628">
      <w:pPr>
        <w:pStyle w:val="DHHSbody"/>
      </w:pPr>
    </w:p>
    <w:p w:rsidR="00B432F3" w:rsidRDefault="00B432F3" w:rsidP="00481628">
      <w:pPr>
        <w:pStyle w:val="DHHSbody"/>
      </w:pPr>
      <w:r>
        <w:t>In relation to this grant round underserved populations include</w:t>
      </w:r>
      <w:r w:rsidR="00481628">
        <w:t xml:space="preserve"> </w:t>
      </w:r>
      <w:r>
        <w:t>the following groups:</w:t>
      </w:r>
    </w:p>
    <w:p w:rsidR="00481628"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 xml:space="preserve">Aboriginal and Torres Strait </w:t>
      </w:r>
      <w:r>
        <w:rPr>
          <w:rFonts w:ascii="Arial" w:eastAsia="Times" w:hAnsi="Arial"/>
        </w:rPr>
        <w:t>I</w:t>
      </w:r>
      <w:r w:rsidRPr="00B432F3">
        <w:rPr>
          <w:rFonts w:ascii="Arial" w:eastAsia="Times" w:hAnsi="Arial"/>
        </w:rPr>
        <w:t>slander people</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Pr>
          <w:rFonts w:ascii="Arial" w:eastAsia="Times" w:hAnsi="Arial"/>
        </w:rPr>
        <w:t xml:space="preserve">Older Victorians </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People from culturally and linguistically diverse backgrounds</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Refugees</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People living with a disability</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People experiencing homelessness</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People who are lesbian, gay, bisexual, transgender or intersex</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Prisoners</w:t>
      </w:r>
    </w:p>
    <w:p w:rsid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Veterans</w:t>
      </w:r>
    </w:p>
    <w:p w:rsidR="00B432F3" w:rsidRPr="00B432F3" w:rsidRDefault="00B432F3" w:rsidP="00B432F3">
      <w:pPr>
        <w:pStyle w:val="ListParagraph"/>
        <w:numPr>
          <w:ilvl w:val="0"/>
          <w:numId w:val="14"/>
        </w:numPr>
        <w:spacing w:after="40" w:line="270" w:lineRule="atLeast"/>
        <w:ind w:left="284" w:hanging="284"/>
        <w:rPr>
          <w:rFonts w:ascii="Arial" w:eastAsia="Times" w:hAnsi="Arial"/>
        </w:rPr>
      </w:pPr>
      <w:r w:rsidRPr="00B432F3">
        <w:rPr>
          <w:rFonts w:ascii="Arial" w:eastAsia="Times" w:hAnsi="Arial"/>
        </w:rPr>
        <w:t>Care leavers (which includes Forgotten Australians, Former Child Migrants and Stolen Generations) and people affected by forced adoption or removal.</w:t>
      </w:r>
    </w:p>
    <w:p w:rsidR="001E4EB9" w:rsidRDefault="001E4EB9" w:rsidP="008D0702">
      <w:pPr>
        <w:pStyle w:val="Heading1"/>
      </w:pPr>
      <w:r>
        <w:t>Part B: Application Process</w:t>
      </w:r>
    </w:p>
    <w:p w:rsidR="001E4EB9" w:rsidRDefault="001E4EB9" w:rsidP="001E4EB9">
      <w:pPr>
        <w:pStyle w:val="DHHSbody"/>
      </w:pPr>
      <w:r w:rsidRPr="00786872">
        <w:t xml:space="preserve">Applications to the </w:t>
      </w:r>
      <w:r w:rsidR="00D65BA8" w:rsidRPr="00786872">
        <w:t>2019</w:t>
      </w:r>
      <w:r w:rsidR="00F76A4E" w:rsidRPr="00786872">
        <w:t xml:space="preserve"> </w:t>
      </w:r>
      <w:r w:rsidR="009E2CFD">
        <w:t xml:space="preserve">service innovation and development grant round </w:t>
      </w:r>
      <w:r w:rsidR="00062C1D" w:rsidRPr="00786872">
        <w:t xml:space="preserve">must be accompanied by the approved Department of Health and Human Services </w:t>
      </w:r>
      <w:r w:rsidR="001200D2" w:rsidRPr="00786872">
        <w:t xml:space="preserve">(the department) </w:t>
      </w:r>
      <w:r w:rsidR="00062C1D" w:rsidRPr="00786872">
        <w:t>application form. The form can be accessed at &lt;ww</w:t>
      </w:r>
      <w:r w:rsidR="00786872" w:rsidRPr="00786872">
        <w:t>w2.health.vic.gov.au/palliative-</w:t>
      </w:r>
      <w:r w:rsidR="00062C1D" w:rsidRPr="00786872">
        <w:t>care&gt;.</w:t>
      </w:r>
    </w:p>
    <w:p w:rsidR="00DC4FD0" w:rsidRPr="00DC4FD0" w:rsidRDefault="00DC4FD0" w:rsidP="001E4EB9">
      <w:pPr>
        <w:pStyle w:val="DHHSbody"/>
        <w:rPr>
          <w:b/>
        </w:rPr>
      </w:pPr>
      <w:r w:rsidRPr="007620B0">
        <w:rPr>
          <w:b/>
        </w:rPr>
        <w:t>Application</w:t>
      </w:r>
      <w:r w:rsidR="00D65BA8" w:rsidRPr="007620B0">
        <w:rPr>
          <w:b/>
        </w:rPr>
        <w:t xml:space="preserve">s close </w:t>
      </w:r>
      <w:r w:rsidR="00DC6011">
        <w:rPr>
          <w:b/>
        </w:rPr>
        <w:t xml:space="preserve">midnight </w:t>
      </w:r>
      <w:r w:rsidR="00DC6011" w:rsidRPr="00DC6011">
        <w:rPr>
          <w:b/>
        </w:rPr>
        <w:t>Sunday 19 May 2019</w:t>
      </w:r>
    </w:p>
    <w:p w:rsidR="009B7258" w:rsidRDefault="004A091E" w:rsidP="001E4EB9">
      <w:pPr>
        <w:pStyle w:val="DHHSbody"/>
      </w:pPr>
      <w:r>
        <w:t xml:space="preserve">Applicants </w:t>
      </w:r>
      <w:r w:rsidR="00062C1D">
        <w:t xml:space="preserve">are </w:t>
      </w:r>
      <w:r w:rsidR="00DC4FD0">
        <w:t xml:space="preserve">required to </w:t>
      </w:r>
      <w:r w:rsidR="00062C1D">
        <w:t xml:space="preserve">provide a </w:t>
      </w:r>
      <w:r w:rsidR="00DC4FD0">
        <w:t xml:space="preserve">written submission outlining </w:t>
      </w:r>
      <w:r w:rsidR="00062C1D">
        <w:t>th</w:t>
      </w:r>
      <w:r w:rsidR="00B96104">
        <w:t xml:space="preserve">e </w:t>
      </w:r>
      <w:r w:rsidR="009B7258">
        <w:t xml:space="preserve">innovation and development project. The </w:t>
      </w:r>
      <w:r>
        <w:t xml:space="preserve">submission </w:t>
      </w:r>
      <w:r w:rsidR="009B7258">
        <w:t>should outline the following:</w:t>
      </w:r>
    </w:p>
    <w:p w:rsidR="009B7258" w:rsidRPr="004A091E" w:rsidRDefault="009B7258" w:rsidP="004A091E">
      <w:pPr>
        <w:pStyle w:val="ListParagraph"/>
        <w:numPr>
          <w:ilvl w:val="0"/>
          <w:numId w:val="14"/>
        </w:numPr>
        <w:spacing w:after="40" w:line="270" w:lineRule="atLeast"/>
        <w:ind w:left="284" w:hanging="284"/>
        <w:rPr>
          <w:rFonts w:ascii="Arial" w:eastAsia="Times" w:hAnsi="Arial"/>
        </w:rPr>
      </w:pPr>
      <w:r w:rsidRPr="004A091E">
        <w:rPr>
          <w:rFonts w:ascii="Arial" w:eastAsia="Times" w:hAnsi="Arial"/>
        </w:rPr>
        <w:t>The key problem/service deficiency/opportunity that will be addressed by the project</w:t>
      </w:r>
    </w:p>
    <w:p w:rsidR="004A091E" w:rsidRPr="004A091E" w:rsidRDefault="004A091E" w:rsidP="004A091E">
      <w:pPr>
        <w:pStyle w:val="ListParagraph"/>
        <w:numPr>
          <w:ilvl w:val="0"/>
          <w:numId w:val="14"/>
        </w:numPr>
        <w:spacing w:after="40" w:line="270" w:lineRule="atLeast"/>
        <w:ind w:left="284" w:hanging="284"/>
        <w:rPr>
          <w:rFonts w:ascii="Arial" w:eastAsia="Times" w:hAnsi="Arial"/>
        </w:rPr>
      </w:pPr>
      <w:r w:rsidRPr="004A091E">
        <w:rPr>
          <w:rFonts w:ascii="Arial" w:eastAsia="Times" w:hAnsi="Arial"/>
        </w:rPr>
        <w:t xml:space="preserve">Identification of the key focus area/s </w:t>
      </w:r>
      <w:r>
        <w:rPr>
          <w:rFonts w:ascii="Arial" w:eastAsia="Times" w:hAnsi="Arial"/>
        </w:rPr>
        <w:t xml:space="preserve">as </w:t>
      </w:r>
      <w:r w:rsidRPr="004A091E">
        <w:rPr>
          <w:rFonts w:ascii="Arial" w:eastAsia="Times" w:hAnsi="Arial"/>
        </w:rPr>
        <w:t>defined by the department that the project will address</w:t>
      </w:r>
    </w:p>
    <w:p w:rsidR="004A091E" w:rsidRDefault="004A091E" w:rsidP="004A091E">
      <w:pPr>
        <w:pStyle w:val="ListParagraph"/>
        <w:numPr>
          <w:ilvl w:val="0"/>
          <w:numId w:val="14"/>
        </w:numPr>
        <w:spacing w:after="40" w:line="270" w:lineRule="atLeast"/>
        <w:ind w:left="284" w:hanging="284"/>
        <w:rPr>
          <w:rFonts w:ascii="Arial" w:eastAsia="Times" w:hAnsi="Arial"/>
        </w:rPr>
      </w:pPr>
      <w:r>
        <w:rPr>
          <w:rFonts w:ascii="Arial" w:eastAsia="Times" w:hAnsi="Arial"/>
        </w:rPr>
        <w:t xml:space="preserve">Alignment of the project to the goals of </w:t>
      </w:r>
      <w:r w:rsidRPr="004A091E">
        <w:rPr>
          <w:rFonts w:ascii="Arial" w:eastAsia="Times" w:hAnsi="Arial"/>
          <w:i/>
        </w:rPr>
        <w:t>Victoria’s end of life and palliative care framework</w:t>
      </w:r>
      <w:r>
        <w:rPr>
          <w:rFonts w:ascii="Arial" w:eastAsia="Times" w:hAnsi="Arial"/>
        </w:rPr>
        <w:t xml:space="preserve"> (2016)</w:t>
      </w:r>
    </w:p>
    <w:p w:rsidR="009B7258" w:rsidRPr="004A091E" w:rsidRDefault="009B7258" w:rsidP="004A091E">
      <w:pPr>
        <w:pStyle w:val="ListParagraph"/>
        <w:numPr>
          <w:ilvl w:val="0"/>
          <w:numId w:val="14"/>
        </w:numPr>
        <w:spacing w:after="40" w:line="270" w:lineRule="atLeast"/>
        <w:ind w:left="284" w:hanging="284"/>
        <w:rPr>
          <w:rFonts w:ascii="Arial" w:eastAsia="Times" w:hAnsi="Arial"/>
        </w:rPr>
      </w:pPr>
      <w:r w:rsidRPr="004A091E">
        <w:rPr>
          <w:rFonts w:ascii="Arial" w:eastAsia="Times" w:hAnsi="Arial"/>
        </w:rPr>
        <w:t xml:space="preserve">Key </w:t>
      </w:r>
      <w:r w:rsidR="004A091E">
        <w:rPr>
          <w:rFonts w:ascii="Arial" w:eastAsia="Times" w:hAnsi="Arial"/>
        </w:rPr>
        <w:t xml:space="preserve">project </w:t>
      </w:r>
      <w:r w:rsidRPr="004A091E">
        <w:rPr>
          <w:rFonts w:ascii="Arial" w:eastAsia="Times" w:hAnsi="Arial"/>
        </w:rPr>
        <w:t>objectives</w:t>
      </w:r>
      <w:r w:rsidR="003C137A">
        <w:rPr>
          <w:rFonts w:ascii="Arial" w:eastAsia="Times" w:hAnsi="Arial"/>
        </w:rPr>
        <w:t xml:space="preserve"> </w:t>
      </w:r>
    </w:p>
    <w:p w:rsidR="003C137A" w:rsidRPr="004A091E" w:rsidRDefault="003C137A" w:rsidP="003C137A">
      <w:pPr>
        <w:pStyle w:val="ListParagraph"/>
        <w:numPr>
          <w:ilvl w:val="0"/>
          <w:numId w:val="14"/>
        </w:numPr>
        <w:spacing w:after="40" w:line="270" w:lineRule="atLeast"/>
        <w:ind w:left="284" w:hanging="284"/>
        <w:rPr>
          <w:rFonts w:ascii="Arial" w:eastAsia="Times" w:hAnsi="Arial"/>
        </w:rPr>
      </w:pPr>
      <w:r>
        <w:rPr>
          <w:rFonts w:ascii="Arial" w:eastAsia="Times" w:hAnsi="Arial"/>
        </w:rPr>
        <w:t>Where relevant an overview of the project partners, including a description of the background of the partnership and governance model.</w:t>
      </w:r>
    </w:p>
    <w:p w:rsidR="009B7258" w:rsidRPr="004A091E" w:rsidRDefault="009B7258" w:rsidP="004A091E">
      <w:pPr>
        <w:pStyle w:val="ListParagraph"/>
        <w:numPr>
          <w:ilvl w:val="0"/>
          <w:numId w:val="14"/>
        </w:numPr>
        <w:spacing w:after="40" w:line="270" w:lineRule="atLeast"/>
        <w:ind w:left="284" w:hanging="284"/>
        <w:rPr>
          <w:rFonts w:ascii="Arial" w:eastAsia="Times" w:hAnsi="Arial"/>
        </w:rPr>
      </w:pPr>
      <w:r w:rsidRPr="004A091E">
        <w:rPr>
          <w:rFonts w:ascii="Arial" w:eastAsia="Times" w:hAnsi="Arial"/>
        </w:rPr>
        <w:t>A high-level project plan, key milestones and expected deliverables</w:t>
      </w:r>
    </w:p>
    <w:p w:rsidR="004A091E" w:rsidRPr="004A091E" w:rsidRDefault="004A091E" w:rsidP="004A091E">
      <w:pPr>
        <w:pStyle w:val="ListParagraph"/>
        <w:numPr>
          <w:ilvl w:val="0"/>
          <w:numId w:val="14"/>
        </w:numPr>
        <w:spacing w:after="40" w:line="270" w:lineRule="atLeast"/>
        <w:ind w:left="284" w:hanging="284"/>
        <w:rPr>
          <w:rFonts w:ascii="Arial" w:eastAsia="Times" w:hAnsi="Arial"/>
        </w:rPr>
      </w:pPr>
      <w:r>
        <w:rPr>
          <w:rFonts w:ascii="Arial" w:eastAsia="Times" w:hAnsi="Arial"/>
        </w:rPr>
        <w:t>A p</w:t>
      </w:r>
      <w:r w:rsidRPr="004A091E">
        <w:rPr>
          <w:rFonts w:ascii="Arial" w:eastAsia="Times" w:hAnsi="Arial"/>
        </w:rPr>
        <w:t>roject budget, including salaries and wages</w:t>
      </w:r>
    </w:p>
    <w:p w:rsidR="004A091E" w:rsidRDefault="004A091E" w:rsidP="004A091E">
      <w:pPr>
        <w:pStyle w:val="ListParagraph"/>
        <w:numPr>
          <w:ilvl w:val="0"/>
          <w:numId w:val="14"/>
        </w:numPr>
        <w:spacing w:after="40" w:line="270" w:lineRule="atLeast"/>
        <w:ind w:left="284" w:hanging="284"/>
        <w:rPr>
          <w:rFonts w:ascii="Arial" w:eastAsia="Times" w:hAnsi="Arial"/>
        </w:rPr>
      </w:pPr>
      <w:r>
        <w:rPr>
          <w:rFonts w:ascii="Arial" w:eastAsia="Times" w:hAnsi="Arial"/>
        </w:rPr>
        <w:t>Proposed metrics that align to the projects nominated objective/s</w:t>
      </w:r>
    </w:p>
    <w:p w:rsidR="003C137A" w:rsidRDefault="003C137A" w:rsidP="001E4EB9">
      <w:pPr>
        <w:pStyle w:val="DHHSbody"/>
      </w:pPr>
    </w:p>
    <w:p w:rsidR="001E4EB9" w:rsidRDefault="001E4EB9" w:rsidP="001E4EB9">
      <w:pPr>
        <w:pStyle w:val="DHHSbody"/>
      </w:pPr>
      <w:r>
        <w:t>The following documents are required to form an application package:</w:t>
      </w:r>
    </w:p>
    <w:p w:rsidR="00EE3B52" w:rsidRPr="003C137A" w:rsidRDefault="00EE3B52" w:rsidP="003C137A">
      <w:pPr>
        <w:pStyle w:val="ListParagraph"/>
        <w:numPr>
          <w:ilvl w:val="0"/>
          <w:numId w:val="20"/>
        </w:numPr>
        <w:spacing w:after="40" w:line="270" w:lineRule="atLeast"/>
        <w:rPr>
          <w:rFonts w:ascii="Arial" w:eastAsia="Times" w:hAnsi="Arial"/>
        </w:rPr>
      </w:pPr>
      <w:r w:rsidRPr="003C137A">
        <w:rPr>
          <w:rFonts w:ascii="Arial" w:eastAsia="Times" w:hAnsi="Arial"/>
        </w:rPr>
        <w:t>Department application form.</w:t>
      </w:r>
    </w:p>
    <w:p w:rsidR="00EE3B52" w:rsidRPr="003C137A" w:rsidRDefault="00EE3B52" w:rsidP="003C137A">
      <w:pPr>
        <w:pStyle w:val="ListParagraph"/>
        <w:numPr>
          <w:ilvl w:val="0"/>
          <w:numId w:val="20"/>
        </w:numPr>
        <w:spacing w:after="40" w:line="270" w:lineRule="atLeast"/>
        <w:rPr>
          <w:rFonts w:ascii="Arial" w:eastAsia="Times" w:hAnsi="Arial"/>
        </w:rPr>
      </w:pPr>
      <w:r w:rsidRPr="003C137A">
        <w:rPr>
          <w:rFonts w:ascii="Arial" w:eastAsia="Times" w:hAnsi="Arial"/>
        </w:rPr>
        <w:t xml:space="preserve">A separate written submission with a detailed </w:t>
      </w:r>
      <w:r w:rsidR="00541C09" w:rsidRPr="003C137A">
        <w:rPr>
          <w:rFonts w:ascii="Arial" w:eastAsia="Times" w:hAnsi="Arial"/>
        </w:rPr>
        <w:t xml:space="preserve">description of the </w:t>
      </w:r>
      <w:r w:rsidR="003C137A">
        <w:rPr>
          <w:rFonts w:ascii="Arial" w:eastAsia="Times" w:hAnsi="Arial"/>
        </w:rPr>
        <w:t>proposed service innovation and development project</w:t>
      </w:r>
      <w:r w:rsidRPr="003C137A">
        <w:rPr>
          <w:rFonts w:ascii="Arial" w:eastAsia="Times" w:hAnsi="Arial"/>
        </w:rPr>
        <w:t>.</w:t>
      </w:r>
    </w:p>
    <w:p w:rsidR="001E4EB9" w:rsidRDefault="001E4EB9" w:rsidP="004573E3">
      <w:pPr>
        <w:pStyle w:val="Heading3"/>
      </w:pPr>
      <w:r>
        <w:t>Assessment of applications</w:t>
      </w:r>
    </w:p>
    <w:p w:rsidR="001E4EB9" w:rsidRDefault="006526B8" w:rsidP="001E4EB9">
      <w:pPr>
        <w:pStyle w:val="DHHSbody"/>
      </w:pPr>
      <w:bookmarkStart w:id="3" w:name="_Hlk535411283"/>
      <w:r w:rsidRPr="006526B8">
        <w:t xml:space="preserve">Applications will be assessed </w:t>
      </w:r>
      <w:r w:rsidR="001E4EB9">
        <w:t xml:space="preserve">by the </w:t>
      </w:r>
      <w:r w:rsidR="001200D2">
        <w:t>d</w:t>
      </w:r>
      <w:r w:rsidR="004573E3">
        <w:t>epartme</w:t>
      </w:r>
      <w:r>
        <w:t>nt.</w:t>
      </w:r>
      <w:r w:rsidR="004573E3">
        <w:t xml:space="preserve"> </w:t>
      </w:r>
      <w:r>
        <w:t>The department</w:t>
      </w:r>
      <w:r w:rsidR="001E4EB9">
        <w:t xml:space="preserve"> may request more information or a meeting with </w:t>
      </w:r>
      <w:r>
        <w:t>some applicants</w:t>
      </w:r>
      <w:r w:rsidR="004573E3">
        <w:t xml:space="preserve"> to determine the eligibility and appropriateness of the application.</w:t>
      </w:r>
      <w:r w:rsidR="001E4EB9">
        <w:t xml:space="preserve"> </w:t>
      </w:r>
    </w:p>
    <w:bookmarkEnd w:id="3"/>
    <w:p w:rsidR="008D0702" w:rsidRDefault="008D0702">
      <w:pPr>
        <w:rPr>
          <w:rFonts w:ascii="Arial" w:eastAsia="MS Gothic" w:hAnsi="Arial"/>
          <w:b/>
          <w:bCs/>
          <w:sz w:val="24"/>
          <w:szCs w:val="26"/>
        </w:rPr>
      </w:pPr>
      <w:r>
        <w:br w:type="page"/>
      </w:r>
    </w:p>
    <w:p w:rsidR="001E4EB9" w:rsidRDefault="001E4EB9" w:rsidP="004573E3">
      <w:pPr>
        <w:pStyle w:val="Heading3"/>
      </w:pPr>
      <w:r>
        <w:lastRenderedPageBreak/>
        <w:t>Assessment criteria</w:t>
      </w:r>
    </w:p>
    <w:p w:rsidR="001E4EB9" w:rsidRDefault="001E4EB9" w:rsidP="001E4EB9">
      <w:pPr>
        <w:pStyle w:val="DHHSbody"/>
      </w:pPr>
      <w:r>
        <w:t>Each application will be assessed according to the following criteria:</w:t>
      </w:r>
    </w:p>
    <w:p w:rsidR="001E4EB9" w:rsidRPr="003C137A" w:rsidRDefault="004573E3" w:rsidP="003C137A">
      <w:pPr>
        <w:pStyle w:val="ListParagraph"/>
        <w:numPr>
          <w:ilvl w:val="0"/>
          <w:numId w:val="14"/>
        </w:numPr>
        <w:spacing w:after="40" w:line="270" w:lineRule="atLeast"/>
        <w:ind w:left="284" w:hanging="284"/>
        <w:rPr>
          <w:rFonts w:ascii="Arial" w:eastAsia="Times" w:hAnsi="Arial"/>
        </w:rPr>
      </w:pPr>
      <w:r w:rsidRPr="003C137A">
        <w:rPr>
          <w:rFonts w:ascii="Arial" w:eastAsia="Times" w:hAnsi="Arial"/>
        </w:rPr>
        <w:t>w</w:t>
      </w:r>
      <w:r w:rsidR="001E4EB9" w:rsidRPr="003C137A">
        <w:rPr>
          <w:rFonts w:ascii="Arial" w:eastAsia="Times" w:hAnsi="Arial"/>
        </w:rPr>
        <w:t xml:space="preserve">hether it complies with the </w:t>
      </w:r>
      <w:r w:rsidR="006526B8" w:rsidRPr="003C137A">
        <w:rPr>
          <w:rFonts w:ascii="Arial" w:eastAsia="Times" w:hAnsi="Arial"/>
        </w:rPr>
        <w:t>2019</w:t>
      </w:r>
      <w:r w:rsidR="00541C09" w:rsidRPr="003C137A">
        <w:rPr>
          <w:rFonts w:ascii="Arial" w:eastAsia="Times" w:hAnsi="Arial"/>
        </w:rPr>
        <w:t xml:space="preserve"> </w:t>
      </w:r>
      <w:r w:rsidR="003C137A">
        <w:rPr>
          <w:rFonts w:ascii="Arial" w:eastAsia="Times" w:hAnsi="Arial"/>
        </w:rPr>
        <w:t xml:space="preserve">service innovation and development </w:t>
      </w:r>
      <w:r w:rsidRPr="003C137A">
        <w:rPr>
          <w:rFonts w:ascii="Arial" w:eastAsia="Times" w:hAnsi="Arial"/>
        </w:rPr>
        <w:t xml:space="preserve">grant </w:t>
      </w:r>
      <w:r w:rsidR="001E4EB9" w:rsidRPr="003C137A">
        <w:rPr>
          <w:rFonts w:ascii="Arial" w:eastAsia="Times" w:hAnsi="Arial"/>
        </w:rPr>
        <w:t>guidelines</w:t>
      </w:r>
      <w:r w:rsidR="008630A9">
        <w:rPr>
          <w:rFonts w:ascii="Arial" w:eastAsia="Times" w:hAnsi="Arial"/>
        </w:rPr>
        <w:t>;</w:t>
      </w:r>
    </w:p>
    <w:p w:rsidR="003C137A" w:rsidRDefault="004573E3" w:rsidP="003C137A">
      <w:pPr>
        <w:pStyle w:val="ListParagraph"/>
        <w:numPr>
          <w:ilvl w:val="0"/>
          <w:numId w:val="14"/>
        </w:numPr>
        <w:spacing w:after="40" w:line="270" w:lineRule="atLeast"/>
        <w:ind w:left="284" w:hanging="284"/>
        <w:rPr>
          <w:rFonts w:ascii="Arial" w:eastAsia="Times" w:hAnsi="Arial"/>
        </w:rPr>
      </w:pPr>
      <w:r w:rsidRPr="003C137A">
        <w:rPr>
          <w:rFonts w:ascii="Arial" w:eastAsia="Times" w:hAnsi="Arial"/>
        </w:rPr>
        <w:t>whether t</w:t>
      </w:r>
      <w:r w:rsidR="00D651AF" w:rsidRPr="003C137A">
        <w:rPr>
          <w:rFonts w:ascii="Arial" w:eastAsia="Times" w:hAnsi="Arial"/>
        </w:rPr>
        <w:t xml:space="preserve">he </w:t>
      </w:r>
      <w:r w:rsidR="003C137A">
        <w:rPr>
          <w:rFonts w:ascii="Arial" w:eastAsia="Times" w:hAnsi="Arial"/>
        </w:rPr>
        <w:t xml:space="preserve">proposed innovation or service enhancement aligns with the goals of </w:t>
      </w:r>
      <w:r w:rsidR="003C137A" w:rsidRPr="003C137A">
        <w:rPr>
          <w:rFonts w:ascii="Arial" w:eastAsia="Times" w:hAnsi="Arial"/>
          <w:i/>
        </w:rPr>
        <w:t>Victoria’s end of life and palliative care framework</w:t>
      </w:r>
      <w:r w:rsidR="003C137A">
        <w:rPr>
          <w:rFonts w:ascii="Arial" w:eastAsia="Times" w:hAnsi="Arial"/>
        </w:rPr>
        <w:t xml:space="preserve"> (2016); and </w:t>
      </w:r>
    </w:p>
    <w:p w:rsidR="001E4EB9" w:rsidRPr="003C137A" w:rsidRDefault="006C1401" w:rsidP="003C137A">
      <w:pPr>
        <w:pStyle w:val="ListParagraph"/>
        <w:numPr>
          <w:ilvl w:val="0"/>
          <w:numId w:val="14"/>
        </w:numPr>
        <w:spacing w:after="40" w:line="270" w:lineRule="atLeast"/>
        <w:ind w:left="284" w:hanging="284"/>
        <w:rPr>
          <w:rFonts w:ascii="Arial" w:eastAsia="Times" w:hAnsi="Arial"/>
        </w:rPr>
      </w:pPr>
      <w:r>
        <w:rPr>
          <w:rFonts w:ascii="Arial" w:eastAsia="Times" w:hAnsi="Arial"/>
        </w:rPr>
        <w:t xml:space="preserve">whether the key components proposed in the project are potentially transferable to other care at end of life and palliative care services. </w:t>
      </w:r>
    </w:p>
    <w:p w:rsidR="001E4EB9" w:rsidRDefault="001E4EB9" w:rsidP="003C137A">
      <w:pPr>
        <w:pStyle w:val="ListParagraph"/>
        <w:spacing w:after="40" w:line="270" w:lineRule="atLeast"/>
        <w:ind w:left="284"/>
      </w:pPr>
    </w:p>
    <w:p w:rsidR="001E4EB9" w:rsidRDefault="001E4EB9" w:rsidP="004573E3">
      <w:pPr>
        <w:pStyle w:val="Heading3"/>
      </w:pPr>
      <w:r>
        <w:t>Notification of the outcome</w:t>
      </w:r>
    </w:p>
    <w:p w:rsidR="001E4EB9" w:rsidRDefault="001E4EB9" w:rsidP="001E4EB9">
      <w:pPr>
        <w:pStyle w:val="DHHSbody"/>
      </w:pPr>
      <w:bookmarkStart w:id="4" w:name="_Hlk535403561"/>
      <w:r w:rsidRPr="00E25A9E">
        <w:t>Applicants will be notified in</w:t>
      </w:r>
      <w:r w:rsidR="006526B8" w:rsidRPr="00E25A9E">
        <w:t xml:space="preserve"> writing of the department’s decision</w:t>
      </w:r>
      <w:r w:rsidRPr="00E25A9E">
        <w:t>. The letter will include the rationale for the decision and details about the funding that is approved.</w:t>
      </w:r>
    </w:p>
    <w:bookmarkEnd w:id="4"/>
    <w:p w:rsidR="001E4EB9" w:rsidRDefault="001E4EB9" w:rsidP="004573E3">
      <w:pPr>
        <w:pStyle w:val="Heading3"/>
      </w:pPr>
      <w:r>
        <w:t>Further information</w:t>
      </w:r>
    </w:p>
    <w:p w:rsidR="001E4EB9" w:rsidRDefault="001E4EB9" w:rsidP="001E4EB9">
      <w:pPr>
        <w:pStyle w:val="DHHSbody"/>
      </w:pPr>
      <w:r>
        <w:t xml:space="preserve">For further information please contact Theresa Williamson, Manager Palliative Care, on telephone (03) 9096 2050 or </w:t>
      </w:r>
      <w:hyperlink r:id="rId11" w:history="1">
        <w:r w:rsidRPr="008D0702">
          <w:rPr>
            <w:rStyle w:val="Hyperlink"/>
          </w:rPr>
          <w:t xml:space="preserve">email </w:t>
        </w:r>
        <w:r w:rsidR="008D0702" w:rsidRPr="008D0702">
          <w:rPr>
            <w:rStyle w:val="Hyperlink"/>
          </w:rPr>
          <w:t>Theresa Williamson</w:t>
        </w:r>
      </w:hyperlink>
      <w:r w:rsidR="008D0702">
        <w:t xml:space="preserve"> </w:t>
      </w:r>
      <w:r>
        <w:t>&lt;theresa.williamson@dhhs.vic.gov.au&gt;.</w:t>
      </w:r>
      <w:bookmarkEnd w:id="2"/>
    </w:p>
    <w:p w:rsidR="008D0702" w:rsidRDefault="008D0702" w:rsidP="001E4EB9">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8D0702" w:rsidRPr="002802E3" w:rsidTr="002C563F">
        <w:trPr>
          <w:cantSplit/>
        </w:trPr>
        <w:tc>
          <w:tcPr>
            <w:tcW w:w="4800" w:type="pct"/>
            <w:tcBorders>
              <w:top w:val="single" w:sz="4" w:space="0" w:color="auto"/>
              <w:left w:val="single" w:sz="4" w:space="0" w:color="auto"/>
              <w:bottom w:val="single" w:sz="4" w:space="0" w:color="auto"/>
              <w:right w:val="single" w:sz="4" w:space="0" w:color="auto"/>
            </w:tcBorders>
            <w:vAlign w:val="bottom"/>
          </w:tcPr>
          <w:p w:rsidR="008D0702" w:rsidRPr="00254F58" w:rsidRDefault="008D0702" w:rsidP="002C563F">
            <w:pPr>
              <w:pStyle w:val="DHHSaccessibilitypara"/>
            </w:pPr>
            <w:r w:rsidRPr="00254F58">
              <w:t xml:space="preserve">To receive this publication in </w:t>
            </w:r>
            <w:r w:rsidRPr="00770F37">
              <w:t>an</w:t>
            </w:r>
            <w:r w:rsidRPr="00254F58">
              <w:t xml:space="preserve"> accessible format phone</w:t>
            </w:r>
            <w:r>
              <w:t xml:space="preserve"> (03) 9096 2050</w:t>
            </w:r>
            <w:r w:rsidRPr="00254F58">
              <w:t xml:space="preserve">, using the National Relay Service 13 36 77 if required, or </w:t>
            </w:r>
            <w:hyperlink r:id="rId12" w:history="1">
              <w:r w:rsidRPr="005B021D">
                <w:rPr>
                  <w:rStyle w:val="Hyperlink"/>
                </w:rPr>
                <w:t>email Palliative Care</w:t>
              </w:r>
            </w:hyperlink>
            <w:r w:rsidRPr="00254F58">
              <w:t xml:space="preserve"> </w:t>
            </w:r>
            <w:r w:rsidRPr="005B021D">
              <w:t>&lt;pallcare@dhhs.vic.gov.au&gt;</w:t>
            </w:r>
          </w:p>
          <w:p w:rsidR="008D0702" w:rsidRPr="00254F58" w:rsidRDefault="008D0702" w:rsidP="002C563F">
            <w:pPr>
              <w:pStyle w:val="DHHSbody"/>
            </w:pPr>
            <w:r w:rsidRPr="00254F58">
              <w:t>Authorised and published by the Victorian Governmen</w:t>
            </w:r>
            <w:r>
              <w:t>t, 1 Treasury Place, Melbourne.</w:t>
            </w:r>
          </w:p>
          <w:p w:rsidR="008D0702" w:rsidRPr="00254F58" w:rsidRDefault="008D0702" w:rsidP="002C563F">
            <w:pPr>
              <w:pStyle w:val="DHHSbody"/>
            </w:pPr>
            <w:r w:rsidRPr="00254F58">
              <w:t xml:space="preserve">© State of </w:t>
            </w:r>
            <w:r>
              <w:t>Victoria, Department of Health and</w:t>
            </w:r>
            <w:r w:rsidRPr="00254F58">
              <w:t xml:space="preserve"> Human Services</w:t>
            </w:r>
            <w:r w:rsidRPr="00BA3F8D">
              <w:rPr>
                <w:color w:val="008950"/>
              </w:rPr>
              <w:t xml:space="preserve"> </w:t>
            </w:r>
            <w:r w:rsidRPr="005B021D">
              <w:t>April, 2019.</w:t>
            </w:r>
          </w:p>
          <w:p w:rsidR="008D0702" w:rsidRPr="005B021D" w:rsidRDefault="008D0702" w:rsidP="002C563F">
            <w:pPr>
              <w:pStyle w:val="DHHSbody"/>
              <w:rPr>
                <w:szCs w:val="19"/>
              </w:rPr>
            </w:pPr>
            <w:r w:rsidRPr="00254F58">
              <w:rPr>
                <w:szCs w:val="19"/>
              </w:rPr>
              <w:t>Available at</w:t>
            </w:r>
            <w:r>
              <w:rPr>
                <w:szCs w:val="19"/>
              </w:rPr>
              <w:t xml:space="preserve"> </w:t>
            </w:r>
            <w:hyperlink r:id="rId13" w:history="1">
              <w:r w:rsidRPr="005B021D">
                <w:rPr>
                  <w:rStyle w:val="Hyperlink"/>
                  <w:szCs w:val="19"/>
                </w:rPr>
                <w:t>Palliative care service innovation and development grant</w:t>
              </w:r>
            </w:hyperlink>
            <w:r w:rsidRPr="00254F58">
              <w:rPr>
                <w:szCs w:val="19"/>
              </w:rPr>
              <w:t xml:space="preserve"> </w:t>
            </w:r>
            <w:r>
              <w:rPr>
                <w:szCs w:val="19"/>
              </w:rPr>
              <w:t>&lt;</w:t>
            </w:r>
            <w:r w:rsidRPr="005B021D">
              <w:rPr>
                <w:szCs w:val="19"/>
              </w:rPr>
              <w:t>https://preview.health.vic.gov.au/hospitals-and-health-services/patient-care/end-of-life-care/palliative-care/palliative-care-service-grant</w:t>
            </w:r>
            <w:r>
              <w:rPr>
                <w:szCs w:val="19"/>
              </w:rPr>
              <w:t>&gt;</w:t>
            </w:r>
          </w:p>
        </w:tc>
      </w:tr>
    </w:tbl>
    <w:p w:rsidR="008D0702" w:rsidRDefault="008D0702" w:rsidP="001E4EB9">
      <w:pPr>
        <w:pStyle w:val="DHHSbody"/>
      </w:pPr>
    </w:p>
    <w:sectPr w:rsidR="008D0702" w:rsidSect="00892F5E">
      <w:type w:val="continuous"/>
      <w:pgSz w:w="11906" w:h="16838" w:code="9"/>
      <w:pgMar w:top="1418" w:right="851" w:bottom="28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B9" w:rsidRDefault="001E4EB9">
      <w:r>
        <w:separator/>
      </w:r>
    </w:p>
  </w:endnote>
  <w:endnote w:type="continuationSeparator" w:id="0">
    <w:p w:rsidR="001E4EB9" w:rsidRDefault="001E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F64318"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DC6011" w:rsidP="0051568D">
    <w:pPr>
      <w:pStyle w:val="DHHSfooter"/>
    </w:pPr>
    <w:r>
      <w:t xml:space="preserve">April </w:t>
    </w:r>
    <w:r w:rsidR="00D65BA8">
      <w:t>2019</w:t>
    </w:r>
    <w:r w:rsidR="009D70A4" w:rsidRPr="00A11421">
      <w:tab/>
    </w:r>
    <w:r w:rsidR="009D70A4" w:rsidRPr="00A11421">
      <w:fldChar w:fldCharType="begin"/>
    </w:r>
    <w:r w:rsidR="009D70A4" w:rsidRPr="00A11421">
      <w:instrText xml:space="preserve"> PAGE </w:instrText>
    </w:r>
    <w:r w:rsidR="009D70A4" w:rsidRPr="00A11421">
      <w:fldChar w:fldCharType="separate"/>
    </w:r>
    <w:r w:rsidR="003D1054">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B9" w:rsidRDefault="001E4EB9" w:rsidP="002862F1">
      <w:pPr>
        <w:spacing w:before="120"/>
      </w:pPr>
      <w:r>
        <w:separator/>
      </w:r>
    </w:p>
  </w:footnote>
  <w:footnote w:type="continuationSeparator" w:id="0">
    <w:p w:rsidR="001E4EB9" w:rsidRDefault="001E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496788"/>
    <w:multiLevelType w:val="hybridMultilevel"/>
    <w:tmpl w:val="252C6E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D3352CC"/>
    <w:multiLevelType w:val="hybridMultilevel"/>
    <w:tmpl w:val="573C1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64391"/>
    <w:multiLevelType w:val="hybridMultilevel"/>
    <w:tmpl w:val="C67E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732EC8"/>
    <w:multiLevelType w:val="hybridMultilevel"/>
    <w:tmpl w:val="F8EABC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41FE7C3C"/>
    <w:multiLevelType w:val="hybridMultilevel"/>
    <w:tmpl w:val="1A348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FE403BC"/>
    <w:multiLevelType w:val="hybridMultilevel"/>
    <w:tmpl w:val="72C8F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337E15"/>
    <w:multiLevelType w:val="hybridMultilevel"/>
    <w:tmpl w:val="666E2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C64FEC"/>
    <w:multiLevelType w:val="hybridMultilevel"/>
    <w:tmpl w:val="C170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9"/>
  </w:num>
  <w:num w:numId="10">
    <w:abstractNumId w:val="9"/>
  </w:num>
  <w:num w:numId="11">
    <w:abstractNumId w:val="9"/>
  </w:num>
  <w:num w:numId="12">
    <w:abstractNumId w:val="10"/>
  </w:num>
  <w:num w:numId="13">
    <w:abstractNumId w:val="9"/>
  </w:num>
  <w:num w:numId="14">
    <w:abstractNumId w:val="5"/>
  </w:num>
  <w:num w:numId="15">
    <w:abstractNumId w:val="12"/>
  </w:num>
  <w:num w:numId="16">
    <w:abstractNumId w:val="4"/>
  </w:num>
  <w:num w:numId="17">
    <w:abstractNumId w:val="8"/>
  </w:num>
  <w:num w:numId="18">
    <w:abstractNumId w:val="2"/>
  </w:num>
  <w:num w:numId="19">
    <w:abstractNumId w:val="11"/>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B9"/>
    <w:rsid w:val="000072B6"/>
    <w:rsid w:val="0001021B"/>
    <w:rsid w:val="00011D89"/>
    <w:rsid w:val="00015BD0"/>
    <w:rsid w:val="00024D89"/>
    <w:rsid w:val="000250B6"/>
    <w:rsid w:val="00032155"/>
    <w:rsid w:val="0003367D"/>
    <w:rsid w:val="00033D81"/>
    <w:rsid w:val="00041BF0"/>
    <w:rsid w:val="0004536B"/>
    <w:rsid w:val="00046B68"/>
    <w:rsid w:val="000527DD"/>
    <w:rsid w:val="000578B2"/>
    <w:rsid w:val="00060959"/>
    <w:rsid w:val="00062C1D"/>
    <w:rsid w:val="000663CD"/>
    <w:rsid w:val="000733FE"/>
    <w:rsid w:val="00074219"/>
    <w:rsid w:val="00074ED5"/>
    <w:rsid w:val="000820D5"/>
    <w:rsid w:val="0009113B"/>
    <w:rsid w:val="00091563"/>
    <w:rsid w:val="00094DA3"/>
    <w:rsid w:val="00096CD1"/>
    <w:rsid w:val="000A012C"/>
    <w:rsid w:val="000A0EB9"/>
    <w:rsid w:val="000A186C"/>
    <w:rsid w:val="000B27DE"/>
    <w:rsid w:val="000B543D"/>
    <w:rsid w:val="000B5BF7"/>
    <w:rsid w:val="000B6BC8"/>
    <w:rsid w:val="000C42EA"/>
    <w:rsid w:val="000C4546"/>
    <w:rsid w:val="000D1242"/>
    <w:rsid w:val="000D7643"/>
    <w:rsid w:val="000E3CC7"/>
    <w:rsid w:val="000E6BD4"/>
    <w:rsid w:val="000F1F1E"/>
    <w:rsid w:val="000F2259"/>
    <w:rsid w:val="0010392D"/>
    <w:rsid w:val="0010447F"/>
    <w:rsid w:val="00104FE3"/>
    <w:rsid w:val="001200D2"/>
    <w:rsid w:val="00120BD3"/>
    <w:rsid w:val="00122FEA"/>
    <w:rsid w:val="001232BD"/>
    <w:rsid w:val="00124ED5"/>
    <w:rsid w:val="001447B3"/>
    <w:rsid w:val="001454EF"/>
    <w:rsid w:val="00152073"/>
    <w:rsid w:val="00161939"/>
    <w:rsid w:val="00161AA0"/>
    <w:rsid w:val="00162093"/>
    <w:rsid w:val="00167850"/>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4EB9"/>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6F9C"/>
    <w:rsid w:val="00267C3E"/>
    <w:rsid w:val="002709BB"/>
    <w:rsid w:val="002763B3"/>
    <w:rsid w:val="002802E3"/>
    <w:rsid w:val="0028213D"/>
    <w:rsid w:val="002862F1"/>
    <w:rsid w:val="00291373"/>
    <w:rsid w:val="0029597D"/>
    <w:rsid w:val="002962C3"/>
    <w:rsid w:val="0029752B"/>
    <w:rsid w:val="002A36B9"/>
    <w:rsid w:val="002A483C"/>
    <w:rsid w:val="002B1729"/>
    <w:rsid w:val="002B36C7"/>
    <w:rsid w:val="002B4DD4"/>
    <w:rsid w:val="002B5277"/>
    <w:rsid w:val="002B5375"/>
    <w:rsid w:val="002B77C1"/>
    <w:rsid w:val="002C2728"/>
    <w:rsid w:val="002C5A1A"/>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2648"/>
    <w:rsid w:val="00357B4E"/>
    <w:rsid w:val="003744CF"/>
    <w:rsid w:val="00374717"/>
    <w:rsid w:val="0037676C"/>
    <w:rsid w:val="003829E5"/>
    <w:rsid w:val="0039412E"/>
    <w:rsid w:val="003956CC"/>
    <w:rsid w:val="00395C9A"/>
    <w:rsid w:val="003A6B67"/>
    <w:rsid w:val="003B15E6"/>
    <w:rsid w:val="003C137A"/>
    <w:rsid w:val="003C2045"/>
    <w:rsid w:val="003C43A1"/>
    <w:rsid w:val="003C4FC0"/>
    <w:rsid w:val="003C55F4"/>
    <w:rsid w:val="003C7A3F"/>
    <w:rsid w:val="003D1054"/>
    <w:rsid w:val="003D2766"/>
    <w:rsid w:val="003D3E8F"/>
    <w:rsid w:val="003D6475"/>
    <w:rsid w:val="003F0445"/>
    <w:rsid w:val="003F0CF0"/>
    <w:rsid w:val="003F14B1"/>
    <w:rsid w:val="003F3289"/>
    <w:rsid w:val="00401FCF"/>
    <w:rsid w:val="00406285"/>
    <w:rsid w:val="004148F9"/>
    <w:rsid w:val="0042084E"/>
    <w:rsid w:val="00421EEF"/>
    <w:rsid w:val="00424D65"/>
    <w:rsid w:val="00442144"/>
    <w:rsid w:val="00442C6C"/>
    <w:rsid w:val="00443CBE"/>
    <w:rsid w:val="00443E8A"/>
    <w:rsid w:val="004441BC"/>
    <w:rsid w:val="004468B4"/>
    <w:rsid w:val="0045230A"/>
    <w:rsid w:val="0045444C"/>
    <w:rsid w:val="00457337"/>
    <w:rsid w:val="004573E3"/>
    <w:rsid w:val="0047372D"/>
    <w:rsid w:val="0047438F"/>
    <w:rsid w:val="004743DD"/>
    <w:rsid w:val="00474CEA"/>
    <w:rsid w:val="00481628"/>
    <w:rsid w:val="00483968"/>
    <w:rsid w:val="00484F86"/>
    <w:rsid w:val="00490746"/>
    <w:rsid w:val="00490852"/>
    <w:rsid w:val="00492F30"/>
    <w:rsid w:val="004946F4"/>
    <w:rsid w:val="0049487E"/>
    <w:rsid w:val="004A091E"/>
    <w:rsid w:val="004A160D"/>
    <w:rsid w:val="004A3E81"/>
    <w:rsid w:val="004A539C"/>
    <w:rsid w:val="004A5C62"/>
    <w:rsid w:val="004A707D"/>
    <w:rsid w:val="004B38B4"/>
    <w:rsid w:val="004C69C7"/>
    <w:rsid w:val="004C6EEE"/>
    <w:rsid w:val="004C702B"/>
    <w:rsid w:val="004D016B"/>
    <w:rsid w:val="004D1B22"/>
    <w:rsid w:val="004D36F2"/>
    <w:rsid w:val="004E138F"/>
    <w:rsid w:val="004E3F5D"/>
    <w:rsid w:val="004E4649"/>
    <w:rsid w:val="004E5C2B"/>
    <w:rsid w:val="004E63A8"/>
    <w:rsid w:val="004F00DD"/>
    <w:rsid w:val="004F2133"/>
    <w:rsid w:val="004F55F1"/>
    <w:rsid w:val="004F6936"/>
    <w:rsid w:val="00503DC6"/>
    <w:rsid w:val="00505F53"/>
    <w:rsid w:val="00506F5D"/>
    <w:rsid w:val="00507034"/>
    <w:rsid w:val="005126D0"/>
    <w:rsid w:val="0051568D"/>
    <w:rsid w:val="00525681"/>
    <w:rsid w:val="00526C15"/>
    <w:rsid w:val="00536499"/>
    <w:rsid w:val="00541C09"/>
    <w:rsid w:val="00543903"/>
    <w:rsid w:val="00543F11"/>
    <w:rsid w:val="00547A95"/>
    <w:rsid w:val="00551AD9"/>
    <w:rsid w:val="00552612"/>
    <w:rsid w:val="00572031"/>
    <w:rsid w:val="005739ED"/>
    <w:rsid w:val="00576E84"/>
    <w:rsid w:val="00582B8C"/>
    <w:rsid w:val="0058757E"/>
    <w:rsid w:val="00596A4B"/>
    <w:rsid w:val="00597507"/>
    <w:rsid w:val="005B21B6"/>
    <w:rsid w:val="005B3A08"/>
    <w:rsid w:val="005B7A63"/>
    <w:rsid w:val="005C0955"/>
    <w:rsid w:val="005C36C3"/>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37940"/>
    <w:rsid w:val="006419AA"/>
    <w:rsid w:val="00644B7E"/>
    <w:rsid w:val="006454E6"/>
    <w:rsid w:val="00646A68"/>
    <w:rsid w:val="0065092E"/>
    <w:rsid w:val="006526B8"/>
    <w:rsid w:val="006557A7"/>
    <w:rsid w:val="00656290"/>
    <w:rsid w:val="006621D7"/>
    <w:rsid w:val="0066302A"/>
    <w:rsid w:val="0067024D"/>
    <w:rsid w:val="00670597"/>
    <w:rsid w:val="006706D0"/>
    <w:rsid w:val="00677574"/>
    <w:rsid w:val="0068454C"/>
    <w:rsid w:val="00691B62"/>
    <w:rsid w:val="006933B5"/>
    <w:rsid w:val="00693D14"/>
    <w:rsid w:val="006A18C2"/>
    <w:rsid w:val="006B077C"/>
    <w:rsid w:val="006B6803"/>
    <w:rsid w:val="006C1401"/>
    <w:rsid w:val="006C369F"/>
    <w:rsid w:val="006D2A3F"/>
    <w:rsid w:val="006D2FBC"/>
    <w:rsid w:val="006E138B"/>
    <w:rsid w:val="006F1B34"/>
    <w:rsid w:val="006F1FDC"/>
    <w:rsid w:val="006F24C5"/>
    <w:rsid w:val="007013EF"/>
    <w:rsid w:val="00710438"/>
    <w:rsid w:val="007173CA"/>
    <w:rsid w:val="007216AA"/>
    <w:rsid w:val="00721AB5"/>
    <w:rsid w:val="00721DEF"/>
    <w:rsid w:val="00724A43"/>
    <w:rsid w:val="00726A9D"/>
    <w:rsid w:val="007346E4"/>
    <w:rsid w:val="00740F22"/>
    <w:rsid w:val="00741F1A"/>
    <w:rsid w:val="007450F8"/>
    <w:rsid w:val="0074696E"/>
    <w:rsid w:val="00750135"/>
    <w:rsid w:val="00750EC2"/>
    <w:rsid w:val="00752B28"/>
    <w:rsid w:val="00754E36"/>
    <w:rsid w:val="007620B0"/>
    <w:rsid w:val="00763139"/>
    <w:rsid w:val="00770F37"/>
    <w:rsid w:val="007711A0"/>
    <w:rsid w:val="00772D5E"/>
    <w:rsid w:val="00774D4F"/>
    <w:rsid w:val="00776928"/>
    <w:rsid w:val="00785677"/>
    <w:rsid w:val="00786872"/>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16AEE"/>
    <w:rsid w:val="00820141"/>
    <w:rsid w:val="00820E0C"/>
    <w:rsid w:val="008338A2"/>
    <w:rsid w:val="00841AA9"/>
    <w:rsid w:val="00852337"/>
    <w:rsid w:val="00853EE4"/>
    <w:rsid w:val="00855535"/>
    <w:rsid w:val="0086255E"/>
    <w:rsid w:val="008630A9"/>
    <w:rsid w:val="008633F0"/>
    <w:rsid w:val="00867D9D"/>
    <w:rsid w:val="00872E0A"/>
    <w:rsid w:val="00875285"/>
    <w:rsid w:val="00884B62"/>
    <w:rsid w:val="0088529C"/>
    <w:rsid w:val="00887903"/>
    <w:rsid w:val="0089270A"/>
    <w:rsid w:val="00892F5E"/>
    <w:rsid w:val="00893923"/>
    <w:rsid w:val="00893AF6"/>
    <w:rsid w:val="0089459F"/>
    <w:rsid w:val="00894BC4"/>
    <w:rsid w:val="008A5B32"/>
    <w:rsid w:val="008B2EE4"/>
    <w:rsid w:val="008B4D3D"/>
    <w:rsid w:val="008B57C7"/>
    <w:rsid w:val="008B78E0"/>
    <w:rsid w:val="008C2F92"/>
    <w:rsid w:val="008D0702"/>
    <w:rsid w:val="008D2846"/>
    <w:rsid w:val="008D4236"/>
    <w:rsid w:val="008D462F"/>
    <w:rsid w:val="008D6DCF"/>
    <w:rsid w:val="008E06DE"/>
    <w:rsid w:val="008E4376"/>
    <w:rsid w:val="008E7A0A"/>
    <w:rsid w:val="008F410F"/>
    <w:rsid w:val="008F5C32"/>
    <w:rsid w:val="00900719"/>
    <w:rsid w:val="009017AC"/>
    <w:rsid w:val="00904A1C"/>
    <w:rsid w:val="00905030"/>
    <w:rsid w:val="00906490"/>
    <w:rsid w:val="009111B2"/>
    <w:rsid w:val="00924AE1"/>
    <w:rsid w:val="009269B1"/>
    <w:rsid w:val="0092724D"/>
    <w:rsid w:val="00937BD9"/>
    <w:rsid w:val="00950B97"/>
    <w:rsid w:val="00950E2C"/>
    <w:rsid w:val="00951D50"/>
    <w:rsid w:val="009525EB"/>
    <w:rsid w:val="00954874"/>
    <w:rsid w:val="0095728B"/>
    <w:rsid w:val="00961400"/>
    <w:rsid w:val="00963646"/>
    <w:rsid w:val="00967E2A"/>
    <w:rsid w:val="009853E1"/>
    <w:rsid w:val="00986E6B"/>
    <w:rsid w:val="00991769"/>
    <w:rsid w:val="00994386"/>
    <w:rsid w:val="009A13D8"/>
    <w:rsid w:val="009A279E"/>
    <w:rsid w:val="009B0A6F"/>
    <w:rsid w:val="009B0A94"/>
    <w:rsid w:val="009B5101"/>
    <w:rsid w:val="009B59E9"/>
    <w:rsid w:val="009B70AA"/>
    <w:rsid w:val="009B7258"/>
    <w:rsid w:val="009C5E77"/>
    <w:rsid w:val="009C7A7E"/>
    <w:rsid w:val="009D02E8"/>
    <w:rsid w:val="009D51D0"/>
    <w:rsid w:val="009D70A4"/>
    <w:rsid w:val="009E08D1"/>
    <w:rsid w:val="009E1B95"/>
    <w:rsid w:val="009E2CFD"/>
    <w:rsid w:val="009E496F"/>
    <w:rsid w:val="009E4B0D"/>
    <w:rsid w:val="009E7F92"/>
    <w:rsid w:val="009F02A3"/>
    <w:rsid w:val="009F2F27"/>
    <w:rsid w:val="009F34AA"/>
    <w:rsid w:val="009F6BCB"/>
    <w:rsid w:val="009F7B78"/>
    <w:rsid w:val="00A0057A"/>
    <w:rsid w:val="00A11421"/>
    <w:rsid w:val="00A157B1"/>
    <w:rsid w:val="00A22229"/>
    <w:rsid w:val="00A23B90"/>
    <w:rsid w:val="00A44882"/>
    <w:rsid w:val="00A54715"/>
    <w:rsid w:val="00A6061C"/>
    <w:rsid w:val="00A62D44"/>
    <w:rsid w:val="00A67263"/>
    <w:rsid w:val="00A7161C"/>
    <w:rsid w:val="00A77AA3"/>
    <w:rsid w:val="00A854EB"/>
    <w:rsid w:val="00A872E5"/>
    <w:rsid w:val="00A91406"/>
    <w:rsid w:val="00A96E65"/>
    <w:rsid w:val="00A97C72"/>
    <w:rsid w:val="00AA0AF0"/>
    <w:rsid w:val="00AA63D4"/>
    <w:rsid w:val="00AB06E8"/>
    <w:rsid w:val="00AB1CD3"/>
    <w:rsid w:val="00AB352F"/>
    <w:rsid w:val="00AC274B"/>
    <w:rsid w:val="00AC4764"/>
    <w:rsid w:val="00AC6D36"/>
    <w:rsid w:val="00AD0CBA"/>
    <w:rsid w:val="00AD26E2"/>
    <w:rsid w:val="00AD784C"/>
    <w:rsid w:val="00AE126A"/>
    <w:rsid w:val="00AE3005"/>
    <w:rsid w:val="00AE3BD5"/>
    <w:rsid w:val="00AE4E57"/>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2A9A"/>
    <w:rsid w:val="00B37299"/>
    <w:rsid w:val="00B431E8"/>
    <w:rsid w:val="00B432F3"/>
    <w:rsid w:val="00B45141"/>
    <w:rsid w:val="00B5273A"/>
    <w:rsid w:val="00B56326"/>
    <w:rsid w:val="00B57329"/>
    <w:rsid w:val="00B62B50"/>
    <w:rsid w:val="00B635B7"/>
    <w:rsid w:val="00B63AE8"/>
    <w:rsid w:val="00B65950"/>
    <w:rsid w:val="00B666CF"/>
    <w:rsid w:val="00B66D83"/>
    <w:rsid w:val="00B672C0"/>
    <w:rsid w:val="00B75646"/>
    <w:rsid w:val="00B90729"/>
    <w:rsid w:val="00B907DA"/>
    <w:rsid w:val="00B950BC"/>
    <w:rsid w:val="00B96104"/>
    <w:rsid w:val="00B9714C"/>
    <w:rsid w:val="00BA3F8D"/>
    <w:rsid w:val="00BA5C15"/>
    <w:rsid w:val="00BB7A10"/>
    <w:rsid w:val="00BC29A4"/>
    <w:rsid w:val="00BC7468"/>
    <w:rsid w:val="00BC7D4F"/>
    <w:rsid w:val="00BC7ED7"/>
    <w:rsid w:val="00BD220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E16F8"/>
    <w:rsid w:val="00CE2B32"/>
    <w:rsid w:val="00CF2F50"/>
    <w:rsid w:val="00CF5505"/>
    <w:rsid w:val="00D02919"/>
    <w:rsid w:val="00D04C61"/>
    <w:rsid w:val="00D05B8D"/>
    <w:rsid w:val="00D065A2"/>
    <w:rsid w:val="00D06D21"/>
    <w:rsid w:val="00D07F00"/>
    <w:rsid w:val="00D17B72"/>
    <w:rsid w:val="00D2524A"/>
    <w:rsid w:val="00D3185C"/>
    <w:rsid w:val="00D33E72"/>
    <w:rsid w:val="00D35BD6"/>
    <w:rsid w:val="00D361B5"/>
    <w:rsid w:val="00D411A2"/>
    <w:rsid w:val="00D4606D"/>
    <w:rsid w:val="00D50B9C"/>
    <w:rsid w:val="00D52D73"/>
    <w:rsid w:val="00D52E58"/>
    <w:rsid w:val="00D55B23"/>
    <w:rsid w:val="00D651AF"/>
    <w:rsid w:val="00D65BA8"/>
    <w:rsid w:val="00D714CC"/>
    <w:rsid w:val="00D75EA7"/>
    <w:rsid w:val="00D81F21"/>
    <w:rsid w:val="00D95470"/>
    <w:rsid w:val="00DA2545"/>
    <w:rsid w:val="00DA2619"/>
    <w:rsid w:val="00DA4239"/>
    <w:rsid w:val="00DB0B61"/>
    <w:rsid w:val="00DB2499"/>
    <w:rsid w:val="00DC090B"/>
    <w:rsid w:val="00DC1679"/>
    <w:rsid w:val="00DC2CF1"/>
    <w:rsid w:val="00DC4FCF"/>
    <w:rsid w:val="00DC4FD0"/>
    <w:rsid w:val="00DC50E0"/>
    <w:rsid w:val="00DC6011"/>
    <w:rsid w:val="00DC6386"/>
    <w:rsid w:val="00DD1130"/>
    <w:rsid w:val="00DD1951"/>
    <w:rsid w:val="00DD6628"/>
    <w:rsid w:val="00DE3250"/>
    <w:rsid w:val="00DE6028"/>
    <w:rsid w:val="00DE78A3"/>
    <w:rsid w:val="00DF1A71"/>
    <w:rsid w:val="00DF68C7"/>
    <w:rsid w:val="00DF731A"/>
    <w:rsid w:val="00E170DC"/>
    <w:rsid w:val="00E25A9E"/>
    <w:rsid w:val="00E26818"/>
    <w:rsid w:val="00E27FFC"/>
    <w:rsid w:val="00E30B15"/>
    <w:rsid w:val="00E40181"/>
    <w:rsid w:val="00E56A01"/>
    <w:rsid w:val="00E629A1"/>
    <w:rsid w:val="00E6794C"/>
    <w:rsid w:val="00E71591"/>
    <w:rsid w:val="00E82C55"/>
    <w:rsid w:val="00E92AC3"/>
    <w:rsid w:val="00EB00E0"/>
    <w:rsid w:val="00EB05B8"/>
    <w:rsid w:val="00EC059F"/>
    <w:rsid w:val="00EC1F24"/>
    <w:rsid w:val="00EC22F6"/>
    <w:rsid w:val="00ED5B9B"/>
    <w:rsid w:val="00ED6BAD"/>
    <w:rsid w:val="00ED7447"/>
    <w:rsid w:val="00EE1488"/>
    <w:rsid w:val="00EE3B52"/>
    <w:rsid w:val="00EE4D5D"/>
    <w:rsid w:val="00EE5131"/>
    <w:rsid w:val="00EE7CB3"/>
    <w:rsid w:val="00EF109B"/>
    <w:rsid w:val="00EF36AF"/>
    <w:rsid w:val="00EF57D7"/>
    <w:rsid w:val="00F00F9C"/>
    <w:rsid w:val="00F01E5F"/>
    <w:rsid w:val="00F02ABA"/>
    <w:rsid w:val="00F0437A"/>
    <w:rsid w:val="00F0584B"/>
    <w:rsid w:val="00F11037"/>
    <w:rsid w:val="00F16F1B"/>
    <w:rsid w:val="00F250A9"/>
    <w:rsid w:val="00F30FF4"/>
    <w:rsid w:val="00F3122E"/>
    <w:rsid w:val="00F331AD"/>
    <w:rsid w:val="00F35287"/>
    <w:rsid w:val="00F36F6D"/>
    <w:rsid w:val="00F43A37"/>
    <w:rsid w:val="00F4641B"/>
    <w:rsid w:val="00F46EB8"/>
    <w:rsid w:val="00F47E1F"/>
    <w:rsid w:val="00F511E4"/>
    <w:rsid w:val="00F52D09"/>
    <w:rsid w:val="00F52E08"/>
    <w:rsid w:val="00F55B21"/>
    <w:rsid w:val="00F56EF6"/>
    <w:rsid w:val="00F61A9F"/>
    <w:rsid w:val="00F64318"/>
    <w:rsid w:val="00F64696"/>
    <w:rsid w:val="00F65AA9"/>
    <w:rsid w:val="00F6768F"/>
    <w:rsid w:val="00F72C2C"/>
    <w:rsid w:val="00F76A4E"/>
    <w:rsid w:val="00F76CAB"/>
    <w:rsid w:val="00F772C6"/>
    <w:rsid w:val="00F815B5"/>
    <w:rsid w:val="00F85195"/>
    <w:rsid w:val="00F938BA"/>
    <w:rsid w:val="00FA14C1"/>
    <w:rsid w:val="00FA2C46"/>
    <w:rsid w:val="00FA3525"/>
    <w:rsid w:val="00FB17BC"/>
    <w:rsid w:val="00FB4769"/>
    <w:rsid w:val="00FB4CDA"/>
    <w:rsid w:val="00FC0F81"/>
    <w:rsid w:val="00FC395C"/>
    <w:rsid w:val="00FD3766"/>
    <w:rsid w:val="00FD47C4"/>
    <w:rsid w:val="00FD7771"/>
    <w:rsid w:val="00FE2DCF"/>
    <w:rsid w:val="00FE5DBE"/>
    <w:rsid w:val="00FE64C3"/>
    <w:rsid w:val="00FF2FCE"/>
    <w:rsid w:val="00FF4F7D"/>
    <w:rsid w:val="00FF5AFF"/>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09DD79E"/>
  <w15:docId w15:val="{36975DE7-01C3-4A13-B20F-CB81C57E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47438F"/>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AE4E57"/>
    <w:rPr>
      <w:rFonts w:ascii="Tahoma" w:hAnsi="Tahoma" w:cs="Tahoma"/>
      <w:sz w:val="16"/>
      <w:szCs w:val="16"/>
    </w:rPr>
  </w:style>
  <w:style w:type="character" w:customStyle="1" w:styleId="BalloonTextChar">
    <w:name w:val="Balloon Text Char"/>
    <w:basedOn w:val="DefaultParagraphFont"/>
    <w:link w:val="BalloonText"/>
    <w:uiPriority w:val="99"/>
    <w:semiHidden/>
    <w:rsid w:val="00AE4E57"/>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47438F"/>
    <w:pPr>
      <w:ind w:left="720"/>
      <w:contextualSpacing/>
    </w:pPr>
  </w:style>
  <w:style w:type="paragraph" w:styleId="Revision">
    <w:name w:val="Revision"/>
    <w:hidden/>
    <w:uiPriority w:val="71"/>
    <w:rsid w:val="00B32A9A"/>
    <w:rPr>
      <w:rFonts w:ascii="Cambria" w:hAnsi="Cambria"/>
      <w:lang w:eastAsia="en-US"/>
    </w:rPr>
  </w:style>
  <w:style w:type="character" w:styleId="UnresolvedMention">
    <w:name w:val="Unresolved Mention"/>
    <w:basedOn w:val="DefaultParagraphFont"/>
    <w:uiPriority w:val="99"/>
    <w:semiHidden/>
    <w:unhideWhenUsed/>
    <w:rsid w:val="008D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view.health.vic.gov.au/hospitals-and-health-services/patient-care/end-of-life-care/palliative-care/palliative-care-service-gra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llcare@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esa.williamson@dhhs.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02 Purple 2602.dot</Template>
  <TotalTime>0</TotalTime>
  <Pages>3</Pages>
  <Words>824</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Guideline and application process - 2019 palliative care service innovation and development grant</vt:lpstr>
    </vt:vector>
  </TitlesOfParts>
  <Company>Department of Health and Human Services</Company>
  <LinksUpToDate>false</LinksUpToDate>
  <CharactersWithSpaces>6162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and application process - 2019 palliative care service innovation and development grant</dc:title>
  <dc:subject>Guideline and application process - 2019 palliative care service innovation and development grant</dc:subject>
  <dc:creator>Department of Health and Human Services</dc:creator>
  <cp:keywords>palliative care; grant</cp:keywords>
  <cp:lastModifiedBy>Tara Johnson (DHHS)</cp:lastModifiedBy>
  <cp:revision>2</cp:revision>
  <cp:lastPrinted>2019-04-29T04:09:00Z</cp:lastPrinted>
  <dcterms:created xsi:type="dcterms:W3CDTF">2019-04-30T06:58:00Z</dcterms:created>
  <dcterms:modified xsi:type="dcterms:W3CDTF">2019-04-30T06:58:00Z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