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7823B4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3"/>
      </w:tblGrid>
      <w:tr w:rsidR="00AD784C" w:rsidTr="004C256A">
        <w:trPr>
          <w:trHeight w:val="1111"/>
        </w:trPr>
        <w:tc>
          <w:tcPr>
            <w:tcW w:w="8213" w:type="dxa"/>
            <w:shd w:val="clear" w:color="auto" w:fill="auto"/>
            <w:vAlign w:val="bottom"/>
          </w:tcPr>
          <w:p w:rsidR="00C152EB" w:rsidRPr="00161AA0" w:rsidRDefault="004C256A" w:rsidP="004C256A">
            <w:pPr>
              <w:pStyle w:val="DHHSmainheading"/>
            </w:pPr>
            <w:r>
              <w:t xml:space="preserve">Checklist for </w:t>
            </w:r>
            <w:r w:rsidR="006D4003">
              <w:t xml:space="preserve">Approval in Principle </w:t>
            </w:r>
          </w:p>
        </w:tc>
      </w:tr>
      <w:tr w:rsidR="00AD784C" w:rsidTr="004C256A">
        <w:trPr>
          <w:trHeight w:hRule="exact" w:val="1036"/>
        </w:trPr>
        <w:tc>
          <w:tcPr>
            <w:tcW w:w="8213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C152EB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Private Hospitals and Day Procedure Centres</w:t>
            </w:r>
          </w:p>
        </w:tc>
      </w:tr>
    </w:tbl>
    <w:p w:rsidR="00C152EB" w:rsidRDefault="00C152EB" w:rsidP="004C256A">
      <w:pPr>
        <w:pStyle w:val="Heading1"/>
        <w:spacing w:before="120"/>
      </w:pPr>
      <w:r>
        <w:t xml:space="preserve">Checklist </w:t>
      </w:r>
      <w:r w:rsidR="004C256A">
        <w:t>for AIP site insp</w:t>
      </w:r>
      <w:bookmarkStart w:id="0" w:name="_GoBack"/>
      <w:bookmarkEnd w:id="0"/>
      <w:r w:rsidR="004C256A">
        <w:t>ection</w:t>
      </w:r>
    </w:p>
    <w:p w:rsidR="006D4003" w:rsidRDefault="006D4003" w:rsidP="006D4003">
      <w:pPr>
        <w:pStyle w:val="Healthbody"/>
      </w:pPr>
      <w:bookmarkStart w:id="1" w:name="_Toc440566509"/>
      <w:r>
        <w:t xml:space="preserve">This Checklist has been prepared to assist facilities identify information required by the Department of Health and Human Services (the department) </w:t>
      </w:r>
      <w:r w:rsidRPr="00F26105">
        <w:t>prior</w:t>
      </w:r>
      <w:r>
        <w:t xml:space="preserve"> to undertaking an AIP site inspection of the completed works. The Checklist is to be returned to the department </w:t>
      </w:r>
      <w:r w:rsidRPr="00FA53CE">
        <w:rPr>
          <w:b/>
        </w:rPr>
        <w:t>24 hours</w:t>
      </w:r>
      <w:r>
        <w:t xml:space="preserve"> prior to the scheduled inspection.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371"/>
      </w:tblGrid>
      <w:tr w:rsidR="004C256A" w:rsidTr="0095469C">
        <w:tc>
          <w:tcPr>
            <w:tcW w:w="3403" w:type="dxa"/>
            <w:shd w:val="clear" w:color="auto" w:fill="auto"/>
          </w:tcPr>
          <w:p w:rsidR="004C256A" w:rsidRDefault="004C256A" w:rsidP="00651C54">
            <w:pPr>
              <w:pStyle w:val="DHHStablebullet"/>
              <w:numPr>
                <w:ilvl w:val="0"/>
                <w:numId w:val="0"/>
              </w:numPr>
              <w:ind w:left="227" w:hanging="227"/>
              <w:jc w:val="right"/>
            </w:pPr>
            <w:r>
              <w:t>Facility name:</w:t>
            </w:r>
          </w:p>
        </w:tc>
        <w:tc>
          <w:tcPr>
            <w:tcW w:w="7371" w:type="dxa"/>
            <w:shd w:val="clear" w:color="auto" w:fill="auto"/>
          </w:tcPr>
          <w:p w:rsidR="004C256A" w:rsidRDefault="004C256A" w:rsidP="00651C54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4C256A" w:rsidTr="0095469C">
        <w:tc>
          <w:tcPr>
            <w:tcW w:w="3403" w:type="dxa"/>
            <w:shd w:val="clear" w:color="auto" w:fill="auto"/>
          </w:tcPr>
          <w:p w:rsidR="004C256A" w:rsidRDefault="004C256A" w:rsidP="00651C54">
            <w:pPr>
              <w:pStyle w:val="DHHStablebullet"/>
              <w:numPr>
                <w:ilvl w:val="0"/>
                <w:numId w:val="0"/>
              </w:numPr>
              <w:ind w:left="227" w:hanging="227"/>
              <w:jc w:val="right"/>
            </w:pPr>
            <w:r>
              <w:t>AIP number and project details:</w:t>
            </w:r>
          </w:p>
        </w:tc>
        <w:tc>
          <w:tcPr>
            <w:tcW w:w="7371" w:type="dxa"/>
            <w:shd w:val="clear" w:color="auto" w:fill="auto"/>
          </w:tcPr>
          <w:p w:rsidR="004C256A" w:rsidRDefault="004C256A" w:rsidP="00651C54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  <w:tr w:rsidR="004C256A" w:rsidTr="0095469C">
        <w:tc>
          <w:tcPr>
            <w:tcW w:w="3403" w:type="dxa"/>
            <w:shd w:val="clear" w:color="auto" w:fill="auto"/>
          </w:tcPr>
          <w:p w:rsidR="004C256A" w:rsidRDefault="004C256A" w:rsidP="00651C54">
            <w:pPr>
              <w:pStyle w:val="DHHStablebullet"/>
              <w:numPr>
                <w:ilvl w:val="0"/>
                <w:numId w:val="0"/>
              </w:numPr>
              <w:ind w:left="227" w:hanging="227"/>
              <w:jc w:val="right"/>
            </w:pPr>
            <w:r>
              <w:t>Date of AIP inspection:</w:t>
            </w:r>
          </w:p>
        </w:tc>
        <w:tc>
          <w:tcPr>
            <w:tcW w:w="7371" w:type="dxa"/>
            <w:shd w:val="clear" w:color="auto" w:fill="auto"/>
          </w:tcPr>
          <w:p w:rsidR="004C256A" w:rsidRDefault="004C256A" w:rsidP="00651C54">
            <w:pPr>
              <w:pStyle w:val="DHHStablebullet"/>
              <w:numPr>
                <w:ilvl w:val="0"/>
                <w:numId w:val="0"/>
              </w:numPr>
              <w:ind w:left="227"/>
            </w:pPr>
          </w:p>
        </w:tc>
      </w:tr>
    </w:tbl>
    <w:p w:rsidR="003E5608" w:rsidRPr="003E5608" w:rsidRDefault="006D4003" w:rsidP="0095469C">
      <w:pPr>
        <w:pStyle w:val="Healthheading4"/>
        <w:spacing w:after="240"/>
        <w:rPr>
          <w:color w:val="FFFFFF"/>
          <w:sz w:val="18"/>
        </w:rPr>
      </w:pPr>
      <w:r>
        <w:rPr>
          <w:b w:val="0"/>
        </w:rPr>
        <w:t xml:space="preserve">Please complete the following checklist by placing an </w:t>
      </w:r>
      <w:r w:rsidRPr="005E6349">
        <w:t>X</w:t>
      </w:r>
      <w:r>
        <w:rPr>
          <w:b w:val="0"/>
        </w:rPr>
        <w:t xml:space="preserve"> in the relevant box and provide comments outlining reasons when document is not supplied.</w:t>
      </w: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4111"/>
        <w:gridCol w:w="567"/>
        <w:gridCol w:w="567"/>
        <w:gridCol w:w="567"/>
        <w:gridCol w:w="4536"/>
      </w:tblGrid>
      <w:tr w:rsidR="003E5608" w:rsidRPr="003E5608" w:rsidTr="004C256A">
        <w:trPr>
          <w:tblHeader/>
        </w:trPr>
        <w:tc>
          <w:tcPr>
            <w:tcW w:w="426" w:type="dxa"/>
            <w:shd w:val="clear" w:color="auto" w:fill="auto"/>
          </w:tcPr>
          <w:p w:rsidR="006D4003" w:rsidRPr="003E5608" w:rsidRDefault="006D4003" w:rsidP="00BE7450">
            <w:pPr>
              <w:pStyle w:val="Healthtablecolumnhead"/>
              <w:rPr>
                <w:color w:val="auto"/>
              </w:rPr>
            </w:pPr>
          </w:p>
        </w:tc>
        <w:tc>
          <w:tcPr>
            <w:tcW w:w="4111" w:type="dxa"/>
            <w:shd w:val="clear" w:color="auto" w:fill="auto"/>
          </w:tcPr>
          <w:p w:rsidR="006D4003" w:rsidRPr="003E5608" w:rsidRDefault="006D4003" w:rsidP="003E5608">
            <w:pPr>
              <w:pStyle w:val="DHHStablecolhead"/>
              <w:rPr>
                <w:color w:val="auto"/>
              </w:rPr>
            </w:pPr>
            <w:r w:rsidRPr="003E5608">
              <w:t>Item</w:t>
            </w:r>
          </w:p>
        </w:tc>
        <w:tc>
          <w:tcPr>
            <w:tcW w:w="567" w:type="dxa"/>
            <w:shd w:val="clear" w:color="auto" w:fill="auto"/>
          </w:tcPr>
          <w:p w:rsidR="006D4003" w:rsidRPr="003E5608" w:rsidRDefault="006D4003" w:rsidP="003E5608">
            <w:pPr>
              <w:pStyle w:val="DHHStablecolhead"/>
            </w:pPr>
            <w:r w:rsidRPr="003E5608">
              <w:t>Yes</w:t>
            </w:r>
          </w:p>
        </w:tc>
        <w:tc>
          <w:tcPr>
            <w:tcW w:w="567" w:type="dxa"/>
            <w:shd w:val="clear" w:color="auto" w:fill="auto"/>
          </w:tcPr>
          <w:p w:rsidR="006D4003" w:rsidRPr="003E5608" w:rsidRDefault="006D4003" w:rsidP="003E5608">
            <w:pPr>
              <w:pStyle w:val="DHHStablecolhead"/>
            </w:pPr>
            <w:r w:rsidRPr="003E5608">
              <w:t>No</w:t>
            </w:r>
          </w:p>
        </w:tc>
        <w:tc>
          <w:tcPr>
            <w:tcW w:w="567" w:type="dxa"/>
            <w:shd w:val="clear" w:color="auto" w:fill="auto"/>
          </w:tcPr>
          <w:p w:rsidR="006D4003" w:rsidRPr="003E5608" w:rsidRDefault="006D4003" w:rsidP="003E5608">
            <w:pPr>
              <w:pStyle w:val="DHHStablecolhead"/>
            </w:pPr>
            <w:r w:rsidRPr="003E5608">
              <w:t>N/A</w:t>
            </w:r>
          </w:p>
        </w:tc>
        <w:tc>
          <w:tcPr>
            <w:tcW w:w="4536" w:type="dxa"/>
            <w:shd w:val="clear" w:color="auto" w:fill="auto"/>
          </w:tcPr>
          <w:p w:rsidR="006D4003" w:rsidRPr="003E5608" w:rsidRDefault="006D4003" w:rsidP="003E5608">
            <w:pPr>
              <w:pStyle w:val="DHHStablecolhead"/>
            </w:pPr>
            <w:r w:rsidRPr="003E5608">
              <w:t>Comments</w:t>
            </w:r>
          </w:p>
        </w:tc>
      </w:tr>
      <w:bookmarkEnd w:id="1"/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1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Occupancy Permit</w:t>
            </w:r>
            <w:r w:rsidR="0095469C">
              <w:rPr>
                <w:rFonts w:eastAsia="Times" w:cs="Arial"/>
                <w:szCs w:val="18"/>
              </w:rPr>
              <w:t xml:space="preserve"> or Certificate of Final Inspection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6D4003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10348" w:type="dxa"/>
            <w:gridSpan w:val="5"/>
          </w:tcPr>
          <w:p w:rsidR="006D4003" w:rsidRPr="006D4003" w:rsidRDefault="006D4003" w:rsidP="006D4003">
            <w:pPr>
              <w:pStyle w:val="Healthtablebody"/>
              <w:rPr>
                <w:rFonts w:eastAsia="Times" w:cs="Arial"/>
                <w:b/>
                <w:szCs w:val="18"/>
              </w:rPr>
            </w:pPr>
            <w:r w:rsidRPr="006D4003">
              <w:rPr>
                <w:rFonts w:eastAsia="Times" w:cs="Arial"/>
                <w:b/>
                <w:szCs w:val="18"/>
              </w:rPr>
              <w:t>Fire Suppression Systems</w:t>
            </w: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2a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Fire Sprinkler Systems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2b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 xml:space="preserve">Certificate of Compliance Hydrant System 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2c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 Fire hose reel system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2d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fire extinguishers / fire blankets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6D4003">
              <w:rPr>
                <w:rFonts w:cs="Arial"/>
                <w:b/>
                <w:szCs w:val="18"/>
              </w:rPr>
              <w:t xml:space="preserve"> 3</w:t>
            </w:r>
          </w:p>
        </w:tc>
        <w:tc>
          <w:tcPr>
            <w:tcW w:w="10348" w:type="dxa"/>
            <w:gridSpan w:val="5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eastAsia="Times" w:cs="Arial"/>
                <w:b/>
                <w:szCs w:val="18"/>
              </w:rPr>
            </w:pPr>
            <w:r w:rsidRPr="006D4003">
              <w:rPr>
                <w:rFonts w:eastAsia="Times" w:cs="Arial"/>
                <w:b/>
                <w:szCs w:val="18"/>
              </w:rPr>
              <w:t>Fire Detection and Warning Systems</w:t>
            </w: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3a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Smoke and heat detections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3b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– EWIS and alarm system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6D4003"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10348" w:type="dxa"/>
            <w:gridSpan w:val="5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eastAsia="Times" w:cs="Arial"/>
                <w:b/>
                <w:szCs w:val="18"/>
              </w:rPr>
            </w:pPr>
            <w:r w:rsidRPr="006D4003">
              <w:rPr>
                <w:rFonts w:eastAsia="Times" w:cs="Arial"/>
                <w:b/>
                <w:szCs w:val="18"/>
              </w:rPr>
              <w:t>Passive fire systems</w:t>
            </w: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4a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fire door set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4b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passive fire systems – fire/smoke walls, collars, seals etc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6D4003">
              <w:rPr>
                <w:rFonts w:cs="Arial"/>
                <w:b/>
                <w:szCs w:val="18"/>
              </w:rPr>
              <w:t>5</w:t>
            </w:r>
          </w:p>
        </w:tc>
        <w:tc>
          <w:tcPr>
            <w:tcW w:w="10348" w:type="dxa"/>
            <w:gridSpan w:val="5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eastAsia="Times" w:cs="Arial"/>
                <w:b/>
                <w:szCs w:val="18"/>
              </w:rPr>
            </w:pPr>
            <w:r w:rsidRPr="006D4003">
              <w:rPr>
                <w:rFonts w:eastAsia="Times" w:cs="Arial"/>
                <w:b/>
                <w:szCs w:val="18"/>
              </w:rPr>
              <w:t xml:space="preserve">Mechanical services - </w:t>
            </w:r>
            <w:proofErr w:type="spellStart"/>
            <w:r w:rsidRPr="006D4003">
              <w:rPr>
                <w:rFonts w:eastAsia="Times" w:cs="Arial"/>
                <w:b/>
                <w:szCs w:val="18"/>
              </w:rPr>
              <w:t>hvac</w:t>
            </w:r>
            <w:proofErr w:type="spellEnd"/>
          </w:p>
        </w:tc>
      </w:tr>
      <w:tr w:rsidR="006D4003" w:rsidRPr="00FA53CE" w:rsidTr="004C256A">
        <w:tc>
          <w:tcPr>
            <w:tcW w:w="426" w:type="dxa"/>
          </w:tcPr>
          <w:p w:rsidR="006D4003" w:rsidRPr="00FA53CE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FA53CE">
              <w:rPr>
                <w:rFonts w:cs="Arial"/>
                <w:szCs w:val="18"/>
              </w:rPr>
              <w:t>5a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 w:val="20"/>
                <w:szCs w:val="20"/>
              </w:rPr>
            </w:pPr>
            <w:r w:rsidRPr="006D4003">
              <w:rPr>
                <w:rFonts w:eastAsia="Times" w:cs="Arial"/>
                <w:sz w:val="20"/>
                <w:szCs w:val="20"/>
              </w:rPr>
              <w:t>Certificate of Compliance Mechanical Services</w:t>
            </w:r>
          </w:p>
        </w:tc>
        <w:tc>
          <w:tcPr>
            <w:tcW w:w="567" w:type="dxa"/>
          </w:tcPr>
          <w:p w:rsidR="006D4003" w:rsidRPr="00FA53CE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FA53CE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6D4003" w:rsidRPr="00FA53CE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536" w:type="dxa"/>
          </w:tcPr>
          <w:p w:rsidR="006D4003" w:rsidRPr="00FA53CE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5b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 xml:space="preserve">Air balance test report, </w:t>
            </w:r>
            <w:proofErr w:type="spellStart"/>
            <w:r w:rsidRPr="006D4003">
              <w:rPr>
                <w:rFonts w:eastAsia="Times" w:cs="Arial"/>
                <w:szCs w:val="18"/>
              </w:rPr>
              <w:t>hepa</w:t>
            </w:r>
            <w:proofErr w:type="spellEnd"/>
            <w:r w:rsidRPr="006D4003">
              <w:rPr>
                <w:rFonts w:eastAsia="Times" w:cs="Arial"/>
                <w:szCs w:val="18"/>
              </w:rPr>
              <w:t xml:space="preserve"> filters certification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5c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Compliance for humidity monitoring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6D4003">
              <w:rPr>
                <w:rFonts w:cs="Arial"/>
                <w:b/>
                <w:szCs w:val="18"/>
              </w:rPr>
              <w:lastRenderedPageBreak/>
              <w:t>6</w:t>
            </w:r>
          </w:p>
        </w:tc>
        <w:tc>
          <w:tcPr>
            <w:tcW w:w="10348" w:type="dxa"/>
            <w:gridSpan w:val="5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eastAsia="Times" w:cs="Arial"/>
                <w:b/>
                <w:szCs w:val="18"/>
              </w:rPr>
            </w:pPr>
            <w:r w:rsidRPr="006D4003">
              <w:rPr>
                <w:rFonts w:eastAsia="Times" w:cs="Arial"/>
                <w:b/>
                <w:szCs w:val="18"/>
              </w:rPr>
              <w:t>Medical gases</w:t>
            </w: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6a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Medical Gas Certification and Test results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6b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Anesthetist certification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6D4003">
              <w:rPr>
                <w:rFonts w:cs="Arial"/>
                <w:b/>
                <w:szCs w:val="18"/>
              </w:rPr>
              <w:t>7</w:t>
            </w:r>
          </w:p>
        </w:tc>
        <w:tc>
          <w:tcPr>
            <w:tcW w:w="10348" w:type="dxa"/>
            <w:gridSpan w:val="5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eastAsia="Times" w:cs="Arial"/>
                <w:b/>
                <w:szCs w:val="18"/>
              </w:rPr>
            </w:pPr>
            <w:r w:rsidRPr="006D4003">
              <w:rPr>
                <w:rFonts w:eastAsia="Times" w:cs="Arial"/>
                <w:b/>
                <w:szCs w:val="18"/>
              </w:rPr>
              <w:t>Hydraulics</w:t>
            </w: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7a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 xml:space="preserve">Plumbing Certificate of Compliance  - Drainage and Sewer + General Plumbing 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7b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Plumbing Certificate of Compliance  - General Plumbing ( domestic water)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7c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Plumbing Certificate of Compliance  -  RO water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7d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Plumbing Certificate of Compliance  - recycled water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6D4003"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10348" w:type="dxa"/>
            <w:gridSpan w:val="5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eastAsia="Times" w:cs="Arial"/>
                <w:b/>
                <w:szCs w:val="18"/>
              </w:rPr>
            </w:pPr>
            <w:r w:rsidRPr="006D4003">
              <w:rPr>
                <w:rFonts w:eastAsia="Times" w:cs="Arial"/>
                <w:b/>
                <w:szCs w:val="18"/>
              </w:rPr>
              <w:t>Electrical services</w:t>
            </w: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Electrical Safety General Electrical Works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Electrical Safety for Prescribed Electrical Work (body and/or cardiac protected areas)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Electrical Safety Exit and Emergency Lights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Certificate of Commissioning – Nurse Call system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 xml:space="preserve">Certificate of electrical safety –Emergency power 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 xml:space="preserve">Certificate of electrical safety UPS 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3E5608" w:rsidTr="004C256A">
        <w:tc>
          <w:tcPr>
            <w:tcW w:w="426" w:type="dxa"/>
          </w:tcPr>
          <w:p w:rsidR="006D4003" w:rsidRPr="003E5608" w:rsidRDefault="006D4003" w:rsidP="00BE7450">
            <w:pPr>
              <w:pStyle w:val="Healthtablebody"/>
              <w:rPr>
                <w:rFonts w:cs="Arial"/>
                <w:b/>
                <w:szCs w:val="18"/>
              </w:rPr>
            </w:pPr>
            <w:r w:rsidRPr="003E5608"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10348" w:type="dxa"/>
            <w:gridSpan w:val="5"/>
          </w:tcPr>
          <w:p w:rsidR="006D4003" w:rsidRPr="003E5608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rFonts w:eastAsia="Times" w:cs="Arial"/>
                <w:b/>
                <w:szCs w:val="18"/>
              </w:rPr>
            </w:pPr>
            <w:r w:rsidRPr="003E5608">
              <w:rPr>
                <w:rFonts w:eastAsia="Times" w:cs="Arial"/>
                <w:b/>
                <w:szCs w:val="18"/>
              </w:rPr>
              <w:t>Finishes</w:t>
            </w: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9a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>Glazing compliance certificate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9b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pStyle w:val="Healthtablebody"/>
              <w:rPr>
                <w:rFonts w:eastAsia="Times" w:cs="Arial"/>
                <w:szCs w:val="18"/>
              </w:rPr>
            </w:pPr>
            <w:r w:rsidRPr="006D4003">
              <w:rPr>
                <w:rFonts w:eastAsia="Times" w:cs="Arial"/>
                <w:szCs w:val="18"/>
              </w:rPr>
              <w:t xml:space="preserve">Floor / wall finishes Test Reports 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20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6D4003">
              <w:rPr>
                <w:rFonts w:ascii="Arial" w:eastAsia="Times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D4003" w:rsidRPr="006D4003" w:rsidTr="004C256A">
        <w:tc>
          <w:tcPr>
            <w:tcW w:w="426" w:type="dxa"/>
          </w:tcPr>
          <w:p w:rsidR="006D4003" w:rsidRPr="006D4003" w:rsidRDefault="006D4003" w:rsidP="00BE7450">
            <w:pPr>
              <w:pStyle w:val="Healthtablebody"/>
              <w:rPr>
                <w:rFonts w:cs="Arial"/>
                <w:szCs w:val="18"/>
              </w:rPr>
            </w:pPr>
            <w:r w:rsidRPr="006D4003">
              <w:rPr>
                <w:rFonts w:cs="Arial"/>
                <w:szCs w:val="18"/>
              </w:rPr>
              <w:t>21</w:t>
            </w:r>
          </w:p>
        </w:tc>
        <w:tc>
          <w:tcPr>
            <w:tcW w:w="4111" w:type="dxa"/>
          </w:tcPr>
          <w:p w:rsidR="006D4003" w:rsidRPr="006D4003" w:rsidRDefault="006D4003" w:rsidP="00BE7450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6D4003">
              <w:rPr>
                <w:rFonts w:ascii="Arial" w:eastAsia="Times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567" w:type="dxa"/>
          </w:tcPr>
          <w:p w:rsidR="006D4003" w:rsidRPr="006D4003" w:rsidRDefault="006D4003" w:rsidP="00BE7450">
            <w:pPr>
              <w:pStyle w:val="Healthtablebody"/>
              <w:rPr>
                <w:szCs w:val="18"/>
              </w:rPr>
            </w:pPr>
          </w:p>
        </w:tc>
        <w:tc>
          <w:tcPr>
            <w:tcW w:w="4536" w:type="dxa"/>
          </w:tcPr>
          <w:p w:rsidR="006D4003" w:rsidRPr="006D4003" w:rsidRDefault="006D4003" w:rsidP="00BE7450">
            <w:pPr>
              <w:pStyle w:val="Healthtablebullet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:rsidR="00CF09AF" w:rsidRDefault="00CF09AF" w:rsidP="00CF09AF">
      <w:pPr>
        <w:pStyle w:val="DHbodynospace"/>
      </w:pPr>
    </w:p>
    <w:p w:rsidR="0095469C" w:rsidRDefault="0095469C" w:rsidP="00CF09AF">
      <w:pPr>
        <w:pStyle w:val="DHbodynospace"/>
      </w:pPr>
    </w:p>
    <w:p w:rsidR="0095469C" w:rsidRDefault="0095469C" w:rsidP="00CF09AF">
      <w:pPr>
        <w:pStyle w:val="DHbodynospace"/>
      </w:pPr>
    </w:p>
    <w:p w:rsidR="0095469C" w:rsidRDefault="0095469C" w:rsidP="00CF09AF">
      <w:pPr>
        <w:pStyle w:val="DHbodynospace"/>
      </w:pPr>
    </w:p>
    <w:p w:rsidR="0095469C" w:rsidRDefault="0095469C" w:rsidP="00CF09AF">
      <w:pPr>
        <w:pStyle w:val="DHbodynospace"/>
      </w:pPr>
    </w:p>
    <w:p w:rsidR="0095469C" w:rsidRDefault="0095469C" w:rsidP="00CF09AF">
      <w:pPr>
        <w:pStyle w:val="DHbodynospace"/>
      </w:pPr>
    </w:p>
    <w:p w:rsidR="0095469C" w:rsidRDefault="0095469C" w:rsidP="00CF09AF">
      <w:pPr>
        <w:pStyle w:val="DHbodynospace"/>
      </w:pPr>
    </w:p>
    <w:p w:rsidR="0095469C" w:rsidRDefault="0095469C" w:rsidP="00CF09AF">
      <w:pPr>
        <w:pStyle w:val="DHbodynospace"/>
      </w:pPr>
    </w:p>
    <w:tbl>
      <w:tblPr>
        <w:tblpPr w:leftFromText="180" w:rightFromText="180" w:vertAnchor="text" w:horzAnchor="margin" w:tblpX="-176" w:tblpY="104"/>
        <w:tblW w:w="5238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679"/>
      </w:tblGrid>
      <w:tr w:rsidR="00CF09AF" w:rsidRPr="002802E3" w:rsidTr="0095469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6" w:rsidRDefault="004C256A" w:rsidP="00347B76">
            <w:pPr>
              <w:pStyle w:val="DHHSbody"/>
            </w:pPr>
            <w:r w:rsidRPr="00347B76">
              <w:t xml:space="preserve">To receive this publication in an accessible format email </w:t>
            </w:r>
            <w:hyperlink r:id="rId9" w:history="1">
              <w:r w:rsidRPr="00347B76">
                <w:rPr>
                  <w:rStyle w:val="Hyperlink"/>
                </w:rPr>
                <w:t>Private Hospitals</w:t>
              </w:r>
            </w:hyperlink>
            <w:r w:rsidRPr="00347B76">
              <w:t xml:space="preserve"> </w:t>
            </w:r>
            <w:r w:rsidR="00347B76">
              <w:t>&lt;</w:t>
            </w:r>
            <w:r w:rsidR="0095469C" w:rsidRPr="00347B76">
              <w:t>privatehospitals@dhhs.vic.gov.au</w:t>
            </w:r>
            <w:r w:rsidR="00347B76">
              <w:t>&gt;</w:t>
            </w:r>
            <w:r w:rsidR="0095469C" w:rsidRPr="00347B76">
              <w:t>.</w:t>
            </w:r>
            <w:r w:rsidRPr="00347B76">
              <w:t xml:space="preserve"> </w:t>
            </w:r>
          </w:p>
          <w:p w:rsidR="00347B76" w:rsidRDefault="004C256A" w:rsidP="00347B76">
            <w:pPr>
              <w:pStyle w:val="DHHSbody"/>
            </w:pPr>
            <w:r w:rsidRPr="00347B76">
              <w:t xml:space="preserve">Authorised and published by the Victorian Government, 1 Treasury Place, Melbourne. © State of Victoria, Department of Health and Human Services </w:t>
            </w:r>
            <w:r w:rsidR="0095469C" w:rsidRPr="00347B76">
              <w:t>Nov 2019</w:t>
            </w:r>
            <w:r w:rsidRPr="00347B76">
              <w:t xml:space="preserve">. </w:t>
            </w:r>
          </w:p>
          <w:p w:rsidR="00CF09AF" w:rsidRPr="00347B76" w:rsidRDefault="004C256A" w:rsidP="00347B76">
            <w:pPr>
              <w:pStyle w:val="DHHSbody"/>
            </w:pPr>
            <w:r w:rsidRPr="00347B76">
              <w:t xml:space="preserve">Available at </w:t>
            </w:r>
            <w:hyperlink r:id="rId10" w:history="1">
              <w:r w:rsidR="0095469C" w:rsidRPr="00347B76">
                <w:rPr>
                  <w:rStyle w:val="Hyperlink"/>
                </w:rPr>
                <w:t>Private Hospitals website</w:t>
              </w:r>
            </w:hyperlink>
            <w:r w:rsidR="00347B76" w:rsidRPr="00347B76">
              <w:t xml:space="preserve"> &lt;https://www2.health.vic.gov.au/hospitals-and-health-services/private-health-service-establishments/forms-checklists-guidelines&gt;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headerReference w:type="default" r:id="rId11"/>
      <w:footerReference w:type="defaul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F2" w:rsidRDefault="004D1EF2">
      <w:r>
        <w:separator/>
      </w:r>
    </w:p>
  </w:endnote>
  <w:endnote w:type="continuationSeparator" w:id="0">
    <w:p w:rsidR="004D1EF2" w:rsidRDefault="004D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7823B4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7FE6E362" wp14:editId="57AE1A7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3E5608" w:rsidP="0051568D">
    <w:pPr>
      <w:pStyle w:val="DHHSfooter"/>
    </w:pPr>
    <w:r>
      <w:t>AIP Site Inspection Checklist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C256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F2" w:rsidRDefault="004D1EF2" w:rsidP="002862F1">
      <w:pPr>
        <w:spacing w:before="120"/>
      </w:pPr>
      <w:r>
        <w:separator/>
      </w:r>
    </w:p>
  </w:footnote>
  <w:footnote w:type="continuationSeparator" w:id="0">
    <w:p w:rsidR="004D1EF2" w:rsidRDefault="004D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7470EC5"/>
    <w:multiLevelType w:val="hybridMultilevel"/>
    <w:tmpl w:val="E758C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85D96"/>
    <w:multiLevelType w:val="hybridMultilevel"/>
    <w:tmpl w:val="03DC6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B4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03A9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1AB3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47B76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5608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256A"/>
    <w:rsid w:val="004C6EEE"/>
    <w:rsid w:val="004C702B"/>
    <w:rsid w:val="004D016B"/>
    <w:rsid w:val="004D1B22"/>
    <w:rsid w:val="004D1EF2"/>
    <w:rsid w:val="004D36F2"/>
    <w:rsid w:val="004E138F"/>
    <w:rsid w:val="004E4649"/>
    <w:rsid w:val="004E5C2B"/>
    <w:rsid w:val="004F00DD"/>
    <w:rsid w:val="004F2133"/>
    <w:rsid w:val="004F3921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B7F70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D4003"/>
    <w:rsid w:val="006E138B"/>
    <w:rsid w:val="006F1FDC"/>
    <w:rsid w:val="007013EF"/>
    <w:rsid w:val="00703F74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23B4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1FA"/>
    <w:rsid w:val="00937BD9"/>
    <w:rsid w:val="00950E2C"/>
    <w:rsid w:val="00951D50"/>
    <w:rsid w:val="009525EB"/>
    <w:rsid w:val="0095469C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31FC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E5007"/>
    <w:rsid w:val="00BF7F58"/>
    <w:rsid w:val="00C01381"/>
    <w:rsid w:val="00C079B8"/>
    <w:rsid w:val="00C123EA"/>
    <w:rsid w:val="00C12A49"/>
    <w:rsid w:val="00C133EE"/>
    <w:rsid w:val="00C152EB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09A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A592B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6ABB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85BC7"/>
  <w15:docId w15:val="{E938F844-ABC7-4994-A713-F0E7D9B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C152EB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Heading1NotBold">
    <w:name w:val="DH Heading 1 + Not Bold"/>
    <w:basedOn w:val="Normal"/>
    <w:rsid w:val="00C152EB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character" w:customStyle="1" w:styleId="DHbodyChar">
    <w:name w:val="DH body Char"/>
    <w:link w:val="DHbody"/>
    <w:locked/>
    <w:rsid w:val="00C152EB"/>
    <w:rPr>
      <w:rFonts w:ascii="Arial" w:eastAsia="Times" w:hAnsi="Arial" w:cs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body">
    <w:name w:val="DH body"/>
    <w:link w:val="DHbodyChar"/>
    <w:rsid w:val="00C152EB"/>
    <w:pPr>
      <w:spacing w:after="120" w:line="270" w:lineRule="exact"/>
    </w:pPr>
    <w:rPr>
      <w:rFonts w:ascii="Arial" w:eastAsia="Times" w:hAnsi="Arial" w:cs="Arial"/>
      <w:lang w:eastAsia="en-US"/>
    </w:rPr>
  </w:style>
  <w:style w:type="paragraph" w:customStyle="1" w:styleId="DHHeading3">
    <w:name w:val="DH Heading 3"/>
    <w:basedOn w:val="Normal"/>
    <w:rsid w:val="00C152EB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2EB"/>
    <w:rPr>
      <w:rFonts w:ascii="Tahoma" w:hAnsi="Tahoma" w:cs="Tahoma"/>
      <w:sz w:val="16"/>
      <w:szCs w:val="16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EB"/>
    <w:rPr>
      <w:rFonts w:ascii="Tahoma" w:hAnsi="Tahoma" w:cs="Tahoma"/>
      <w:sz w:val="16"/>
      <w:szCs w:val="16"/>
      <w:lang w:eastAsia="en-US"/>
    </w:rPr>
  </w:style>
  <w:style w:type="character" w:customStyle="1" w:styleId="DHheading4Char">
    <w:name w:val="DH heading 4 Char"/>
    <w:link w:val="DHheading4"/>
    <w:locked/>
    <w:rsid w:val="00C152EB"/>
    <w:rPr>
      <w:rFonts w:ascii="Arial" w:hAnsi="Arial" w:cs="Arial"/>
      <w:b/>
      <w:bCs/>
      <w:lang w:eastAsia="en-US"/>
    </w:rPr>
  </w:style>
  <w:style w:type="paragraph" w:customStyle="1" w:styleId="DHheading4">
    <w:name w:val="DH heading 4"/>
    <w:next w:val="DHbody"/>
    <w:link w:val="DHheading4Char"/>
    <w:rsid w:val="00C152EB"/>
    <w:pPr>
      <w:spacing w:before="120" w:after="120" w:line="240" w:lineRule="exact"/>
    </w:pPr>
    <w:rPr>
      <w:rFonts w:ascii="Arial" w:hAnsi="Arial" w:cs="Arial"/>
      <w:b/>
      <w:bCs/>
      <w:lang w:eastAsia="en-US"/>
    </w:rPr>
  </w:style>
  <w:style w:type="paragraph" w:customStyle="1" w:styleId="DHbodynospace">
    <w:name w:val="DH body no space"/>
    <w:basedOn w:val="DHbody"/>
    <w:rsid w:val="00CF09AF"/>
    <w:pPr>
      <w:spacing w:after="0"/>
    </w:pPr>
    <w:rPr>
      <w:rFonts w:cs="Times New Roman"/>
    </w:rPr>
  </w:style>
  <w:style w:type="paragraph" w:styleId="ListParagraph">
    <w:name w:val="List Paragraph"/>
    <w:basedOn w:val="Normal"/>
    <w:uiPriority w:val="72"/>
    <w:semiHidden/>
    <w:qFormat/>
    <w:rsid w:val="00B731FC"/>
    <w:pPr>
      <w:ind w:left="720"/>
      <w:contextualSpacing/>
    </w:pPr>
  </w:style>
  <w:style w:type="paragraph" w:customStyle="1" w:styleId="Healthbody">
    <w:name w:val="Health body"/>
    <w:rsid w:val="006D400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4">
    <w:name w:val="Health heading 4"/>
    <w:basedOn w:val="Healthbody"/>
    <w:rsid w:val="006D4003"/>
    <w:pPr>
      <w:keepNext/>
      <w:keepLines/>
      <w:spacing w:before="240" w:after="80" w:line="240" w:lineRule="atLeast"/>
    </w:pPr>
    <w:rPr>
      <w:b/>
    </w:rPr>
  </w:style>
  <w:style w:type="paragraph" w:customStyle="1" w:styleId="Healthtablebullet">
    <w:name w:val="Health table bullet"/>
    <w:basedOn w:val="Healthtablebody"/>
    <w:qFormat/>
    <w:rsid w:val="006D4003"/>
    <w:pPr>
      <w:numPr>
        <w:numId w:val="11"/>
      </w:numPr>
    </w:pPr>
  </w:style>
  <w:style w:type="paragraph" w:customStyle="1" w:styleId="Healthtablebody">
    <w:name w:val="Health table body"/>
    <w:rsid w:val="006D4003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ablecolumnhead">
    <w:name w:val="Health table column head"/>
    <w:rsid w:val="006D4003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health.vic.gov.au/hospitals-and-health-services/private-health-service-establishments/forms-checklists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dhhs.vic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3137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O'Keefe</dc:creator>
  <cp:lastModifiedBy>Steve Marty (DHHS)</cp:lastModifiedBy>
  <cp:revision>3</cp:revision>
  <cp:lastPrinted>2015-08-21T03:17:00Z</cp:lastPrinted>
  <dcterms:created xsi:type="dcterms:W3CDTF">2019-11-26T22:43:00Z</dcterms:created>
  <dcterms:modified xsi:type="dcterms:W3CDTF">2019-11-27T00:17:00Z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