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EEAC" w14:textId="77777777" w:rsidR="00A62D44" w:rsidRPr="004C6EEE" w:rsidRDefault="0001677A"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31B9CE62" wp14:editId="402F661C">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C22B0D2" w14:textId="77777777" w:rsidTr="00B07FF7">
        <w:trPr>
          <w:trHeight w:val="622"/>
        </w:trPr>
        <w:tc>
          <w:tcPr>
            <w:tcW w:w="10348" w:type="dxa"/>
            <w:tcMar>
              <w:top w:w="1531" w:type="dxa"/>
              <w:left w:w="0" w:type="dxa"/>
              <w:right w:w="0" w:type="dxa"/>
            </w:tcMar>
          </w:tcPr>
          <w:p w14:paraId="37301F04" w14:textId="77777777" w:rsidR="003B5733" w:rsidRPr="003B5733" w:rsidRDefault="002573F2" w:rsidP="003B5733">
            <w:pPr>
              <w:pStyle w:val="Documenttitle"/>
            </w:pPr>
            <w:r w:rsidRPr="002573F2">
              <w:t>Transfusion-transmitted bacterial infection and current mitigation strategies in Australia</w:t>
            </w:r>
          </w:p>
        </w:tc>
      </w:tr>
      <w:tr w:rsidR="003B5733" w14:paraId="44538443" w14:textId="77777777" w:rsidTr="00B07FF7">
        <w:tc>
          <w:tcPr>
            <w:tcW w:w="10348" w:type="dxa"/>
          </w:tcPr>
          <w:p w14:paraId="69E6565B" w14:textId="77777777" w:rsidR="003B5733" w:rsidRDefault="002573F2" w:rsidP="005F44C0">
            <w:pPr>
              <w:pStyle w:val="Documentsubtitle"/>
            </w:pPr>
            <w:r w:rsidRPr="002573F2">
              <w:t>STIR Bulletin no. 7</w:t>
            </w:r>
          </w:p>
          <w:p w14:paraId="448BDABE" w14:textId="77777777" w:rsidR="002573F2" w:rsidRPr="002573F2" w:rsidRDefault="002573F2" w:rsidP="005F44C0">
            <w:pPr>
              <w:pStyle w:val="Documentsubtitle"/>
              <w:rPr>
                <w:sz w:val="21"/>
                <w:szCs w:val="21"/>
              </w:rPr>
            </w:pPr>
            <w:r w:rsidRPr="002573F2">
              <w:rPr>
                <w:color w:val="000000" w:themeColor="text1"/>
                <w:sz w:val="21"/>
                <w:szCs w:val="21"/>
              </w:rPr>
              <w:t>Dr Phillip Nguyen (Australian Red Cross Lifeblood Haematology Registrar)</w:t>
            </w:r>
          </w:p>
        </w:tc>
      </w:tr>
      <w:tr w:rsidR="003B5733" w14:paraId="242EB845" w14:textId="77777777" w:rsidTr="00B07FF7">
        <w:tc>
          <w:tcPr>
            <w:tcW w:w="10348" w:type="dxa"/>
          </w:tcPr>
          <w:p w14:paraId="5305E4FE" w14:textId="77777777" w:rsidR="003B5733" w:rsidRPr="001E5058" w:rsidRDefault="00FA7093" w:rsidP="001E5058">
            <w:pPr>
              <w:pStyle w:val="Bannermarking"/>
            </w:pPr>
            <w:fldSimple w:instr=" FILLIN  &quot;Type the protective marking&quot; \d OFFICIAL \o  \* MERGEFORMAT ">
              <w:r w:rsidR="007A3E91">
                <w:t>OFFICIAL</w:t>
              </w:r>
            </w:fldSimple>
          </w:p>
        </w:tc>
      </w:tr>
    </w:tbl>
    <w:p w14:paraId="2F5FFA4C" w14:textId="77777777" w:rsidR="002573F2" w:rsidRPr="0030270F" w:rsidRDefault="002573F2" w:rsidP="002573F2">
      <w:pPr>
        <w:pStyle w:val="Heading1"/>
        <w:rPr>
          <w:sz w:val="44"/>
          <w:szCs w:val="44"/>
        </w:rPr>
      </w:pPr>
      <w:r w:rsidRPr="00235AC4">
        <w:rPr>
          <w:lang w:val="en-US"/>
        </w:rPr>
        <w:t>Summary</w:t>
      </w:r>
    </w:p>
    <w:p w14:paraId="1011F72D" w14:textId="77777777" w:rsidR="002573F2" w:rsidRPr="005B6FC2" w:rsidRDefault="002573F2" w:rsidP="002573F2">
      <w:pPr>
        <w:pStyle w:val="Bullet1"/>
      </w:pPr>
      <w:r>
        <w:t>Transfusion-transmitted bacterial infection (</w:t>
      </w:r>
      <w:r w:rsidRPr="005B6FC2">
        <w:t>TTBI</w:t>
      </w:r>
      <w:r>
        <w:t>)</w:t>
      </w:r>
      <w:r w:rsidRPr="005B6FC2">
        <w:t xml:space="preserve"> is a rare but potentially fatal complication of blood transfusion</w:t>
      </w:r>
      <w:r>
        <w:t>.</w:t>
      </w:r>
    </w:p>
    <w:p w14:paraId="1C442A5A" w14:textId="77777777" w:rsidR="002573F2" w:rsidRPr="005B6FC2" w:rsidRDefault="002573F2" w:rsidP="002573F2">
      <w:pPr>
        <w:pStyle w:val="Bullet1"/>
      </w:pPr>
      <w:r w:rsidRPr="005B6FC2">
        <w:t>Clinical manifestations may overlap with many other adverse transfusion reactions</w:t>
      </w:r>
      <w:r>
        <w:t>.</w:t>
      </w:r>
    </w:p>
    <w:p w14:paraId="7E199097" w14:textId="77777777" w:rsidR="002573F2" w:rsidRPr="005B6FC2" w:rsidRDefault="002573F2" w:rsidP="002573F2">
      <w:pPr>
        <w:pStyle w:val="Bullet1"/>
      </w:pPr>
      <w:r w:rsidRPr="005B6FC2">
        <w:t>The initial management of suspected TTBI should include prompt notification to Lifeblood so that associated blood components of the implicated donation may be quarantined, recalled, and tested</w:t>
      </w:r>
      <w:r>
        <w:t>.</w:t>
      </w:r>
    </w:p>
    <w:p w14:paraId="35CCDF27" w14:textId="77777777" w:rsidR="002573F2" w:rsidRPr="005B6FC2" w:rsidRDefault="002573F2" w:rsidP="002573F2">
      <w:pPr>
        <w:pStyle w:val="Bullet1"/>
        <w:spacing w:line="360" w:lineRule="auto"/>
        <w:rPr>
          <w:rFonts w:cs="Arial"/>
          <w:b/>
          <w:bCs/>
          <w:u w:val="single"/>
          <w:lang w:val="en-US"/>
        </w:rPr>
      </w:pPr>
      <w:r>
        <w:t>Bacterial contamination screening (</w:t>
      </w:r>
      <w:r w:rsidRPr="005B6FC2">
        <w:t>BCS</w:t>
      </w:r>
      <w:r>
        <w:t>)</w:t>
      </w:r>
      <w:r w:rsidRPr="005B6FC2">
        <w:t xml:space="preserve"> testing has significantly reduced the rate of TTBI</w:t>
      </w:r>
      <w:r>
        <w:t>.</w:t>
      </w:r>
    </w:p>
    <w:p w14:paraId="0F999D09" w14:textId="77777777" w:rsidR="002573F2" w:rsidRPr="003F56E6" w:rsidRDefault="002573F2" w:rsidP="002573F2">
      <w:pPr>
        <w:pStyle w:val="Heading1"/>
        <w:rPr>
          <w:lang w:val="en-US"/>
        </w:rPr>
      </w:pPr>
      <w:r w:rsidRPr="00235AC4">
        <w:rPr>
          <w:lang w:val="en-US"/>
        </w:rPr>
        <w:t>Background</w:t>
      </w:r>
    </w:p>
    <w:p w14:paraId="132A08C9" w14:textId="77777777" w:rsidR="002573F2" w:rsidRPr="00235AC4" w:rsidRDefault="002573F2" w:rsidP="002573F2">
      <w:pPr>
        <w:pStyle w:val="Body"/>
        <w:rPr>
          <w:lang w:val="en-US"/>
        </w:rPr>
      </w:pPr>
      <w:r>
        <w:rPr>
          <w:lang w:val="en-US"/>
        </w:rPr>
        <w:t>TTBI</w:t>
      </w:r>
      <w:r w:rsidRPr="00235AC4">
        <w:rPr>
          <w:lang w:val="en-US"/>
        </w:rPr>
        <w:t xml:space="preserve"> is an important adverse event of blood component administration with the potential for severe life-threatening outcomes. Historically, infections account for approximately 10</w:t>
      </w:r>
      <w:r>
        <w:rPr>
          <w:lang w:val="en-US"/>
        </w:rPr>
        <w:t>–</w:t>
      </w:r>
      <w:r w:rsidRPr="00235AC4">
        <w:rPr>
          <w:lang w:val="en-US"/>
        </w:rPr>
        <w:t>20</w:t>
      </w:r>
      <w:r>
        <w:rPr>
          <w:lang w:val="en-US"/>
        </w:rPr>
        <w:t xml:space="preserve"> per cent </w:t>
      </w:r>
      <w:r w:rsidRPr="00235AC4">
        <w:rPr>
          <w:lang w:val="en-US"/>
        </w:rPr>
        <w:t>of transfusion</w:t>
      </w:r>
      <w:r>
        <w:rPr>
          <w:lang w:val="en-US"/>
        </w:rPr>
        <w:t>-</w:t>
      </w:r>
      <w:r w:rsidRPr="00235AC4">
        <w:rPr>
          <w:lang w:val="en-US"/>
        </w:rPr>
        <w:t>related deaths reported to haemovigilance systems (United Kingdom Serious Hazards of Transfusion surveillance system [SHOT], US Food and Drug Administration [FDA], French haemovigilance system),</w:t>
      </w:r>
      <w:r>
        <w:rPr>
          <w:lang w:val="en-US"/>
        </w:rPr>
        <w:t xml:space="preserve">with </w:t>
      </w:r>
      <w:r w:rsidRPr="00235AC4">
        <w:rPr>
          <w:lang w:val="en-US"/>
        </w:rPr>
        <w:t>the majority (~85</w:t>
      </w:r>
      <w:r>
        <w:rPr>
          <w:lang w:val="en-US"/>
        </w:rPr>
        <w:t xml:space="preserve"> per cent</w:t>
      </w:r>
      <w:r w:rsidRPr="00235AC4">
        <w:rPr>
          <w:lang w:val="en-US"/>
        </w:rPr>
        <w:t xml:space="preserve">) being due to septic reactions from TTBI </w:t>
      </w:r>
      <w:r w:rsidRPr="00235AC4">
        <w:rPr>
          <w:lang w:val="en-US"/>
        </w:rPr>
        <w:fldChar w:fldCharType="begin"/>
      </w:r>
      <w:r w:rsidRPr="00235AC4">
        <w:rPr>
          <w:lang w:val="en-US"/>
        </w:rPr>
        <w:instrText xml:space="preserve"> ADDIN EN.CITE &lt;EndNote&gt;&lt;Cite&gt;&lt;Author&gt;Vamvakas&lt;/Author&gt;&lt;Year&gt;2009&lt;/Year&gt;&lt;RecNum&gt;495&lt;/RecNum&gt;&lt;DisplayText&gt;(1)&lt;/DisplayText&gt;&lt;record&gt;&lt;rec-number&gt;495&lt;/rec-number&gt;&lt;foreign-keys&gt;&lt;key app="EN" db-id="s9x0vrrd0sadrtexxek5dszcrr9wxrpatew2" timestamp="1623935175"&gt;495&lt;/key&gt;&lt;/foreign-keys&gt;&lt;ref-type name="Journal Article"&gt;17&lt;/ref-type&gt;&lt;contributors&gt;&lt;authors&gt;&lt;author&gt;Vamvakas, E. C.&lt;/author&gt;&lt;author&gt;Blajchman, M. A.&lt;/author&gt;&lt;/authors&gt;&lt;/contributors&gt;&lt;auth-address&gt;Department of Pathology and Laboratory Medicine, Cedars-Sinai Medical Center, Los Angeles, CA, USA.&lt;/auth-address&gt;&lt;titles&gt;&lt;title&gt;Transfusion-related mortality: the ongoing risks of allogeneic blood transfusion and the available strategies for their prevention&lt;/title&gt;&lt;secondary-title&gt;Blood&lt;/secondary-title&gt;&lt;/titles&gt;&lt;periodical&gt;&lt;full-title&gt;Blood&lt;/full-title&gt;&lt;/periodical&gt;&lt;pages&gt;3406-17&lt;/pages&gt;&lt;volume&gt;113&lt;/volume&gt;&lt;number&gt;15&lt;/number&gt;&lt;edition&gt;2009/02/04&lt;/edition&gt;&lt;keywords&gt;&lt;keyword&gt;Blood Group Incompatibility/blood/*mortality/prevention &amp;amp; control&lt;/keyword&gt;&lt;keyword&gt;Blood Transfusion/*mortality&lt;/keyword&gt;&lt;keyword&gt;Humans&lt;/keyword&gt;&lt;keyword&gt;Infection Control&lt;/keyword&gt;&lt;keyword&gt;Infections/blood/*mortality&lt;/keyword&gt;&lt;keyword&gt;Lung Diseases/blood/*mortality/prevention &amp;amp; control&lt;/keyword&gt;&lt;keyword&gt;Risk Factors&lt;/keyword&gt;&lt;keyword&gt;*Transfusion Reaction&lt;/keyword&gt;&lt;/keywords&gt;&lt;dates&gt;&lt;year&gt;2009&lt;/year&gt;&lt;pub-dates&gt;&lt;date&gt;Apr 9&lt;/date&gt;&lt;/pub-dates&gt;&lt;/dates&gt;&lt;isbn&gt;1528-0020 (Electronic)&amp;#xD;0006-4971 (Linking)&lt;/isbn&gt;&lt;accession-num&gt;19188662&lt;/accession-num&gt;&lt;urls&gt;&lt;related-urls&gt;&lt;url&gt;https://www.ncbi.nlm.nih.gov/pubmed/19188662&lt;/url&gt;&lt;/related-urls&gt;&lt;/urls&gt;&lt;electronic-resource-num&gt;10.1182/blood-2008-10-167643&lt;/electronic-resource-num&gt;&lt;/record&gt;&lt;/Cite&gt;&lt;/EndNote&gt;</w:instrText>
      </w:r>
      <w:r w:rsidRPr="00235AC4">
        <w:rPr>
          <w:lang w:val="en-US"/>
        </w:rPr>
        <w:fldChar w:fldCharType="separate"/>
      </w:r>
      <w:r w:rsidRPr="00235AC4">
        <w:rPr>
          <w:noProof/>
          <w:lang w:val="en-US"/>
        </w:rPr>
        <w:t>(</w:t>
      </w:r>
      <w:r w:rsidRPr="003F56E6">
        <w:rPr>
          <w:noProof/>
          <w:lang w:val="en-US"/>
        </w:rPr>
        <w:t>Vamvakas</w:t>
      </w:r>
      <w:r>
        <w:rPr>
          <w:noProof/>
          <w:lang w:val="en-US"/>
        </w:rPr>
        <w:t xml:space="preserve"> et al. 2009</w:t>
      </w:r>
      <w:r w:rsidRPr="00235AC4">
        <w:rPr>
          <w:noProof/>
          <w:lang w:val="en-US"/>
        </w:rPr>
        <w:t>)</w:t>
      </w:r>
      <w:r w:rsidRPr="00235AC4">
        <w:rPr>
          <w:lang w:val="en-US"/>
        </w:rPr>
        <w:fldChar w:fldCharType="end"/>
      </w:r>
      <w:r w:rsidRPr="00235AC4">
        <w:rPr>
          <w:lang w:val="en-US"/>
        </w:rPr>
        <w:t xml:space="preserve">. More recent data from the Australian haemovigilance report documented 19 cases of TTBI (all suspected but unconfirmed) </w:t>
      </w:r>
      <w:r>
        <w:rPr>
          <w:lang w:val="en-US"/>
        </w:rPr>
        <w:t>from</w:t>
      </w:r>
      <w:r w:rsidRPr="00235AC4">
        <w:rPr>
          <w:lang w:val="en-US"/>
        </w:rPr>
        <w:t xml:space="preserve"> 2016</w:t>
      </w:r>
      <w:r>
        <w:rPr>
          <w:lang w:val="en-US"/>
        </w:rPr>
        <w:t xml:space="preserve"> to </w:t>
      </w:r>
      <w:r w:rsidRPr="00235AC4">
        <w:rPr>
          <w:lang w:val="en-US"/>
        </w:rPr>
        <w:t xml:space="preserve">2018, with no deaths occurring during this period. </w:t>
      </w:r>
    </w:p>
    <w:p w14:paraId="4E9FC86E" w14:textId="77777777" w:rsidR="002573F2" w:rsidRDefault="002573F2" w:rsidP="002573F2">
      <w:pPr>
        <w:pStyle w:val="Body"/>
        <w:rPr>
          <w:lang w:val="en-US"/>
        </w:rPr>
      </w:pPr>
      <w:r w:rsidRPr="00235AC4">
        <w:rPr>
          <w:lang w:val="en-US"/>
        </w:rPr>
        <w:t xml:space="preserve">The potential for blood component contamination </w:t>
      </w:r>
      <w:r w:rsidRPr="0030270F">
        <w:t>can</w:t>
      </w:r>
      <w:r w:rsidRPr="00235AC4">
        <w:rPr>
          <w:lang w:val="en-US"/>
        </w:rPr>
        <w:t xml:space="preserve"> arise from multiple sources during the supply chain. This includes donor skin during the collection process, </w:t>
      </w:r>
      <w:proofErr w:type="spellStart"/>
      <w:r w:rsidRPr="00235AC4">
        <w:rPr>
          <w:lang w:val="en-US"/>
        </w:rPr>
        <w:t>unrecogni</w:t>
      </w:r>
      <w:r>
        <w:rPr>
          <w:lang w:val="en-US"/>
        </w:rPr>
        <w:t>s</w:t>
      </w:r>
      <w:r w:rsidRPr="00235AC4">
        <w:rPr>
          <w:lang w:val="en-US"/>
        </w:rPr>
        <w:t>ed</w:t>
      </w:r>
      <w:proofErr w:type="spellEnd"/>
      <w:r w:rsidRPr="00235AC4">
        <w:rPr>
          <w:lang w:val="en-US"/>
        </w:rPr>
        <w:t xml:space="preserve"> </w:t>
      </w:r>
      <w:proofErr w:type="spellStart"/>
      <w:r w:rsidRPr="00235AC4">
        <w:rPr>
          <w:lang w:val="en-US"/>
        </w:rPr>
        <w:t>bacteraemia</w:t>
      </w:r>
      <w:proofErr w:type="spellEnd"/>
      <w:r w:rsidRPr="00235AC4">
        <w:rPr>
          <w:lang w:val="en-US"/>
        </w:rPr>
        <w:t xml:space="preserve"> in the donor at time of donation, environmental contamination, contamination during the preparation of components, and contamination of the ports of frozen products whil</w:t>
      </w:r>
      <w:r>
        <w:rPr>
          <w:lang w:val="en-US"/>
        </w:rPr>
        <w:t>e</w:t>
      </w:r>
      <w:r w:rsidRPr="00235AC4">
        <w:rPr>
          <w:lang w:val="en-US"/>
        </w:rPr>
        <w:t xml:space="preserve"> thawed in a water bath. </w:t>
      </w:r>
    </w:p>
    <w:p w14:paraId="62D913C1" w14:textId="77777777" w:rsidR="002573F2" w:rsidRPr="00235AC4" w:rsidRDefault="002573F2" w:rsidP="002573F2">
      <w:pPr>
        <w:pStyle w:val="Body"/>
        <w:rPr>
          <w:lang w:val="en-US"/>
        </w:rPr>
      </w:pPr>
      <w:r w:rsidRPr="00235AC4">
        <w:rPr>
          <w:lang w:val="en-US"/>
        </w:rPr>
        <w:t xml:space="preserve">A wide spectrum of organisms can be associated with TTBI, including skin, enteric and environmental organisms (Table 1). In a study involving 41 transfusions with proven bacterial contamination, gram-negative organisms accounted for nearly half of cases </w:t>
      </w:r>
      <w:r w:rsidRPr="00235AC4">
        <w:rPr>
          <w:lang w:val="en-US"/>
        </w:rPr>
        <w:fldChar w:fldCharType="begin"/>
      </w:r>
      <w:r w:rsidRPr="00235AC4">
        <w:rPr>
          <w:lang w:val="en-US"/>
        </w:rPr>
        <w:instrText xml:space="preserve"> ADDIN EN.CITE &lt;EndNote&gt;&lt;Cite&gt;&lt;Author&gt;Perez&lt;/Author&gt;&lt;Year&gt;2001&lt;/Year&gt;&lt;RecNum&gt;492&lt;/RecNum&gt;&lt;DisplayText&gt;(2)&lt;/DisplayText&gt;&lt;record&gt;&lt;rec-number&gt;492&lt;/rec-number&gt;&lt;foreign-keys&gt;&lt;key app="EN" db-id="s9x0vrrd0sadrtexxek5dszcrr9wxrpatew2" timestamp="1623717768"&gt;492&lt;/key&gt;&lt;/foreign-keys&gt;&lt;ref-type name="Journal Article"&gt;17&lt;/ref-type&gt;&lt;contributors&gt;&lt;authors&gt;&lt;author&gt;Perez, P.&lt;/author&gt;&lt;author&gt;Salmi, L. R.&lt;/author&gt;&lt;author&gt;Follea, G.&lt;/author&gt;&lt;author&gt;Schmit, J. L.&lt;/author&gt;&lt;author&gt;de Barbeyrac, B.&lt;/author&gt;&lt;author&gt;Sudre, P.&lt;/author&gt;&lt;author&gt;Salamon, R.&lt;/author&gt;&lt;author&gt;Bacthem Group&lt;/author&gt;&lt;author&gt;French Haemovigilance, Network&lt;/author&gt;&lt;/authors&gt;&lt;/contributors&gt;&lt;auth-address&gt;Institute of Public Health, Epidemiology, and Development, Case 11, Victor Segalen Bordeaux 2 University, 146 Leo-Saignat, 33076 Bordeaux cedex, France. Paul.Perez@isped.u-bordeaux2.fr&lt;/auth-address&gt;&lt;titles&gt;&lt;title&gt;Determinants of transfusion-associated bacterial contamination: results of the French BACTHEM Case-Control Study&lt;/title&gt;&lt;secondary-title&gt;Transfusion&lt;/secondary-title&gt;&lt;/titles&gt;&lt;periodical&gt;&lt;full-title&gt;Transfusion&lt;/full-title&gt;&lt;/periodical&gt;&lt;pages&gt;862-72&lt;/pages&gt;&lt;volume&gt;41&lt;/volume&gt;&lt;number&gt;7&lt;/number&gt;&lt;edition&gt;2001/07/14&lt;/edition&gt;&lt;keywords&gt;&lt;keyword&gt;Adult&lt;/keyword&gt;&lt;keyword&gt;Aged&lt;/keyword&gt;&lt;keyword&gt;Aged, 80 and over&lt;/keyword&gt;&lt;keyword&gt;Bacteremia/*etiology&lt;/keyword&gt;&lt;keyword&gt;Case-Control Studies&lt;/keyword&gt;&lt;keyword&gt;Child&lt;/keyword&gt;&lt;keyword&gt;Erythrocyte Transfusion/*adverse effects&lt;/keyword&gt;&lt;keyword&gt;Female&lt;/keyword&gt;&lt;keyword&gt;Humans&lt;/keyword&gt;&lt;keyword&gt;Male&lt;/keyword&gt;&lt;keyword&gt;Middle Aged&lt;/keyword&gt;&lt;/keywords&gt;&lt;dates&gt;&lt;year&gt;2001&lt;/year&gt;&lt;pub-dates&gt;&lt;date&gt;Jul&lt;/date&gt;&lt;/pub-dates&gt;&lt;/dates&gt;&lt;isbn&gt;0041-1132 (Print)&amp;#xD;0041-1132 (Linking)&lt;/isbn&gt;&lt;accession-num&gt;11452153&lt;/accession-num&gt;&lt;urls&gt;&lt;related-urls&gt;&lt;url&gt;https://www.ncbi.nlm.nih.gov/pubmed/11452153&lt;/url&gt;&lt;/related-urls&gt;&lt;/urls&gt;&lt;electronic-resource-num&gt;10.1046/j.1537-2995.2001.41070862.x&lt;/electronic-resource-num&gt;&lt;/record&gt;&lt;/Cite&gt;&lt;/EndNote&gt;</w:instrText>
      </w:r>
      <w:r w:rsidRPr="00235AC4">
        <w:rPr>
          <w:lang w:val="en-US"/>
        </w:rPr>
        <w:fldChar w:fldCharType="separate"/>
      </w:r>
      <w:r w:rsidRPr="00235AC4">
        <w:rPr>
          <w:noProof/>
          <w:lang w:val="en-US"/>
        </w:rPr>
        <w:t>(</w:t>
      </w:r>
      <w:r w:rsidRPr="003F56E6">
        <w:rPr>
          <w:noProof/>
          <w:lang w:val="en-US"/>
        </w:rPr>
        <w:t>Perez</w:t>
      </w:r>
      <w:r>
        <w:rPr>
          <w:noProof/>
          <w:lang w:val="en-US"/>
        </w:rPr>
        <w:t xml:space="preserve"> et al. 2001</w:t>
      </w:r>
      <w:r w:rsidRPr="00235AC4">
        <w:rPr>
          <w:noProof/>
          <w:lang w:val="en-US"/>
        </w:rPr>
        <w:t>)</w:t>
      </w:r>
      <w:r w:rsidRPr="00235AC4">
        <w:rPr>
          <w:lang w:val="en-US"/>
        </w:rPr>
        <w:fldChar w:fldCharType="end"/>
      </w:r>
      <w:r w:rsidRPr="00235AC4">
        <w:rPr>
          <w:lang w:val="en-US"/>
        </w:rPr>
        <w:t>. This is important</w:t>
      </w:r>
      <w:r>
        <w:rPr>
          <w:lang w:val="en-US"/>
        </w:rPr>
        <w:t>,</w:t>
      </w:r>
      <w:r w:rsidRPr="00235AC4">
        <w:rPr>
          <w:lang w:val="en-US"/>
        </w:rPr>
        <w:t xml:space="preserve"> as the greatest risk of death is with gram-negative bacteria, conferring an odds ratio (OR) of 7.5 (95</w:t>
      </w:r>
      <w:r>
        <w:rPr>
          <w:lang w:val="en-US"/>
        </w:rPr>
        <w:t xml:space="preserve"> per cent</w:t>
      </w:r>
      <w:r w:rsidRPr="00235AC4">
        <w:rPr>
          <w:lang w:val="en-US"/>
        </w:rPr>
        <w:t xml:space="preserve"> CI 1.3</w:t>
      </w:r>
      <w:r>
        <w:rPr>
          <w:lang w:val="en-US"/>
        </w:rPr>
        <w:t>–</w:t>
      </w:r>
      <w:r w:rsidRPr="00235AC4">
        <w:rPr>
          <w:lang w:val="en-US"/>
        </w:rPr>
        <w:t xml:space="preserve">64.2) in one study </w:t>
      </w:r>
      <w:r w:rsidRPr="00235AC4">
        <w:rPr>
          <w:lang w:val="en-US"/>
        </w:rPr>
        <w:fldChar w:fldCharType="begin">
          <w:fldData xml:space="preserve">PEVuZE5vdGU+PENpdGU+PEF1dGhvcj5LdWVobmVydDwvQXV0aG9yPjxZZWFyPjIwMDE8L1llYXI+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</w:fldData>
        </w:fldChar>
      </w:r>
      <w:r w:rsidRPr="00235AC4">
        <w:rPr>
          <w:lang w:val="en-US"/>
        </w:rPr>
        <w:instrText xml:space="preserve"> ADDIN EN.CITE </w:instrText>
      </w:r>
      <w:r w:rsidRPr="00235AC4">
        <w:rPr>
          <w:lang w:val="en-US"/>
        </w:rPr>
        <w:fldChar w:fldCharType="begin">
          <w:fldData xml:space="preserve">PEVuZE5vdGU+PENpdGU+PEF1dGhvcj5LdWVobmVydDwvQXV0aG9yPjxZZWFyPjIwMDE8L1llYXI+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</w:fldData>
        </w:fldChar>
      </w:r>
      <w:r w:rsidRPr="00235AC4">
        <w:rPr>
          <w:lang w:val="en-US"/>
        </w:rPr>
        <w:instrText xml:space="preserve"> ADDIN EN.CITE.DATA </w:instrText>
      </w:r>
      <w:r w:rsidRPr="00235AC4">
        <w:rPr>
          <w:lang w:val="en-US"/>
        </w:rPr>
      </w:r>
      <w:r w:rsidRPr="00235AC4">
        <w:rPr>
          <w:lang w:val="en-US"/>
        </w:rPr>
        <w:fldChar w:fldCharType="end"/>
      </w:r>
      <w:r w:rsidRPr="00235AC4">
        <w:rPr>
          <w:lang w:val="en-US"/>
        </w:rPr>
      </w:r>
      <w:r w:rsidRPr="00235AC4">
        <w:rPr>
          <w:lang w:val="en-US"/>
        </w:rPr>
        <w:fldChar w:fldCharType="separate"/>
      </w:r>
      <w:r w:rsidRPr="00235AC4">
        <w:rPr>
          <w:noProof/>
          <w:lang w:val="en-US"/>
        </w:rPr>
        <w:t>(</w:t>
      </w:r>
      <w:r w:rsidRPr="002F5394">
        <w:rPr>
          <w:noProof/>
          <w:lang w:val="en-US"/>
        </w:rPr>
        <w:t xml:space="preserve">Kuehnert </w:t>
      </w:r>
      <w:r>
        <w:rPr>
          <w:noProof/>
          <w:lang w:val="en-US"/>
        </w:rPr>
        <w:t>et al. 2001</w:t>
      </w:r>
      <w:r w:rsidRPr="00235AC4">
        <w:rPr>
          <w:noProof/>
          <w:lang w:val="en-US"/>
        </w:rPr>
        <w:t>)</w:t>
      </w:r>
      <w:r w:rsidRPr="00235AC4">
        <w:rPr>
          <w:lang w:val="en-US"/>
        </w:rPr>
        <w:fldChar w:fldCharType="end"/>
      </w:r>
      <w:r w:rsidRPr="00235AC4">
        <w:rPr>
          <w:lang w:val="en-US"/>
        </w:rPr>
        <w:t>. Fortunately, the proportion of these organisms cultured has drastically reduced with contemporary mitigation strategies discussed below, accounting for ~1</w:t>
      </w:r>
      <w:r>
        <w:rPr>
          <w:lang w:val="en-US"/>
        </w:rPr>
        <w:t xml:space="preserve"> per cent</w:t>
      </w:r>
      <w:r w:rsidRPr="00235AC4">
        <w:rPr>
          <w:lang w:val="en-US"/>
        </w:rPr>
        <w:t xml:space="preserve"> of cultured component</w:t>
      </w:r>
      <w:r w:rsidRPr="00235AC4" w:rsidDel="002A09C3">
        <w:rPr>
          <w:lang w:val="en-US"/>
        </w:rPr>
        <w:t xml:space="preserve"> </w:t>
      </w:r>
      <w:r w:rsidRPr="00235AC4">
        <w:rPr>
          <w:lang w:val="en-US"/>
        </w:rPr>
        <w:fldChar w:fldCharType="begin"/>
      </w:r>
      <w:r w:rsidRPr="00235AC4">
        <w:rPr>
          <w:lang w:val="en-US"/>
        </w:rPr>
        <w:instrText xml:space="preserve"> ADDIN EN.CITE &lt;EndNote&gt;&lt;Cite&gt;&lt;Author&gt;Thyer&lt;/Author&gt;&lt;Year&gt;2018&lt;/Year&gt;&lt;RecNum&gt;494&lt;/RecNum&gt;&lt;DisplayText&gt;(4)&lt;/DisplayText&gt;&lt;record&gt;&lt;rec-number&gt;494&lt;/rec-number&gt;&lt;foreign-keys&gt;&lt;key app="EN" db-id="s9x0vrrd0sadrtexxek5dszcrr9wxrpatew2" timestamp="1623899263"&gt;494&lt;/key&gt;&lt;/foreign-keys&gt;&lt;ref-type name="Journal Article"&gt;17&lt;/ref-type&gt;&lt;contributors&gt;&lt;authors&gt;&lt;author&gt;Thyer, J.&lt;/author&gt;&lt;author&gt;Perkowska-Guse, Z.&lt;/author&gt;&lt;author&gt;Ismay, S. L.&lt;/author&gt;&lt;author&gt;Keller, A. J.&lt;/author&gt;&lt;author&gt;Chan, H. T.&lt;/author&gt;&lt;author&gt;Dennington, P. M.&lt;/author&gt;&lt;author&gt;Bell, B.&lt;/author&gt;&lt;author&gt;Kotsiou, G.&lt;/author&gt;&lt;author&gt;Pink, J. M.&lt;/author&gt;&lt;/authors&gt;&lt;/contributors&gt;&lt;auth-address&gt;Australian Red Cross Blood Service, Melbourne, Vic, Australia.&lt;/auth-address&gt;&lt;titles&gt;&lt;title&gt;Bacterial testing of platelets - has it prevented transfusion-transmitted bacterial infections in Australia?&lt;/title&gt;&lt;secondary-title&gt;Vox Sang&lt;/secondary-title&gt;&lt;/titles&gt;&lt;periodical&gt;&lt;full-title&gt;Vox Sang&lt;/full-title&gt;&lt;/periodical&gt;&lt;pages&gt;13-20&lt;/pages&gt;&lt;volume&gt;113&lt;/volume&gt;&lt;number&gt;1&lt;/number&gt;&lt;edition&gt;2017/09/28&lt;/edition&gt;&lt;keywords&gt;&lt;keyword&gt;Australia/epidemiology&lt;/keyword&gt;&lt;keyword&gt;Bacterial Infections/epidemiology/*prevention &amp;amp; control/transmission&lt;/keyword&gt;&lt;keyword&gt;Blood Platelets/*microbiology&lt;/keyword&gt;&lt;keyword&gt;Blood Safety&lt;/keyword&gt;&lt;keyword&gt;Culture Techniques&lt;/keyword&gt;&lt;keyword&gt;Humans&lt;/keyword&gt;&lt;keyword&gt;Incidence&lt;/keyword&gt;&lt;keyword&gt;Platelet Transfusion/adverse effects&lt;/keyword&gt;&lt;keyword&gt;bacterial contamination&lt;/keyword&gt;&lt;keyword&gt;blood donation testing&lt;/keyword&gt;&lt;keyword&gt;haemovigilance&lt;/keyword&gt;&lt;keyword&gt;pathogen inactivation&lt;/keyword&gt;&lt;keyword&gt;platelet concentrates&lt;/keyword&gt;&lt;keyword&gt;platelet transfusion&lt;/keyword&gt;&lt;/keywords&gt;&lt;dates&gt;&lt;year&gt;2018&lt;/year&gt;&lt;pub-dates&gt;&lt;date&gt;Jan&lt;/date&gt;&lt;/pub-dates&gt;&lt;/dates&gt;&lt;isbn&gt;1423-0410 (Electronic)&amp;#xD;0042-9007 (Linking)&lt;/isbn&gt;&lt;accession-num&gt;28952159&lt;/accession-num&gt;&lt;urls&gt;&lt;related-urls&gt;&lt;url&gt;https://www.ncbi.nlm.nih.gov/pubmed/28952159&lt;/url&gt;&lt;/related-urls&gt;&lt;/urls&gt;&lt;electronic-resource-num&gt;10.1111/vox.12561&lt;/electronic-resource-num&gt;&lt;/record&gt;&lt;/Cite&gt;&lt;/EndNote&gt;</w:instrText>
      </w:r>
      <w:r w:rsidRPr="00235AC4">
        <w:rPr>
          <w:lang w:val="en-US"/>
        </w:rPr>
        <w:fldChar w:fldCharType="separate"/>
      </w:r>
      <w:r w:rsidRPr="00235AC4">
        <w:rPr>
          <w:noProof/>
          <w:lang w:val="en-US"/>
        </w:rPr>
        <w:t>(</w:t>
      </w:r>
      <w:bookmarkStart w:id="0" w:name="_Hlk78371453"/>
      <w:r w:rsidRPr="002F5394">
        <w:rPr>
          <w:noProof/>
          <w:lang w:val="en-US"/>
        </w:rPr>
        <w:t xml:space="preserve">Thyer </w:t>
      </w:r>
      <w:r>
        <w:rPr>
          <w:noProof/>
          <w:lang w:val="en-US"/>
        </w:rPr>
        <w:t>et al. 2018</w:t>
      </w:r>
      <w:bookmarkEnd w:id="0"/>
      <w:r w:rsidRPr="00235AC4">
        <w:rPr>
          <w:noProof/>
          <w:lang w:val="en-US"/>
        </w:rPr>
        <w:t>)</w:t>
      </w:r>
      <w:r w:rsidRPr="00235AC4">
        <w:rPr>
          <w:lang w:val="en-US"/>
        </w:rPr>
        <w:fldChar w:fldCharType="end"/>
      </w:r>
      <w:r w:rsidRPr="00235AC4">
        <w:rPr>
          <w:lang w:val="en-US"/>
        </w:rPr>
        <w:t xml:space="preserve">. </w:t>
      </w:r>
    </w:p>
    <w:p w14:paraId="3CD7AD41" w14:textId="77777777" w:rsidR="002573F2" w:rsidRPr="00235AC4" w:rsidRDefault="002573F2" w:rsidP="002573F2">
      <w:pPr>
        <w:pStyle w:val="Tablecaption"/>
        <w:rPr>
          <w:lang w:val="en-US"/>
        </w:rPr>
      </w:pPr>
      <w:r w:rsidRPr="00235AC4">
        <w:rPr>
          <w:lang w:val="en-US"/>
        </w:rPr>
        <w:lastRenderedPageBreak/>
        <w:t>Table 1</w:t>
      </w:r>
      <w:r>
        <w:rPr>
          <w:lang w:val="en-US"/>
        </w:rPr>
        <w:t>:</w:t>
      </w:r>
      <w:r w:rsidRPr="00235AC4">
        <w:rPr>
          <w:lang w:val="en-US"/>
        </w:rPr>
        <w:t xml:space="preserve"> The proportion of organisms isolated from </w:t>
      </w:r>
      <w:r w:rsidRPr="0030270F">
        <w:t>blood</w:t>
      </w:r>
      <w:r w:rsidRPr="00235AC4">
        <w:rPr>
          <w:lang w:val="en-US"/>
        </w:rPr>
        <w:t xml:space="preserve"> component as a percentage of all confirmed isolates and transfused units </w:t>
      </w:r>
      <w:r>
        <w:rPr>
          <w:lang w:val="en-US"/>
        </w:rPr>
        <w:t>(a</w:t>
      </w:r>
      <w:r w:rsidRPr="00235AC4">
        <w:rPr>
          <w:lang w:val="en-US"/>
        </w:rPr>
        <w:t>bbreviated from Thyer et al.</w:t>
      </w:r>
      <w:r>
        <w:rPr>
          <w:lang w:val="en-US"/>
        </w:rPr>
        <w:t xml:space="preserve"> 2018)</w:t>
      </w:r>
    </w:p>
    <w:tbl>
      <w:tblPr>
        <w:tblW w:w="9500" w:type="dxa"/>
        <w:tblLook w:val="04A0" w:firstRow="1" w:lastRow="0" w:firstColumn="1" w:lastColumn="0" w:noHBand="0" w:noVBand="1"/>
      </w:tblPr>
      <w:tblGrid>
        <w:gridCol w:w="3800"/>
        <w:gridCol w:w="2820"/>
        <w:gridCol w:w="2880"/>
      </w:tblGrid>
      <w:tr w:rsidR="002573F2" w:rsidRPr="00235AC4" w14:paraId="26020B61" w14:textId="77777777" w:rsidTr="0098117A">
        <w:trPr>
          <w:trHeight w:val="320"/>
          <w:tblHeader/>
        </w:trPr>
        <w:tc>
          <w:tcPr>
            <w:tcW w:w="3800" w:type="dxa"/>
            <w:tcBorders>
              <w:top w:val="single" w:sz="8" w:space="0" w:color="auto"/>
              <w:left w:val="nil"/>
              <w:bottom w:val="single" w:sz="4" w:space="0" w:color="auto"/>
              <w:right w:val="nil"/>
            </w:tcBorders>
            <w:shd w:val="clear" w:color="000000" w:fill="FFFFFF"/>
            <w:noWrap/>
            <w:vAlign w:val="bottom"/>
            <w:hideMark/>
          </w:tcPr>
          <w:p w14:paraId="391E5DCC" w14:textId="77777777" w:rsidR="002573F2" w:rsidRPr="0030270F" w:rsidRDefault="002573F2" w:rsidP="0098117A">
            <w:pPr>
              <w:pStyle w:val="Tablecolhead"/>
            </w:pPr>
            <w:r w:rsidRPr="0030270F">
              <w:t> </w:t>
            </w:r>
          </w:p>
        </w:tc>
        <w:tc>
          <w:tcPr>
            <w:tcW w:w="2820" w:type="dxa"/>
            <w:tcBorders>
              <w:top w:val="single" w:sz="8" w:space="0" w:color="auto"/>
              <w:left w:val="nil"/>
              <w:bottom w:val="single" w:sz="4" w:space="0" w:color="auto"/>
              <w:right w:val="nil"/>
            </w:tcBorders>
            <w:shd w:val="clear" w:color="000000" w:fill="FFFFFF"/>
            <w:noWrap/>
            <w:vAlign w:val="bottom"/>
            <w:hideMark/>
          </w:tcPr>
          <w:p w14:paraId="5D012403" w14:textId="77777777" w:rsidR="002573F2" w:rsidRPr="0030270F" w:rsidRDefault="002573F2" w:rsidP="0098117A">
            <w:pPr>
              <w:pStyle w:val="Tablecolhead"/>
            </w:pPr>
            <w:r w:rsidRPr="0030270F">
              <w:t>Percentage cultured (%)</w:t>
            </w:r>
          </w:p>
        </w:tc>
        <w:tc>
          <w:tcPr>
            <w:tcW w:w="2880" w:type="dxa"/>
            <w:tcBorders>
              <w:top w:val="single" w:sz="8" w:space="0" w:color="auto"/>
              <w:left w:val="nil"/>
              <w:bottom w:val="single" w:sz="4" w:space="0" w:color="auto"/>
              <w:right w:val="nil"/>
            </w:tcBorders>
            <w:shd w:val="clear" w:color="000000" w:fill="FFFFFF"/>
            <w:noWrap/>
            <w:vAlign w:val="bottom"/>
            <w:hideMark/>
          </w:tcPr>
          <w:p w14:paraId="0FCF7D2E" w14:textId="77777777" w:rsidR="002573F2" w:rsidRPr="0030270F" w:rsidRDefault="002573F2" w:rsidP="0098117A">
            <w:pPr>
              <w:pStyle w:val="Tablecolhead"/>
            </w:pPr>
            <w:r w:rsidRPr="0030270F">
              <w:t>Percentage transfused (%)</w:t>
            </w:r>
          </w:p>
        </w:tc>
      </w:tr>
      <w:tr w:rsidR="002573F2" w:rsidRPr="00235AC4" w14:paraId="39E40112" w14:textId="77777777" w:rsidTr="0098117A">
        <w:trPr>
          <w:trHeight w:val="320"/>
        </w:trPr>
        <w:tc>
          <w:tcPr>
            <w:tcW w:w="3800" w:type="dxa"/>
            <w:tcBorders>
              <w:top w:val="nil"/>
              <w:left w:val="nil"/>
              <w:bottom w:val="nil"/>
              <w:right w:val="nil"/>
            </w:tcBorders>
            <w:shd w:val="clear" w:color="000000" w:fill="FFFFFF"/>
            <w:noWrap/>
            <w:vAlign w:val="bottom"/>
            <w:hideMark/>
          </w:tcPr>
          <w:p w14:paraId="377B4E86" w14:textId="77777777" w:rsidR="002573F2" w:rsidRPr="0030270F" w:rsidRDefault="002573F2" w:rsidP="0098117A">
            <w:pPr>
              <w:pStyle w:val="Tabletext"/>
            </w:pPr>
            <w:r w:rsidRPr="0030270F">
              <w:rPr>
                <w:i/>
                <w:iCs/>
                <w:lang w:eastAsia="en-GB"/>
              </w:rPr>
              <w:t>Propionibacterium</w:t>
            </w:r>
            <w:r w:rsidRPr="00235AC4">
              <w:rPr>
                <w:lang w:eastAsia="en-GB"/>
              </w:rPr>
              <w:t xml:space="preserve"> sp.</w:t>
            </w:r>
          </w:p>
        </w:tc>
        <w:tc>
          <w:tcPr>
            <w:tcW w:w="2820" w:type="dxa"/>
            <w:tcBorders>
              <w:top w:val="nil"/>
              <w:left w:val="nil"/>
              <w:bottom w:val="nil"/>
              <w:right w:val="nil"/>
            </w:tcBorders>
            <w:shd w:val="clear" w:color="000000" w:fill="FFFFFF"/>
            <w:noWrap/>
            <w:vAlign w:val="bottom"/>
            <w:hideMark/>
          </w:tcPr>
          <w:p w14:paraId="10802CB2" w14:textId="77777777" w:rsidR="002573F2" w:rsidRPr="00235AC4" w:rsidRDefault="002573F2" w:rsidP="0098117A">
            <w:pPr>
              <w:pStyle w:val="Tabletext"/>
              <w:jc w:val="right"/>
              <w:rPr>
                <w:lang w:eastAsia="en-GB"/>
              </w:rPr>
            </w:pPr>
            <w:r w:rsidRPr="00235AC4">
              <w:rPr>
                <w:lang w:eastAsia="en-GB"/>
              </w:rPr>
              <w:t>81.8</w:t>
            </w:r>
          </w:p>
        </w:tc>
        <w:tc>
          <w:tcPr>
            <w:tcW w:w="2880" w:type="dxa"/>
            <w:tcBorders>
              <w:top w:val="nil"/>
              <w:left w:val="nil"/>
              <w:bottom w:val="nil"/>
              <w:right w:val="nil"/>
            </w:tcBorders>
            <w:shd w:val="clear" w:color="000000" w:fill="FFFFFF"/>
            <w:noWrap/>
            <w:vAlign w:val="bottom"/>
            <w:hideMark/>
          </w:tcPr>
          <w:p w14:paraId="203F5D1E" w14:textId="77777777" w:rsidR="002573F2" w:rsidRPr="00235AC4" w:rsidRDefault="002573F2" w:rsidP="0098117A">
            <w:pPr>
              <w:pStyle w:val="Tabletext"/>
              <w:jc w:val="right"/>
              <w:rPr>
                <w:lang w:eastAsia="en-GB"/>
              </w:rPr>
            </w:pPr>
            <w:r w:rsidRPr="00235AC4">
              <w:rPr>
                <w:lang w:eastAsia="en-GB"/>
              </w:rPr>
              <w:t>95.1</w:t>
            </w:r>
          </w:p>
        </w:tc>
      </w:tr>
      <w:tr w:rsidR="002573F2" w:rsidRPr="00235AC4" w14:paraId="315AF7FD" w14:textId="77777777" w:rsidTr="0098117A">
        <w:trPr>
          <w:trHeight w:val="320"/>
        </w:trPr>
        <w:tc>
          <w:tcPr>
            <w:tcW w:w="3800" w:type="dxa"/>
            <w:tcBorders>
              <w:top w:val="nil"/>
              <w:left w:val="nil"/>
              <w:bottom w:val="nil"/>
              <w:right w:val="nil"/>
            </w:tcBorders>
            <w:shd w:val="clear" w:color="000000" w:fill="FFFFFF"/>
            <w:noWrap/>
            <w:vAlign w:val="bottom"/>
            <w:hideMark/>
          </w:tcPr>
          <w:p w14:paraId="7B09D9B7" w14:textId="77777777" w:rsidR="002573F2" w:rsidRPr="00235AC4" w:rsidRDefault="002573F2" w:rsidP="0098117A">
            <w:pPr>
              <w:pStyle w:val="Tabletext"/>
              <w:rPr>
                <w:lang w:eastAsia="en-GB"/>
              </w:rPr>
            </w:pPr>
            <w:r w:rsidRPr="00235AC4">
              <w:rPr>
                <w:lang w:eastAsia="en-GB"/>
              </w:rPr>
              <w:t xml:space="preserve">Coagulase-negative </w:t>
            </w:r>
            <w:r w:rsidRPr="00235AC4">
              <w:rPr>
                <w:i/>
                <w:iCs/>
                <w:lang w:eastAsia="en-GB"/>
              </w:rPr>
              <w:t>staphylococcus</w:t>
            </w:r>
          </w:p>
        </w:tc>
        <w:tc>
          <w:tcPr>
            <w:tcW w:w="2820" w:type="dxa"/>
            <w:tcBorders>
              <w:top w:val="nil"/>
              <w:left w:val="nil"/>
              <w:bottom w:val="nil"/>
              <w:right w:val="nil"/>
            </w:tcBorders>
            <w:shd w:val="clear" w:color="000000" w:fill="FFFFFF"/>
            <w:noWrap/>
            <w:vAlign w:val="bottom"/>
            <w:hideMark/>
          </w:tcPr>
          <w:p w14:paraId="43F23AF0" w14:textId="77777777" w:rsidR="002573F2" w:rsidRPr="00235AC4" w:rsidRDefault="002573F2" w:rsidP="0098117A">
            <w:pPr>
              <w:pStyle w:val="Tabletext"/>
              <w:jc w:val="right"/>
              <w:rPr>
                <w:lang w:eastAsia="en-GB"/>
              </w:rPr>
            </w:pPr>
            <w:r w:rsidRPr="00235AC4">
              <w:rPr>
                <w:lang w:eastAsia="en-GB"/>
              </w:rPr>
              <w:t>9.2</w:t>
            </w:r>
          </w:p>
        </w:tc>
        <w:tc>
          <w:tcPr>
            <w:tcW w:w="2880" w:type="dxa"/>
            <w:tcBorders>
              <w:top w:val="nil"/>
              <w:left w:val="nil"/>
              <w:bottom w:val="nil"/>
              <w:right w:val="nil"/>
            </w:tcBorders>
            <w:shd w:val="clear" w:color="000000" w:fill="FFFFFF"/>
            <w:noWrap/>
            <w:vAlign w:val="bottom"/>
            <w:hideMark/>
          </w:tcPr>
          <w:p w14:paraId="3ECBF3F6" w14:textId="77777777" w:rsidR="002573F2" w:rsidRPr="00235AC4" w:rsidRDefault="002573F2" w:rsidP="0098117A">
            <w:pPr>
              <w:pStyle w:val="Tabletext"/>
              <w:jc w:val="right"/>
              <w:rPr>
                <w:lang w:eastAsia="en-GB"/>
              </w:rPr>
            </w:pPr>
            <w:r w:rsidRPr="00235AC4">
              <w:rPr>
                <w:lang w:eastAsia="en-GB"/>
              </w:rPr>
              <w:t>1.2</w:t>
            </w:r>
          </w:p>
        </w:tc>
      </w:tr>
      <w:tr w:rsidR="002573F2" w:rsidRPr="00235AC4" w14:paraId="3ADF5757" w14:textId="77777777" w:rsidTr="0098117A">
        <w:trPr>
          <w:trHeight w:val="320"/>
        </w:trPr>
        <w:tc>
          <w:tcPr>
            <w:tcW w:w="3800" w:type="dxa"/>
            <w:tcBorders>
              <w:top w:val="nil"/>
              <w:left w:val="nil"/>
              <w:bottom w:val="nil"/>
              <w:right w:val="nil"/>
            </w:tcBorders>
            <w:shd w:val="clear" w:color="000000" w:fill="FFFFFF"/>
            <w:noWrap/>
            <w:vAlign w:val="bottom"/>
            <w:hideMark/>
          </w:tcPr>
          <w:p w14:paraId="09E873AA" w14:textId="77777777" w:rsidR="002573F2" w:rsidRPr="00235AC4" w:rsidRDefault="002573F2" w:rsidP="0098117A">
            <w:pPr>
              <w:pStyle w:val="Tabletext"/>
              <w:rPr>
                <w:lang w:eastAsia="en-GB"/>
              </w:rPr>
            </w:pPr>
            <w:r w:rsidRPr="00235AC4">
              <w:rPr>
                <w:lang w:eastAsia="en-GB"/>
              </w:rPr>
              <w:t xml:space="preserve">Mixed </w:t>
            </w:r>
            <w:r w:rsidRPr="0030270F">
              <w:t>skin</w:t>
            </w:r>
            <w:r w:rsidRPr="00235AC4">
              <w:rPr>
                <w:lang w:eastAsia="en-GB"/>
              </w:rPr>
              <w:t xml:space="preserve"> flora</w:t>
            </w:r>
          </w:p>
        </w:tc>
        <w:tc>
          <w:tcPr>
            <w:tcW w:w="2820" w:type="dxa"/>
            <w:tcBorders>
              <w:top w:val="nil"/>
              <w:left w:val="nil"/>
              <w:bottom w:val="nil"/>
              <w:right w:val="nil"/>
            </w:tcBorders>
            <w:shd w:val="clear" w:color="000000" w:fill="FFFFFF"/>
            <w:noWrap/>
            <w:vAlign w:val="bottom"/>
            <w:hideMark/>
          </w:tcPr>
          <w:p w14:paraId="35A9F090" w14:textId="77777777" w:rsidR="002573F2" w:rsidRPr="00235AC4" w:rsidRDefault="002573F2" w:rsidP="0098117A">
            <w:pPr>
              <w:pStyle w:val="Tabletext"/>
              <w:jc w:val="right"/>
              <w:rPr>
                <w:lang w:eastAsia="en-GB"/>
              </w:rPr>
            </w:pPr>
            <w:r w:rsidRPr="00235AC4">
              <w:rPr>
                <w:lang w:eastAsia="en-GB"/>
              </w:rPr>
              <w:t>2.8</w:t>
            </w:r>
          </w:p>
        </w:tc>
        <w:tc>
          <w:tcPr>
            <w:tcW w:w="2880" w:type="dxa"/>
            <w:tcBorders>
              <w:top w:val="nil"/>
              <w:left w:val="nil"/>
              <w:bottom w:val="nil"/>
              <w:right w:val="nil"/>
            </w:tcBorders>
            <w:shd w:val="clear" w:color="000000" w:fill="FFFFFF"/>
            <w:noWrap/>
            <w:vAlign w:val="bottom"/>
            <w:hideMark/>
          </w:tcPr>
          <w:p w14:paraId="537E99CE" w14:textId="77777777" w:rsidR="002573F2" w:rsidRPr="00235AC4" w:rsidRDefault="002573F2" w:rsidP="0098117A">
            <w:pPr>
              <w:pStyle w:val="Tabletext"/>
              <w:jc w:val="right"/>
              <w:rPr>
                <w:lang w:eastAsia="en-GB"/>
              </w:rPr>
            </w:pPr>
            <w:r w:rsidRPr="00235AC4">
              <w:rPr>
                <w:lang w:eastAsia="en-GB"/>
              </w:rPr>
              <w:t>2.8</w:t>
            </w:r>
          </w:p>
        </w:tc>
      </w:tr>
      <w:tr w:rsidR="002573F2" w:rsidRPr="00235AC4" w14:paraId="240FDA8A" w14:textId="77777777" w:rsidTr="0098117A">
        <w:trPr>
          <w:trHeight w:val="320"/>
        </w:trPr>
        <w:tc>
          <w:tcPr>
            <w:tcW w:w="3800" w:type="dxa"/>
            <w:tcBorders>
              <w:top w:val="nil"/>
              <w:left w:val="nil"/>
              <w:bottom w:val="nil"/>
              <w:right w:val="nil"/>
            </w:tcBorders>
            <w:shd w:val="clear" w:color="000000" w:fill="FFFFFF"/>
            <w:noWrap/>
            <w:vAlign w:val="bottom"/>
            <w:hideMark/>
          </w:tcPr>
          <w:p w14:paraId="252686D7" w14:textId="77777777" w:rsidR="002573F2" w:rsidRPr="0030270F" w:rsidRDefault="002573F2" w:rsidP="0098117A">
            <w:pPr>
              <w:pStyle w:val="Tabletext"/>
            </w:pPr>
            <w:r w:rsidRPr="0030270F">
              <w:rPr>
                <w:i/>
                <w:iCs/>
                <w:lang w:eastAsia="en-GB"/>
              </w:rPr>
              <w:t xml:space="preserve">Streptococci </w:t>
            </w:r>
            <w:r w:rsidRPr="00235AC4">
              <w:rPr>
                <w:lang w:eastAsia="en-GB"/>
              </w:rPr>
              <w:t>sp.</w:t>
            </w:r>
          </w:p>
        </w:tc>
        <w:tc>
          <w:tcPr>
            <w:tcW w:w="2820" w:type="dxa"/>
            <w:tcBorders>
              <w:top w:val="nil"/>
              <w:left w:val="nil"/>
              <w:bottom w:val="nil"/>
              <w:right w:val="nil"/>
            </w:tcBorders>
            <w:shd w:val="clear" w:color="000000" w:fill="FFFFFF"/>
            <w:noWrap/>
            <w:vAlign w:val="bottom"/>
            <w:hideMark/>
          </w:tcPr>
          <w:p w14:paraId="520F9E9A" w14:textId="77777777" w:rsidR="002573F2" w:rsidRPr="00235AC4" w:rsidRDefault="002573F2" w:rsidP="0098117A">
            <w:pPr>
              <w:pStyle w:val="Tabletext"/>
              <w:jc w:val="right"/>
              <w:rPr>
                <w:lang w:eastAsia="en-GB"/>
              </w:rPr>
            </w:pPr>
            <w:r w:rsidRPr="00235AC4">
              <w:rPr>
                <w:lang w:eastAsia="en-GB"/>
              </w:rPr>
              <w:t>2.4</w:t>
            </w:r>
          </w:p>
        </w:tc>
        <w:tc>
          <w:tcPr>
            <w:tcW w:w="2880" w:type="dxa"/>
            <w:tcBorders>
              <w:top w:val="nil"/>
              <w:left w:val="nil"/>
              <w:bottom w:val="nil"/>
              <w:right w:val="nil"/>
            </w:tcBorders>
            <w:shd w:val="clear" w:color="000000" w:fill="FFFFFF"/>
            <w:noWrap/>
            <w:vAlign w:val="bottom"/>
            <w:hideMark/>
          </w:tcPr>
          <w:p w14:paraId="3C445223" w14:textId="77777777" w:rsidR="002573F2" w:rsidRPr="00235AC4" w:rsidRDefault="002573F2" w:rsidP="0098117A">
            <w:pPr>
              <w:pStyle w:val="Tabletext"/>
              <w:jc w:val="right"/>
              <w:rPr>
                <w:lang w:eastAsia="en-GB"/>
              </w:rPr>
            </w:pPr>
            <w:r w:rsidRPr="00235AC4">
              <w:rPr>
                <w:lang w:eastAsia="en-GB"/>
              </w:rPr>
              <w:t>0</w:t>
            </w:r>
          </w:p>
        </w:tc>
      </w:tr>
      <w:tr w:rsidR="002573F2" w:rsidRPr="00235AC4" w14:paraId="18F96226" w14:textId="77777777" w:rsidTr="0098117A">
        <w:trPr>
          <w:trHeight w:val="320"/>
        </w:trPr>
        <w:tc>
          <w:tcPr>
            <w:tcW w:w="3800" w:type="dxa"/>
            <w:tcBorders>
              <w:top w:val="nil"/>
              <w:left w:val="nil"/>
              <w:bottom w:val="nil"/>
              <w:right w:val="nil"/>
            </w:tcBorders>
            <w:shd w:val="clear" w:color="000000" w:fill="FFFFFF"/>
            <w:noWrap/>
            <w:vAlign w:val="bottom"/>
            <w:hideMark/>
          </w:tcPr>
          <w:p w14:paraId="0F3FA119" w14:textId="77777777" w:rsidR="002573F2" w:rsidRPr="00235AC4" w:rsidRDefault="002573F2" w:rsidP="0098117A">
            <w:pPr>
              <w:pStyle w:val="Tabletext"/>
              <w:rPr>
                <w:lang w:eastAsia="en-GB"/>
              </w:rPr>
            </w:pPr>
            <w:r w:rsidRPr="00235AC4">
              <w:rPr>
                <w:lang w:eastAsia="en-GB"/>
              </w:rPr>
              <w:t>Pathogenic gram-negative rods</w:t>
            </w:r>
          </w:p>
        </w:tc>
        <w:tc>
          <w:tcPr>
            <w:tcW w:w="2820" w:type="dxa"/>
            <w:tcBorders>
              <w:top w:val="nil"/>
              <w:left w:val="nil"/>
              <w:bottom w:val="nil"/>
              <w:right w:val="nil"/>
            </w:tcBorders>
            <w:shd w:val="clear" w:color="000000" w:fill="FFFFFF"/>
            <w:noWrap/>
            <w:vAlign w:val="bottom"/>
            <w:hideMark/>
          </w:tcPr>
          <w:p w14:paraId="17140211" w14:textId="77777777" w:rsidR="002573F2" w:rsidRPr="00235AC4" w:rsidRDefault="002573F2" w:rsidP="0098117A">
            <w:pPr>
              <w:pStyle w:val="Tabletext"/>
              <w:jc w:val="right"/>
              <w:rPr>
                <w:lang w:eastAsia="en-GB"/>
              </w:rPr>
            </w:pPr>
            <w:r w:rsidRPr="00235AC4">
              <w:rPr>
                <w:lang w:eastAsia="en-GB"/>
              </w:rPr>
              <w:t>1.0</w:t>
            </w:r>
          </w:p>
        </w:tc>
        <w:tc>
          <w:tcPr>
            <w:tcW w:w="2880" w:type="dxa"/>
            <w:tcBorders>
              <w:top w:val="nil"/>
              <w:left w:val="nil"/>
              <w:bottom w:val="nil"/>
              <w:right w:val="nil"/>
            </w:tcBorders>
            <w:shd w:val="clear" w:color="000000" w:fill="FFFFFF"/>
            <w:noWrap/>
            <w:vAlign w:val="bottom"/>
            <w:hideMark/>
          </w:tcPr>
          <w:p w14:paraId="75A012AD" w14:textId="77777777" w:rsidR="002573F2" w:rsidRPr="00235AC4" w:rsidRDefault="002573F2" w:rsidP="0098117A">
            <w:pPr>
              <w:pStyle w:val="Tabletext"/>
              <w:jc w:val="right"/>
              <w:rPr>
                <w:lang w:eastAsia="en-GB"/>
              </w:rPr>
            </w:pPr>
            <w:r w:rsidRPr="00235AC4">
              <w:rPr>
                <w:lang w:eastAsia="en-GB"/>
              </w:rPr>
              <w:t>0</w:t>
            </w:r>
          </w:p>
        </w:tc>
      </w:tr>
      <w:tr w:rsidR="002573F2" w:rsidRPr="00235AC4" w14:paraId="49BA035C" w14:textId="77777777" w:rsidTr="0098117A">
        <w:trPr>
          <w:trHeight w:val="320"/>
        </w:trPr>
        <w:tc>
          <w:tcPr>
            <w:tcW w:w="3800" w:type="dxa"/>
            <w:tcBorders>
              <w:top w:val="nil"/>
              <w:left w:val="nil"/>
              <w:bottom w:val="nil"/>
              <w:right w:val="nil"/>
            </w:tcBorders>
            <w:shd w:val="clear" w:color="000000" w:fill="FFFFFF"/>
            <w:noWrap/>
            <w:vAlign w:val="bottom"/>
            <w:hideMark/>
          </w:tcPr>
          <w:p w14:paraId="3237037A" w14:textId="77777777" w:rsidR="002573F2" w:rsidRPr="00235AC4" w:rsidRDefault="002573F2" w:rsidP="0098117A">
            <w:pPr>
              <w:pStyle w:val="Tabletext"/>
              <w:rPr>
                <w:i/>
                <w:iCs/>
                <w:lang w:eastAsia="en-GB"/>
              </w:rPr>
            </w:pPr>
            <w:r w:rsidRPr="00235AC4">
              <w:rPr>
                <w:i/>
                <w:iCs/>
                <w:lang w:eastAsia="en-GB"/>
              </w:rPr>
              <w:t>Staphylococcus aureus</w:t>
            </w:r>
          </w:p>
        </w:tc>
        <w:tc>
          <w:tcPr>
            <w:tcW w:w="2820" w:type="dxa"/>
            <w:tcBorders>
              <w:top w:val="nil"/>
              <w:left w:val="nil"/>
              <w:bottom w:val="nil"/>
              <w:right w:val="nil"/>
            </w:tcBorders>
            <w:shd w:val="clear" w:color="000000" w:fill="FFFFFF"/>
            <w:noWrap/>
            <w:vAlign w:val="bottom"/>
            <w:hideMark/>
          </w:tcPr>
          <w:p w14:paraId="038D3797" w14:textId="77777777" w:rsidR="002573F2" w:rsidRPr="00235AC4" w:rsidRDefault="002573F2" w:rsidP="0098117A">
            <w:pPr>
              <w:pStyle w:val="Tabletext"/>
              <w:jc w:val="right"/>
              <w:rPr>
                <w:lang w:eastAsia="en-GB"/>
              </w:rPr>
            </w:pPr>
            <w:r w:rsidRPr="00235AC4">
              <w:rPr>
                <w:lang w:eastAsia="en-GB"/>
              </w:rPr>
              <w:t>0.7</w:t>
            </w:r>
          </w:p>
        </w:tc>
        <w:tc>
          <w:tcPr>
            <w:tcW w:w="2880" w:type="dxa"/>
            <w:tcBorders>
              <w:top w:val="nil"/>
              <w:left w:val="nil"/>
              <w:bottom w:val="nil"/>
              <w:right w:val="nil"/>
            </w:tcBorders>
            <w:shd w:val="clear" w:color="000000" w:fill="FFFFFF"/>
            <w:noWrap/>
            <w:vAlign w:val="bottom"/>
            <w:hideMark/>
          </w:tcPr>
          <w:p w14:paraId="5B9A4E48" w14:textId="77777777" w:rsidR="002573F2" w:rsidRPr="00235AC4" w:rsidRDefault="002573F2" w:rsidP="0098117A">
            <w:pPr>
              <w:pStyle w:val="Tabletext"/>
              <w:jc w:val="right"/>
              <w:rPr>
                <w:lang w:eastAsia="en-GB"/>
              </w:rPr>
            </w:pPr>
            <w:r w:rsidRPr="00235AC4">
              <w:rPr>
                <w:lang w:eastAsia="en-GB"/>
              </w:rPr>
              <w:t>0</w:t>
            </w:r>
          </w:p>
        </w:tc>
      </w:tr>
      <w:tr w:rsidR="002573F2" w:rsidRPr="00235AC4" w14:paraId="08A83865" w14:textId="77777777" w:rsidTr="0098117A">
        <w:trPr>
          <w:trHeight w:val="320"/>
        </w:trPr>
        <w:tc>
          <w:tcPr>
            <w:tcW w:w="3800" w:type="dxa"/>
            <w:tcBorders>
              <w:top w:val="nil"/>
              <w:left w:val="nil"/>
              <w:bottom w:val="nil"/>
              <w:right w:val="nil"/>
            </w:tcBorders>
            <w:shd w:val="clear" w:color="000000" w:fill="FFFFFF"/>
            <w:noWrap/>
            <w:vAlign w:val="bottom"/>
            <w:hideMark/>
          </w:tcPr>
          <w:p w14:paraId="001FCD26" w14:textId="77777777" w:rsidR="002573F2" w:rsidRPr="00235AC4" w:rsidRDefault="002573F2" w:rsidP="0098117A">
            <w:pPr>
              <w:pStyle w:val="Tabletext"/>
              <w:rPr>
                <w:lang w:eastAsia="en-GB"/>
              </w:rPr>
            </w:pPr>
            <w:r w:rsidRPr="00235AC4">
              <w:rPr>
                <w:i/>
                <w:iCs/>
                <w:lang w:eastAsia="en-GB"/>
              </w:rPr>
              <w:t>Corynebacterium</w:t>
            </w:r>
            <w:r w:rsidRPr="00235AC4">
              <w:rPr>
                <w:lang w:eastAsia="en-GB"/>
              </w:rPr>
              <w:t xml:space="preserve"> sp.</w:t>
            </w:r>
          </w:p>
        </w:tc>
        <w:tc>
          <w:tcPr>
            <w:tcW w:w="2820" w:type="dxa"/>
            <w:tcBorders>
              <w:top w:val="nil"/>
              <w:left w:val="nil"/>
              <w:bottom w:val="nil"/>
              <w:right w:val="nil"/>
            </w:tcBorders>
            <w:shd w:val="clear" w:color="000000" w:fill="FFFFFF"/>
            <w:noWrap/>
            <w:vAlign w:val="bottom"/>
            <w:hideMark/>
          </w:tcPr>
          <w:p w14:paraId="5F0DCD6C" w14:textId="77777777" w:rsidR="002573F2" w:rsidRPr="00235AC4" w:rsidRDefault="002573F2" w:rsidP="0098117A">
            <w:pPr>
              <w:pStyle w:val="Tabletext"/>
              <w:jc w:val="right"/>
              <w:rPr>
                <w:lang w:eastAsia="en-GB"/>
              </w:rPr>
            </w:pPr>
            <w:r w:rsidRPr="00235AC4">
              <w:rPr>
                <w:lang w:eastAsia="en-GB"/>
              </w:rPr>
              <w:t>0.5</w:t>
            </w:r>
          </w:p>
        </w:tc>
        <w:tc>
          <w:tcPr>
            <w:tcW w:w="2880" w:type="dxa"/>
            <w:tcBorders>
              <w:top w:val="nil"/>
              <w:left w:val="nil"/>
              <w:bottom w:val="nil"/>
              <w:right w:val="nil"/>
            </w:tcBorders>
            <w:shd w:val="clear" w:color="000000" w:fill="FFFFFF"/>
            <w:noWrap/>
            <w:vAlign w:val="bottom"/>
            <w:hideMark/>
          </w:tcPr>
          <w:p w14:paraId="2F8E7EEE" w14:textId="77777777" w:rsidR="002573F2" w:rsidRPr="00235AC4" w:rsidRDefault="002573F2" w:rsidP="0098117A">
            <w:pPr>
              <w:pStyle w:val="Tabletext"/>
              <w:jc w:val="right"/>
              <w:rPr>
                <w:lang w:eastAsia="en-GB"/>
              </w:rPr>
            </w:pPr>
            <w:r w:rsidRPr="00235AC4">
              <w:rPr>
                <w:lang w:eastAsia="en-GB"/>
              </w:rPr>
              <w:t>0.7</w:t>
            </w:r>
          </w:p>
        </w:tc>
      </w:tr>
      <w:tr w:rsidR="002573F2" w:rsidRPr="00235AC4" w14:paraId="5F94E15F" w14:textId="77777777" w:rsidTr="0098117A">
        <w:trPr>
          <w:trHeight w:val="340"/>
        </w:trPr>
        <w:tc>
          <w:tcPr>
            <w:tcW w:w="3800" w:type="dxa"/>
            <w:tcBorders>
              <w:top w:val="nil"/>
              <w:left w:val="nil"/>
              <w:bottom w:val="single" w:sz="8" w:space="0" w:color="auto"/>
              <w:right w:val="nil"/>
            </w:tcBorders>
            <w:shd w:val="clear" w:color="000000" w:fill="FFFFFF"/>
            <w:noWrap/>
            <w:vAlign w:val="bottom"/>
            <w:hideMark/>
          </w:tcPr>
          <w:p w14:paraId="38883C8E" w14:textId="77777777" w:rsidR="002573F2" w:rsidRPr="00235AC4" w:rsidRDefault="002573F2" w:rsidP="0098117A">
            <w:pPr>
              <w:pStyle w:val="Tabletext"/>
              <w:rPr>
                <w:i/>
                <w:iCs/>
                <w:lang w:eastAsia="en-GB"/>
              </w:rPr>
            </w:pPr>
            <w:r w:rsidRPr="00235AC4">
              <w:rPr>
                <w:i/>
                <w:iCs/>
                <w:lang w:eastAsia="en-GB"/>
              </w:rPr>
              <w:t>Enterococcus faecalis</w:t>
            </w:r>
          </w:p>
        </w:tc>
        <w:tc>
          <w:tcPr>
            <w:tcW w:w="2820" w:type="dxa"/>
            <w:tcBorders>
              <w:top w:val="nil"/>
              <w:left w:val="nil"/>
              <w:bottom w:val="single" w:sz="8" w:space="0" w:color="auto"/>
              <w:right w:val="nil"/>
            </w:tcBorders>
            <w:shd w:val="clear" w:color="000000" w:fill="FFFFFF"/>
            <w:noWrap/>
            <w:vAlign w:val="bottom"/>
            <w:hideMark/>
          </w:tcPr>
          <w:p w14:paraId="5D87E076" w14:textId="77777777" w:rsidR="002573F2" w:rsidRPr="00235AC4" w:rsidRDefault="002573F2" w:rsidP="0098117A">
            <w:pPr>
              <w:pStyle w:val="Tabletext"/>
              <w:jc w:val="right"/>
              <w:rPr>
                <w:lang w:eastAsia="en-GB"/>
              </w:rPr>
            </w:pPr>
            <w:r w:rsidRPr="00235AC4">
              <w:rPr>
                <w:lang w:eastAsia="en-GB"/>
              </w:rPr>
              <w:t>0.3</w:t>
            </w:r>
          </w:p>
        </w:tc>
        <w:tc>
          <w:tcPr>
            <w:tcW w:w="2880" w:type="dxa"/>
            <w:tcBorders>
              <w:top w:val="nil"/>
              <w:left w:val="nil"/>
              <w:bottom w:val="single" w:sz="8" w:space="0" w:color="auto"/>
              <w:right w:val="nil"/>
            </w:tcBorders>
            <w:shd w:val="clear" w:color="000000" w:fill="FFFFFF"/>
            <w:noWrap/>
            <w:vAlign w:val="bottom"/>
            <w:hideMark/>
          </w:tcPr>
          <w:p w14:paraId="40BAF6A5" w14:textId="77777777" w:rsidR="002573F2" w:rsidRPr="00235AC4" w:rsidRDefault="002573F2" w:rsidP="0098117A">
            <w:pPr>
              <w:pStyle w:val="Tabletext"/>
              <w:jc w:val="right"/>
              <w:rPr>
                <w:lang w:eastAsia="en-GB"/>
              </w:rPr>
            </w:pPr>
            <w:r w:rsidRPr="00235AC4">
              <w:rPr>
                <w:lang w:eastAsia="en-GB"/>
              </w:rPr>
              <w:t>0</w:t>
            </w:r>
          </w:p>
        </w:tc>
      </w:tr>
    </w:tbl>
    <w:p w14:paraId="6D96D3A6" w14:textId="77777777" w:rsidR="002573F2" w:rsidRPr="00235AC4" w:rsidRDefault="002573F2" w:rsidP="002573F2">
      <w:pPr>
        <w:pStyle w:val="Heading1"/>
        <w:rPr>
          <w:lang w:val="en-US"/>
        </w:rPr>
      </w:pPr>
      <w:r w:rsidRPr="00235AC4">
        <w:rPr>
          <w:lang w:val="en-US"/>
        </w:rPr>
        <w:t xml:space="preserve">Suspecting </w:t>
      </w:r>
      <w:r w:rsidRPr="002573F2">
        <w:t>TTBI</w:t>
      </w:r>
      <w:r w:rsidRPr="002573F2">
        <w:rPr>
          <w:color w:val="C00000"/>
          <w:lang w:val="en-US"/>
        </w:rPr>
        <w:t xml:space="preserve"> </w:t>
      </w:r>
      <w:r w:rsidRPr="00235AC4">
        <w:rPr>
          <w:lang w:val="en-US"/>
        </w:rPr>
        <w:t>and management</w:t>
      </w:r>
    </w:p>
    <w:p w14:paraId="4E4274D9" w14:textId="77777777" w:rsidR="002573F2" w:rsidRDefault="002573F2" w:rsidP="002573F2">
      <w:pPr>
        <w:pStyle w:val="Body"/>
        <w:rPr>
          <w:lang w:eastAsia="en-GB"/>
        </w:rPr>
      </w:pPr>
      <w:r w:rsidRPr="00235AC4">
        <w:rPr>
          <w:lang w:val="en-US"/>
        </w:rPr>
        <w:t xml:space="preserve">Clinical manifestations of TTBI overlap with many other transfusion adverse events. These include high fever, </w:t>
      </w:r>
      <w:r w:rsidRPr="00235AC4">
        <w:rPr>
          <w:lang w:eastAsia="en-GB"/>
        </w:rPr>
        <w:t xml:space="preserve">rigors, chills, tachycardia, nausea and vomiting, dyspnoea and hypotension, which can be similarly observed in haemolytic transfusion reactions, allergic reactions, transfusion related lung injury (TRALI) and other causes. </w:t>
      </w:r>
    </w:p>
    <w:p w14:paraId="66899840" w14:textId="77777777" w:rsidR="002573F2" w:rsidRPr="00235AC4" w:rsidRDefault="002573F2" w:rsidP="002573F2">
      <w:pPr>
        <w:pStyle w:val="Body"/>
        <w:rPr>
          <w:lang w:eastAsia="en-GB"/>
        </w:rPr>
      </w:pPr>
      <w:r w:rsidRPr="00235AC4">
        <w:rPr>
          <w:lang w:eastAsia="en-GB"/>
        </w:rPr>
        <w:t>In some TTBIs</w:t>
      </w:r>
      <w:r>
        <w:rPr>
          <w:lang w:eastAsia="en-GB"/>
        </w:rPr>
        <w:t>,</w:t>
      </w:r>
      <w:r w:rsidRPr="00235AC4">
        <w:rPr>
          <w:lang w:eastAsia="en-GB"/>
        </w:rPr>
        <w:t xml:space="preserve"> the above symptoms may be accompanied with circulatory collapse, </w:t>
      </w:r>
      <w:r w:rsidRPr="0030270F">
        <w:t>shock</w:t>
      </w:r>
      <w:r w:rsidRPr="00235AC4">
        <w:rPr>
          <w:lang w:eastAsia="en-GB"/>
        </w:rPr>
        <w:t xml:space="preserve">, accompanying renal failure and </w:t>
      </w:r>
      <w:r>
        <w:rPr>
          <w:lang w:eastAsia="en-GB"/>
        </w:rPr>
        <w:t>d</w:t>
      </w:r>
      <w:r w:rsidRPr="002F5394">
        <w:rPr>
          <w:lang w:eastAsia="en-GB"/>
        </w:rPr>
        <w:t>isseminated intravascular coagulation</w:t>
      </w:r>
      <w:r>
        <w:rPr>
          <w:lang w:eastAsia="en-GB"/>
        </w:rPr>
        <w:t xml:space="preserve"> (</w:t>
      </w:r>
      <w:r w:rsidRPr="00235AC4">
        <w:rPr>
          <w:lang w:eastAsia="en-GB"/>
        </w:rPr>
        <w:t>DIC</w:t>
      </w:r>
      <w:r>
        <w:rPr>
          <w:lang w:eastAsia="en-GB"/>
        </w:rPr>
        <w:t>)</w:t>
      </w:r>
      <w:r w:rsidRPr="00235AC4">
        <w:rPr>
          <w:lang w:eastAsia="en-GB"/>
        </w:rPr>
        <w:t xml:space="preserve">. TTBI’s may be fatal. The median interval between transfusion completion and the onset of symptoms is approximately 30 minutes (range 0-5 hrs) </w:t>
      </w:r>
      <w:r w:rsidRPr="00235AC4">
        <w:rPr>
          <w:lang w:eastAsia="en-GB"/>
        </w:rPr>
        <w:fldChar w:fldCharType="begin"/>
      </w:r>
      <w:r w:rsidRPr="00235AC4">
        <w:rPr>
          <w:lang w:eastAsia="en-GB"/>
        </w:rPr>
        <w:instrText xml:space="preserve"> ADDIN EN.CITE &lt;EndNote&gt;&lt;Cite&gt;&lt;Author&gt;Perez&lt;/Author&gt;&lt;Year&gt;2001&lt;/Year&gt;&lt;RecNum&gt;492&lt;/RecNum&gt;&lt;DisplayText&gt;(2)&lt;/DisplayText&gt;&lt;record&gt;&lt;rec-number&gt;492&lt;/rec-number&gt;&lt;foreign-keys&gt;&lt;key app="EN" db-id="s9x0vrrd0sadrtexxek5dszcrr9wxrpatew2" timestamp="1623717768"&gt;492&lt;/key&gt;&lt;/foreign-keys&gt;&lt;ref-type name="Journal Article"&gt;17&lt;/ref-type&gt;&lt;contributors&gt;&lt;authors&gt;&lt;author&gt;Perez, P.&lt;/author&gt;&lt;author&gt;Salmi, L. R.&lt;/author&gt;&lt;author&gt;Follea, G.&lt;/author&gt;&lt;author&gt;Schmit, J. L.&lt;/author&gt;&lt;author&gt;de Barbeyrac, B.&lt;/author&gt;&lt;author&gt;Sudre, P.&lt;/author&gt;&lt;author&gt;Salamon, R.&lt;/author&gt;&lt;author&gt;Bacthem Group&lt;/author&gt;&lt;author&gt;French Haemovigilance, Network&lt;/author&gt;&lt;/authors&gt;&lt;/contributors&gt;&lt;auth-address&gt;Institute of Public Health, Epidemiology, and Development, Case 11, Victor Segalen Bordeaux 2 University, 146 Leo-Saignat, 33076 Bordeaux cedex, France. Paul.Perez@isped.u-bordeaux2.fr&lt;/auth-address&gt;&lt;titles&gt;&lt;title&gt;Determinants of transfusion-associated bacterial contamination: results of the French BACTHEM Case-Control Study&lt;/title&gt;&lt;secondary-title&gt;Transfusion&lt;/secondary-title&gt;&lt;/titles&gt;&lt;periodical&gt;&lt;full-title&gt;Transfusion&lt;/full-title&gt;&lt;/periodical&gt;&lt;pages&gt;862-72&lt;/pages&gt;&lt;volume&gt;41&lt;/volume&gt;&lt;number&gt;7&lt;/number&gt;&lt;edition&gt;2001/07/14&lt;/edition&gt;&lt;keywords&gt;&lt;keyword&gt;Adult&lt;/keyword&gt;&lt;keyword&gt;Aged&lt;/keyword&gt;&lt;keyword&gt;Aged, 80 and over&lt;/keyword&gt;&lt;keyword&gt;Bacteremia/*etiology&lt;/keyword&gt;&lt;keyword&gt;Case-Control Studies&lt;/keyword&gt;&lt;keyword&gt;Child&lt;/keyword&gt;&lt;keyword&gt;Erythrocyte Transfusion/*adverse effects&lt;/keyword&gt;&lt;keyword&gt;Female&lt;/keyword&gt;&lt;keyword&gt;Humans&lt;/keyword&gt;&lt;keyword&gt;Male&lt;/keyword&gt;&lt;keyword&gt;Middle Aged&lt;/keyword&gt;&lt;/keywords&gt;&lt;dates&gt;&lt;year&gt;2001&lt;/year&gt;&lt;pub-dates&gt;&lt;date&gt;Jul&lt;/date&gt;&lt;/pub-dates&gt;&lt;/dates&gt;&lt;isbn&gt;0041-1132 (Print)&amp;#xD;0041-1132 (Linking)&lt;/isbn&gt;&lt;accession-num&gt;11452153&lt;/accession-num&gt;&lt;urls&gt;&lt;related-urls&gt;&lt;url&gt;https://www.ncbi.nlm.nih.gov/pubmed/11452153&lt;/url&gt;&lt;/related-urls&gt;&lt;/urls&gt;&lt;electronic-resource-num&gt;10.1046/j.1537-2995.2001.41070862.x&lt;/electronic-resource-num&gt;&lt;/record&gt;&lt;/Cite&gt;&lt;/EndNote&gt;</w:instrText>
      </w:r>
      <w:r w:rsidRPr="00235AC4">
        <w:rPr>
          <w:lang w:eastAsia="en-GB"/>
        </w:rPr>
        <w:fldChar w:fldCharType="separate"/>
      </w:r>
      <w:r w:rsidRPr="00235AC4">
        <w:rPr>
          <w:noProof/>
          <w:lang w:eastAsia="en-GB"/>
        </w:rPr>
        <w:t>(</w:t>
      </w:r>
      <w:r w:rsidRPr="002F5394">
        <w:rPr>
          <w:noProof/>
          <w:lang w:eastAsia="en-GB"/>
        </w:rPr>
        <w:t>Perez et al. 2001</w:t>
      </w:r>
      <w:r w:rsidRPr="00235AC4">
        <w:rPr>
          <w:noProof/>
          <w:lang w:eastAsia="en-GB"/>
        </w:rPr>
        <w:t>)</w:t>
      </w:r>
      <w:r w:rsidRPr="00235AC4">
        <w:rPr>
          <w:lang w:eastAsia="en-GB"/>
        </w:rPr>
        <w:fldChar w:fldCharType="end"/>
      </w:r>
      <w:r w:rsidRPr="00235AC4">
        <w:rPr>
          <w:lang w:eastAsia="en-GB"/>
        </w:rPr>
        <w:t>. However, this is generally shorter with gram-negative sepsis. Importantly, some TTBI can occur without major signs or symptoms. In one study,  approximately 50</w:t>
      </w:r>
      <w:r>
        <w:rPr>
          <w:lang w:eastAsia="en-GB"/>
        </w:rPr>
        <w:t xml:space="preserve"> per cent</w:t>
      </w:r>
      <w:r w:rsidRPr="00235AC4">
        <w:rPr>
          <w:lang w:eastAsia="en-GB"/>
        </w:rPr>
        <w:t xml:space="preserve"> of confirmed cases of TTBI had only minor symptoms </w:t>
      </w:r>
      <w:r w:rsidRPr="00235AC4">
        <w:rPr>
          <w:lang w:eastAsia="en-GB"/>
        </w:rPr>
        <w:fldChar w:fldCharType="begin"/>
      </w:r>
      <w:r w:rsidRPr="00235AC4">
        <w:rPr>
          <w:lang w:eastAsia="en-GB"/>
        </w:rPr>
        <w:instrText xml:space="preserve"> ADDIN EN.CITE &lt;EndNote&gt;&lt;Cite&gt;&lt;Author&gt;Perez&lt;/Author&gt;&lt;Year&gt;2001&lt;/Year&gt;&lt;RecNum&gt;492&lt;/RecNum&gt;&lt;DisplayText&gt;(2)&lt;/DisplayText&gt;&lt;record&gt;&lt;rec-number&gt;492&lt;/rec-number&gt;&lt;foreign-keys&gt;&lt;key app="EN" db-id="s9x0vrrd0sadrtexxek5dszcrr9wxrpatew2" timestamp="1623717768"&gt;492&lt;/key&gt;&lt;/foreign-keys&gt;&lt;ref-type name="Journal Article"&gt;17&lt;/ref-type&gt;&lt;contributors&gt;&lt;authors&gt;&lt;author&gt;Perez, P.&lt;/author&gt;&lt;author&gt;Salmi, L. R.&lt;/author&gt;&lt;author&gt;Follea, G.&lt;/author&gt;&lt;author&gt;Schmit, J. L.&lt;/author&gt;&lt;author&gt;de Barbeyrac, B.&lt;/author&gt;&lt;author&gt;Sudre, P.&lt;/author&gt;&lt;author&gt;Salamon, R.&lt;/author&gt;&lt;author&gt;Bacthem Group&lt;/author&gt;&lt;author&gt;French Haemovigilance, Network&lt;/author&gt;&lt;/authors&gt;&lt;/contributors&gt;&lt;auth-address&gt;Institute of Public Health, Epidemiology, and Development, Case 11, Victor Segalen Bordeaux 2 University, 146 Leo-Saignat, 33076 Bordeaux cedex, France. Paul.Perez@isped.u-bordeaux2.fr&lt;/auth-address&gt;&lt;titles&gt;&lt;title&gt;Determinants of transfusion-associated bacterial contamination: results of the French BACTHEM Case-Control Study&lt;/title&gt;&lt;secondary-title&gt;Transfusion&lt;/secondary-title&gt;&lt;/titles&gt;&lt;periodical&gt;&lt;full-title&gt;Transfusion&lt;/full-title&gt;&lt;/periodical&gt;&lt;pages&gt;862-72&lt;/pages&gt;&lt;volume&gt;41&lt;/volume&gt;&lt;number&gt;7&lt;/number&gt;&lt;edition&gt;2001/07/14&lt;/edition&gt;&lt;keywords&gt;&lt;keyword&gt;Adult&lt;/keyword&gt;&lt;keyword&gt;Aged&lt;/keyword&gt;&lt;keyword&gt;Aged, 80 and over&lt;/keyword&gt;&lt;keyword&gt;Bacteremia/*etiology&lt;/keyword&gt;&lt;keyword&gt;Case-Control Studies&lt;/keyword&gt;&lt;keyword&gt;Child&lt;/keyword&gt;&lt;keyword&gt;Erythrocyte Transfusion/*adverse effects&lt;/keyword&gt;&lt;keyword&gt;Female&lt;/keyword&gt;&lt;keyword&gt;Humans&lt;/keyword&gt;&lt;keyword&gt;Male&lt;/keyword&gt;&lt;keyword&gt;Middle Aged&lt;/keyword&gt;&lt;/keywords&gt;&lt;dates&gt;&lt;year&gt;2001&lt;/year&gt;&lt;pub-dates&gt;&lt;date&gt;Jul&lt;/date&gt;&lt;/pub-dates&gt;&lt;/dates&gt;&lt;isbn&gt;0041-1132 (Print)&amp;#xD;0041-1132 (Linking)&lt;/isbn&gt;&lt;accession-num&gt;11452153&lt;/accession-num&gt;&lt;urls&gt;&lt;related-urls&gt;&lt;url&gt;https://www.ncbi.nlm.nih.gov/pubmed/11452153&lt;/url&gt;&lt;/related-urls&gt;&lt;/urls&gt;&lt;electronic-resource-num&gt;10.1046/j.1537-2995.2001.41070862.x&lt;/electronic-resource-num&gt;&lt;/record&gt;&lt;/Cite&gt;&lt;/EndNote&gt;</w:instrText>
      </w:r>
      <w:r w:rsidRPr="00235AC4">
        <w:rPr>
          <w:lang w:eastAsia="en-GB"/>
        </w:rPr>
        <w:fldChar w:fldCharType="separate"/>
      </w:r>
      <w:r w:rsidRPr="00235AC4">
        <w:rPr>
          <w:noProof/>
          <w:lang w:eastAsia="en-GB"/>
        </w:rPr>
        <w:t>(</w:t>
      </w:r>
      <w:r w:rsidRPr="002F5394">
        <w:rPr>
          <w:noProof/>
          <w:lang w:eastAsia="en-GB"/>
        </w:rPr>
        <w:t>Perez et al. 2001</w:t>
      </w:r>
      <w:r w:rsidRPr="00235AC4">
        <w:rPr>
          <w:noProof/>
          <w:lang w:eastAsia="en-GB"/>
        </w:rPr>
        <w:t>)</w:t>
      </w:r>
      <w:r w:rsidRPr="00235AC4">
        <w:rPr>
          <w:lang w:eastAsia="en-GB"/>
        </w:rPr>
        <w:fldChar w:fldCharType="end"/>
      </w:r>
      <w:r w:rsidRPr="00235AC4">
        <w:rPr>
          <w:lang w:eastAsia="en-GB"/>
        </w:rPr>
        <w:t xml:space="preserve">. Several factors account for the varying severity, including inoculum size, bacterial virulence, and host immune system. For these reasons, </w:t>
      </w:r>
      <w:r>
        <w:rPr>
          <w:lang w:eastAsia="en-GB"/>
        </w:rPr>
        <w:t xml:space="preserve">TTBI requires </w:t>
      </w:r>
      <w:r w:rsidRPr="00235AC4">
        <w:rPr>
          <w:lang w:eastAsia="en-GB"/>
        </w:rPr>
        <w:t>a</w:t>
      </w:r>
      <w:r w:rsidRPr="00235AC4">
        <w:rPr>
          <w:lang w:val="en-US"/>
        </w:rPr>
        <w:t xml:space="preserve"> high index of clinical suspicion. </w:t>
      </w:r>
    </w:p>
    <w:p w14:paraId="47A2ACE9" w14:textId="77777777" w:rsidR="002573F2" w:rsidRDefault="002573F2" w:rsidP="002573F2">
      <w:pPr>
        <w:pStyle w:val="Body"/>
        <w:rPr>
          <w:lang w:val="en-US"/>
        </w:rPr>
      </w:pPr>
      <w:r w:rsidRPr="00235AC4">
        <w:rPr>
          <w:lang w:val="en-US"/>
        </w:rPr>
        <w:t xml:space="preserve">Because of the clinical overlap with other adverse </w:t>
      </w:r>
      <w:r w:rsidRPr="0030270F">
        <w:t>transfusion</w:t>
      </w:r>
      <w:r w:rsidRPr="00235AC4">
        <w:rPr>
          <w:lang w:val="en-US"/>
        </w:rPr>
        <w:t xml:space="preserve"> reactions</w:t>
      </w:r>
      <w:r>
        <w:rPr>
          <w:lang w:val="en-US"/>
        </w:rPr>
        <w:t>,</w:t>
      </w:r>
      <w:r w:rsidRPr="00235AC4">
        <w:rPr>
          <w:lang w:val="en-US"/>
        </w:rPr>
        <w:t xml:space="preserve"> the initial steps in management are similar. This includes cessation of the transfusion, checking and monitoring vital signs, not flushing the existing line (a new IV line may be required), maintaining IV access, patient resuscitation, checking for clerical errors, and collection of </w:t>
      </w:r>
      <w:proofErr w:type="gramStart"/>
      <w:r w:rsidRPr="00235AC4">
        <w:rPr>
          <w:lang w:val="en-US"/>
        </w:rPr>
        <w:t>donor</w:t>
      </w:r>
      <w:proofErr w:type="gramEnd"/>
      <w:r w:rsidRPr="00235AC4">
        <w:rPr>
          <w:lang w:val="en-US"/>
        </w:rPr>
        <w:t xml:space="preserve"> (from component) and recipient blood for further testing. If the clinical suspicion </w:t>
      </w:r>
      <w:r>
        <w:rPr>
          <w:lang w:val="en-US"/>
        </w:rPr>
        <w:t>of</w:t>
      </w:r>
      <w:r w:rsidRPr="00235AC4">
        <w:rPr>
          <w:lang w:val="en-US"/>
        </w:rPr>
        <w:t xml:space="preserve"> TTBI is high, the blood component pack should be sealed, and gram stain and culture performed on both the patient and the component/s implicated in the transfusion reaction. In this setting, patients may be commenced on empiric broad-spectrum antibiotics. </w:t>
      </w:r>
    </w:p>
    <w:p w14:paraId="46D0426E" w14:textId="77777777" w:rsidR="002573F2" w:rsidRPr="00235AC4" w:rsidRDefault="002573F2" w:rsidP="002573F2">
      <w:pPr>
        <w:pStyle w:val="Body"/>
        <w:rPr>
          <w:lang w:val="en-US"/>
        </w:rPr>
      </w:pPr>
      <w:r>
        <w:rPr>
          <w:lang w:val="en-US"/>
        </w:rPr>
        <w:t>I</w:t>
      </w:r>
      <w:r w:rsidRPr="00235AC4">
        <w:rPr>
          <w:lang w:val="en-US"/>
        </w:rPr>
        <w:t xml:space="preserve">mmediate contact should be made </w:t>
      </w:r>
      <w:r>
        <w:rPr>
          <w:lang w:val="en-US"/>
        </w:rPr>
        <w:t>with</w:t>
      </w:r>
      <w:r w:rsidRPr="00235AC4">
        <w:rPr>
          <w:lang w:val="en-US"/>
        </w:rPr>
        <w:t xml:space="preserve"> Australian Red Cross Lifeblood (Lifeblood) so that blood components associated with the implicated donation may be quarantined</w:t>
      </w:r>
      <w:r>
        <w:rPr>
          <w:lang w:val="en-US"/>
        </w:rPr>
        <w:t xml:space="preserve"> and</w:t>
      </w:r>
      <w:r w:rsidRPr="00235AC4">
        <w:rPr>
          <w:lang w:val="en-US"/>
        </w:rPr>
        <w:t xml:space="preserve"> recalled, and culture testing on non-transfused products initiated. If a clinical</w:t>
      </w:r>
      <w:r>
        <w:rPr>
          <w:lang w:val="en-US"/>
        </w:rPr>
        <w:t>ly</w:t>
      </w:r>
      <w:r w:rsidRPr="00235AC4">
        <w:rPr>
          <w:lang w:val="en-US"/>
        </w:rPr>
        <w:t xml:space="preserve"> significant organism is cultured, clinician notification of other transfused components associated with this donation will be required.</w:t>
      </w:r>
    </w:p>
    <w:p w14:paraId="3E91635B" w14:textId="77777777" w:rsidR="002573F2" w:rsidRPr="0030270F" w:rsidRDefault="002573F2" w:rsidP="002573F2">
      <w:pPr>
        <w:pStyle w:val="Heading1"/>
        <w:rPr>
          <w:bCs w:val="0"/>
          <w:color w:val="53565A"/>
          <w:sz w:val="44"/>
          <w:szCs w:val="44"/>
        </w:rPr>
      </w:pPr>
      <w:r w:rsidRPr="00235AC4">
        <w:rPr>
          <w:lang w:val="en-US"/>
        </w:rPr>
        <w:t>Mitigation strategies</w:t>
      </w:r>
    </w:p>
    <w:p w14:paraId="6A9D7B63" w14:textId="77777777" w:rsidR="002573F2" w:rsidRDefault="002573F2" w:rsidP="002573F2">
      <w:pPr>
        <w:pStyle w:val="Body"/>
        <w:rPr>
          <w:lang w:val="en-US"/>
        </w:rPr>
      </w:pPr>
      <w:r w:rsidRPr="00235AC4">
        <w:rPr>
          <w:lang w:val="en-US"/>
        </w:rPr>
        <w:t>Several strategies to mitigate TTBI have been implemented at Lifeblood in the past two decades. Changes to skin disinfection were introduced in 2004, followed by diversion pouches in 2006 that discarded the first 30</w:t>
      </w:r>
      <w:r>
        <w:rPr>
          <w:lang w:val="en-US"/>
        </w:rPr>
        <w:t> mL</w:t>
      </w:r>
      <w:r w:rsidRPr="00235AC4">
        <w:rPr>
          <w:lang w:val="en-US"/>
        </w:rPr>
        <w:t xml:space="preserve"> of blood. Universal bacterial contamination screening (BCS) of platelets was introduced in 2008 </w:t>
      </w:r>
      <w:r w:rsidRPr="00235AC4">
        <w:rPr>
          <w:lang w:val="en-US"/>
        </w:rPr>
        <w:fldChar w:fldCharType="begin"/>
      </w:r>
      <w:r w:rsidRPr="00235AC4">
        <w:rPr>
          <w:lang w:val="en-US"/>
        </w:rPr>
        <w:instrText xml:space="preserve"> ADDIN EN.CITE &lt;EndNote&gt;&lt;Cite&gt;&lt;Author&gt;Thyer&lt;/Author&gt;&lt;Year&gt;2018&lt;/Year&gt;&lt;RecNum&gt;494&lt;/RecNum&gt;&lt;DisplayText&gt;(4)&lt;/DisplayText&gt;&lt;record&gt;&lt;rec-number&gt;494&lt;/rec-number&gt;&lt;foreign-keys&gt;&lt;key app="EN" db-id="s9x0vrrd0sadrtexxek5dszcrr9wxrpatew2" timestamp="1623899263"&gt;494&lt;/key&gt;&lt;/foreign-keys&gt;&lt;ref-type name="Journal Article"&gt;17&lt;/ref-type&gt;&lt;contributors&gt;&lt;authors&gt;&lt;author&gt;Thyer, J.&lt;/author&gt;&lt;author&gt;Perkowska-Guse, Z.&lt;/author&gt;&lt;author&gt;Ismay, S. L.&lt;/author&gt;&lt;author&gt;Keller, A. J.&lt;/author&gt;&lt;author&gt;Chan, H. T.&lt;/author&gt;&lt;author&gt;Dennington, P. M.&lt;/author&gt;&lt;author&gt;Bell, B.&lt;/author&gt;&lt;author&gt;Kotsiou, G.&lt;/author&gt;&lt;author&gt;Pink, J. M.&lt;/author&gt;&lt;/authors&gt;&lt;/contributors&gt;&lt;auth-address&gt;Australian Red Cross Blood Service, Melbourne, Vic, Australia.&lt;/auth-address&gt;&lt;titles&gt;&lt;title&gt;Bacterial testing of platelets - has it prevented transfusion-transmitted bacterial infections in Australia?&lt;/title&gt;&lt;secondary-title&gt;Vox Sang&lt;/secondary-title&gt;&lt;/titles&gt;&lt;periodical&gt;&lt;full-title&gt;Vox Sang&lt;/full-title&gt;&lt;/periodical&gt;&lt;pages&gt;13-20&lt;/pages&gt;&lt;volume&gt;113&lt;/volume&gt;&lt;number&gt;1&lt;/number&gt;&lt;edition&gt;2017/09/28&lt;/edition&gt;&lt;keywords&gt;&lt;keyword&gt;Australia/epidemiology&lt;/keyword&gt;&lt;keyword&gt;Bacterial Infections/epidemiology/*prevention &amp;amp; control/transmission&lt;/keyword&gt;&lt;keyword&gt;Blood Platelets/*microbiology&lt;/keyword&gt;&lt;keyword&gt;Blood Safety&lt;/keyword&gt;&lt;keyword&gt;Culture Techniques&lt;/keyword&gt;&lt;keyword&gt;Humans&lt;/keyword&gt;&lt;keyword&gt;Incidence&lt;/keyword&gt;&lt;keyword&gt;Platelet Transfusion/adverse effects&lt;/keyword&gt;&lt;keyword&gt;bacterial contamination&lt;/keyword&gt;&lt;keyword&gt;blood donation testing&lt;/keyword&gt;&lt;keyword&gt;haemovigilance&lt;/keyword&gt;&lt;keyword&gt;pathogen inactivation&lt;/keyword&gt;&lt;keyword&gt;platelet concentrates&lt;/keyword&gt;&lt;keyword&gt;platelet transfusion&lt;/keyword&gt;&lt;/keywords&gt;&lt;dates&gt;&lt;year&gt;2018&lt;/year&gt;&lt;pub-dates&gt;&lt;date&gt;Jan&lt;/date&gt;&lt;/pub-dates&gt;&lt;/dates&gt;&lt;isbn&gt;1423-0410 (Electronic)&amp;#xD;0042-9007 (Linking)&lt;/isbn&gt;&lt;accession-num&gt;28952159&lt;/accession-num&gt;&lt;urls&gt;&lt;related-urls&gt;&lt;url&gt;https://www.ncbi.nlm.nih.gov/pubmed/28952159&lt;/url&gt;&lt;/related-urls&gt;&lt;/urls&gt;&lt;electronic-resource-num&gt;10.1111/vox.12561&lt;/electronic-resource-num&gt;&lt;/record&gt;&lt;/Cite&gt;&lt;/EndNote&gt;</w:instrText>
      </w:r>
      <w:r w:rsidRPr="00235AC4">
        <w:rPr>
          <w:lang w:val="en-US"/>
        </w:rPr>
        <w:fldChar w:fldCharType="separate"/>
      </w:r>
      <w:r w:rsidRPr="00235AC4">
        <w:rPr>
          <w:noProof/>
          <w:lang w:val="en-US"/>
        </w:rPr>
        <w:t>(</w:t>
      </w:r>
      <w:r w:rsidRPr="002F5394">
        <w:rPr>
          <w:noProof/>
          <w:lang w:val="en-US"/>
        </w:rPr>
        <w:t>Thyer et al. 2018</w:t>
      </w:r>
      <w:r w:rsidRPr="00235AC4">
        <w:rPr>
          <w:noProof/>
          <w:lang w:val="en-US"/>
        </w:rPr>
        <w:t>)</w:t>
      </w:r>
      <w:r w:rsidRPr="00235AC4">
        <w:rPr>
          <w:lang w:val="en-US"/>
        </w:rPr>
        <w:fldChar w:fldCharType="end"/>
      </w:r>
      <w:r w:rsidRPr="00235AC4">
        <w:rPr>
          <w:lang w:val="en-US"/>
        </w:rPr>
        <w:t xml:space="preserve">. </w:t>
      </w:r>
    </w:p>
    <w:p w14:paraId="3693834B" w14:textId="77777777" w:rsidR="002573F2" w:rsidRDefault="002573F2" w:rsidP="002573F2">
      <w:pPr>
        <w:pStyle w:val="Body"/>
        <w:rPr>
          <w:lang w:val="en-US"/>
        </w:rPr>
      </w:pPr>
      <w:r w:rsidRPr="00235AC4">
        <w:rPr>
          <w:lang w:val="en-US"/>
        </w:rPr>
        <w:lastRenderedPageBreak/>
        <w:t>The practice in Australia from November 2020 involves inoculating a larger volume of 8</w:t>
      </w:r>
      <w:r>
        <w:rPr>
          <w:lang w:val="en-US"/>
        </w:rPr>
        <w:t>–</w:t>
      </w:r>
      <w:r w:rsidRPr="00235AC4">
        <w:rPr>
          <w:lang w:val="en-US"/>
        </w:rPr>
        <w:t>10</w:t>
      </w:r>
      <w:r>
        <w:rPr>
          <w:lang w:val="en-US"/>
        </w:rPr>
        <w:t> mL</w:t>
      </w:r>
      <w:r w:rsidRPr="00235AC4">
        <w:rPr>
          <w:lang w:val="en-US"/>
        </w:rPr>
        <w:t xml:space="preserve"> of donor sample from either pooled or every apheresis platelet unit into both aerobic and anaerobic culture bottles. The number of bottles to inoculate will increase based on platelet dose. For instance, double apheresis units require inoculation of 4 bottles in total. These cultures are incubated for up to </w:t>
      </w:r>
      <w:r>
        <w:rPr>
          <w:lang w:val="en-US"/>
        </w:rPr>
        <w:t>seven</w:t>
      </w:r>
      <w:r w:rsidRPr="00235AC4">
        <w:rPr>
          <w:lang w:val="en-US"/>
        </w:rPr>
        <w:t xml:space="preserve"> days using the </w:t>
      </w:r>
      <w:proofErr w:type="spellStart"/>
      <w:r w:rsidRPr="00235AC4">
        <w:rPr>
          <w:lang w:val="en-US"/>
        </w:rPr>
        <w:t>BacT</w:t>
      </w:r>
      <w:proofErr w:type="spellEnd"/>
      <w:r w:rsidRPr="00235AC4">
        <w:rPr>
          <w:lang w:val="en-US"/>
        </w:rPr>
        <w:t xml:space="preserve">/ALERT 3D automated microbial detection system that relies on the colorimetric detection of carbon dioxide produced by growing microorganisms. </w:t>
      </w:r>
    </w:p>
    <w:p w14:paraId="5420B786" w14:textId="77777777" w:rsidR="002573F2" w:rsidRPr="00235AC4" w:rsidRDefault="002573F2" w:rsidP="002573F2">
      <w:pPr>
        <w:pStyle w:val="Body"/>
        <w:rPr>
          <w:lang w:val="en-US"/>
        </w:rPr>
      </w:pPr>
      <w:r w:rsidRPr="00235AC4">
        <w:rPr>
          <w:lang w:val="en-US"/>
        </w:rPr>
        <w:t xml:space="preserve">The time from collection to BCS inoculation has recently changed from 24 to 36 hours, reflecting the transition to a </w:t>
      </w:r>
      <w:r>
        <w:rPr>
          <w:lang w:val="en-US"/>
        </w:rPr>
        <w:t>seven</w:t>
      </w:r>
      <w:r w:rsidRPr="00235AC4">
        <w:rPr>
          <w:lang w:val="en-US"/>
        </w:rPr>
        <w:t>-day shelf</w:t>
      </w:r>
      <w:r>
        <w:rPr>
          <w:lang w:val="en-US"/>
        </w:rPr>
        <w:t xml:space="preserve"> </w:t>
      </w:r>
      <w:r w:rsidRPr="00235AC4">
        <w:rPr>
          <w:lang w:val="en-US"/>
        </w:rPr>
        <w:t xml:space="preserve">life for platelets from March 2021. In the case of the pooled platelets, the 36 hours is counted from the time of the most recent platelet donation contributing to that pool. Platelets are subsequently released into the inventory once BCS inoculation is performed. </w:t>
      </w:r>
    </w:p>
    <w:p w14:paraId="062D835F" w14:textId="77777777" w:rsidR="002573F2" w:rsidRPr="00235AC4" w:rsidRDefault="002573F2" w:rsidP="002573F2">
      <w:pPr>
        <w:pStyle w:val="DHHSbody"/>
        <w:rPr>
          <w:lang w:val="en-US"/>
        </w:rPr>
      </w:pPr>
      <w:r w:rsidRPr="00235AC4">
        <w:rPr>
          <w:lang w:val="en-US"/>
        </w:rPr>
        <w:t xml:space="preserve">The implementation of BCS in Australia has been shown to reduce the incidence of TTBI </w:t>
      </w:r>
      <w:r w:rsidRPr="00235AC4">
        <w:rPr>
          <w:lang w:val="en-US"/>
        </w:rPr>
        <w:fldChar w:fldCharType="begin"/>
      </w:r>
      <w:r w:rsidRPr="00235AC4">
        <w:rPr>
          <w:lang w:val="en-US"/>
        </w:rPr>
        <w:instrText xml:space="preserve"> ADDIN EN.CITE &lt;EndNote&gt;&lt;Cite&gt;&lt;Author&gt;Thyer&lt;/Author&gt;&lt;Year&gt;2018&lt;/Year&gt;&lt;RecNum&gt;494&lt;/RecNum&gt;&lt;DisplayText&gt;(4)&lt;/DisplayText&gt;&lt;record&gt;&lt;rec-number&gt;494&lt;/rec-number&gt;&lt;foreign-keys&gt;&lt;key app="EN" db-id="s9x0vrrd0sadrtexxek5dszcrr9wxrpatew2" timestamp="1623899263"&gt;494&lt;/key&gt;&lt;/foreign-keys&gt;&lt;ref-type name="Journal Article"&gt;17&lt;/ref-type&gt;&lt;contributors&gt;&lt;authors&gt;&lt;author&gt;Thyer, J.&lt;/author&gt;&lt;author&gt;Perkowska-Guse, Z.&lt;/author&gt;&lt;author&gt;Ismay, S. L.&lt;/author&gt;&lt;author&gt;Keller, A. J.&lt;/author&gt;&lt;author&gt;Chan, H. T.&lt;/author&gt;&lt;author&gt;Dennington, P. M.&lt;/author&gt;&lt;author&gt;Bell, B.&lt;/author&gt;&lt;author&gt;Kotsiou, G.&lt;/author&gt;&lt;author&gt;Pink, J. M.&lt;/author&gt;&lt;/authors&gt;&lt;/contributors&gt;&lt;auth-address&gt;Australian Red Cross Blood Service, Melbourne, Vic, Australia.&lt;/auth-address&gt;&lt;titles&gt;&lt;title&gt;Bacterial testing of platelets - has it prevented transfusion-transmitted bacterial infections in Australia?&lt;/title&gt;&lt;secondary-title&gt;Vox Sang&lt;/secondary-title&gt;&lt;/titles&gt;&lt;periodical&gt;&lt;full-title&gt;Vox Sang&lt;/full-title&gt;&lt;/periodical&gt;&lt;pages&gt;13-20&lt;/pages&gt;&lt;volume&gt;113&lt;/volume&gt;&lt;number&gt;1&lt;/number&gt;&lt;edition&gt;2017/09/28&lt;/edition&gt;&lt;keywords&gt;&lt;keyword&gt;Australia/epidemiology&lt;/keyword&gt;&lt;keyword&gt;Bacterial Infections/epidemiology/*prevention &amp;amp; control/transmission&lt;/keyword&gt;&lt;keyword&gt;Blood Platelets/*microbiology&lt;/keyword&gt;&lt;keyword&gt;Blood Safety&lt;/keyword&gt;&lt;keyword&gt;Culture Techniques&lt;/keyword&gt;&lt;keyword&gt;Humans&lt;/keyword&gt;&lt;keyword&gt;Incidence&lt;/keyword&gt;&lt;keyword&gt;Platelet Transfusion/adverse effects&lt;/keyword&gt;&lt;keyword&gt;bacterial contamination&lt;/keyword&gt;&lt;keyword&gt;blood donation testing&lt;/keyword&gt;&lt;keyword&gt;haemovigilance&lt;/keyword&gt;&lt;keyword&gt;pathogen inactivation&lt;/keyword&gt;&lt;keyword&gt;platelet concentrates&lt;/keyword&gt;&lt;keyword&gt;platelet transfusion&lt;/keyword&gt;&lt;/keywords&gt;&lt;dates&gt;&lt;year&gt;2018&lt;/year&gt;&lt;pub-dates&gt;&lt;date&gt;Jan&lt;/date&gt;&lt;/pub-dates&gt;&lt;/dates&gt;&lt;isbn&gt;1423-0410 (Electronic)&amp;#xD;0042-9007 (Linking)&lt;/isbn&gt;&lt;accession-num&gt;28952159&lt;/accession-num&gt;&lt;urls&gt;&lt;related-urls&gt;&lt;url&gt;https://www.ncbi.nlm.nih.gov/pubmed/28952159&lt;/url&gt;&lt;/related-urls&gt;&lt;/urls&gt;&lt;electronic-resource-num&gt;10.1111/vox.12561&lt;/electronic-resource-num&gt;&lt;/record&gt;&lt;/Cite&gt;&lt;/EndNote&gt;</w:instrText>
      </w:r>
      <w:r w:rsidRPr="00235AC4">
        <w:rPr>
          <w:lang w:val="en-US"/>
        </w:rPr>
        <w:fldChar w:fldCharType="separate"/>
      </w:r>
      <w:r w:rsidRPr="00235AC4">
        <w:rPr>
          <w:noProof/>
          <w:lang w:val="en-US"/>
        </w:rPr>
        <w:t>(</w:t>
      </w:r>
      <w:r w:rsidRPr="002F5394">
        <w:rPr>
          <w:noProof/>
          <w:lang w:val="en-US"/>
        </w:rPr>
        <w:t>Thyer et al. 2018</w:t>
      </w:r>
      <w:r w:rsidRPr="00235AC4">
        <w:rPr>
          <w:noProof/>
          <w:lang w:val="en-US"/>
        </w:rPr>
        <w:t>)</w:t>
      </w:r>
      <w:r w:rsidRPr="00235AC4">
        <w:rPr>
          <w:lang w:val="en-US"/>
        </w:rPr>
        <w:fldChar w:fldCharType="end"/>
      </w:r>
      <w:r w:rsidRPr="00235AC4">
        <w:rPr>
          <w:lang w:val="en-US"/>
        </w:rPr>
        <w:t xml:space="preserve">. The rate of probable TTBI from </w:t>
      </w:r>
      <w:r w:rsidRPr="0030270F">
        <w:t>platelet</w:t>
      </w:r>
      <w:r w:rsidRPr="00235AC4">
        <w:rPr>
          <w:lang w:val="en-US"/>
        </w:rPr>
        <w:t xml:space="preserve"> transfusions fell from 1.6 per 100,000 to 0.4 per 100,000 transfused. Similarly, probable TTBI from red blood cells also decreased from 0.1 per 100,000 to 0.04 per 100,000 transfused. Most organisms from confirmed episodes were </w:t>
      </w:r>
      <w:r w:rsidRPr="00235AC4">
        <w:rPr>
          <w:i/>
          <w:iCs/>
          <w:lang w:val="en-US"/>
        </w:rPr>
        <w:t xml:space="preserve">Propionibacterium </w:t>
      </w:r>
      <w:r w:rsidRPr="00235AC4">
        <w:rPr>
          <w:lang w:val="en-US"/>
        </w:rPr>
        <w:t>(81.8</w:t>
      </w:r>
      <w:r>
        <w:rPr>
          <w:lang w:val="en-US"/>
        </w:rPr>
        <w:t xml:space="preserve"> per cent</w:t>
      </w:r>
      <w:r w:rsidRPr="00235AC4">
        <w:rPr>
          <w:lang w:val="en-US"/>
        </w:rPr>
        <w:t xml:space="preserve">) and coagulase-negative </w:t>
      </w:r>
      <w:r w:rsidRPr="00235AC4">
        <w:rPr>
          <w:i/>
          <w:iCs/>
          <w:lang w:val="en-US"/>
        </w:rPr>
        <w:t xml:space="preserve">Staphylococcus </w:t>
      </w:r>
      <w:r w:rsidRPr="00235AC4">
        <w:rPr>
          <w:lang w:val="en-US"/>
        </w:rPr>
        <w:t>(9.2</w:t>
      </w:r>
      <w:r>
        <w:rPr>
          <w:lang w:val="en-US"/>
        </w:rPr>
        <w:t xml:space="preserve"> per cent</w:t>
      </w:r>
      <w:r w:rsidRPr="00235AC4">
        <w:rPr>
          <w:lang w:val="en-US"/>
        </w:rPr>
        <w:t xml:space="preserve">) species. </w:t>
      </w:r>
    </w:p>
    <w:p w14:paraId="1B159860" w14:textId="77777777" w:rsidR="002573F2" w:rsidRPr="00235AC4" w:rsidRDefault="002573F2" w:rsidP="002573F2">
      <w:pPr>
        <w:pStyle w:val="DHHSbody"/>
        <w:rPr>
          <w:lang w:val="en-US"/>
        </w:rPr>
      </w:pPr>
      <w:r w:rsidRPr="00235AC4">
        <w:rPr>
          <w:lang w:val="en-US"/>
        </w:rPr>
        <w:t>An important aspect of BCS is the time to detection</w:t>
      </w:r>
      <w:r>
        <w:rPr>
          <w:lang w:val="en-US"/>
        </w:rPr>
        <w:t>,</w:t>
      </w:r>
      <w:r w:rsidRPr="00235AC4">
        <w:rPr>
          <w:lang w:val="en-US"/>
        </w:rPr>
        <w:t xml:space="preserve"> </w:t>
      </w:r>
      <w:r w:rsidRPr="0030270F">
        <w:t>which</w:t>
      </w:r>
      <w:r w:rsidRPr="00235AC4">
        <w:rPr>
          <w:lang w:val="en-US"/>
        </w:rPr>
        <w:t xml:space="preserve"> allows for components to be recalled before transfusion. Importantly, pathogenic organisms such as </w:t>
      </w:r>
      <w:r w:rsidRPr="00235AC4">
        <w:rPr>
          <w:i/>
          <w:iCs/>
          <w:lang w:val="en-US"/>
        </w:rPr>
        <w:t>staphylococcus aureus</w:t>
      </w:r>
      <w:r w:rsidRPr="00235AC4">
        <w:rPr>
          <w:lang w:val="en-US"/>
        </w:rPr>
        <w:t xml:space="preserve"> and gram-negative rods flag positive within 15 hours on average. Consequently, blood components contaminated with these organisms are often able to be successfully recalled prior to transfusion </w:t>
      </w:r>
      <w:r w:rsidRPr="00235AC4">
        <w:rPr>
          <w:lang w:val="en-US"/>
        </w:rPr>
        <w:fldChar w:fldCharType="begin"/>
      </w:r>
      <w:r w:rsidRPr="00235AC4">
        <w:rPr>
          <w:lang w:val="en-US"/>
        </w:rPr>
        <w:instrText xml:space="preserve"> ADDIN EN.CITE &lt;EndNote&gt;&lt;Cite&gt;&lt;Author&gt;Thyer&lt;/Author&gt;&lt;Year&gt;2018&lt;/Year&gt;&lt;RecNum&gt;494&lt;/RecNum&gt;&lt;DisplayText&gt;(4)&lt;/DisplayText&gt;&lt;record&gt;&lt;rec-number&gt;494&lt;/rec-number&gt;&lt;foreign-keys&gt;&lt;key app="EN" db-id="s9x0vrrd0sadrtexxek5dszcrr9wxrpatew2" timestamp="1623899263"&gt;494&lt;/key&gt;&lt;/foreign-keys&gt;&lt;ref-type name="Journal Article"&gt;17&lt;/ref-type&gt;&lt;contributors&gt;&lt;authors&gt;&lt;author&gt;Thyer, J.&lt;/author&gt;&lt;author&gt;Perkowska-Guse, Z.&lt;/author&gt;&lt;author&gt;Ismay, S. L.&lt;/author&gt;&lt;author&gt;Keller, A. J.&lt;/author&gt;&lt;author&gt;Chan, H. T.&lt;/author&gt;&lt;author&gt;Dennington, P. M.&lt;/author&gt;&lt;author&gt;Bell, B.&lt;/author&gt;&lt;author&gt;Kotsiou, G.&lt;/author&gt;&lt;author&gt;Pink, J. M.&lt;/author&gt;&lt;/authors&gt;&lt;/contributors&gt;&lt;auth-address&gt;Australian Red Cross Blood Service, Melbourne, Vic, Australia.&lt;/auth-address&gt;&lt;titles&gt;&lt;title&gt;Bacterial testing of platelets - has it prevented transfusion-transmitted bacterial infections in Australia?&lt;/title&gt;&lt;secondary-title&gt;Vox Sang&lt;/secondary-title&gt;&lt;/titles&gt;&lt;periodical&gt;&lt;full-title&gt;Vox Sang&lt;/full-title&gt;&lt;/periodical&gt;&lt;pages&gt;13-20&lt;/pages&gt;&lt;volume&gt;113&lt;/volume&gt;&lt;number&gt;1&lt;/number&gt;&lt;edition&gt;2017/09/28&lt;/edition&gt;&lt;keywords&gt;&lt;keyword&gt;Australia/epidemiology&lt;/keyword&gt;&lt;keyword&gt;Bacterial Infections/epidemiology/*prevention &amp;amp; control/transmission&lt;/keyword&gt;&lt;keyword&gt;Blood Platelets/*microbiology&lt;/keyword&gt;&lt;keyword&gt;Blood Safety&lt;/keyword&gt;&lt;keyword&gt;Culture Techniques&lt;/keyword&gt;&lt;keyword&gt;Humans&lt;/keyword&gt;&lt;keyword&gt;Incidence&lt;/keyword&gt;&lt;keyword&gt;Platelet Transfusion/adverse effects&lt;/keyword&gt;&lt;keyword&gt;bacterial contamination&lt;/keyword&gt;&lt;keyword&gt;blood donation testing&lt;/keyword&gt;&lt;keyword&gt;haemovigilance&lt;/keyword&gt;&lt;keyword&gt;pathogen inactivation&lt;/keyword&gt;&lt;keyword&gt;platelet concentrates&lt;/keyword&gt;&lt;keyword&gt;platelet transfusion&lt;/keyword&gt;&lt;/keywords&gt;&lt;dates&gt;&lt;year&gt;2018&lt;/year&gt;&lt;pub-dates&gt;&lt;date&gt;Jan&lt;/date&gt;&lt;/pub-dates&gt;&lt;/dates&gt;&lt;isbn&gt;1423-0410 (Electronic)&amp;#xD;0042-9007 (Linking)&lt;/isbn&gt;&lt;accession-num&gt;28952159&lt;/accession-num&gt;&lt;urls&gt;&lt;related-urls&gt;&lt;url&gt;https://www.ncbi.nlm.nih.gov/pubmed/28952159&lt;/url&gt;&lt;/related-urls&gt;&lt;/urls&gt;&lt;electronic-resource-num&gt;10.1111/vox.12561&lt;/electronic-resource-num&gt;&lt;/record&gt;&lt;/Cite&gt;&lt;/EndNote&gt;</w:instrText>
      </w:r>
      <w:r w:rsidRPr="00235AC4">
        <w:rPr>
          <w:lang w:val="en-US"/>
        </w:rPr>
        <w:fldChar w:fldCharType="separate"/>
      </w:r>
      <w:r w:rsidRPr="00235AC4">
        <w:rPr>
          <w:noProof/>
          <w:lang w:val="en-US"/>
        </w:rPr>
        <w:t>(</w:t>
      </w:r>
      <w:r w:rsidRPr="002F5394">
        <w:rPr>
          <w:noProof/>
          <w:lang w:val="en-US"/>
        </w:rPr>
        <w:t>Thyer et al. 2018</w:t>
      </w:r>
      <w:r w:rsidRPr="00235AC4">
        <w:rPr>
          <w:noProof/>
          <w:lang w:val="en-US"/>
        </w:rPr>
        <w:t>)</w:t>
      </w:r>
      <w:r w:rsidRPr="00235AC4">
        <w:rPr>
          <w:lang w:val="en-US"/>
        </w:rPr>
        <w:fldChar w:fldCharType="end"/>
      </w:r>
      <w:r w:rsidRPr="00235AC4">
        <w:rPr>
          <w:lang w:val="en-US"/>
        </w:rPr>
        <w:t>. In contrast, low</w:t>
      </w:r>
      <w:r>
        <w:rPr>
          <w:lang w:val="en-US"/>
        </w:rPr>
        <w:t>-</w:t>
      </w:r>
      <w:r w:rsidRPr="00235AC4">
        <w:rPr>
          <w:lang w:val="en-US"/>
        </w:rPr>
        <w:t xml:space="preserve">virulence </w:t>
      </w:r>
      <w:r w:rsidRPr="00235AC4">
        <w:rPr>
          <w:i/>
          <w:iCs/>
          <w:lang w:val="en-US"/>
        </w:rPr>
        <w:t>Propionibacterium</w:t>
      </w:r>
      <w:r w:rsidRPr="00235AC4">
        <w:rPr>
          <w:lang w:val="en-US"/>
        </w:rPr>
        <w:t xml:space="preserve"> species are detected much later</w:t>
      </w:r>
      <w:r>
        <w:rPr>
          <w:lang w:val="en-US"/>
        </w:rPr>
        <w:t>,</w:t>
      </w:r>
      <w:r w:rsidRPr="00235AC4">
        <w:rPr>
          <w:lang w:val="en-US"/>
        </w:rPr>
        <w:t xml:space="preserve"> with an average detection time of 145.8 and 101.8 hours in the aerobic and anerobic bottles, respectively. The long </w:t>
      </w:r>
      <w:r>
        <w:rPr>
          <w:lang w:val="en-US"/>
        </w:rPr>
        <w:t>seven</w:t>
      </w:r>
      <w:r w:rsidRPr="00235AC4">
        <w:rPr>
          <w:lang w:val="en-US"/>
        </w:rPr>
        <w:t xml:space="preserve">-day incubation period may facilitate detection of these organisms. The recent transition to </w:t>
      </w:r>
      <w:r>
        <w:rPr>
          <w:lang w:val="en-US"/>
        </w:rPr>
        <w:t>seven</w:t>
      </w:r>
      <w:r w:rsidRPr="00235AC4">
        <w:rPr>
          <w:lang w:val="en-US"/>
        </w:rPr>
        <w:t>-day shelf-life platelets and larger</w:t>
      </w:r>
      <w:r>
        <w:rPr>
          <w:lang w:val="en-US"/>
        </w:rPr>
        <w:t>-</w:t>
      </w:r>
      <w:r w:rsidRPr="00235AC4">
        <w:rPr>
          <w:lang w:val="en-US"/>
        </w:rPr>
        <w:t xml:space="preserve">volume BCS sampling at 36 hours may further increase the detection of slow growing organisms like </w:t>
      </w:r>
      <w:proofErr w:type="spellStart"/>
      <w:r w:rsidRPr="0030270F">
        <w:rPr>
          <w:i/>
          <w:iCs/>
          <w:lang w:val="en-US"/>
        </w:rPr>
        <w:t>Cutibacterium</w:t>
      </w:r>
      <w:proofErr w:type="spellEnd"/>
      <w:r w:rsidRPr="00235AC4">
        <w:rPr>
          <w:lang w:val="en-US"/>
        </w:rPr>
        <w:t xml:space="preserve"> acnes. </w:t>
      </w:r>
    </w:p>
    <w:p w14:paraId="26834B95" w14:textId="77777777" w:rsidR="002573F2" w:rsidRPr="00235AC4" w:rsidRDefault="002573F2" w:rsidP="002573F2">
      <w:pPr>
        <w:pStyle w:val="DHHSbody"/>
        <w:rPr>
          <w:lang w:val="en-US"/>
        </w:rPr>
      </w:pPr>
      <w:bookmarkStart w:id="1" w:name="_Hlk76466605"/>
      <w:r w:rsidRPr="00235AC4">
        <w:rPr>
          <w:lang w:val="en-US"/>
        </w:rPr>
        <w:t>Where a blood product has been transfused prior to receiving information of potential contamination, the clinical unit caring for the patient should be informed immediately to assess the patient condition and start appropriate treatment if required.</w:t>
      </w:r>
    </w:p>
    <w:bookmarkEnd w:id="1"/>
    <w:p w14:paraId="15F74928" w14:textId="77777777" w:rsidR="002573F2" w:rsidRPr="005B6FC2" w:rsidRDefault="002573F2" w:rsidP="002573F2">
      <w:pPr>
        <w:pStyle w:val="Heading1"/>
      </w:pPr>
      <w:r w:rsidRPr="00235AC4">
        <w:rPr>
          <w:lang w:val="en-US"/>
        </w:rPr>
        <w:t>References</w:t>
      </w:r>
    </w:p>
    <w:p w14:paraId="4ABE3595" w14:textId="77777777" w:rsidR="002573F2" w:rsidRPr="00235AC4" w:rsidRDefault="002573F2" w:rsidP="002573F2">
      <w:pPr>
        <w:pStyle w:val="EndNoteBibliography"/>
        <w:rPr>
          <w:rFonts w:ascii="Arial" w:hAnsi="Arial" w:cs="Arial"/>
          <w:noProof/>
        </w:rPr>
      </w:pPr>
      <w:r w:rsidRPr="00235AC4">
        <w:rPr>
          <w:rFonts w:ascii="Arial" w:hAnsi="Arial" w:cs="Arial"/>
          <w:b/>
          <w:bCs/>
          <w:u w:val="single"/>
        </w:rPr>
        <w:fldChar w:fldCharType="begin"/>
      </w:r>
      <w:r w:rsidRPr="00235AC4">
        <w:rPr>
          <w:rFonts w:ascii="Arial" w:hAnsi="Arial" w:cs="Arial"/>
          <w:b/>
          <w:bCs/>
          <w:u w:val="single"/>
        </w:rPr>
        <w:instrText xml:space="preserve"> ADDIN EN.REFLIST </w:instrText>
      </w:r>
      <w:r w:rsidRPr="00235AC4">
        <w:rPr>
          <w:rFonts w:ascii="Arial" w:hAnsi="Arial" w:cs="Arial"/>
          <w:b/>
          <w:bCs/>
          <w:u w:val="single"/>
        </w:rPr>
        <w:fldChar w:fldCharType="separate"/>
      </w:r>
      <w:r w:rsidRPr="00235AC4">
        <w:rPr>
          <w:rFonts w:ascii="Arial" w:hAnsi="Arial" w:cs="Arial"/>
          <w:noProof/>
        </w:rPr>
        <w:t>Vamvakas EC</w:t>
      </w:r>
      <w:r>
        <w:rPr>
          <w:rFonts w:ascii="Arial" w:hAnsi="Arial" w:cs="Arial"/>
          <w:noProof/>
        </w:rPr>
        <w:t xml:space="preserve"> and</w:t>
      </w:r>
      <w:r w:rsidRPr="00235AC4">
        <w:rPr>
          <w:rFonts w:ascii="Arial" w:hAnsi="Arial" w:cs="Arial"/>
          <w:noProof/>
        </w:rPr>
        <w:t xml:space="preserve"> Blajchman MA</w:t>
      </w:r>
      <w:r>
        <w:rPr>
          <w:rFonts w:ascii="Arial" w:hAnsi="Arial" w:cs="Arial"/>
          <w:noProof/>
        </w:rPr>
        <w:t xml:space="preserve"> 2009,</w:t>
      </w:r>
      <w:r w:rsidRPr="00235AC4">
        <w:rPr>
          <w:rFonts w:ascii="Arial" w:hAnsi="Arial" w:cs="Arial"/>
          <w:noProof/>
        </w:rPr>
        <w:t xml:space="preserve"> </w:t>
      </w:r>
      <w:r>
        <w:rPr>
          <w:rFonts w:ascii="Arial" w:hAnsi="Arial" w:cs="Arial"/>
          <w:noProof/>
        </w:rPr>
        <w:t>'</w:t>
      </w:r>
      <w:r w:rsidRPr="00235AC4">
        <w:rPr>
          <w:rFonts w:ascii="Arial" w:hAnsi="Arial" w:cs="Arial"/>
          <w:noProof/>
        </w:rPr>
        <w:t>Transfusion-related mortality: the ongoing risks of allogeneic blood transfusion and the available strategies for their prevention</w:t>
      </w:r>
      <w:r>
        <w:rPr>
          <w:rFonts w:ascii="Arial" w:hAnsi="Arial" w:cs="Arial"/>
          <w:noProof/>
        </w:rPr>
        <w:t>',</w:t>
      </w:r>
      <w:r w:rsidRPr="00235AC4">
        <w:rPr>
          <w:rFonts w:ascii="Arial" w:hAnsi="Arial" w:cs="Arial"/>
          <w:noProof/>
        </w:rPr>
        <w:t xml:space="preserve"> </w:t>
      </w:r>
      <w:r w:rsidRPr="0030270F">
        <w:rPr>
          <w:rFonts w:ascii="Arial" w:hAnsi="Arial" w:cs="Arial"/>
          <w:i/>
          <w:iCs/>
          <w:noProof/>
        </w:rPr>
        <w:t>Blood</w:t>
      </w:r>
      <w:r>
        <w:rPr>
          <w:rFonts w:ascii="Arial" w:hAnsi="Arial" w:cs="Arial"/>
          <w:noProof/>
        </w:rPr>
        <w:t>,</w:t>
      </w:r>
      <w:r w:rsidRPr="00235AC4">
        <w:rPr>
          <w:rFonts w:ascii="Arial" w:hAnsi="Arial" w:cs="Arial"/>
          <w:noProof/>
        </w:rPr>
        <w:t xml:space="preserve"> </w:t>
      </w:r>
      <w:r>
        <w:rPr>
          <w:rFonts w:ascii="Arial" w:hAnsi="Arial" w:cs="Arial"/>
          <w:noProof/>
        </w:rPr>
        <w:t xml:space="preserve">vol. </w:t>
      </w:r>
      <w:r w:rsidRPr="00235AC4">
        <w:rPr>
          <w:rFonts w:ascii="Arial" w:hAnsi="Arial" w:cs="Arial"/>
          <w:noProof/>
        </w:rPr>
        <w:t>113</w:t>
      </w:r>
      <w:r>
        <w:rPr>
          <w:rFonts w:ascii="Arial" w:hAnsi="Arial" w:cs="Arial"/>
          <w:noProof/>
        </w:rPr>
        <w:t xml:space="preserve">, no. </w:t>
      </w:r>
      <w:r w:rsidRPr="00235AC4">
        <w:rPr>
          <w:rFonts w:ascii="Arial" w:hAnsi="Arial" w:cs="Arial"/>
          <w:noProof/>
        </w:rPr>
        <w:t>15</w:t>
      </w:r>
      <w:r>
        <w:rPr>
          <w:rFonts w:ascii="Arial" w:hAnsi="Arial" w:cs="Arial"/>
          <w:noProof/>
        </w:rPr>
        <w:t xml:space="preserve">, pp. </w:t>
      </w:r>
      <w:r w:rsidRPr="00235AC4">
        <w:rPr>
          <w:rFonts w:ascii="Arial" w:hAnsi="Arial" w:cs="Arial"/>
          <w:noProof/>
        </w:rPr>
        <w:t>3406</w:t>
      </w:r>
      <w:r>
        <w:rPr>
          <w:rFonts w:ascii="Arial" w:hAnsi="Arial" w:cs="Arial"/>
          <w:noProof/>
        </w:rPr>
        <w:t>–</w:t>
      </w:r>
      <w:r w:rsidRPr="00235AC4">
        <w:rPr>
          <w:rFonts w:ascii="Arial" w:hAnsi="Arial" w:cs="Arial"/>
          <w:noProof/>
        </w:rPr>
        <w:t>17.</w:t>
      </w:r>
    </w:p>
    <w:p w14:paraId="7E1A7BDA" w14:textId="77777777" w:rsidR="002573F2" w:rsidRPr="00235AC4" w:rsidRDefault="002573F2" w:rsidP="002573F2">
      <w:pPr>
        <w:pStyle w:val="EndNoteBibliography"/>
        <w:rPr>
          <w:rFonts w:ascii="Arial" w:hAnsi="Arial" w:cs="Arial"/>
          <w:noProof/>
        </w:rPr>
      </w:pPr>
      <w:r w:rsidRPr="00235AC4">
        <w:rPr>
          <w:rFonts w:ascii="Arial" w:hAnsi="Arial" w:cs="Arial"/>
          <w:noProof/>
        </w:rPr>
        <w:t xml:space="preserve">Perez P, Salmi LR, Follea G, Schmit JL, de Barbeyrac B, Sudre P, et al. </w:t>
      </w:r>
      <w:r>
        <w:rPr>
          <w:rFonts w:ascii="Arial" w:hAnsi="Arial" w:cs="Arial"/>
          <w:noProof/>
        </w:rPr>
        <w:t>2001, '</w:t>
      </w:r>
      <w:r w:rsidRPr="00235AC4">
        <w:rPr>
          <w:rFonts w:ascii="Arial" w:hAnsi="Arial" w:cs="Arial"/>
          <w:noProof/>
        </w:rPr>
        <w:t>Determinants of transfusion-associated bacterial contamination: results of the French BACTHEM Case-Control Study</w:t>
      </w:r>
      <w:r>
        <w:rPr>
          <w:rFonts w:ascii="Arial" w:hAnsi="Arial" w:cs="Arial"/>
          <w:noProof/>
        </w:rPr>
        <w:t>',</w:t>
      </w:r>
      <w:r w:rsidRPr="00235AC4">
        <w:rPr>
          <w:rFonts w:ascii="Arial" w:hAnsi="Arial" w:cs="Arial"/>
          <w:noProof/>
        </w:rPr>
        <w:t xml:space="preserve"> </w:t>
      </w:r>
      <w:r w:rsidRPr="0030270F">
        <w:rPr>
          <w:rFonts w:ascii="Arial" w:hAnsi="Arial" w:cs="Arial"/>
          <w:i/>
          <w:iCs/>
          <w:noProof/>
        </w:rPr>
        <w:t>Transfusion</w:t>
      </w:r>
      <w:r>
        <w:rPr>
          <w:rFonts w:ascii="Arial" w:hAnsi="Arial" w:cs="Arial"/>
          <w:noProof/>
        </w:rPr>
        <w:t xml:space="preserve"> vol. </w:t>
      </w:r>
      <w:r w:rsidRPr="00235AC4">
        <w:rPr>
          <w:rFonts w:ascii="Arial" w:hAnsi="Arial" w:cs="Arial"/>
          <w:noProof/>
        </w:rPr>
        <w:t>41</w:t>
      </w:r>
      <w:r>
        <w:rPr>
          <w:rFonts w:ascii="Arial" w:hAnsi="Arial" w:cs="Arial"/>
          <w:noProof/>
        </w:rPr>
        <w:t xml:space="preserve">, no. </w:t>
      </w:r>
      <w:r w:rsidRPr="00235AC4">
        <w:rPr>
          <w:rFonts w:ascii="Arial" w:hAnsi="Arial" w:cs="Arial"/>
          <w:noProof/>
        </w:rPr>
        <w:t>7</w:t>
      </w:r>
      <w:r>
        <w:rPr>
          <w:rFonts w:ascii="Arial" w:hAnsi="Arial" w:cs="Arial"/>
          <w:noProof/>
        </w:rPr>
        <w:t xml:space="preserve">, pp. </w:t>
      </w:r>
      <w:r w:rsidRPr="00235AC4">
        <w:rPr>
          <w:rFonts w:ascii="Arial" w:hAnsi="Arial" w:cs="Arial"/>
          <w:noProof/>
        </w:rPr>
        <w:t>862</w:t>
      </w:r>
      <w:r>
        <w:rPr>
          <w:rFonts w:ascii="Arial" w:hAnsi="Arial" w:cs="Arial"/>
          <w:noProof/>
        </w:rPr>
        <w:t>–</w:t>
      </w:r>
      <w:r w:rsidRPr="00235AC4">
        <w:rPr>
          <w:rFonts w:ascii="Arial" w:hAnsi="Arial" w:cs="Arial"/>
          <w:noProof/>
        </w:rPr>
        <w:t>72.</w:t>
      </w:r>
    </w:p>
    <w:p w14:paraId="590E5B85" w14:textId="77777777" w:rsidR="002573F2" w:rsidRPr="00235AC4" w:rsidRDefault="002573F2" w:rsidP="002573F2">
      <w:pPr>
        <w:pStyle w:val="EndNoteBibliography"/>
        <w:rPr>
          <w:rFonts w:ascii="Arial" w:hAnsi="Arial" w:cs="Arial"/>
          <w:noProof/>
        </w:rPr>
      </w:pPr>
      <w:r w:rsidRPr="00235AC4">
        <w:rPr>
          <w:rFonts w:ascii="Arial" w:hAnsi="Arial" w:cs="Arial"/>
          <w:noProof/>
        </w:rPr>
        <w:t xml:space="preserve">Kuehnert MJ, Roth VR, Haley NR, Gregory KR, Elder KV, Schreiber GB, et al. </w:t>
      </w:r>
      <w:r>
        <w:rPr>
          <w:rFonts w:ascii="Arial" w:hAnsi="Arial" w:cs="Arial"/>
          <w:noProof/>
        </w:rPr>
        <w:t>2001, '</w:t>
      </w:r>
      <w:r w:rsidRPr="00235AC4">
        <w:rPr>
          <w:rFonts w:ascii="Arial" w:hAnsi="Arial" w:cs="Arial"/>
          <w:noProof/>
        </w:rPr>
        <w:t>Transfusion-transmitted bacterial infection in the United States, 1998 through 2000</w:t>
      </w:r>
      <w:r>
        <w:rPr>
          <w:rFonts w:ascii="Arial" w:hAnsi="Arial" w:cs="Arial"/>
          <w:noProof/>
        </w:rPr>
        <w:t xml:space="preserve">', </w:t>
      </w:r>
      <w:r w:rsidRPr="0030270F">
        <w:rPr>
          <w:rFonts w:ascii="Arial" w:hAnsi="Arial" w:cs="Arial"/>
          <w:i/>
          <w:iCs/>
          <w:noProof/>
        </w:rPr>
        <w:t>Transfusion</w:t>
      </w:r>
      <w:r>
        <w:rPr>
          <w:rFonts w:ascii="Arial" w:hAnsi="Arial" w:cs="Arial"/>
          <w:noProof/>
        </w:rPr>
        <w:t xml:space="preserve">, vol. </w:t>
      </w:r>
      <w:r w:rsidRPr="00235AC4">
        <w:rPr>
          <w:rFonts w:ascii="Arial" w:hAnsi="Arial" w:cs="Arial"/>
          <w:noProof/>
        </w:rPr>
        <w:t>41</w:t>
      </w:r>
      <w:r>
        <w:rPr>
          <w:rFonts w:ascii="Arial" w:hAnsi="Arial" w:cs="Arial"/>
          <w:noProof/>
        </w:rPr>
        <w:t xml:space="preserve">, no. </w:t>
      </w:r>
      <w:r w:rsidRPr="00235AC4">
        <w:rPr>
          <w:rFonts w:ascii="Arial" w:hAnsi="Arial" w:cs="Arial"/>
          <w:noProof/>
        </w:rPr>
        <w:t>12</w:t>
      </w:r>
      <w:r>
        <w:rPr>
          <w:rFonts w:ascii="Arial" w:hAnsi="Arial" w:cs="Arial"/>
          <w:noProof/>
        </w:rPr>
        <w:t xml:space="preserve"> pp. </w:t>
      </w:r>
      <w:r w:rsidRPr="00235AC4">
        <w:rPr>
          <w:rFonts w:ascii="Arial" w:hAnsi="Arial" w:cs="Arial"/>
          <w:noProof/>
        </w:rPr>
        <w:t>1493</w:t>
      </w:r>
      <w:r>
        <w:rPr>
          <w:rFonts w:ascii="Arial" w:hAnsi="Arial" w:cs="Arial"/>
          <w:noProof/>
        </w:rPr>
        <w:t>–9</w:t>
      </w:r>
      <w:r w:rsidRPr="00235AC4">
        <w:rPr>
          <w:rFonts w:ascii="Arial" w:hAnsi="Arial" w:cs="Arial"/>
          <w:noProof/>
        </w:rPr>
        <w:t>9.</w:t>
      </w:r>
    </w:p>
    <w:p w14:paraId="16D9EAF0" w14:textId="77777777" w:rsidR="002573F2" w:rsidRPr="00235AC4" w:rsidRDefault="002573F2" w:rsidP="002573F2">
      <w:pPr>
        <w:pStyle w:val="EndNoteBibliography"/>
        <w:rPr>
          <w:rFonts w:ascii="Arial" w:hAnsi="Arial" w:cs="Arial"/>
          <w:noProof/>
        </w:rPr>
      </w:pPr>
      <w:r w:rsidRPr="00235AC4">
        <w:rPr>
          <w:rFonts w:ascii="Arial" w:hAnsi="Arial" w:cs="Arial"/>
          <w:noProof/>
        </w:rPr>
        <w:t xml:space="preserve">Thyer J, Perkowska-Guse Z, Ismay SL, Keller AJ, Chan HT, Dennington PM, et al. </w:t>
      </w:r>
      <w:r>
        <w:rPr>
          <w:rFonts w:ascii="Arial" w:hAnsi="Arial" w:cs="Arial"/>
          <w:noProof/>
        </w:rPr>
        <w:t>2019, '</w:t>
      </w:r>
      <w:r w:rsidRPr="00235AC4">
        <w:rPr>
          <w:rFonts w:ascii="Arial" w:hAnsi="Arial" w:cs="Arial"/>
          <w:noProof/>
        </w:rPr>
        <w:t>Bacterial testing of platelets - has it prevented transfusion-transmitted bacterial infections in Australia?</w:t>
      </w:r>
      <w:r>
        <w:rPr>
          <w:rFonts w:ascii="Arial" w:hAnsi="Arial" w:cs="Arial"/>
          <w:noProof/>
        </w:rPr>
        <w:t>'</w:t>
      </w:r>
      <w:r w:rsidRPr="00235AC4">
        <w:rPr>
          <w:rFonts w:ascii="Arial" w:hAnsi="Arial" w:cs="Arial"/>
          <w:noProof/>
        </w:rPr>
        <w:t xml:space="preserve"> </w:t>
      </w:r>
      <w:r w:rsidRPr="0030270F">
        <w:rPr>
          <w:rFonts w:ascii="Arial" w:hAnsi="Arial" w:cs="Arial"/>
          <w:i/>
          <w:iCs/>
          <w:noProof/>
        </w:rPr>
        <w:t>Vox Sang</w:t>
      </w:r>
      <w:r w:rsidRPr="00235AC4">
        <w:rPr>
          <w:rFonts w:ascii="Arial" w:hAnsi="Arial" w:cs="Arial"/>
          <w:noProof/>
        </w:rPr>
        <w:t>.</w:t>
      </w:r>
      <w:r>
        <w:rPr>
          <w:rFonts w:ascii="Arial" w:hAnsi="Arial" w:cs="Arial"/>
          <w:noProof/>
        </w:rPr>
        <w:t>,</w:t>
      </w:r>
      <w:r w:rsidRPr="00235AC4">
        <w:rPr>
          <w:rFonts w:ascii="Arial" w:hAnsi="Arial" w:cs="Arial"/>
          <w:noProof/>
        </w:rPr>
        <w:t xml:space="preserve"> </w:t>
      </w:r>
      <w:r>
        <w:rPr>
          <w:rFonts w:ascii="Arial" w:hAnsi="Arial" w:cs="Arial"/>
          <w:noProof/>
        </w:rPr>
        <w:t xml:space="preserve"> vol. </w:t>
      </w:r>
      <w:r w:rsidRPr="00235AC4">
        <w:rPr>
          <w:rFonts w:ascii="Arial" w:hAnsi="Arial" w:cs="Arial"/>
          <w:noProof/>
        </w:rPr>
        <w:t>113</w:t>
      </w:r>
      <w:r>
        <w:rPr>
          <w:rFonts w:ascii="Arial" w:hAnsi="Arial" w:cs="Arial"/>
          <w:noProof/>
        </w:rPr>
        <w:t xml:space="preserve"> no. </w:t>
      </w:r>
      <w:r w:rsidRPr="00235AC4">
        <w:rPr>
          <w:rFonts w:ascii="Arial" w:hAnsi="Arial" w:cs="Arial"/>
          <w:noProof/>
        </w:rPr>
        <w:t>1</w:t>
      </w:r>
      <w:r>
        <w:rPr>
          <w:rFonts w:ascii="Arial" w:hAnsi="Arial" w:cs="Arial"/>
          <w:noProof/>
        </w:rPr>
        <w:t xml:space="preserve">, pp. </w:t>
      </w:r>
      <w:r w:rsidRPr="00235AC4">
        <w:rPr>
          <w:rFonts w:ascii="Arial" w:hAnsi="Arial" w:cs="Arial"/>
          <w:noProof/>
        </w:rPr>
        <w:t>13-20.</w:t>
      </w:r>
    </w:p>
    <w:p w14:paraId="4116C910" w14:textId="77777777" w:rsidR="002573F2" w:rsidRDefault="002573F2" w:rsidP="002573F2">
      <w:pPr>
        <w:spacing w:line="360" w:lineRule="auto"/>
        <w:rPr>
          <w:rFonts w:cs="Arial"/>
          <w:b/>
          <w:bCs/>
          <w:u w:val="single"/>
          <w:lang w:val="en-US"/>
        </w:rPr>
      </w:pPr>
      <w:r w:rsidRPr="00235AC4">
        <w:rPr>
          <w:rFonts w:cs="Arial"/>
          <w:b/>
          <w:bCs/>
          <w:u w:val="single"/>
          <w:lang w:val="en-US"/>
        </w:rPr>
        <w:fldChar w:fldCharType="end"/>
      </w:r>
    </w:p>
    <w:p w14:paraId="222C366B" w14:textId="77777777" w:rsidR="002573F2" w:rsidRDefault="002573F2">
      <w:pPr>
        <w:spacing w:after="0" w:line="240" w:lineRule="auto"/>
        <w:rPr>
          <w:rFonts w:cs="Arial"/>
          <w:b/>
          <w:bCs/>
          <w:u w:val="single"/>
          <w:lang w:val="en-US"/>
        </w:rPr>
      </w:pPr>
      <w:r>
        <w:rPr>
          <w:rFonts w:cs="Arial"/>
          <w:b/>
          <w:bCs/>
          <w:u w:val="single"/>
          <w:lang w:val="en-US"/>
        </w:rPr>
        <w:br w:type="page"/>
      </w:r>
    </w:p>
    <w:p w14:paraId="153064EA" w14:textId="77777777" w:rsidR="002573F2" w:rsidRDefault="002573F2" w:rsidP="002573F2">
      <w:pPr>
        <w:spacing w:line="360" w:lineRule="auto"/>
        <w:rPr>
          <w:rFonts w:cs="Arial"/>
          <w:b/>
          <w:bCs/>
          <w:u w:val="single"/>
          <w:lang w:val="en-US"/>
        </w:rPr>
      </w:pPr>
    </w:p>
    <w:tbl>
      <w:tblPr>
        <w:tblStyle w:val="TableGrid"/>
        <w:tblW w:w="0" w:type="auto"/>
        <w:tblLook w:val="04A0" w:firstRow="1" w:lastRow="0" w:firstColumn="1" w:lastColumn="0" w:noHBand="0" w:noVBand="1"/>
      </w:tblPr>
      <w:tblGrid>
        <w:gridCol w:w="9010"/>
      </w:tblGrid>
      <w:tr w:rsidR="002573F2" w14:paraId="3BD6A324" w14:textId="77777777" w:rsidTr="0098117A">
        <w:tc>
          <w:tcPr>
            <w:tcW w:w="9010" w:type="dxa"/>
          </w:tcPr>
          <w:p w14:paraId="7C9C27C4" w14:textId="77777777" w:rsidR="002573F2" w:rsidRPr="00235AC4" w:rsidRDefault="002573F2" w:rsidP="0098117A">
            <w:pPr>
              <w:pStyle w:val="DHHSbody"/>
              <w:rPr>
                <w:sz w:val="24"/>
              </w:rPr>
            </w:pPr>
            <w:r w:rsidRPr="00235AC4">
              <w:rPr>
                <w:sz w:val="24"/>
              </w:rPr>
              <w:t>Authorised and published by the Victorian Government, 1 Treasury Place, Melbourne.</w:t>
            </w:r>
          </w:p>
          <w:p w14:paraId="0DAE8457" w14:textId="77777777" w:rsidR="002573F2" w:rsidRPr="00235AC4" w:rsidRDefault="002573F2" w:rsidP="0098117A">
            <w:pPr>
              <w:pStyle w:val="DHHSbody"/>
              <w:rPr>
                <w:sz w:val="24"/>
              </w:rPr>
            </w:pPr>
            <w:r w:rsidRPr="00235AC4">
              <w:rPr>
                <w:sz w:val="24"/>
              </w:rPr>
              <w:t>© State of Victoria, Australia, Department of Health and Human Services</w:t>
            </w:r>
            <w:r w:rsidRPr="00235AC4">
              <w:rPr>
                <w:color w:val="008950"/>
                <w:sz w:val="24"/>
              </w:rPr>
              <w:t xml:space="preserve"> </w:t>
            </w:r>
            <w:r>
              <w:rPr>
                <w:sz w:val="24"/>
              </w:rPr>
              <w:t>August</w:t>
            </w:r>
            <w:r w:rsidRPr="00235AC4">
              <w:rPr>
                <w:sz w:val="24"/>
              </w:rPr>
              <w:t xml:space="preserve"> 2021</w:t>
            </w:r>
            <w:r w:rsidRPr="00235AC4">
              <w:rPr>
                <w:color w:val="000000"/>
                <w:sz w:val="24"/>
              </w:rPr>
              <w:t>.</w:t>
            </w:r>
          </w:p>
          <w:p w14:paraId="7B17B413" w14:textId="77777777" w:rsidR="002573F2" w:rsidRDefault="002573F2" w:rsidP="0098117A">
            <w:pPr>
              <w:spacing w:after="200" w:line="300" w:lineRule="atLeast"/>
              <w:rPr>
                <w:rFonts w:cs="Arial"/>
                <w:color w:val="007B4B"/>
              </w:rPr>
            </w:pPr>
            <w:r>
              <w:rPr>
                <w:rFonts w:cs="Arial"/>
              </w:rPr>
              <w:t xml:space="preserve">To receive this publication in an accessible format </w:t>
            </w:r>
            <w:r w:rsidRPr="007B60BD">
              <w:rPr>
                <w:rFonts w:cs="Arial"/>
              </w:rPr>
              <w:t xml:space="preserve">phone 03 9694 0102, </w:t>
            </w:r>
            <w:r>
              <w:rPr>
                <w:rFonts w:cs="Arial"/>
              </w:rPr>
              <w:t xml:space="preserve">using the National Relay Service 13 36 77 if required, or email Blood Matters </w:t>
            </w:r>
            <w:hyperlink r:id="rId18" w:history="1">
              <w:r w:rsidRPr="00235AC4">
                <w:rPr>
                  <w:rStyle w:val="Hyperlink"/>
                  <w:rFonts w:cs="Arial"/>
                </w:rPr>
                <w:t>bloodmatters@redcrossblood.org.au</w:t>
              </w:r>
            </w:hyperlink>
          </w:p>
          <w:p w14:paraId="57643F20" w14:textId="77777777" w:rsidR="002573F2" w:rsidRDefault="002573F2" w:rsidP="0098117A">
            <w:pPr>
              <w:pStyle w:val="Body"/>
              <w:rPr>
                <w:b/>
                <w:bCs/>
                <w:u w:val="single"/>
                <w:lang w:val="en-US"/>
              </w:rPr>
            </w:pPr>
            <w:r w:rsidRPr="00A23B40">
              <w:t xml:space="preserve">ISSN </w:t>
            </w:r>
            <w:r w:rsidRPr="00252D68">
              <w:t>2652-6212</w:t>
            </w:r>
            <w:r w:rsidRPr="00A23B40">
              <w:t xml:space="preserve"> – Online (pdf / word).</w:t>
            </w:r>
          </w:p>
        </w:tc>
      </w:tr>
    </w:tbl>
    <w:p w14:paraId="343D60DD" w14:textId="77777777" w:rsidR="00162CA9" w:rsidRDefault="00162CA9" w:rsidP="002573F2">
      <w:pPr>
        <w:pStyle w:val="TOCheadingfactsheet"/>
      </w:pPr>
    </w:p>
    <w:sectPr w:rsidR="00162CA9" w:rsidSect="002573F2">
      <w:footerReference w:type="default" r:id="rId19"/>
      <w:type w:val="continuous"/>
      <w:pgSz w:w="11906" w:h="16838" w:code="9"/>
      <w:pgMar w:top="1135"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42F2" w14:textId="77777777" w:rsidR="007A3E91" w:rsidRDefault="007A3E91">
      <w:r>
        <w:separator/>
      </w:r>
    </w:p>
  </w:endnote>
  <w:endnote w:type="continuationSeparator" w:id="0">
    <w:p w14:paraId="36C7FDC6" w14:textId="77777777" w:rsidR="007A3E91" w:rsidRDefault="007A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D625" w14:textId="77777777" w:rsidR="00D5792F" w:rsidRDefault="00D57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EF6F"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699B86A2" wp14:editId="0E88E22D">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4598C59" wp14:editId="6A6A0E6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F7D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598C5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3CF7D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7F4F"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1B801C8" wp14:editId="0B290025">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B41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B801C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36FB41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7FD6" w14:textId="79503A91" w:rsidR="00373890" w:rsidRPr="00F65AA9" w:rsidRDefault="00D5792F" w:rsidP="00F84FA0">
    <w:pPr>
      <w:pStyle w:val="Footer"/>
    </w:pPr>
    <w:r>
      <w:rPr>
        <w:noProof/>
      </w:rPr>
      <mc:AlternateContent>
        <mc:Choice Requires="wps">
          <w:drawing>
            <wp:anchor distT="0" distB="0" distL="114300" distR="114300" simplePos="0" relativeHeight="251677184" behindDoc="0" locked="0" layoutInCell="0" allowOverlap="1" wp14:anchorId="15E3D1C0" wp14:editId="3D00C849">
              <wp:simplePos x="0" y="0"/>
              <wp:positionH relativeFrom="page">
                <wp:posOffset>0</wp:posOffset>
              </wp:positionH>
              <wp:positionV relativeFrom="page">
                <wp:posOffset>10189210</wp:posOffset>
              </wp:positionV>
              <wp:extent cx="7560310" cy="311785"/>
              <wp:effectExtent l="0" t="0" r="0" b="12065"/>
              <wp:wrapNone/>
              <wp:docPr id="1" name="MSIPCM7ca047fa970b392d961343d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3612C" w14:textId="4D4C39D2" w:rsidR="00D5792F" w:rsidRPr="00D5792F" w:rsidRDefault="00D5792F" w:rsidP="00D5792F">
                          <w:pPr>
                            <w:spacing w:after="0"/>
                            <w:jc w:val="center"/>
                            <w:rPr>
                              <w:rFonts w:ascii="Arial Black" w:hAnsi="Arial Black"/>
                              <w:color w:val="000000"/>
                              <w:sz w:val="20"/>
                            </w:rPr>
                          </w:pPr>
                          <w:r w:rsidRPr="00D579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3D1C0" id="_x0000_t202" coordsize="21600,21600" o:spt="202" path="m,l,21600r21600,l21600,xe">
              <v:stroke joinstyle="miter"/>
              <v:path gradientshapeok="t" o:connecttype="rect"/>
            </v:shapetype>
            <v:shape id="MSIPCM7ca047fa970b392d961343d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mN+mC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7B83612C" w14:textId="4D4C39D2" w:rsidR="00D5792F" w:rsidRPr="00D5792F" w:rsidRDefault="00D5792F" w:rsidP="00D5792F">
                    <w:pPr>
                      <w:spacing w:after="0"/>
                      <w:jc w:val="center"/>
                      <w:rPr>
                        <w:rFonts w:ascii="Arial Black" w:hAnsi="Arial Black"/>
                        <w:color w:val="000000"/>
                        <w:sz w:val="20"/>
                      </w:rPr>
                    </w:pPr>
                    <w:r w:rsidRPr="00D5792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3EF73E8C" wp14:editId="2E2746A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F7F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EF73E8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8DF7F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1836" w14:textId="77777777" w:rsidR="007A3E91" w:rsidRDefault="007A3E91" w:rsidP="002862F1">
      <w:pPr>
        <w:spacing w:before="120"/>
      </w:pPr>
      <w:r>
        <w:separator/>
      </w:r>
    </w:p>
  </w:footnote>
  <w:footnote w:type="continuationSeparator" w:id="0">
    <w:p w14:paraId="35554301" w14:textId="77777777" w:rsidR="007A3E91" w:rsidRDefault="007A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5E7B" w14:textId="77777777" w:rsidR="00D5792F" w:rsidRDefault="00D57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E06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1DF4" w14:textId="77777777" w:rsidR="00D5792F" w:rsidRDefault="00D5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91"/>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635B"/>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4D7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67C"/>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73F2"/>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A3E91"/>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230"/>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728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409D"/>
    <w:rsid w:val="00D56B20"/>
    <w:rsid w:val="00D578B3"/>
    <w:rsid w:val="00D5792F"/>
    <w:rsid w:val="00D618F4"/>
    <w:rsid w:val="00D6261F"/>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A709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44536A"/>
  <w15:docId w15:val="{879C93A0-D92B-4122-80E9-E53E520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573F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EndNoteBibliography">
    <w:name w:val="EndNote Bibliography"/>
    <w:basedOn w:val="Normal"/>
    <w:link w:val="EndNoteBibliographyChar"/>
    <w:rsid w:val="002573F2"/>
    <w:rPr>
      <w:rFonts w:ascii="Calibri" w:hAnsi="Calibri" w:cs="Calibri"/>
      <w:lang w:val="en-US"/>
    </w:rPr>
  </w:style>
  <w:style w:type="character" w:customStyle="1" w:styleId="EndNoteBibliographyChar">
    <w:name w:val="EndNote Bibliography Char"/>
    <w:basedOn w:val="DefaultParagraphFont"/>
    <w:link w:val="EndNoteBibliography"/>
    <w:rsid w:val="002573F2"/>
    <w:rPr>
      <w:rFonts w:ascii="Calibri" w:hAnsi="Calibri" w:cs="Calibri"/>
      <w:sz w:val="21"/>
      <w:lang w:val="en-US" w:eastAsia="en-US"/>
    </w:rPr>
  </w:style>
  <w:style w:type="paragraph" w:customStyle="1" w:styleId="DHHSbody">
    <w:name w:val="DHHS body"/>
    <w:qFormat/>
    <w:rsid w:val="002573F2"/>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loodmatters@redcrossblood.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_front%20page%20logo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565C5-8EA7-4548-BBC1-331C9934F807}">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Blood Matters DH red factsheet_front page logos only.dotx</Template>
  <TotalTime>2</TotalTime>
  <Pages>4</Pages>
  <Words>1348</Words>
  <Characters>23780</Characters>
  <Application>Microsoft Office Word</Application>
  <DocSecurity>0</DocSecurity>
  <Lines>198</Lines>
  <Paragraphs>50</Paragraphs>
  <ScaleCrop>false</ScaleCrop>
  <HeadingPairs>
    <vt:vector size="2" baseType="variant">
      <vt:variant>
        <vt:lpstr>Title</vt:lpstr>
      </vt:variant>
      <vt:variant>
        <vt:i4>1</vt:i4>
      </vt:variant>
    </vt:vector>
  </HeadingPairs>
  <TitlesOfParts>
    <vt:vector size="1" baseType="lpstr">
      <vt:lpstr>Transfusion-transmitted bacterial infection and current mitigation strategies in Australia</vt:lpstr>
    </vt:vector>
  </TitlesOfParts>
  <Manager/>
  <Company>Victoria State Government, Department of Health, Blood Matters</Company>
  <LinksUpToDate>false</LinksUpToDate>
  <CharactersWithSpaces>25078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Transfusion-transmitted bacterial infection and current mitigation strategies in Australia</dc:title>
  <dc:subject>Transfusion-transmitted bacterial infection and current mitigation strategies in Australia</dc:subject>
  <dc:creator>Blood Matters (VIC)</dc:creator>
  <cp:keywords/>
  <dc:description/>
  <cp:revision>3</cp:revision>
  <cp:lastPrinted>2020-03-30T03:28:00Z</cp:lastPrinted>
  <dcterms:created xsi:type="dcterms:W3CDTF">2021-08-24T04:41:00Z</dcterms:created>
  <dcterms:modified xsi:type="dcterms:W3CDTF">2021-08-24T04:42:00Z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2021-08-24T04:42:04Z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