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6C5D" w14:textId="77777777" w:rsidR="0074696E" w:rsidRPr="004C6EEE" w:rsidRDefault="007E5B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1B9B6199" wp14:editId="32FBDE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D2D31" w14:textId="77777777" w:rsidR="00A62D44" w:rsidRPr="004C6EEE" w:rsidRDefault="00A62D44" w:rsidP="004C6EEE">
      <w:pPr>
        <w:pStyle w:val="Sectionbreakfirstpage"/>
        <w:sectPr w:rsidR="00A62D44" w:rsidRPr="004C6EEE" w:rsidSect="004014CF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5"/>
      </w:tblGrid>
      <w:tr w:rsidR="00AD784C" w14:paraId="74B25DA3" w14:textId="77777777" w:rsidTr="006F2372">
        <w:trPr>
          <w:trHeight w:val="1247"/>
        </w:trPr>
        <w:tc>
          <w:tcPr>
            <w:tcW w:w="8505" w:type="dxa"/>
            <w:shd w:val="clear" w:color="auto" w:fill="auto"/>
            <w:vAlign w:val="bottom"/>
          </w:tcPr>
          <w:p w14:paraId="19EB5897" w14:textId="232D3410" w:rsidR="00AD784C" w:rsidRPr="00161AA0" w:rsidRDefault="006F2372" w:rsidP="00EC7EB0">
            <w:pPr>
              <w:pStyle w:val="DHHSmainheading"/>
            </w:pPr>
            <w:r>
              <w:t xml:space="preserve">Skin penetration </w:t>
            </w:r>
            <w:r w:rsidR="00EC5804">
              <w:t>procedures</w:t>
            </w:r>
          </w:p>
        </w:tc>
      </w:tr>
      <w:tr w:rsidR="00AD784C" w14:paraId="3621C96E" w14:textId="77777777" w:rsidTr="00881E39">
        <w:trPr>
          <w:trHeight w:hRule="exact" w:val="909"/>
        </w:trPr>
        <w:tc>
          <w:tcPr>
            <w:tcW w:w="8505" w:type="dxa"/>
            <w:shd w:val="clear" w:color="auto" w:fill="auto"/>
            <w:tcMar>
              <w:top w:w="170" w:type="dxa"/>
              <w:bottom w:w="510" w:type="dxa"/>
            </w:tcMar>
          </w:tcPr>
          <w:p w14:paraId="79BF2CAC" w14:textId="473628CF" w:rsidR="00A1206D" w:rsidRPr="00AD784C" w:rsidRDefault="007C6CCE" w:rsidP="003C609C">
            <w:pPr>
              <w:pStyle w:val="DHHSmainsubheading"/>
              <w:spacing w:after="120"/>
              <w:rPr>
                <w:szCs w:val="28"/>
              </w:rPr>
            </w:pPr>
            <w:r>
              <w:rPr>
                <w:szCs w:val="28"/>
              </w:rPr>
              <w:t>Client information</w:t>
            </w:r>
            <w:r w:rsidR="00881E39">
              <w:rPr>
                <w:szCs w:val="28"/>
              </w:rPr>
              <w:t xml:space="preserve"> for ear piercing, body piercing and other skin penetration processes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87189D"/>
          <w:left w:val="single" w:sz="12" w:space="0" w:color="87189D"/>
          <w:bottom w:val="single" w:sz="12" w:space="0" w:color="87189D"/>
          <w:right w:val="single" w:sz="12" w:space="0" w:color="87189D"/>
          <w:insideH w:val="single" w:sz="12" w:space="0" w:color="87189D"/>
          <w:insideV w:val="single" w:sz="12" w:space="0" w:color="87189D"/>
        </w:tblBorders>
        <w:tblLook w:val="04A0" w:firstRow="1" w:lastRow="0" w:firstColumn="1" w:lastColumn="0" w:noHBand="0" w:noVBand="1"/>
      </w:tblPr>
      <w:tblGrid>
        <w:gridCol w:w="10066"/>
      </w:tblGrid>
      <w:tr w:rsidR="004014CF" w14:paraId="566FDC51" w14:textId="77777777" w:rsidTr="004014CF">
        <w:tc>
          <w:tcPr>
            <w:tcW w:w="10312" w:type="dxa"/>
          </w:tcPr>
          <w:p w14:paraId="4939600B" w14:textId="77777777" w:rsidR="004014CF" w:rsidRDefault="004014CF" w:rsidP="004014CF">
            <w:pPr>
              <w:pStyle w:val="Heading2"/>
              <w:spacing w:before="60" w:line="240" w:lineRule="auto"/>
            </w:pPr>
            <w:r>
              <w:t>Key a</w:t>
            </w:r>
            <w:r w:rsidRPr="004014CF">
              <w:t>dv</w:t>
            </w:r>
            <w:r>
              <w:t>ice</w:t>
            </w:r>
          </w:p>
          <w:p w14:paraId="39267318" w14:textId="49394808" w:rsidR="004014CF" w:rsidRDefault="004014CF" w:rsidP="004014CF">
            <w:pPr>
              <w:pStyle w:val="DHHSbullet1"/>
            </w:pPr>
            <w:r>
              <w:t xml:space="preserve">Choose an experienced </w:t>
            </w:r>
            <w:r w:rsidR="006F2372">
              <w:t>practitioner</w:t>
            </w:r>
            <w:r>
              <w:t xml:space="preserve"> whose premises</w:t>
            </w:r>
            <w:r w:rsidR="00A96E71">
              <w:t xml:space="preserve"> (shop)</w:t>
            </w:r>
            <w:r>
              <w:t xml:space="preserve"> is registered with their local council.</w:t>
            </w:r>
          </w:p>
          <w:p w14:paraId="131A252E" w14:textId="77777777" w:rsidR="004014CF" w:rsidRDefault="004014CF" w:rsidP="004014CF">
            <w:pPr>
              <w:pStyle w:val="DHHSbullet1"/>
            </w:pPr>
            <w:r>
              <w:t>Only sterilised needles, instruments and equipment should be used.</w:t>
            </w:r>
          </w:p>
          <w:p w14:paraId="6D1117CC" w14:textId="24A4BC3E" w:rsidR="004014CF" w:rsidRDefault="004014CF" w:rsidP="004014CF">
            <w:pPr>
              <w:pStyle w:val="DHHSbullet1"/>
            </w:pPr>
            <w:r>
              <w:t xml:space="preserve">Care for your piercing </w:t>
            </w:r>
            <w:r w:rsidR="00552BBA">
              <w:t xml:space="preserve">or wound </w:t>
            </w:r>
            <w:r>
              <w:t xml:space="preserve">while the </w:t>
            </w:r>
            <w:r w:rsidR="004A791F">
              <w:t>area</w:t>
            </w:r>
            <w:r>
              <w:t xml:space="preserve"> heals. </w:t>
            </w:r>
            <w:r w:rsidR="00552BBA">
              <w:t xml:space="preserve">Only handle the area </w:t>
            </w:r>
            <w:r w:rsidR="00D56926">
              <w:t xml:space="preserve">when necessary and always wash your hands before doing so. </w:t>
            </w:r>
            <w:r>
              <w:t xml:space="preserve">Keep the </w:t>
            </w:r>
            <w:r w:rsidR="004A791F">
              <w:t>area</w:t>
            </w:r>
            <w:r>
              <w:t xml:space="preserve"> clean</w:t>
            </w:r>
            <w:r w:rsidR="00552BBA">
              <w:t xml:space="preserve">, </w:t>
            </w:r>
            <w:r w:rsidR="00A96E71">
              <w:t>dry</w:t>
            </w:r>
            <w:r w:rsidR="00552BBA">
              <w:t xml:space="preserve"> and protected</w:t>
            </w:r>
            <w:r w:rsidR="006F2372">
              <w:t>.</w:t>
            </w:r>
          </w:p>
          <w:p w14:paraId="43CACEE4" w14:textId="77777777" w:rsidR="004014CF" w:rsidRDefault="004014CF" w:rsidP="008E4AD8">
            <w:pPr>
              <w:pStyle w:val="DHHSbullet1lastline"/>
            </w:pPr>
            <w:r>
              <w:t xml:space="preserve">If you experience pain, swelling, </w:t>
            </w:r>
            <w:r w:rsidR="008E4AD8">
              <w:t>redness</w:t>
            </w:r>
            <w:r>
              <w:t xml:space="preserve"> or discharge seek medical advice immediately.</w:t>
            </w:r>
          </w:p>
        </w:tc>
      </w:tr>
    </w:tbl>
    <w:p w14:paraId="3EB995BB" w14:textId="77777777" w:rsidR="007173CA" w:rsidRDefault="007173CA" w:rsidP="007173CA">
      <w:pPr>
        <w:pStyle w:val="DHHSbody"/>
        <w:sectPr w:rsidR="007173CA" w:rsidSect="004014C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48E3D90B" w14:textId="26EFB23C" w:rsidR="0068535F" w:rsidRDefault="00EC5804" w:rsidP="00EC5804">
      <w:pPr>
        <w:pStyle w:val="DHHSbody"/>
      </w:pPr>
      <w:r>
        <w:t>Any activity where the skin is pierced or penetrated is classified as skin penetration.</w:t>
      </w:r>
      <w:r w:rsidRPr="006F2372">
        <w:t xml:space="preserve"> </w:t>
      </w:r>
      <w:r w:rsidR="006F2372" w:rsidRPr="006F2372">
        <w:t xml:space="preserve">In the past </w:t>
      </w:r>
      <w:r>
        <w:t xml:space="preserve">these </w:t>
      </w:r>
      <w:r w:rsidR="006F2372">
        <w:t>procedures were</w:t>
      </w:r>
      <w:r w:rsidR="00EC7EB0">
        <w:t xml:space="preserve"> mostly limited to ear, </w:t>
      </w:r>
      <w:r w:rsidR="006F2372">
        <w:t xml:space="preserve">body </w:t>
      </w:r>
      <w:r w:rsidR="00EC7EB0">
        <w:t xml:space="preserve">or oral </w:t>
      </w:r>
      <w:r w:rsidR="006F2372">
        <w:t>piercings</w:t>
      </w:r>
      <w:r w:rsidR="006F2372" w:rsidRPr="006F2372">
        <w:t xml:space="preserve">, but </w:t>
      </w:r>
      <w:r w:rsidR="00EC7EB0">
        <w:t xml:space="preserve">more recent practices include </w:t>
      </w:r>
      <w:r w:rsidR="0053505D">
        <w:t>activities</w:t>
      </w:r>
      <w:r w:rsidR="00EC7EB0">
        <w:t xml:space="preserve"> such as</w:t>
      </w:r>
      <w:r w:rsidR="0053505D">
        <w:t xml:space="preserve"> </w:t>
      </w:r>
      <w:r w:rsidR="00EC7EB0">
        <w:t>beading</w:t>
      </w:r>
      <w:r w:rsidR="0053505D">
        <w:t xml:space="preserve">, </w:t>
      </w:r>
      <w:r w:rsidR="00EC7EB0">
        <w:t xml:space="preserve">branding </w:t>
      </w:r>
      <w:r w:rsidR="0053505D">
        <w:t xml:space="preserve">and </w:t>
      </w:r>
      <w:r w:rsidR="00EC7EB0">
        <w:t>scarification</w:t>
      </w:r>
      <w:r w:rsidR="00881E39">
        <w:t>.</w:t>
      </w:r>
      <w:r>
        <w:t xml:space="preserve"> It also includes, but is not limited to, practices such</w:t>
      </w:r>
      <w:r w:rsidR="0068535F">
        <w:t xml:space="preserve"> as dry needling, wet cupping</w:t>
      </w:r>
      <w:r w:rsidR="0053505D">
        <w:t>, feathering</w:t>
      </w:r>
      <w:r w:rsidR="0068535F">
        <w:t xml:space="preserve"> and micro</w:t>
      </w:r>
      <w:r w:rsidR="0053505D">
        <w:t>-</w:t>
      </w:r>
      <w:r w:rsidR="0068535F">
        <w:t>needling.</w:t>
      </w:r>
    </w:p>
    <w:p w14:paraId="70B1FD66" w14:textId="36831F32" w:rsidR="00D56926" w:rsidRPr="00D56926" w:rsidRDefault="00D56926" w:rsidP="00D56926">
      <w:pPr>
        <w:spacing w:after="120" w:line="270" w:lineRule="atLeast"/>
        <w:rPr>
          <w:rFonts w:ascii="Arial" w:hAnsi="Arial"/>
        </w:rPr>
      </w:pPr>
      <w:r w:rsidRPr="00D56926">
        <w:rPr>
          <w:rFonts w:ascii="Arial" w:hAnsi="Arial"/>
        </w:rPr>
        <w:t xml:space="preserve">If you are thinking about having </w:t>
      </w:r>
      <w:r>
        <w:rPr>
          <w:rFonts w:ascii="Arial" w:hAnsi="Arial"/>
        </w:rPr>
        <w:t>a</w:t>
      </w:r>
      <w:r w:rsidRPr="00D56926">
        <w:rPr>
          <w:rFonts w:ascii="Arial" w:hAnsi="Arial"/>
        </w:rPr>
        <w:t xml:space="preserve"> </w:t>
      </w:r>
      <w:r w:rsidR="00EC7EB0">
        <w:rPr>
          <w:rFonts w:ascii="Arial" w:hAnsi="Arial"/>
        </w:rPr>
        <w:t>skin penetration</w:t>
      </w:r>
      <w:r w:rsidRPr="00D56926">
        <w:rPr>
          <w:rFonts w:ascii="Arial" w:hAnsi="Arial"/>
        </w:rPr>
        <w:t xml:space="preserve"> </w:t>
      </w:r>
      <w:r w:rsidR="00EC7EB0">
        <w:rPr>
          <w:rFonts w:ascii="Arial" w:hAnsi="Arial"/>
        </w:rPr>
        <w:t xml:space="preserve">procedure </w:t>
      </w:r>
      <w:r w:rsidRPr="00D56926">
        <w:rPr>
          <w:rFonts w:ascii="Arial" w:hAnsi="Arial"/>
        </w:rPr>
        <w:t>you should read this fact sheet to find out about the law, the ri</w:t>
      </w:r>
      <w:r w:rsidR="00EC7EB0">
        <w:rPr>
          <w:rFonts w:ascii="Arial" w:hAnsi="Arial"/>
        </w:rPr>
        <w:t>sks, and aftercare</w:t>
      </w:r>
      <w:r w:rsidRPr="00D56926">
        <w:rPr>
          <w:rFonts w:ascii="Arial" w:hAnsi="Arial"/>
        </w:rPr>
        <w:t>.</w:t>
      </w:r>
    </w:p>
    <w:p w14:paraId="7753236B" w14:textId="77777777" w:rsidR="0025591C" w:rsidRDefault="0025591C" w:rsidP="001232A3">
      <w:pPr>
        <w:pStyle w:val="Heading2"/>
      </w:pPr>
      <w:r w:rsidRPr="000A1884">
        <w:t xml:space="preserve">The law in </w:t>
      </w:r>
      <w:r w:rsidR="0087200A">
        <w:t>Victoria</w:t>
      </w:r>
    </w:p>
    <w:p w14:paraId="7F5F38A7" w14:textId="77777777" w:rsidR="00D862ED" w:rsidRDefault="0025591C" w:rsidP="0025591C">
      <w:pPr>
        <w:pStyle w:val="DHHSbody"/>
      </w:pPr>
      <w:r w:rsidRPr="000A1884">
        <w:t xml:space="preserve">Laws relating to </w:t>
      </w:r>
      <w:r w:rsidR="00552BBA">
        <w:t xml:space="preserve">skin penetration and </w:t>
      </w:r>
      <w:r w:rsidRPr="000A1884">
        <w:t>body piercing are different in each state or territory. I</w:t>
      </w:r>
      <w:r w:rsidR="00552BBA">
        <w:t xml:space="preserve">n Victoria it is illegal for any person </w:t>
      </w:r>
      <w:r>
        <w:t xml:space="preserve">to perform </w:t>
      </w:r>
      <w:r w:rsidR="00CF48A3">
        <w:t>scarification, tongue splitting, branding or beading on any person under the age of 18 years</w:t>
      </w:r>
      <w:r w:rsidR="006D7088">
        <w:t>.</w:t>
      </w:r>
    </w:p>
    <w:p w14:paraId="4B82B954" w14:textId="468F37DF" w:rsidR="0025591C" w:rsidRPr="000A1884" w:rsidRDefault="006D7088" w:rsidP="0025591C">
      <w:pPr>
        <w:pStyle w:val="DHHSbody"/>
      </w:pPr>
      <w:r>
        <w:t>It is also illegal</w:t>
      </w:r>
      <w:r w:rsidR="00CF48A3">
        <w:t xml:space="preserve"> for a body piercer to perform an intimate </w:t>
      </w:r>
      <w:r>
        <w:t xml:space="preserve">body </w:t>
      </w:r>
      <w:r w:rsidR="00CF48A3">
        <w:t>piercing on a person under the age of 18 years</w:t>
      </w:r>
      <w:r w:rsidR="0025591C">
        <w:t xml:space="preserve">, </w:t>
      </w:r>
      <w:r w:rsidR="0025591C" w:rsidRPr="000A1884">
        <w:t xml:space="preserve">whether or not consent has been given. </w:t>
      </w:r>
      <w:r w:rsidR="0025591C">
        <w:t xml:space="preserve">Intimate </w:t>
      </w:r>
      <w:r>
        <w:t xml:space="preserve">body </w:t>
      </w:r>
      <w:r w:rsidR="0025591C">
        <w:t>piercing</w:t>
      </w:r>
      <w:r w:rsidR="0025591C" w:rsidRPr="000A1884">
        <w:t xml:space="preserve"> includes piercing of </w:t>
      </w:r>
      <w:r w:rsidR="0025591C">
        <w:t>your genitals</w:t>
      </w:r>
      <w:r w:rsidR="0025591C" w:rsidRPr="000A1884">
        <w:t>, an</w:t>
      </w:r>
      <w:r w:rsidR="0025591C">
        <w:t>al region, perin</w:t>
      </w:r>
      <w:r w:rsidR="0025591C" w:rsidRPr="002F5E08">
        <w:t>eum</w:t>
      </w:r>
      <w:r w:rsidR="00B753FB" w:rsidRPr="002F5E08">
        <w:t xml:space="preserve"> (between anus and genitals)</w:t>
      </w:r>
      <w:r w:rsidR="0025591C" w:rsidRPr="002F5E08">
        <w:t xml:space="preserve"> or nipples.</w:t>
      </w:r>
    </w:p>
    <w:p w14:paraId="710CB649" w14:textId="7D4D899E" w:rsidR="0025591C" w:rsidRPr="000A1884" w:rsidRDefault="0025591C" w:rsidP="00920EA4">
      <w:pPr>
        <w:pStyle w:val="DHHSbody"/>
        <w:spacing w:after="40"/>
      </w:pPr>
      <w:r w:rsidRPr="000A1884">
        <w:t>In Victoria, it is also illegal for a</w:t>
      </w:r>
      <w:r w:rsidR="00EC7EB0">
        <w:t xml:space="preserve"> </w:t>
      </w:r>
      <w:r w:rsidRPr="000A1884">
        <w:t xml:space="preserve">body piercer to perform </w:t>
      </w:r>
      <w:r>
        <w:t xml:space="preserve">any </w:t>
      </w:r>
      <w:r w:rsidRPr="000A1884">
        <w:t xml:space="preserve">body piercing </w:t>
      </w:r>
      <w:r>
        <w:t>on you if you are under</w:t>
      </w:r>
      <w:r w:rsidRPr="000A1884">
        <w:t xml:space="preserve"> 16 years of age, without obtaining written consent from:</w:t>
      </w:r>
    </w:p>
    <w:p w14:paraId="0FBA0882" w14:textId="77777777" w:rsidR="0025591C" w:rsidRPr="000A1884" w:rsidRDefault="0025591C" w:rsidP="0025591C">
      <w:pPr>
        <w:pStyle w:val="DHHSbullet1"/>
      </w:pPr>
      <w:r>
        <w:t xml:space="preserve">your parent or guardian, </w:t>
      </w:r>
      <w:r w:rsidRPr="00CE1890">
        <w:rPr>
          <w:b/>
        </w:rPr>
        <w:t>and</w:t>
      </w:r>
    </w:p>
    <w:p w14:paraId="6EE50B9C" w14:textId="77777777" w:rsidR="0025591C" w:rsidRPr="000A1884" w:rsidRDefault="0025591C" w:rsidP="0025591C">
      <w:pPr>
        <w:pStyle w:val="DHHSbullet1lastline"/>
      </w:pPr>
      <w:r>
        <w:t xml:space="preserve">yourself, if you are </w:t>
      </w:r>
      <w:r w:rsidRPr="000A1884">
        <w:t>over 10 years of age and have the capacity to conse</w:t>
      </w:r>
      <w:r>
        <w:t>nt.</w:t>
      </w:r>
    </w:p>
    <w:p w14:paraId="63FB5C33" w14:textId="77777777" w:rsidR="0025591C" w:rsidRDefault="002C1113" w:rsidP="00881E39">
      <w:pPr>
        <w:pStyle w:val="Heading2"/>
        <w:spacing w:before="0"/>
      </w:pPr>
      <w:r>
        <w:t xml:space="preserve">Go to a </w:t>
      </w:r>
      <w:proofErr w:type="gramStart"/>
      <w:r>
        <w:t>registered premises</w:t>
      </w:r>
      <w:proofErr w:type="gramEnd"/>
    </w:p>
    <w:p w14:paraId="3D0D0C89" w14:textId="68C86BB4" w:rsidR="0025591C" w:rsidRPr="000A1884" w:rsidRDefault="00CF48A3" w:rsidP="00881E39">
      <w:pPr>
        <w:pStyle w:val="DHHSbody"/>
        <w:spacing w:after="40" w:line="260" w:lineRule="atLeast"/>
      </w:pPr>
      <w:r>
        <w:t>Skin penetration</w:t>
      </w:r>
      <w:r w:rsidR="006E0D43" w:rsidRPr="006E0D43">
        <w:t xml:space="preserve"> businesses must be registered with their local council</w:t>
      </w:r>
      <w:r w:rsidR="002F5E08">
        <w:rPr>
          <w:rStyle w:val="FootnoteReference"/>
        </w:rPr>
        <w:footnoteReference w:id="1"/>
      </w:r>
      <w:r w:rsidR="006E0D43" w:rsidRPr="006E0D43">
        <w:t xml:space="preserve">. </w:t>
      </w:r>
      <w:r w:rsidR="0025591C" w:rsidRPr="000A1884">
        <w:t xml:space="preserve">A certificate of registration should be available </w:t>
      </w:r>
      <w:r w:rsidR="00D56926">
        <w:t>for you to see.</w:t>
      </w:r>
      <w:r w:rsidR="006E0D43">
        <w:t xml:space="preserve"> </w:t>
      </w:r>
      <w:r w:rsidR="0025591C" w:rsidRPr="000A1884">
        <w:t xml:space="preserve">To comply with health </w:t>
      </w:r>
      <w:r w:rsidR="0025591C">
        <w:t>legislation</w:t>
      </w:r>
      <w:r w:rsidR="0025591C" w:rsidRPr="000A1884">
        <w:t>:</w:t>
      </w:r>
    </w:p>
    <w:p w14:paraId="38A6AED9" w14:textId="77777777" w:rsidR="0025591C" w:rsidRPr="000A1884" w:rsidRDefault="002D5232" w:rsidP="00881E39">
      <w:pPr>
        <w:pStyle w:val="DHHSbullet1"/>
        <w:spacing w:line="260" w:lineRule="atLeast"/>
      </w:pPr>
      <w:r>
        <w:t>t</w:t>
      </w:r>
      <w:r w:rsidR="0025591C" w:rsidRPr="000A1884">
        <w:t xml:space="preserve">he </w:t>
      </w:r>
      <w:r w:rsidR="002C1113">
        <w:t>premises</w:t>
      </w:r>
      <w:r w:rsidR="0025591C" w:rsidRPr="000A1884">
        <w:t xml:space="preserve"> </w:t>
      </w:r>
      <w:r w:rsidR="0087200A">
        <w:t>must be kept clean and hygienic</w:t>
      </w:r>
    </w:p>
    <w:p w14:paraId="6D8E94D2" w14:textId="77777777" w:rsidR="0025591C" w:rsidRPr="000A1884" w:rsidRDefault="002D5232" w:rsidP="00881E39">
      <w:pPr>
        <w:pStyle w:val="DHHSbullet1"/>
        <w:spacing w:line="260" w:lineRule="atLeast"/>
      </w:pPr>
      <w:r>
        <w:t>i</w:t>
      </w:r>
      <w:r w:rsidR="0025591C" w:rsidRPr="000A1884">
        <w:t>nstruments, needles and jewellery mus</w:t>
      </w:r>
      <w:r>
        <w:t>t be sterile at the time of use; t</w:t>
      </w:r>
      <w:r w:rsidR="0025591C">
        <w:t xml:space="preserve">he </w:t>
      </w:r>
      <w:r w:rsidR="00A96E71">
        <w:t>piercer</w:t>
      </w:r>
      <w:r w:rsidR="00A96E71" w:rsidRPr="000A1884">
        <w:t xml:space="preserve"> </w:t>
      </w:r>
      <w:r w:rsidR="00477FC3">
        <w:t xml:space="preserve">should be able to explain </w:t>
      </w:r>
      <w:r>
        <w:t>how they have been sterilised</w:t>
      </w:r>
    </w:p>
    <w:p w14:paraId="11F01BE7" w14:textId="1CCAA331" w:rsidR="0025591C" w:rsidRDefault="002D5232" w:rsidP="00881E39">
      <w:pPr>
        <w:pStyle w:val="DHHSbullet1"/>
        <w:spacing w:line="260" w:lineRule="atLeast"/>
      </w:pPr>
      <w:r>
        <w:t>t</w:t>
      </w:r>
      <w:r w:rsidR="0025591C" w:rsidRPr="000A1884">
        <w:t xml:space="preserve">he </w:t>
      </w:r>
      <w:r w:rsidR="00294252">
        <w:t>practitioner</w:t>
      </w:r>
      <w:r w:rsidR="0025591C" w:rsidRPr="000A1884">
        <w:t xml:space="preserve"> should not have exposed cuts or wounds </w:t>
      </w:r>
      <w:r>
        <w:t>and their clothes must be clean</w:t>
      </w:r>
    </w:p>
    <w:p w14:paraId="436B17B4" w14:textId="77777777" w:rsidR="0025591C" w:rsidRPr="000A1884" w:rsidRDefault="00A96E71" w:rsidP="00881E39">
      <w:pPr>
        <w:pStyle w:val="DHHSbullet1"/>
        <w:spacing w:line="260" w:lineRule="atLeast"/>
      </w:pPr>
      <w:r>
        <w:t>t</w:t>
      </w:r>
      <w:r w:rsidRPr="005A525B">
        <w:t xml:space="preserve">he </w:t>
      </w:r>
      <w:r w:rsidR="002C1113">
        <w:t>premises</w:t>
      </w:r>
      <w:r w:rsidRPr="005A525B">
        <w:t xml:space="preserve"> must have </w:t>
      </w:r>
      <w:r>
        <w:t xml:space="preserve">accessible </w:t>
      </w:r>
      <w:r w:rsidRPr="005A525B">
        <w:t>handwashing facilities</w:t>
      </w:r>
    </w:p>
    <w:p w14:paraId="732A16DF" w14:textId="5C254774" w:rsidR="00294252" w:rsidRDefault="002D5232" w:rsidP="00881E39">
      <w:pPr>
        <w:pStyle w:val="DHHSbullet1"/>
        <w:spacing w:line="260" w:lineRule="atLeast"/>
      </w:pPr>
      <w:r>
        <w:t>t</w:t>
      </w:r>
      <w:r w:rsidR="0025591C" w:rsidRPr="000A1884">
        <w:t xml:space="preserve">he </w:t>
      </w:r>
      <w:r w:rsidR="00294252">
        <w:t xml:space="preserve">proprietor of the premises </w:t>
      </w:r>
      <w:r w:rsidR="0025591C" w:rsidRPr="000A1884">
        <w:t>must provide you with health information before any procedure is done</w:t>
      </w:r>
    </w:p>
    <w:p w14:paraId="7E79235D" w14:textId="3BCD29E0" w:rsidR="0025591C" w:rsidRDefault="00294252" w:rsidP="00881E39">
      <w:pPr>
        <w:pStyle w:val="DHHSbullet1lastline"/>
        <w:spacing w:line="260" w:lineRule="atLeast"/>
      </w:pPr>
      <w:r>
        <w:t>the proprietor of the premises must keep a record of your name, address and telephone number for a period of 12 months after the skin penetration procedure.</w:t>
      </w:r>
    </w:p>
    <w:p w14:paraId="084E91DD" w14:textId="77777777" w:rsidR="00D56926" w:rsidRPr="006E0D43" w:rsidRDefault="00D56926" w:rsidP="00881E39">
      <w:pPr>
        <w:pStyle w:val="Heading2"/>
        <w:spacing w:line="260" w:lineRule="atLeast"/>
      </w:pPr>
      <w:r w:rsidRPr="006E0D43">
        <w:t>Risks</w:t>
      </w:r>
    </w:p>
    <w:p w14:paraId="493E6E20" w14:textId="7B21F0E0" w:rsidR="00B753FB" w:rsidRDefault="00A4792D" w:rsidP="00881E39">
      <w:pPr>
        <w:pStyle w:val="DHHSbody"/>
        <w:spacing w:beforeLines="20" w:before="48" w:line="260" w:lineRule="atLeast"/>
      </w:pPr>
      <w:r w:rsidRPr="000A1884">
        <w:t xml:space="preserve">Poor hygiene and lack of care during or after the </w:t>
      </w:r>
      <w:r w:rsidR="00EC5804">
        <w:t>skin penetration procedure</w:t>
      </w:r>
      <w:r w:rsidRPr="000A1884">
        <w:t xml:space="preserve"> can lead to infection, allergic reactions, nerve damage or </w:t>
      </w:r>
      <w:r w:rsidR="00EC5804">
        <w:t xml:space="preserve">transmission of </w:t>
      </w:r>
      <w:r w:rsidR="004E6D57">
        <w:t>s</w:t>
      </w:r>
      <w:r w:rsidR="004E6D57" w:rsidRPr="000A1884">
        <w:t xml:space="preserve">erious </w:t>
      </w:r>
      <w:r w:rsidR="004E6D57">
        <w:t>infectious diseases</w:t>
      </w:r>
      <w:r>
        <w:t>.</w:t>
      </w:r>
    </w:p>
    <w:p w14:paraId="7B13AD38" w14:textId="77777777" w:rsidR="00D56926" w:rsidRPr="000A1884" w:rsidRDefault="00D56926" w:rsidP="00881E39">
      <w:pPr>
        <w:pStyle w:val="DHHSbody"/>
        <w:spacing w:beforeLines="20" w:before="48" w:after="40" w:line="260" w:lineRule="atLeast"/>
      </w:pPr>
      <w:r w:rsidRPr="002F5E08">
        <w:t xml:space="preserve">Complications </w:t>
      </w:r>
      <w:r w:rsidR="00B753FB" w:rsidRPr="002F5E08">
        <w:t>from any procedure</w:t>
      </w:r>
      <w:r w:rsidR="00B753FB">
        <w:t xml:space="preserve"> </w:t>
      </w:r>
      <w:r w:rsidRPr="000A1884">
        <w:t>may include:</w:t>
      </w:r>
    </w:p>
    <w:p w14:paraId="3CE93741" w14:textId="77777777" w:rsidR="00D56926" w:rsidRDefault="00D56926" w:rsidP="00F7468D">
      <w:pPr>
        <w:pStyle w:val="DHHSbullet1"/>
        <w:spacing w:beforeLines="20" w:before="48" w:after="2" w:line="260" w:lineRule="atLeast"/>
        <w:contextualSpacing/>
        <w:rPr>
          <w:color w:val="000000"/>
        </w:rPr>
      </w:pPr>
      <w:r>
        <w:t>infection or an abscess at the site of the piercing</w:t>
      </w:r>
    </w:p>
    <w:p w14:paraId="59F98078" w14:textId="299CB6E5" w:rsidR="00D56926" w:rsidRPr="000A1884" w:rsidRDefault="00D56926" w:rsidP="00F7468D">
      <w:pPr>
        <w:pStyle w:val="DHHSbullet1"/>
        <w:spacing w:beforeLines="20" w:before="48" w:after="2" w:line="260" w:lineRule="atLeast"/>
        <w:contextualSpacing/>
        <w:rPr>
          <w:color w:val="000000"/>
        </w:rPr>
      </w:pPr>
      <w:r>
        <w:rPr>
          <w:color w:val="000000"/>
        </w:rPr>
        <w:t>b</w:t>
      </w:r>
      <w:r w:rsidRPr="000A1884">
        <w:rPr>
          <w:color w:val="000000"/>
        </w:rPr>
        <w:t>lood</w:t>
      </w:r>
      <w:r>
        <w:rPr>
          <w:color w:val="000000"/>
        </w:rPr>
        <w:t>stream</w:t>
      </w:r>
      <w:r w:rsidRPr="000A1884">
        <w:rPr>
          <w:color w:val="000000"/>
        </w:rPr>
        <w:t xml:space="preserve"> </w:t>
      </w:r>
      <w:r>
        <w:rPr>
          <w:color w:val="000000"/>
        </w:rPr>
        <w:t>infection</w:t>
      </w:r>
      <w:r w:rsidRPr="000A1884">
        <w:rPr>
          <w:color w:val="000000"/>
        </w:rPr>
        <w:t xml:space="preserve">, if </w:t>
      </w:r>
      <w:r>
        <w:rPr>
          <w:color w:val="000000"/>
        </w:rPr>
        <w:t xml:space="preserve">an </w:t>
      </w:r>
      <w:r w:rsidRPr="000A1884">
        <w:rPr>
          <w:color w:val="000000"/>
        </w:rPr>
        <w:t xml:space="preserve">infection </w:t>
      </w:r>
      <w:r w:rsidR="006C0D2F">
        <w:rPr>
          <w:color w:val="000000"/>
        </w:rPr>
        <w:t xml:space="preserve">of a </w:t>
      </w:r>
      <w:r w:rsidR="00EC5804">
        <w:rPr>
          <w:color w:val="000000"/>
        </w:rPr>
        <w:t>wound/</w:t>
      </w:r>
      <w:r w:rsidR="006C0D2F">
        <w:rPr>
          <w:color w:val="000000"/>
        </w:rPr>
        <w:t xml:space="preserve">piercing </w:t>
      </w:r>
      <w:r w:rsidRPr="000A1884">
        <w:rPr>
          <w:color w:val="000000"/>
        </w:rPr>
        <w:t>isn’t treated early</w:t>
      </w:r>
    </w:p>
    <w:p w14:paraId="53C25CDA" w14:textId="61F2434B" w:rsidR="00D56926" w:rsidRPr="000A1884" w:rsidRDefault="00D56926" w:rsidP="00F7468D">
      <w:pPr>
        <w:pStyle w:val="DHHSbullet1"/>
        <w:spacing w:beforeLines="20" w:before="48" w:after="2" w:line="260" w:lineRule="atLeast"/>
        <w:contextualSpacing/>
        <w:rPr>
          <w:color w:val="000000"/>
        </w:rPr>
      </w:pPr>
      <w:r>
        <w:rPr>
          <w:color w:val="000000"/>
        </w:rPr>
        <w:lastRenderedPageBreak/>
        <w:t>p</w:t>
      </w:r>
      <w:r w:rsidRPr="000A1884">
        <w:rPr>
          <w:color w:val="000000"/>
        </w:rPr>
        <w:t>roblems with healing or scarring</w:t>
      </w:r>
      <w:r w:rsidR="008E4AD8">
        <w:rPr>
          <w:color w:val="000000"/>
        </w:rPr>
        <w:t xml:space="preserve"> (for example,</w:t>
      </w:r>
      <w:r w:rsidR="006C0D2F">
        <w:rPr>
          <w:color w:val="000000"/>
        </w:rPr>
        <w:t xml:space="preserve"> keloid </w:t>
      </w:r>
      <w:r w:rsidR="009C4C96">
        <w:rPr>
          <w:color w:val="000000"/>
        </w:rPr>
        <w:t>scarring)</w:t>
      </w:r>
    </w:p>
    <w:p w14:paraId="6270E831" w14:textId="77777777" w:rsidR="00D56926" w:rsidRPr="000A1884" w:rsidRDefault="00D56926" w:rsidP="00F7468D">
      <w:pPr>
        <w:pStyle w:val="DHHSbullet1"/>
        <w:spacing w:beforeLines="20" w:before="48" w:after="2" w:line="260" w:lineRule="atLeast"/>
        <w:contextualSpacing/>
        <w:rPr>
          <w:color w:val="000000"/>
        </w:rPr>
      </w:pPr>
      <w:r>
        <w:rPr>
          <w:color w:val="000000"/>
        </w:rPr>
        <w:t>e</w:t>
      </w:r>
      <w:r w:rsidRPr="000A1884">
        <w:rPr>
          <w:color w:val="000000"/>
        </w:rPr>
        <w:t>xcessive bleeding</w:t>
      </w:r>
      <w:r w:rsidRPr="00843975">
        <w:rPr>
          <w:bCs/>
          <w:color w:val="000000"/>
        </w:rPr>
        <w:t xml:space="preserve"> </w:t>
      </w:r>
      <w:r w:rsidRPr="000A1884">
        <w:rPr>
          <w:color w:val="000000"/>
        </w:rPr>
        <w:t>– this re</w:t>
      </w:r>
      <w:r>
        <w:rPr>
          <w:color w:val="000000"/>
        </w:rPr>
        <w:t>quires prompt medical attention</w:t>
      </w:r>
    </w:p>
    <w:p w14:paraId="20888734" w14:textId="5F8B893F" w:rsidR="00D56926" w:rsidRPr="000A1884" w:rsidRDefault="00D56926" w:rsidP="00F7468D">
      <w:pPr>
        <w:pStyle w:val="DHHSbullet1"/>
        <w:spacing w:beforeLines="20" w:before="48" w:after="2" w:line="260" w:lineRule="atLeast"/>
        <w:contextualSpacing/>
        <w:rPr>
          <w:color w:val="000000"/>
        </w:rPr>
      </w:pPr>
      <w:r>
        <w:rPr>
          <w:color w:val="000000"/>
        </w:rPr>
        <w:t>r</w:t>
      </w:r>
      <w:r w:rsidRPr="000A1884">
        <w:rPr>
          <w:color w:val="000000"/>
        </w:rPr>
        <w:t xml:space="preserve">ejection and migration </w:t>
      </w:r>
      <w:r>
        <w:rPr>
          <w:color w:val="000000"/>
        </w:rPr>
        <w:t>– t</w:t>
      </w:r>
      <w:r w:rsidRPr="000A1884">
        <w:rPr>
          <w:color w:val="000000"/>
        </w:rPr>
        <w:t xml:space="preserve">his is more likely if </w:t>
      </w:r>
      <w:r w:rsidR="006C0D2F">
        <w:rPr>
          <w:color w:val="000000"/>
        </w:rPr>
        <w:t>a</w:t>
      </w:r>
      <w:r w:rsidRPr="000A1884">
        <w:rPr>
          <w:color w:val="000000"/>
        </w:rPr>
        <w:t xml:space="preserve"> piercing is not in the right place or the jewellery is </w:t>
      </w:r>
      <w:r>
        <w:rPr>
          <w:color w:val="000000"/>
        </w:rPr>
        <w:t xml:space="preserve">made from </w:t>
      </w:r>
      <w:r w:rsidRPr="000A1884">
        <w:rPr>
          <w:color w:val="000000"/>
        </w:rPr>
        <w:t xml:space="preserve">the wrong metal or </w:t>
      </w:r>
      <w:r w:rsidR="00A6591D">
        <w:rPr>
          <w:color w:val="000000"/>
        </w:rPr>
        <w:t>is the wrong size</w:t>
      </w:r>
    </w:p>
    <w:p w14:paraId="30B7A2D8" w14:textId="77777777" w:rsidR="00D56926" w:rsidRPr="000A1884" w:rsidRDefault="004E6D57" w:rsidP="00F7468D">
      <w:pPr>
        <w:pStyle w:val="DHHSbullet1lastline"/>
        <w:spacing w:beforeLines="20" w:before="48" w:after="2" w:line="260" w:lineRule="atLeast"/>
        <w:contextualSpacing/>
      </w:pPr>
      <w:r>
        <w:t>blood-borne</w:t>
      </w:r>
      <w:r w:rsidR="00D56926">
        <w:t xml:space="preserve"> diseases</w:t>
      </w:r>
      <w:r w:rsidR="00D56926" w:rsidRPr="000A1884">
        <w:t xml:space="preserve"> such as hepatitis B</w:t>
      </w:r>
      <w:r w:rsidR="002C20DD">
        <w:t>, hepatitis</w:t>
      </w:r>
      <w:r w:rsidR="007873EE">
        <w:t> </w:t>
      </w:r>
      <w:r w:rsidR="00D56926" w:rsidRPr="000A1884">
        <w:t>C or HIV</w:t>
      </w:r>
      <w:r>
        <w:t xml:space="preserve"> from non-sterilised equipment</w:t>
      </w:r>
      <w:r w:rsidR="00D56926" w:rsidRPr="000A1884">
        <w:t>.</w:t>
      </w:r>
    </w:p>
    <w:p w14:paraId="0FEF00DA" w14:textId="470E3426" w:rsidR="00D56926" w:rsidRDefault="00D56926" w:rsidP="00881E39">
      <w:pPr>
        <w:pStyle w:val="DHHSbody"/>
        <w:spacing w:beforeLines="20" w:before="48" w:line="260" w:lineRule="atLeast"/>
      </w:pPr>
      <w:r w:rsidRPr="00D56926">
        <w:t>Signs of infection include pain, redness</w:t>
      </w:r>
      <w:r w:rsidR="00E33CDB">
        <w:t>, swelling</w:t>
      </w:r>
      <w:r w:rsidRPr="00D56926">
        <w:t xml:space="preserve"> and thick discharge </w:t>
      </w:r>
      <w:r w:rsidR="00E33CDB">
        <w:t xml:space="preserve">(yellow or green) </w:t>
      </w:r>
      <w:r w:rsidRPr="00D56926">
        <w:t xml:space="preserve">from the piercing site. </w:t>
      </w:r>
      <w:r w:rsidRPr="00D56926">
        <w:rPr>
          <w:b/>
        </w:rPr>
        <w:t xml:space="preserve">See your doctor immediately if you have </w:t>
      </w:r>
      <w:r w:rsidR="008E4AD8">
        <w:rPr>
          <w:b/>
        </w:rPr>
        <w:t xml:space="preserve">any </w:t>
      </w:r>
      <w:r w:rsidR="00B753FB">
        <w:rPr>
          <w:b/>
        </w:rPr>
        <w:t xml:space="preserve">of </w:t>
      </w:r>
      <w:r w:rsidRPr="00D56926">
        <w:rPr>
          <w:b/>
        </w:rPr>
        <w:t>these signs.</w:t>
      </w:r>
      <w:r w:rsidRPr="00D56926">
        <w:t xml:space="preserve"> Do not remove </w:t>
      </w:r>
      <w:r w:rsidR="006C0D2F">
        <w:t xml:space="preserve">the </w:t>
      </w:r>
      <w:r w:rsidRPr="00D56926">
        <w:t xml:space="preserve">jewellery until you seek </w:t>
      </w:r>
      <w:r>
        <w:t xml:space="preserve">further </w:t>
      </w:r>
      <w:r w:rsidRPr="00D56926">
        <w:t>advice.</w:t>
      </w:r>
    </w:p>
    <w:p w14:paraId="5F007081" w14:textId="7ED664BB" w:rsidR="00D56926" w:rsidRPr="00D56926" w:rsidRDefault="00D56926" w:rsidP="00F7468D">
      <w:pPr>
        <w:pStyle w:val="DHHSbody"/>
        <w:spacing w:beforeLines="20" w:before="48" w:after="2" w:line="260" w:lineRule="atLeast"/>
        <w:contextualSpacing/>
      </w:pPr>
      <w:r w:rsidRPr="00D56926">
        <w:t xml:space="preserve">Some complications can happen with </w:t>
      </w:r>
      <w:proofErr w:type="gramStart"/>
      <w:r w:rsidRPr="00D56926">
        <w:t>particular piercing</w:t>
      </w:r>
      <w:proofErr w:type="gramEnd"/>
      <w:r w:rsidRPr="00D56926">
        <w:t xml:space="preserve"> sites</w:t>
      </w:r>
      <w:r w:rsidR="00086F28">
        <w:t xml:space="preserve"> or procedures</w:t>
      </w:r>
      <w:r w:rsidRPr="00D56926">
        <w:t>. These can include:</w:t>
      </w:r>
    </w:p>
    <w:p w14:paraId="2A0C39EF" w14:textId="32241D45" w:rsidR="00086F28" w:rsidRDefault="00C01541" w:rsidP="00F7468D">
      <w:pPr>
        <w:pStyle w:val="DHHSbullet1"/>
        <w:spacing w:beforeLines="20" w:before="48" w:after="2" w:line="260" w:lineRule="atLeast"/>
        <w:contextualSpacing/>
      </w:pPr>
      <w:r>
        <w:rPr>
          <w:b/>
          <w:bCs/>
        </w:rPr>
        <w:t>Oral</w:t>
      </w:r>
      <w:r w:rsidR="00D56926" w:rsidRPr="00D56926">
        <w:rPr>
          <w:b/>
          <w:bCs/>
        </w:rPr>
        <w:t>/facial piercing</w:t>
      </w:r>
    </w:p>
    <w:p w14:paraId="25BECDC5" w14:textId="3DA0F267" w:rsidR="00C01541" w:rsidRPr="00FD56AA" w:rsidRDefault="00C01541" w:rsidP="00F7468D">
      <w:pPr>
        <w:pStyle w:val="DHHSbullet2"/>
        <w:spacing w:beforeLines="20" w:before="48" w:after="2" w:line="260" w:lineRule="atLeast"/>
        <w:contextualSpacing/>
      </w:pPr>
      <w:r>
        <w:t>A</w:t>
      </w:r>
      <w:r w:rsidRPr="00086F28">
        <w:t>spiration (choking)</w:t>
      </w:r>
      <w:r w:rsidRPr="00FD56AA">
        <w:t xml:space="preserve"> is a risk if the ball unscrews from the bar bell and rolls down your throat into your windpipe. The ball can lodge in your lungs. </w:t>
      </w:r>
      <w:r w:rsidRPr="005868D8">
        <w:rPr>
          <w:b/>
        </w:rPr>
        <w:t>This is a medical emergency: Call an ambulance on 000.</w:t>
      </w:r>
    </w:p>
    <w:p w14:paraId="2EE8DF61" w14:textId="5DD4FA0C" w:rsidR="00D56926" w:rsidRDefault="00C01541" w:rsidP="00F7468D">
      <w:pPr>
        <w:pStyle w:val="DHHSbullet2"/>
        <w:spacing w:beforeLines="20" w:before="48" w:after="2" w:line="260" w:lineRule="atLeast"/>
        <w:contextualSpacing/>
      </w:pPr>
      <w:r>
        <w:t>D</w:t>
      </w:r>
      <w:r w:rsidR="00D56926" w:rsidRPr="00D56926">
        <w:t xml:space="preserve">ifficulty speaking or chewing, mouth irritation or </w:t>
      </w:r>
      <w:r w:rsidR="00086F28">
        <w:t>damage</w:t>
      </w:r>
      <w:r w:rsidR="00D56926" w:rsidRPr="00D56926">
        <w:t xml:space="preserve"> to teeth and gums, nerve damage, difficulty breathing due to swelling caused by an infection.</w:t>
      </w:r>
    </w:p>
    <w:p w14:paraId="36CE4FE6" w14:textId="77777777" w:rsidR="00D56926" w:rsidRPr="00D56926" w:rsidRDefault="00D56926" w:rsidP="00F7468D">
      <w:pPr>
        <w:pStyle w:val="DHHSbullet1"/>
        <w:spacing w:beforeLines="20" w:before="48" w:after="2" w:line="260" w:lineRule="atLeast"/>
        <w:contextualSpacing/>
      </w:pPr>
      <w:r w:rsidRPr="00D56926">
        <w:rPr>
          <w:b/>
          <w:bCs/>
        </w:rPr>
        <w:t>Navel piercing</w:t>
      </w:r>
      <w:r w:rsidRPr="00D56926">
        <w:t xml:space="preserve"> – severe infection if the umbilicus </w:t>
      </w:r>
      <w:r w:rsidR="00B753FB">
        <w:t xml:space="preserve">(belly button) </w:t>
      </w:r>
      <w:r w:rsidRPr="00D56926">
        <w:t>is pierced.</w:t>
      </w:r>
    </w:p>
    <w:p w14:paraId="23DC0538" w14:textId="77777777" w:rsidR="00D56926" w:rsidRPr="00D56926" w:rsidRDefault="00D56926" w:rsidP="00F7468D">
      <w:pPr>
        <w:pStyle w:val="DHHSbullet1"/>
        <w:spacing w:beforeLines="20" w:before="48" w:after="2" w:line="260" w:lineRule="atLeast"/>
        <w:contextualSpacing/>
      </w:pPr>
      <w:r w:rsidRPr="00D56926">
        <w:rPr>
          <w:b/>
          <w:bCs/>
        </w:rPr>
        <w:t>Nipple piercing</w:t>
      </w:r>
      <w:r w:rsidRPr="00D56926">
        <w:t xml:space="preserve"> – difficulty breastfeeding, an infected nipple (in women the infection can travel through the milk ducts and into the lymph nodes under the arm) or the growth of a cyst inside the nipple.</w:t>
      </w:r>
    </w:p>
    <w:p w14:paraId="4AC106F1" w14:textId="3415B28B" w:rsidR="00D56926" w:rsidRDefault="00D56926" w:rsidP="00F7468D">
      <w:pPr>
        <w:pStyle w:val="DHHSbullet1"/>
        <w:spacing w:beforeLines="20" w:before="48" w:after="2" w:line="260" w:lineRule="atLeast"/>
        <w:contextualSpacing/>
      </w:pPr>
      <w:r w:rsidRPr="00D56926">
        <w:rPr>
          <w:b/>
          <w:bCs/>
        </w:rPr>
        <w:t>Genital piercing</w:t>
      </w:r>
      <w:r w:rsidRPr="00D56926">
        <w:t xml:space="preserve"> – increased risk of sexually transmissible infections due to condom damage and because infection can enter the body at the piercing.</w:t>
      </w:r>
    </w:p>
    <w:p w14:paraId="69D0ADD6" w14:textId="77777777" w:rsidR="00086F28" w:rsidRPr="00FD56AA" w:rsidRDefault="00086F28" w:rsidP="00F7468D">
      <w:pPr>
        <w:pStyle w:val="DHHSbullet1"/>
        <w:spacing w:beforeLines="20" w:before="48" w:after="2" w:line="260" w:lineRule="atLeast"/>
        <w:contextualSpacing/>
      </w:pPr>
      <w:r w:rsidRPr="006D2D93">
        <w:rPr>
          <w:b/>
        </w:rPr>
        <w:t>Lost stud/retainer</w:t>
      </w:r>
      <w:r w:rsidRPr="00FD56AA">
        <w:t xml:space="preserve"> – a stud or retainer can travel under the skin or the gum. If you lose a stud or retainer, seek urgent medical attention.</w:t>
      </w:r>
    </w:p>
    <w:p w14:paraId="372DBDDD" w14:textId="2A301112" w:rsidR="00C01541" w:rsidRPr="00C01541" w:rsidRDefault="00086F28" w:rsidP="00F7468D">
      <w:pPr>
        <w:pStyle w:val="DHHSbullet1lastline"/>
        <w:spacing w:beforeLines="20" w:before="48" w:after="2" w:line="260" w:lineRule="atLeast"/>
        <w:contextualSpacing/>
        <w:rPr>
          <w:b/>
        </w:rPr>
      </w:pPr>
      <w:r w:rsidRPr="00C01541">
        <w:rPr>
          <w:b/>
        </w:rPr>
        <w:t>Migration of micro-dermal implant</w:t>
      </w:r>
    </w:p>
    <w:p w14:paraId="6A341DF8" w14:textId="2F8F7DD4" w:rsidR="006E0D43" w:rsidRDefault="006E0D43" w:rsidP="00F7468D">
      <w:pPr>
        <w:pStyle w:val="DHHSbody"/>
        <w:spacing w:beforeLines="20" w:before="48" w:after="4" w:line="260" w:lineRule="atLeast"/>
      </w:pPr>
      <w:r>
        <w:t>Some people are at</w:t>
      </w:r>
      <w:r w:rsidRPr="000A1884">
        <w:t xml:space="preserve"> a higher risk of inf</w:t>
      </w:r>
      <w:r>
        <w:t>ection or complications due to medications, chemotherapy,</w:t>
      </w:r>
      <w:r w:rsidR="00B753FB">
        <w:t xml:space="preserve"> weakened immune system, </w:t>
      </w:r>
      <w:r>
        <w:t>breast implants, heart valve diseases, rheumatic fever, and skin infections. For further advice about these risks consult your doctor before having a piercing</w:t>
      </w:r>
      <w:r w:rsidR="006C0D2F">
        <w:t xml:space="preserve"> or other </w:t>
      </w:r>
      <w:r w:rsidR="003F783D">
        <w:t>skin penetration</w:t>
      </w:r>
      <w:r w:rsidR="006C0D2F">
        <w:t xml:space="preserve"> procedure</w:t>
      </w:r>
      <w:r>
        <w:t>.</w:t>
      </w:r>
    </w:p>
    <w:p w14:paraId="6C6EABCD" w14:textId="04F1C538" w:rsidR="006E0D43" w:rsidRDefault="008E4AD8" w:rsidP="00F7468D">
      <w:pPr>
        <w:pStyle w:val="Heading2"/>
        <w:spacing w:line="260" w:lineRule="atLeast"/>
      </w:pPr>
      <w:r>
        <w:t>W</w:t>
      </w:r>
      <w:r w:rsidR="00D85D32">
        <w:t>hat to look for</w:t>
      </w:r>
    </w:p>
    <w:p w14:paraId="6CC1C936" w14:textId="04B45C16" w:rsidR="0025591C" w:rsidRPr="000A1884" w:rsidRDefault="0025591C" w:rsidP="00881E39">
      <w:pPr>
        <w:pStyle w:val="DHHSbody"/>
        <w:spacing w:beforeLines="20" w:before="48" w:after="40" w:line="260" w:lineRule="atLeast"/>
      </w:pPr>
      <w:r w:rsidRPr="000A1884">
        <w:t xml:space="preserve">When </w:t>
      </w:r>
      <w:r w:rsidR="00426ECE">
        <w:t>performing a skin penetration procedure</w:t>
      </w:r>
      <w:r w:rsidRPr="000A1884">
        <w:t xml:space="preserve">, the </w:t>
      </w:r>
      <w:r w:rsidR="00426ECE">
        <w:t>practitioner</w:t>
      </w:r>
      <w:r w:rsidRPr="000A1884">
        <w:t xml:space="preserve"> should:</w:t>
      </w:r>
      <w:bookmarkStart w:id="1" w:name="_GoBack"/>
      <w:bookmarkEnd w:id="1"/>
    </w:p>
    <w:p w14:paraId="615112A1" w14:textId="1C703395" w:rsidR="0025591C" w:rsidRPr="000A1884" w:rsidRDefault="00F66C0B" w:rsidP="007B2569">
      <w:pPr>
        <w:pStyle w:val="DHHSbullet1"/>
      </w:pPr>
      <w:r>
        <w:t>perform hand hygiene</w:t>
      </w:r>
      <w:r w:rsidR="0025591C" w:rsidRPr="000A1884">
        <w:t xml:space="preserve"> at the beginning and end of the procedure and whenever they take a break during the procedure</w:t>
      </w:r>
      <w:r w:rsidR="0087200A">
        <w:t xml:space="preserve"> such as</w:t>
      </w:r>
      <w:r w:rsidR="0025591C">
        <w:t xml:space="preserve"> when answering the phone</w:t>
      </w:r>
    </w:p>
    <w:p w14:paraId="7E44879F" w14:textId="77777777" w:rsidR="0025591C" w:rsidRPr="000A1884" w:rsidRDefault="0025591C" w:rsidP="00F7468D">
      <w:pPr>
        <w:pStyle w:val="DHHSbullet1"/>
        <w:spacing w:beforeLines="20" w:before="48" w:after="2" w:line="260" w:lineRule="atLeast"/>
        <w:contextualSpacing/>
      </w:pPr>
      <w:r>
        <w:t>c</w:t>
      </w:r>
      <w:r w:rsidRPr="000A1884">
        <w:t>lean and disinfect your skin thoroughly</w:t>
      </w:r>
      <w:r>
        <w:t xml:space="preserve"> before </w:t>
      </w:r>
      <w:r w:rsidR="0068456B">
        <w:t xml:space="preserve">and after </w:t>
      </w:r>
      <w:r>
        <w:t>the procedure</w:t>
      </w:r>
    </w:p>
    <w:p w14:paraId="6218AA2A" w14:textId="77777777" w:rsidR="0025591C" w:rsidRPr="000A1884" w:rsidRDefault="0025591C" w:rsidP="00F7468D">
      <w:pPr>
        <w:pStyle w:val="DHHSbullet1"/>
        <w:spacing w:beforeLines="20" w:before="48" w:after="2" w:line="260" w:lineRule="atLeast"/>
        <w:contextualSpacing/>
      </w:pPr>
      <w:r>
        <w:t>use single-use disposable needles for each procedure</w:t>
      </w:r>
    </w:p>
    <w:p w14:paraId="6744F9E7" w14:textId="77777777" w:rsidR="0025591C" w:rsidRPr="000A1884" w:rsidRDefault="0025591C" w:rsidP="00F7468D">
      <w:pPr>
        <w:pStyle w:val="DHHSbullet1"/>
        <w:spacing w:beforeLines="20" w:before="48" w:after="2" w:line="260" w:lineRule="atLeast"/>
        <w:contextualSpacing/>
      </w:pPr>
      <w:r>
        <w:t>use sterile equipment</w:t>
      </w:r>
      <w:r w:rsidR="00E46B32">
        <w:t xml:space="preserve"> –</w:t>
      </w:r>
      <w:r w:rsidR="00092057">
        <w:t xml:space="preserve"> </w:t>
      </w:r>
      <w:r w:rsidR="00E46B32">
        <w:t>the piercer should be able to explain how equipment is sterilised</w:t>
      </w:r>
    </w:p>
    <w:p w14:paraId="5C33FB4B" w14:textId="77777777" w:rsidR="0068456B" w:rsidRPr="000A1884" w:rsidRDefault="0068456B" w:rsidP="00F7468D">
      <w:pPr>
        <w:pStyle w:val="DHHSbullet1lastline"/>
        <w:spacing w:beforeLines="20" w:before="48" w:after="2" w:line="260" w:lineRule="atLeast"/>
        <w:contextualSpacing/>
      </w:pPr>
      <w:r>
        <w:rPr>
          <w:rFonts w:cs="Arial"/>
          <w:color w:val="000000"/>
        </w:rPr>
        <w:t xml:space="preserve">use only new </w:t>
      </w:r>
      <w:r w:rsidR="008E4AD8">
        <w:rPr>
          <w:rFonts w:cs="Arial"/>
          <w:color w:val="000000"/>
        </w:rPr>
        <w:t xml:space="preserve">sterilised </w:t>
      </w:r>
      <w:r>
        <w:rPr>
          <w:rFonts w:cs="Arial"/>
          <w:color w:val="000000"/>
        </w:rPr>
        <w:t>jewellery for</w:t>
      </w:r>
      <w:r w:rsidR="00CC50F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piercings.</w:t>
      </w:r>
    </w:p>
    <w:p w14:paraId="513C470F" w14:textId="57C23DD3" w:rsidR="0025591C" w:rsidRDefault="000F0C1B" w:rsidP="00F7468D">
      <w:pPr>
        <w:pStyle w:val="Heading2"/>
        <w:spacing w:line="260" w:lineRule="atLeast"/>
      </w:pPr>
      <w:r>
        <w:t>Aftercare</w:t>
      </w:r>
    </w:p>
    <w:p w14:paraId="107EE9FC" w14:textId="1812614D" w:rsidR="006E0D43" w:rsidRPr="006E0D43" w:rsidRDefault="006E0D43" w:rsidP="00F7468D">
      <w:pPr>
        <w:pStyle w:val="DHHSbody"/>
        <w:spacing w:beforeLines="20" w:before="48" w:after="4" w:line="260" w:lineRule="atLeast"/>
      </w:pPr>
      <w:r>
        <w:t xml:space="preserve">The </w:t>
      </w:r>
      <w:r w:rsidR="000F0C1B">
        <w:t>practitioner</w:t>
      </w:r>
      <w:r>
        <w:t xml:space="preserve"> </w:t>
      </w:r>
      <w:r w:rsidRPr="006E0D43">
        <w:t>should provide you with information about how</w:t>
      </w:r>
      <w:r>
        <w:t xml:space="preserve"> to care for your </w:t>
      </w:r>
      <w:r w:rsidR="00EC5804">
        <w:t>wound</w:t>
      </w:r>
      <w:r w:rsidR="00BE4A2B">
        <w:t>/piercing</w:t>
      </w:r>
      <w:r w:rsidR="00EC5804">
        <w:t xml:space="preserve"> after a skin penetration procedure</w:t>
      </w:r>
      <w:r>
        <w:t>.</w:t>
      </w:r>
      <w:r w:rsidR="00EC5804">
        <w:t xml:space="preserve"> Some procedures, such as dry needling need little or no aftercare due to the very small risk </w:t>
      </w:r>
      <w:r w:rsidR="00BE4A2B">
        <w:t xml:space="preserve">of infection </w:t>
      </w:r>
      <w:r w:rsidR="00EC5804">
        <w:t>they pose.</w:t>
      </w:r>
    </w:p>
    <w:p w14:paraId="6FE332B9" w14:textId="193BA970" w:rsidR="0025591C" w:rsidRPr="000A1884" w:rsidRDefault="0025591C" w:rsidP="00F7468D">
      <w:pPr>
        <w:pStyle w:val="DHHSbody"/>
        <w:spacing w:beforeLines="20" w:before="48" w:after="4" w:line="260" w:lineRule="atLeast"/>
      </w:pPr>
      <w:r w:rsidRPr="000A1884">
        <w:t>How long your piercing</w:t>
      </w:r>
      <w:r w:rsidR="006C0D2F">
        <w:t xml:space="preserve"> or wound</w:t>
      </w:r>
      <w:r w:rsidRPr="000A1884">
        <w:t xml:space="preserve"> takes to heal depends on where it is, the technique used,</w:t>
      </w:r>
      <w:r w:rsidR="00C01541">
        <w:t xml:space="preserve"> the size of the wound,</w:t>
      </w:r>
      <w:r w:rsidRPr="000A1884">
        <w:t xml:space="preserve"> the quality of the jewellery, how you look after it and your body’s own </w:t>
      </w:r>
      <w:r w:rsidR="00F8463D">
        <w:t>ability to heal</w:t>
      </w:r>
      <w:r w:rsidRPr="000A1884">
        <w:t>. Healing time can vary from around t</w:t>
      </w:r>
      <w:r w:rsidR="0068456B">
        <w:t>wo weeks to six or nine months.</w:t>
      </w:r>
    </w:p>
    <w:p w14:paraId="7D0F33BD" w14:textId="55438EB7" w:rsidR="0025591C" w:rsidRDefault="0025591C" w:rsidP="00F7468D">
      <w:pPr>
        <w:pStyle w:val="DHHSbody"/>
        <w:spacing w:beforeLines="20" w:before="48" w:after="4" w:line="260" w:lineRule="atLeast"/>
      </w:pPr>
      <w:r>
        <w:t xml:space="preserve">Only handle the </w:t>
      </w:r>
      <w:r w:rsidR="006C0D2F">
        <w:t>wound/piercing</w:t>
      </w:r>
      <w:r>
        <w:t xml:space="preserve"> when necessary and </w:t>
      </w:r>
      <w:r w:rsidRPr="000A1884">
        <w:t>always wash your hands before touching</w:t>
      </w:r>
      <w:r w:rsidR="006C0D2F">
        <w:t xml:space="preserve"> it</w:t>
      </w:r>
      <w:r w:rsidRPr="000A1884">
        <w:t>.</w:t>
      </w:r>
      <w:r w:rsidR="00C01541">
        <w:t xml:space="preserve"> U</w:t>
      </w:r>
      <w:r w:rsidR="00086F28">
        <w:t xml:space="preserve">se </w:t>
      </w:r>
      <w:r w:rsidR="00C01541">
        <w:t xml:space="preserve">only </w:t>
      </w:r>
      <w:r w:rsidR="008D2281">
        <w:t>fresh disposable paper towel</w:t>
      </w:r>
      <w:r w:rsidRPr="000A1884">
        <w:t xml:space="preserve"> to dry the </w:t>
      </w:r>
      <w:r w:rsidR="00086F28">
        <w:t xml:space="preserve">wound/piercing </w:t>
      </w:r>
      <w:r w:rsidRPr="000A1884">
        <w:t xml:space="preserve">after a shower or bath. </w:t>
      </w:r>
      <w:r w:rsidR="00086F28">
        <w:t>N</w:t>
      </w:r>
      <w:r w:rsidR="008D2281">
        <w:t xml:space="preserve">ever </w:t>
      </w:r>
      <w:r w:rsidRPr="000A1884">
        <w:t>use a</w:t>
      </w:r>
      <w:r w:rsidR="008D2281">
        <w:t xml:space="preserve"> communal hand/bath towel</w:t>
      </w:r>
      <w:r w:rsidRPr="000A1884">
        <w:t>.</w:t>
      </w:r>
    </w:p>
    <w:p w14:paraId="160B42B0" w14:textId="77777777" w:rsidR="00A4792D" w:rsidRPr="00A4792D" w:rsidRDefault="00A4792D" w:rsidP="00F7468D">
      <w:pPr>
        <w:pStyle w:val="DHHSbody"/>
        <w:spacing w:beforeLines="20" w:before="48" w:after="4" w:line="260" w:lineRule="atLeast"/>
        <w:rPr>
          <w:shd w:val="clear" w:color="auto" w:fill="FFFFFF"/>
        </w:rPr>
      </w:pPr>
      <w:r>
        <w:rPr>
          <w:shd w:val="clear" w:color="auto" w:fill="FFFFFF"/>
        </w:rPr>
        <w:t>Remember to see your doctor if there are any problems with an area that is pierced that might indicate infection or complications or something is wrong.</w:t>
      </w:r>
    </w:p>
    <w:p w14:paraId="490A15A8" w14:textId="77777777" w:rsidR="000F4E01" w:rsidRDefault="000F4E01" w:rsidP="00F7468D">
      <w:pPr>
        <w:pStyle w:val="Heading2"/>
        <w:spacing w:line="260" w:lineRule="atLeast"/>
      </w:pPr>
      <w:r>
        <w:t>Further information</w:t>
      </w:r>
    </w:p>
    <w:p w14:paraId="22ED9EF5" w14:textId="77777777" w:rsidR="00DE561C" w:rsidRDefault="00DE561C" w:rsidP="00F7468D">
      <w:pPr>
        <w:pStyle w:val="DHHSbody"/>
        <w:spacing w:beforeLines="20" w:before="48" w:after="4" w:line="260" w:lineRule="atLeast"/>
      </w:pPr>
      <w:bookmarkStart w:id="2" w:name="_Hlk23320024"/>
      <w:r>
        <w:t xml:space="preserve">Councils register premises under the </w:t>
      </w:r>
      <w:r w:rsidRPr="00F7468D">
        <w:rPr>
          <w:i/>
        </w:rPr>
        <w:t>Public Health and Wellbeing Act 2008</w:t>
      </w:r>
      <w:r>
        <w:t xml:space="preserve"> for the purpose of overseeing infection control standards. Registration </w:t>
      </w:r>
      <w:r w:rsidR="00C5598D">
        <w:t>does not apply to the quality of procedures undertaken or the ability or qualifications of individuals undertaking the business.</w:t>
      </w:r>
    </w:p>
    <w:bookmarkEnd w:id="2"/>
    <w:p w14:paraId="10F7D714" w14:textId="77777777" w:rsidR="00E31AED" w:rsidRDefault="00E31AED" w:rsidP="00881E39">
      <w:pPr>
        <w:pStyle w:val="DHHSbody"/>
        <w:spacing w:beforeLines="20" w:before="48" w:after="40" w:line="260" w:lineRule="atLeast"/>
      </w:pPr>
      <w:r>
        <w:t>If you have concerns about the premises, the services you have received or need information on your rights please contact:</w:t>
      </w:r>
    </w:p>
    <w:p w14:paraId="0F02C4FA" w14:textId="5184C370" w:rsidR="00E31AED" w:rsidRDefault="00E31AED" w:rsidP="00881E39">
      <w:pPr>
        <w:pStyle w:val="DHHSbullet1"/>
        <w:spacing w:beforeLines="20" w:before="48" w:line="260" w:lineRule="atLeast"/>
      </w:pPr>
      <w:r>
        <w:t>the council in which the premises is located</w:t>
      </w:r>
    </w:p>
    <w:p w14:paraId="784B72D3" w14:textId="61974F9A" w:rsidR="00E31AED" w:rsidRDefault="00E31AED" w:rsidP="00881E39">
      <w:pPr>
        <w:pStyle w:val="DHHSbullet1lastline"/>
        <w:spacing w:beforeLines="20" w:before="48" w:line="260" w:lineRule="atLeast"/>
      </w:pPr>
      <w:r>
        <w:t>Consumer Affairs Victoria &lt;https://www.consumer.vic.gov.au/&gt;.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</w:tblGrid>
      <w:tr w:rsidR="006D7088" w14:paraId="56C4030E" w14:textId="77777777" w:rsidTr="006D7088">
        <w:tc>
          <w:tcPr>
            <w:tcW w:w="4851" w:type="dxa"/>
          </w:tcPr>
          <w:p w14:paraId="588C66C9" w14:textId="77777777" w:rsidR="006D7088" w:rsidRPr="005C378A" w:rsidRDefault="006D7088" w:rsidP="006D7088">
            <w:pPr>
              <w:pStyle w:val="DHHSbody"/>
              <w:rPr>
                <w:sz w:val="24"/>
              </w:rPr>
            </w:pPr>
            <w:r w:rsidRPr="005C378A">
              <w:rPr>
                <w:sz w:val="24"/>
              </w:rPr>
              <w:t xml:space="preserve">To receive this publication in an accessible format phone Communicable Disease Prevention and Control on 1300 651 160, using the National Relay Service 13 36 77 if required, or email </w:t>
            </w:r>
            <w:hyperlink r:id="rId12" w:history="1">
              <w:r w:rsidRPr="005C378A">
                <w:rPr>
                  <w:rStyle w:val="Hyperlink"/>
                  <w:sz w:val="24"/>
                </w:rPr>
                <w:t>infectious.diseases@dhhs.vic.gov.au</w:t>
              </w:r>
            </w:hyperlink>
            <w:r w:rsidRPr="005C378A">
              <w:rPr>
                <w:sz w:val="24"/>
              </w:rPr>
              <w:t xml:space="preserve"> </w:t>
            </w:r>
          </w:p>
          <w:p w14:paraId="1D5012D9" w14:textId="77777777" w:rsidR="006D7088" w:rsidRPr="005C378A" w:rsidRDefault="006D7088" w:rsidP="006D7088">
            <w:pPr>
              <w:pStyle w:val="DHHSbody"/>
              <w:spacing w:after="20" w:line="220" w:lineRule="atLeast"/>
              <w:rPr>
                <w:sz w:val="16"/>
                <w:szCs w:val="16"/>
              </w:rPr>
            </w:pPr>
            <w:r w:rsidRPr="005C378A">
              <w:rPr>
                <w:sz w:val="16"/>
                <w:szCs w:val="16"/>
              </w:rPr>
              <w:t>Authorised and published by the Victorian Government, 1 Treasury Place, Melbourne.</w:t>
            </w:r>
          </w:p>
          <w:p w14:paraId="23EFE2E7" w14:textId="77777777" w:rsidR="006D7088" w:rsidRPr="005C378A" w:rsidRDefault="006D7088" w:rsidP="006D7088">
            <w:pPr>
              <w:pStyle w:val="DHHSbody"/>
              <w:spacing w:after="20" w:line="220" w:lineRule="atLeast"/>
              <w:rPr>
                <w:sz w:val="16"/>
                <w:szCs w:val="16"/>
              </w:rPr>
            </w:pPr>
            <w:r w:rsidRPr="005C378A">
              <w:rPr>
                <w:sz w:val="16"/>
                <w:szCs w:val="16"/>
              </w:rPr>
              <w:t>© State of Victoria, Department of Health and Human Services</w:t>
            </w:r>
            <w:r w:rsidRPr="005C378A">
              <w:rPr>
                <w:color w:val="008950"/>
                <w:sz w:val="16"/>
                <w:szCs w:val="16"/>
              </w:rPr>
              <w:t xml:space="preserve"> </w:t>
            </w:r>
            <w:r w:rsidRPr="005C378A">
              <w:rPr>
                <w:sz w:val="16"/>
                <w:szCs w:val="16"/>
              </w:rPr>
              <w:t>December 2019</w:t>
            </w:r>
          </w:p>
          <w:p w14:paraId="36D2F9C0" w14:textId="44E08A1D" w:rsidR="006D7088" w:rsidRDefault="006D7088" w:rsidP="006D7088">
            <w:pPr>
              <w:pStyle w:val="DHHSbody"/>
              <w:spacing w:after="20" w:line="220" w:lineRule="atLeast"/>
            </w:pPr>
            <w:r w:rsidRPr="005C378A">
              <w:rPr>
                <w:rFonts w:cs="Arial"/>
                <w:sz w:val="16"/>
                <w:szCs w:val="16"/>
              </w:rPr>
              <w:t xml:space="preserve">Available at </w:t>
            </w:r>
            <w:hyperlink r:id="rId13" w:history="1">
              <w:r w:rsidRPr="005C378A">
                <w:rPr>
                  <w:rStyle w:val="Hyperlink"/>
                  <w:rFonts w:cs="Arial"/>
                  <w:sz w:val="16"/>
                  <w:szCs w:val="16"/>
                </w:rPr>
                <w:t>www2.health.vic.gov.au/public-health/infectious-diseases/personal-care-body-art-industries</w:t>
              </w:r>
            </w:hyperlink>
          </w:p>
        </w:tc>
      </w:tr>
    </w:tbl>
    <w:p w14:paraId="081325A1" w14:textId="221CDF0A" w:rsidR="006D7088" w:rsidRPr="00AA73C6" w:rsidRDefault="006D7088" w:rsidP="00AA73C6">
      <w:pPr>
        <w:pStyle w:val="DHHSbody"/>
        <w:spacing w:after="0"/>
        <w:rPr>
          <w:sz w:val="14"/>
        </w:rPr>
      </w:pPr>
    </w:p>
    <w:sectPr w:rsidR="006D7088" w:rsidRPr="00AA73C6" w:rsidSect="00F7468D">
      <w:type w:val="continuous"/>
      <w:pgSz w:w="11906" w:h="16838" w:code="9"/>
      <w:pgMar w:top="426" w:right="851" w:bottom="709" w:left="993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282D" w14:textId="77777777" w:rsidR="007E5B1F" w:rsidRDefault="007E5B1F">
      <w:r>
        <w:separator/>
      </w:r>
    </w:p>
  </w:endnote>
  <w:endnote w:type="continuationSeparator" w:id="0">
    <w:p w14:paraId="4F1BC540" w14:textId="77777777" w:rsidR="007E5B1F" w:rsidRDefault="007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A701" w14:textId="77777777" w:rsidR="009D70A4" w:rsidRPr="002C3C36" w:rsidRDefault="00CB077C" w:rsidP="002C3C36">
    <w:pPr>
      <w:pStyle w:val="DHHSfooter"/>
      <w:tabs>
        <w:tab w:val="clear" w:pos="10206"/>
      </w:tabs>
      <w:ind w:right="2691"/>
      <w:rPr>
        <w:sz w:val="16"/>
      </w:rPr>
    </w:pPr>
    <w:r w:rsidRPr="002C3C36">
      <w:rPr>
        <w:sz w:val="16"/>
      </w:rPr>
      <w:t>Approved for use in accordance with Regulation 35 of the Public Health and Wellbeing Regulations 2019, effective</w:t>
    </w:r>
    <w:r w:rsidR="002C3C36" w:rsidRPr="002C3C36">
      <w:rPr>
        <w:sz w:val="16"/>
      </w:rPr>
      <w:t xml:space="preserve"> </w:t>
    </w:r>
    <w:r w:rsidR="00537540" w:rsidRPr="002C3C36">
      <w:rPr>
        <w:sz w:val="16"/>
      </w:rPr>
      <w:t xml:space="preserve">December </w:t>
    </w:r>
    <w:r w:rsidR="007E5B1F" w:rsidRPr="002C3C36">
      <w:rPr>
        <w:noProof/>
        <w:sz w:val="16"/>
        <w:lang w:eastAsia="en-AU"/>
      </w:rPr>
      <w:drawing>
        <wp:anchor distT="0" distB="0" distL="114300" distR="114300" simplePos="0" relativeHeight="251658752" behindDoc="0" locked="1" layoutInCell="0" allowOverlap="1" wp14:anchorId="45B144E7" wp14:editId="3CAD2E88">
          <wp:simplePos x="0" y="0"/>
          <wp:positionH relativeFrom="page">
            <wp:posOffset>5467350</wp:posOffset>
          </wp:positionH>
          <wp:positionV relativeFrom="page">
            <wp:posOffset>9906000</wp:posOffset>
          </wp:positionV>
          <wp:extent cx="2094230" cy="791210"/>
          <wp:effectExtent l="0" t="0" r="1270" b="8890"/>
          <wp:wrapNone/>
          <wp:docPr id="14" name="Picture 14" descr="Victoria State Government Department of Health and Human Servic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04"/>
                  <a:stretch/>
                </pic:blipFill>
                <pic:spPr bwMode="auto">
                  <a:xfrm>
                    <a:off x="0" y="0"/>
                    <a:ext cx="209423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40" w:rsidRPr="002C3C36">
      <w:rPr>
        <w:sz w:val="16"/>
      </w:rPr>
      <w:t>2019</w:t>
    </w:r>
    <w:r w:rsidR="002C3C36">
      <w:rPr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4DA6" w14:textId="09241510" w:rsidR="009D70A4" w:rsidRPr="00A11421" w:rsidRDefault="00CB077C" w:rsidP="0051568D">
    <w:pPr>
      <w:pStyle w:val="DHHSfooter"/>
    </w:pPr>
    <w:r w:rsidRPr="00CB077C">
      <w:rPr>
        <w:sz w:val="16"/>
      </w:rPr>
      <w:t>Approved for use in accordance with Regulation 35 of the Public Health and Wellbeing Regulations 2019,</w:t>
    </w:r>
    <w:r w:rsidR="00537540">
      <w:rPr>
        <w:sz w:val="16"/>
      </w:rPr>
      <w:t xml:space="preserve"> </w:t>
    </w:r>
    <w:r w:rsidR="00204A1A">
      <w:rPr>
        <w:sz w:val="16"/>
      </w:rPr>
      <w:t xml:space="preserve">effective </w:t>
    </w:r>
    <w:r w:rsidR="00537540">
      <w:rPr>
        <w:sz w:val="16"/>
      </w:rPr>
      <w:t>December 2019</w:t>
    </w:r>
    <w:r w:rsidRPr="00CB077C">
      <w:rPr>
        <w:sz w:val="16"/>
      </w:rPr>
      <w:t>.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01541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3754" w14:textId="77777777" w:rsidR="007E5B1F" w:rsidRDefault="007E5B1F" w:rsidP="002862F1">
      <w:pPr>
        <w:spacing w:before="120"/>
      </w:pPr>
      <w:r>
        <w:separator/>
      </w:r>
    </w:p>
  </w:footnote>
  <w:footnote w:type="continuationSeparator" w:id="0">
    <w:p w14:paraId="5B8F280D" w14:textId="77777777" w:rsidR="007E5B1F" w:rsidRDefault="007E5B1F">
      <w:r>
        <w:continuationSeparator/>
      </w:r>
    </w:p>
  </w:footnote>
  <w:footnote w:id="1">
    <w:p w14:paraId="5ADEDE5D" w14:textId="04DDE9F4" w:rsidR="002F5E08" w:rsidRDefault="002F5E08" w:rsidP="000F0C1B">
      <w:pPr>
        <w:pStyle w:val="FootnoteText"/>
        <w:ind w:right="-5274"/>
      </w:pPr>
      <w:r>
        <w:rPr>
          <w:rStyle w:val="FootnoteReference"/>
        </w:rPr>
        <w:footnoteRef/>
      </w:r>
      <w:r>
        <w:t xml:space="preserve"> There are some limited exemptions</w:t>
      </w:r>
      <w:r w:rsidR="00537540">
        <w:t xml:space="preserve"> such as </w:t>
      </w:r>
      <w:r w:rsidR="00537540" w:rsidRPr="00537540">
        <w:t>the practice of a person registered under</w:t>
      </w:r>
      <w:r w:rsidR="00CF48A3">
        <w:t xml:space="preserve"> the </w:t>
      </w:r>
      <w:r w:rsidR="00537540" w:rsidRPr="00537540">
        <w:t>Health Practitioner Regulation National Law to practise in</w:t>
      </w:r>
      <w:r w:rsidR="00CF48A3">
        <w:t xml:space="preserve"> the pharmacy profession (other </w:t>
      </w:r>
      <w:r w:rsidR="00537540" w:rsidRPr="00537540">
        <w:t>than as a student)</w:t>
      </w:r>
      <w:r w:rsidR="005375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022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CAD332"/>
    <w:lvl w:ilvl="0">
      <w:numFmt w:val="bullet"/>
      <w:lvlText w:val="*"/>
      <w:lvlJc w:val="left"/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2551C7D"/>
    <w:multiLevelType w:val="hybridMultilevel"/>
    <w:tmpl w:val="5DCCD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2F24"/>
    <w:multiLevelType w:val="hybridMultilevel"/>
    <w:tmpl w:val="6A5A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DB"/>
    <w:multiLevelType w:val="multilevel"/>
    <w:tmpl w:val="4B4E7622"/>
    <w:numStyleLink w:val="ZZNumbers"/>
  </w:abstractNum>
  <w:abstractNum w:abstractNumId="6" w15:restartNumberingAfterBreak="0">
    <w:nsid w:val="17F12BF2"/>
    <w:multiLevelType w:val="hybridMultilevel"/>
    <w:tmpl w:val="2E26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67E6"/>
    <w:multiLevelType w:val="multilevel"/>
    <w:tmpl w:val="5D9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C6198"/>
    <w:multiLevelType w:val="hybridMultilevel"/>
    <w:tmpl w:val="1EAE4E4C"/>
    <w:lvl w:ilvl="0" w:tplc="BB1A840C">
      <w:numFmt w:val="bullet"/>
      <w:lvlText w:val="-"/>
      <w:lvlJc w:val="left"/>
      <w:pPr>
        <w:ind w:left="1079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BE178C3"/>
    <w:multiLevelType w:val="hybridMultilevel"/>
    <w:tmpl w:val="8C6CA7E2"/>
    <w:lvl w:ilvl="0" w:tplc="C2E2C95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3154FF3"/>
    <w:multiLevelType w:val="hybridMultilevel"/>
    <w:tmpl w:val="BCF6AAA8"/>
    <w:lvl w:ilvl="0" w:tplc="EF5E78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4FF67AC"/>
    <w:multiLevelType w:val="hybridMultilevel"/>
    <w:tmpl w:val="06380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5C10"/>
    <w:multiLevelType w:val="hybridMultilevel"/>
    <w:tmpl w:val="3DB80EFA"/>
    <w:lvl w:ilvl="0" w:tplc="0C090001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15" w15:restartNumberingAfterBreak="0">
    <w:nsid w:val="7F523CB0"/>
    <w:multiLevelType w:val="hybridMultilevel"/>
    <w:tmpl w:val="BC04821A"/>
    <w:lvl w:ilvl="0" w:tplc="B6A2D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C3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9A2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567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AE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C06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04F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44C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7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4"/>
  </w:num>
  <w:num w:numId="16">
    <w:abstractNumId w:val="7"/>
  </w:num>
  <w:num w:numId="17">
    <w:abstractNumId w:val="9"/>
  </w:num>
  <w:num w:numId="18">
    <w:abstractNumId w:val="11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1F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6F28"/>
    <w:rsid w:val="0009113B"/>
    <w:rsid w:val="00092057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E7E39"/>
    <w:rsid w:val="000F0C1B"/>
    <w:rsid w:val="000F1F1E"/>
    <w:rsid w:val="000F2259"/>
    <w:rsid w:val="000F4E01"/>
    <w:rsid w:val="0010392D"/>
    <w:rsid w:val="0010447F"/>
    <w:rsid w:val="00104FE3"/>
    <w:rsid w:val="00120BD3"/>
    <w:rsid w:val="00122FEA"/>
    <w:rsid w:val="001232A3"/>
    <w:rsid w:val="001232BD"/>
    <w:rsid w:val="00124ED5"/>
    <w:rsid w:val="00124F2A"/>
    <w:rsid w:val="00127298"/>
    <w:rsid w:val="001447B3"/>
    <w:rsid w:val="00152073"/>
    <w:rsid w:val="00161939"/>
    <w:rsid w:val="00161AA0"/>
    <w:rsid w:val="00162093"/>
    <w:rsid w:val="00166185"/>
    <w:rsid w:val="00172F95"/>
    <w:rsid w:val="00174924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A1A"/>
    <w:rsid w:val="00206463"/>
    <w:rsid w:val="00206F2F"/>
    <w:rsid w:val="0021053D"/>
    <w:rsid w:val="00210A92"/>
    <w:rsid w:val="00211EF1"/>
    <w:rsid w:val="00216C03"/>
    <w:rsid w:val="00220C04"/>
    <w:rsid w:val="0022278D"/>
    <w:rsid w:val="0022701F"/>
    <w:rsid w:val="00227CE3"/>
    <w:rsid w:val="002333F5"/>
    <w:rsid w:val="00233724"/>
    <w:rsid w:val="002432E1"/>
    <w:rsid w:val="00246207"/>
    <w:rsid w:val="00246C5E"/>
    <w:rsid w:val="002509D1"/>
    <w:rsid w:val="00251343"/>
    <w:rsid w:val="00254F58"/>
    <w:rsid w:val="0025591C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4252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1113"/>
    <w:rsid w:val="002C20DD"/>
    <w:rsid w:val="002C2728"/>
    <w:rsid w:val="002C3C36"/>
    <w:rsid w:val="002D5006"/>
    <w:rsid w:val="002D5232"/>
    <w:rsid w:val="002E01D0"/>
    <w:rsid w:val="002E161D"/>
    <w:rsid w:val="002E226C"/>
    <w:rsid w:val="002E2485"/>
    <w:rsid w:val="002E3100"/>
    <w:rsid w:val="002E6C95"/>
    <w:rsid w:val="002E7C36"/>
    <w:rsid w:val="002F5E08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21A4"/>
    <w:rsid w:val="003C43A1"/>
    <w:rsid w:val="003C4FC0"/>
    <w:rsid w:val="003C55F4"/>
    <w:rsid w:val="003C609C"/>
    <w:rsid w:val="003C7A3F"/>
    <w:rsid w:val="003D2766"/>
    <w:rsid w:val="003D3E8F"/>
    <w:rsid w:val="003D6475"/>
    <w:rsid w:val="003E4460"/>
    <w:rsid w:val="003F0445"/>
    <w:rsid w:val="003F0CF0"/>
    <w:rsid w:val="003F14B1"/>
    <w:rsid w:val="003F3289"/>
    <w:rsid w:val="003F783D"/>
    <w:rsid w:val="004014CF"/>
    <w:rsid w:val="00401FCF"/>
    <w:rsid w:val="00406285"/>
    <w:rsid w:val="004107DA"/>
    <w:rsid w:val="004148F9"/>
    <w:rsid w:val="0042084E"/>
    <w:rsid w:val="004213A9"/>
    <w:rsid w:val="00421EEF"/>
    <w:rsid w:val="00424D65"/>
    <w:rsid w:val="00426ECE"/>
    <w:rsid w:val="00442C6C"/>
    <w:rsid w:val="00443CBE"/>
    <w:rsid w:val="00443E8A"/>
    <w:rsid w:val="004441BC"/>
    <w:rsid w:val="004468B4"/>
    <w:rsid w:val="0045180D"/>
    <w:rsid w:val="0045230A"/>
    <w:rsid w:val="00457337"/>
    <w:rsid w:val="0047372D"/>
    <w:rsid w:val="004743DD"/>
    <w:rsid w:val="00474CEA"/>
    <w:rsid w:val="00477FC3"/>
    <w:rsid w:val="00483968"/>
    <w:rsid w:val="00484F86"/>
    <w:rsid w:val="00490746"/>
    <w:rsid w:val="00490852"/>
    <w:rsid w:val="00492F30"/>
    <w:rsid w:val="004946F4"/>
    <w:rsid w:val="0049487E"/>
    <w:rsid w:val="00495402"/>
    <w:rsid w:val="004A160D"/>
    <w:rsid w:val="004A3E81"/>
    <w:rsid w:val="004A5C62"/>
    <w:rsid w:val="004A707D"/>
    <w:rsid w:val="004A791F"/>
    <w:rsid w:val="004C6EEE"/>
    <w:rsid w:val="004C702B"/>
    <w:rsid w:val="004D016B"/>
    <w:rsid w:val="004D1B22"/>
    <w:rsid w:val="004D36F2"/>
    <w:rsid w:val="004E138F"/>
    <w:rsid w:val="004E4649"/>
    <w:rsid w:val="004E5C2B"/>
    <w:rsid w:val="004E6D57"/>
    <w:rsid w:val="004F00DD"/>
    <w:rsid w:val="004F2133"/>
    <w:rsid w:val="004F55F1"/>
    <w:rsid w:val="004F58E6"/>
    <w:rsid w:val="004F6936"/>
    <w:rsid w:val="00500730"/>
    <w:rsid w:val="00503DC6"/>
    <w:rsid w:val="00506F5D"/>
    <w:rsid w:val="005126D0"/>
    <w:rsid w:val="0051568D"/>
    <w:rsid w:val="00523EC9"/>
    <w:rsid w:val="00526C15"/>
    <w:rsid w:val="0053505D"/>
    <w:rsid w:val="00536499"/>
    <w:rsid w:val="00537540"/>
    <w:rsid w:val="00543903"/>
    <w:rsid w:val="00543F11"/>
    <w:rsid w:val="00547A95"/>
    <w:rsid w:val="00552BBA"/>
    <w:rsid w:val="00572031"/>
    <w:rsid w:val="00573EFE"/>
    <w:rsid w:val="00576E84"/>
    <w:rsid w:val="00582B8C"/>
    <w:rsid w:val="00584E8F"/>
    <w:rsid w:val="0058757E"/>
    <w:rsid w:val="00596A4B"/>
    <w:rsid w:val="00596BA2"/>
    <w:rsid w:val="00597507"/>
    <w:rsid w:val="005B21B6"/>
    <w:rsid w:val="005B3A08"/>
    <w:rsid w:val="005B7A63"/>
    <w:rsid w:val="005C0955"/>
    <w:rsid w:val="005C378A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120C"/>
    <w:rsid w:val="00613414"/>
    <w:rsid w:val="0062408D"/>
    <w:rsid w:val="006240CC"/>
    <w:rsid w:val="00627DA7"/>
    <w:rsid w:val="006305FA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8456B"/>
    <w:rsid w:val="0068535F"/>
    <w:rsid w:val="00691B62"/>
    <w:rsid w:val="006933B5"/>
    <w:rsid w:val="00693D14"/>
    <w:rsid w:val="006A18C2"/>
    <w:rsid w:val="006B077C"/>
    <w:rsid w:val="006B6803"/>
    <w:rsid w:val="006C0D2F"/>
    <w:rsid w:val="006D2A3F"/>
    <w:rsid w:val="006D2FBC"/>
    <w:rsid w:val="006D7088"/>
    <w:rsid w:val="006D7E56"/>
    <w:rsid w:val="006E0D43"/>
    <w:rsid w:val="006E138B"/>
    <w:rsid w:val="006F181E"/>
    <w:rsid w:val="006F1FDC"/>
    <w:rsid w:val="006F2372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46E8B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873EE"/>
    <w:rsid w:val="00796E20"/>
    <w:rsid w:val="00797C32"/>
    <w:rsid w:val="007A4AF8"/>
    <w:rsid w:val="007B0914"/>
    <w:rsid w:val="007B1374"/>
    <w:rsid w:val="007B2569"/>
    <w:rsid w:val="007B589F"/>
    <w:rsid w:val="007B6186"/>
    <w:rsid w:val="007B73BC"/>
    <w:rsid w:val="007C20B9"/>
    <w:rsid w:val="007C6CCE"/>
    <w:rsid w:val="007C7301"/>
    <w:rsid w:val="007C7859"/>
    <w:rsid w:val="007D2BDE"/>
    <w:rsid w:val="007D2FB6"/>
    <w:rsid w:val="007D649E"/>
    <w:rsid w:val="007E0DE2"/>
    <w:rsid w:val="007E3B98"/>
    <w:rsid w:val="007E5B1F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2593"/>
    <w:rsid w:val="008338A2"/>
    <w:rsid w:val="00841AA9"/>
    <w:rsid w:val="00843975"/>
    <w:rsid w:val="00853EE4"/>
    <w:rsid w:val="00855535"/>
    <w:rsid w:val="0085731B"/>
    <w:rsid w:val="0086255E"/>
    <w:rsid w:val="008633F0"/>
    <w:rsid w:val="00867D9D"/>
    <w:rsid w:val="0087200A"/>
    <w:rsid w:val="00872E0A"/>
    <w:rsid w:val="00875285"/>
    <w:rsid w:val="00881E39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281"/>
    <w:rsid w:val="008D2846"/>
    <w:rsid w:val="008D4236"/>
    <w:rsid w:val="008D462F"/>
    <w:rsid w:val="008D6DCF"/>
    <w:rsid w:val="008E4376"/>
    <w:rsid w:val="008E4866"/>
    <w:rsid w:val="008E4AD8"/>
    <w:rsid w:val="008E72EF"/>
    <w:rsid w:val="008E7A0A"/>
    <w:rsid w:val="00900719"/>
    <w:rsid w:val="009017AC"/>
    <w:rsid w:val="00904A1C"/>
    <w:rsid w:val="00905030"/>
    <w:rsid w:val="00906490"/>
    <w:rsid w:val="00906864"/>
    <w:rsid w:val="009111B2"/>
    <w:rsid w:val="00920EA4"/>
    <w:rsid w:val="00924AE1"/>
    <w:rsid w:val="009269B1"/>
    <w:rsid w:val="0092724D"/>
    <w:rsid w:val="00927CD5"/>
    <w:rsid w:val="00937BD9"/>
    <w:rsid w:val="00950E2C"/>
    <w:rsid w:val="00951D50"/>
    <w:rsid w:val="009525EB"/>
    <w:rsid w:val="00954874"/>
    <w:rsid w:val="00961400"/>
    <w:rsid w:val="00963646"/>
    <w:rsid w:val="00982EE7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4C96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150A"/>
    <w:rsid w:val="009F2F27"/>
    <w:rsid w:val="009F34AA"/>
    <w:rsid w:val="009F3965"/>
    <w:rsid w:val="009F6BCB"/>
    <w:rsid w:val="009F7B78"/>
    <w:rsid w:val="00A0057A"/>
    <w:rsid w:val="00A11421"/>
    <w:rsid w:val="00A1206D"/>
    <w:rsid w:val="00A157B1"/>
    <w:rsid w:val="00A22229"/>
    <w:rsid w:val="00A44882"/>
    <w:rsid w:val="00A4792D"/>
    <w:rsid w:val="00A54715"/>
    <w:rsid w:val="00A6061C"/>
    <w:rsid w:val="00A60F28"/>
    <w:rsid w:val="00A62181"/>
    <w:rsid w:val="00A62D44"/>
    <w:rsid w:val="00A6591D"/>
    <w:rsid w:val="00A67263"/>
    <w:rsid w:val="00A7161C"/>
    <w:rsid w:val="00A770DD"/>
    <w:rsid w:val="00A77AA3"/>
    <w:rsid w:val="00A854EB"/>
    <w:rsid w:val="00A872E5"/>
    <w:rsid w:val="00A87851"/>
    <w:rsid w:val="00A91406"/>
    <w:rsid w:val="00A96E65"/>
    <w:rsid w:val="00A96E71"/>
    <w:rsid w:val="00A97C72"/>
    <w:rsid w:val="00AA63D4"/>
    <w:rsid w:val="00AA73C6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5C01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691F"/>
    <w:rsid w:val="00B57329"/>
    <w:rsid w:val="00B62B50"/>
    <w:rsid w:val="00B635B7"/>
    <w:rsid w:val="00B63AE8"/>
    <w:rsid w:val="00B65950"/>
    <w:rsid w:val="00B66D83"/>
    <w:rsid w:val="00B672C0"/>
    <w:rsid w:val="00B753FB"/>
    <w:rsid w:val="00B75646"/>
    <w:rsid w:val="00B90729"/>
    <w:rsid w:val="00B907DA"/>
    <w:rsid w:val="00B950BC"/>
    <w:rsid w:val="00B9714C"/>
    <w:rsid w:val="00BA3F8D"/>
    <w:rsid w:val="00BA52CC"/>
    <w:rsid w:val="00BB7A10"/>
    <w:rsid w:val="00BC7468"/>
    <w:rsid w:val="00BC7D4F"/>
    <w:rsid w:val="00BC7ED7"/>
    <w:rsid w:val="00BD0249"/>
    <w:rsid w:val="00BD2850"/>
    <w:rsid w:val="00BE28D2"/>
    <w:rsid w:val="00BE4A2B"/>
    <w:rsid w:val="00BE4A64"/>
    <w:rsid w:val="00BF7F58"/>
    <w:rsid w:val="00C01381"/>
    <w:rsid w:val="00C01541"/>
    <w:rsid w:val="00C079B8"/>
    <w:rsid w:val="00C123EA"/>
    <w:rsid w:val="00C12A49"/>
    <w:rsid w:val="00C133EE"/>
    <w:rsid w:val="00C27DE9"/>
    <w:rsid w:val="00C332A5"/>
    <w:rsid w:val="00C33388"/>
    <w:rsid w:val="00C35484"/>
    <w:rsid w:val="00C4173A"/>
    <w:rsid w:val="00C54246"/>
    <w:rsid w:val="00C5598D"/>
    <w:rsid w:val="00C5686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875E1"/>
    <w:rsid w:val="00C93C3E"/>
    <w:rsid w:val="00C94FF9"/>
    <w:rsid w:val="00CA12E3"/>
    <w:rsid w:val="00CA6611"/>
    <w:rsid w:val="00CA6AE6"/>
    <w:rsid w:val="00CA782F"/>
    <w:rsid w:val="00CB077C"/>
    <w:rsid w:val="00CB3285"/>
    <w:rsid w:val="00CC0C72"/>
    <w:rsid w:val="00CC2BFD"/>
    <w:rsid w:val="00CC50F9"/>
    <w:rsid w:val="00CD3476"/>
    <w:rsid w:val="00CD64DF"/>
    <w:rsid w:val="00CF2F50"/>
    <w:rsid w:val="00CF48A3"/>
    <w:rsid w:val="00CF7771"/>
    <w:rsid w:val="00D02919"/>
    <w:rsid w:val="00D04C61"/>
    <w:rsid w:val="00D05B8D"/>
    <w:rsid w:val="00D065A2"/>
    <w:rsid w:val="00D07F00"/>
    <w:rsid w:val="00D11647"/>
    <w:rsid w:val="00D169E4"/>
    <w:rsid w:val="00D17B72"/>
    <w:rsid w:val="00D3185C"/>
    <w:rsid w:val="00D31EC9"/>
    <w:rsid w:val="00D33E72"/>
    <w:rsid w:val="00D33FA0"/>
    <w:rsid w:val="00D35BD6"/>
    <w:rsid w:val="00D361B5"/>
    <w:rsid w:val="00D411A2"/>
    <w:rsid w:val="00D4606D"/>
    <w:rsid w:val="00D50B9C"/>
    <w:rsid w:val="00D52D73"/>
    <w:rsid w:val="00D52E58"/>
    <w:rsid w:val="00D56926"/>
    <w:rsid w:val="00D714CC"/>
    <w:rsid w:val="00D75EA7"/>
    <w:rsid w:val="00D81F21"/>
    <w:rsid w:val="00D81FF4"/>
    <w:rsid w:val="00D85D32"/>
    <w:rsid w:val="00D862ED"/>
    <w:rsid w:val="00D92C39"/>
    <w:rsid w:val="00D95470"/>
    <w:rsid w:val="00DA2619"/>
    <w:rsid w:val="00DA4239"/>
    <w:rsid w:val="00DB0B61"/>
    <w:rsid w:val="00DB1B4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561C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AED"/>
    <w:rsid w:val="00E33CDB"/>
    <w:rsid w:val="00E40181"/>
    <w:rsid w:val="00E46B32"/>
    <w:rsid w:val="00E56A01"/>
    <w:rsid w:val="00E629A1"/>
    <w:rsid w:val="00E6794C"/>
    <w:rsid w:val="00E71591"/>
    <w:rsid w:val="00E82C55"/>
    <w:rsid w:val="00E92AC3"/>
    <w:rsid w:val="00EA0E02"/>
    <w:rsid w:val="00EB00E0"/>
    <w:rsid w:val="00EB35F7"/>
    <w:rsid w:val="00EC059F"/>
    <w:rsid w:val="00EC1F24"/>
    <w:rsid w:val="00EC22F6"/>
    <w:rsid w:val="00EC5804"/>
    <w:rsid w:val="00EC7EB0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FFB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6C0B"/>
    <w:rsid w:val="00F6768F"/>
    <w:rsid w:val="00F67740"/>
    <w:rsid w:val="00F67E7B"/>
    <w:rsid w:val="00F72C2C"/>
    <w:rsid w:val="00F7468D"/>
    <w:rsid w:val="00F76CAB"/>
    <w:rsid w:val="00F772C6"/>
    <w:rsid w:val="00F815B5"/>
    <w:rsid w:val="00F8463D"/>
    <w:rsid w:val="00F85195"/>
    <w:rsid w:val="00F938BA"/>
    <w:rsid w:val="00FA2C46"/>
    <w:rsid w:val="00FA3525"/>
    <w:rsid w:val="00FB4769"/>
    <w:rsid w:val="00FB4CDA"/>
    <w:rsid w:val="00FC0F81"/>
    <w:rsid w:val="00FC395C"/>
    <w:rsid w:val="00FC697A"/>
    <w:rsid w:val="00FD3766"/>
    <w:rsid w:val="00FD47C4"/>
    <w:rsid w:val="00FE2DCF"/>
    <w:rsid w:val="00FF2FCE"/>
    <w:rsid w:val="00FF4F7D"/>
    <w:rsid w:val="00FF6716"/>
    <w:rsid w:val="00FF6B14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54CF36BC"/>
  <w15:docId w15:val="{F3C86A75-87D5-4811-8840-C03F520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2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A7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D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semiHidden/>
    <w:rsid w:val="00A770DD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semiHidden/>
    <w:rsid w:val="00A770DD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semiHidden/>
    <w:rsid w:val="00A770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2E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2E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public-health/infectious-diseases/personal-care-body-art-indust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ectious.diseases@dhhs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96BD-B4C1-4FD7-A634-D0AF0FD5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1168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7605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Cameron</dc:creator>
  <cp:lastModifiedBy>Ben Dunstan (DHHS)</cp:lastModifiedBy>
  <cp:revision>20</cp:revision>
  <cp:lastPrinted>2019-12-04T05:24:00Z</cp:lastPrinted>
  <dcterms:created xsi:type="dcterms:W3CDTF">2019-12-09T05:51:00Z</dcterms:created>
  <dcterms:modified xsi:type="dcterms:W3CDTF">2019-12-11T00:13:00Z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