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D5F0" w14:textId="77777777" w:rsidR="00A62D44" w:rsidRPr="004C6EEE" w:rsidRDefault="00DE2743" w:rsidP="00A7679D">
      <w:pPr>
        <w:pStyle w:val="Spacerparatopoffirstpage"/>
        <w:sectPr w:rsidR="00A62D44" w:rsidRPr="004C6EEE" w:rsidSect="00AD784C">
          <w:footerReference w:type="default" r:id="rId8"/>
          <w:pgSz w:w="11906" w:h="16838" w:code="9"/>
          <w:pgMar w:top="567" w:right="851" w:bottom="1418" w:left="851" w:header="510" w:footer="510" w:gutter="0"/>
          <w:cols w:space="708"/>
          <w:docGrid w:linePitch="360"/>
        </w:sectPr>
      </w:pPr>
      <w:r>
        <w:rPr>
          <w:lang w:eastAsia="en-AU"/>
        </w:rPr>
        <w:drawing>
          <wp:anchor distT="0" distB="0" distL="114300" distR="114300" simplePos="0" relativeHeight="251657728" behindDoc="1" locked="1" layoutInCell="0" allowOverlap="1" wp14:anchorId="469FA148" wp14:editId="74FB318D">
            <wp:simplePos x="0" y="0"/>
            <wp:positionH relativeFrom="page">
              <wp:posOffset>0</wp:posOffset>
            </wp:positionH>
            <wp:positionV relativeFrom="page">
              <wp:posOffset>0</wp:posOffset>
            </wp:positionV>
            <wp:extent cx="7563485" cy="2072640"/>
            <wp:effectExtent l="0" t="0" r="0" b="3810"/>
            <wp:wrapNone/>
            <wp:docPr id="3"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8901"/>
      </w:tblGrid>
      <w:tr w:rsidR="00AD784C" w14:paraId="7A6CCD03" w14:textId="77777777" w:rsidTr="00DD16B3">
        <w:trPr>
          <w:trHeight w:val="822"/>
        </w:trPr>
        <w:tc>
          <w:tcPr>
            <w:tcW w:w="8901" w:type="dxa"/>
            <w:shd w:val="clear" w:color="auto" w:fill="auto"/>
            <w:vAlign w:val="bottom"/>
          </w:tcPr>
          <w:p w14:paraId="03A20A2B" w14:textId="77777777" w:rsidR="00AD784C" w:rsidRPr="00161AA0" w:rsidRDefault="00B4640B" w:rsidP="00D52747">
            <w:pPr>
              <w:pStyle w:val="DHHSmainheading"/>
            </w:pPr>
            <w:r>
              <w:t xml:space="preserve">SafeScript </w:t>
            </w:r>
          </w:p>
        </w:tc>
      </w:tr>
      <w:tr w:rsidR="00AD784C" w14:paraId="549C01F0" w14:textId="77777777" w:rsidTr="00DD16B3">
        <w:trPr>
          <w:trHeight w:hRule="exact" w:val="766"/>
        </w:trPr>
        <w:tc>
          <w:tcPr>
            <w:tcW w:w="8901" w:type="dxa"/>
            <w:shd w:val="clear" w:color="auto" w:fill="auto"/>
            <w:tcMar>
              <w:top w:w="170" w:type="dxa"/>
              <w:bottom w:w="510" w:type="dxa"/>
            </w:tcMar>
          </w:tcPr>
          <w:p w14:paraId="3B01F18A" w14:textId="77777777" w:rsidR="00357B4E" w:rsidRPr="00EC2F23" w:rsidRDefault="00B4640B" w:rsidP="001C3519">
            <w:pPr>
              <w:pStyle w:val="DHHSmainsubheading"/>
              <w:rPr>
                <w:szCs w:val="28"/>
              </w:rPr>
            </w:pPr>
            <w:r>
              <w:rPr>
                <w:szCs w:val="28"/>
              </w:rPr>
              <w:t>Frequently Asked Questions</w:t>
            </w:r>
            <w:r w:rsidR="009F074B">
              <w:rPr>
                <w:szCs w:val="28"/>
              </w:rPr>
              <w:t xml:space="preserve"> – </w:t>
            </w:r>
            <w:r w:rsidR="001C3519">
              <w:rPr>
                <w:szCs w:val="28"/>
              </w:rPr>
              <w:t>for health professionals</w:t>
            </w:r>
          </w:p>
        </w:tc>
      </w:tr>
    </w:tbl>
    <w:p w14:paraId="000346FB" w14:textId="77777777" w:rsidR="008953D9" w:rsidRDefault="008953D9" w:rsidP="008953D9">
      <w:pPr>
        <w:pStyle w:val="Heading4"/>
        <w:sectPr w:rsidR="008953D9"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p>
    <w:p w14:paraId="75B6FF34" w14:textId="47EE8A4E" w:rsidR="008D09E3" w:rsidRDefault="008D09E3" w:rsidP="008D09E3">
      <w:pPr>
        <w:pStyle w:val="Heading2"/>
      </w:pPr>
      <w:r>
        <w:t>General questions about SafeScript</w:t>
      </w:r>
    </w:p>
    <w:p w14:paraId="18C6C927" w14:textId="14D2CAB3" w:rsidR="00B4640B" w:rsidRPr="00C84491" w:rsidRDefault="00B4640B" w:rsidP="008E453B">
      <w:pPr>
        <w:pStyle w:val="Heading4"/>
        <w:rPr>
          <w:sz w:val="24"/>
        </w:rPr>
      </w:pPr>
      <w:r w:rsidRPr="00C84491">
        <w:rPr>
          <w:sz w:val="24"/>
        </w:rPr>
        <w:t xml:space="preserve">What is </w:t>
      </w:r>
      <w:r w:rsidR="004F2E1A" w:rsidRPr="00C84491">
        <w:rPr>
          <w:sz w:val="24"/>
        </w:rPr>
        <w:t>SafeScript</w:t>
      </w:r>
      <w:r w:rsidRPr="00C84491">
        <w:rPr>
          <w:sz w:val="24"/>
        </w:rPr>
        <w:t>?</w:t>
      </w:r>
    </w:p>
    <w:p w14:paraId="1D1F98F7" w14:textId="77777777" w:rsidR="00B4640B" w:rsidRPr="00B4640B" w:rsidRDefault="004F2E1A" w:rsidP="00FD5F18">
      <w:pPr>
        <w:pStyle w:val="DHHSbody"/>
      </w:pPr>
      <w:r>
        <w:t>SafeScript</w:t>
      </w:r>
      <w:r w:rsidR="00B4640B" w:rsidRPr="00B4640B">
        <w:t xml:space="preserve"> is computer software that allows </w:t>
      </w:r>
      <w:r w:rsidR="00287265">
        <w:t xml:space="preserve">prescribing and </w:t>
      </w:r>
      <w:r w:rsidR="00B4640B" w:rsidRPr="00B4640B">
        <w:t xml:space="preserve">dispensing records for certain </w:t>
      </w:r>
      <w:r w:rsidR="00F52B74">
        <w:t>high</w:t>
      </w:r>
      <w:r w:rsidR="00CB356E">
        <w:t>-</w:t>
      </w:r>
      <w:r w:rsidR="00F52B74">
        <w:t>ri</w:t>
      </w:r>
      <w:r w:rsidR="00823969">
        <w:t xml:space="preserve">sk </w:t>
      </w:r>
      <w:r w:rsidR="00B4640B" w:rsidRPr="00B4640B">
        <w:t xml:space="preserve">medicines to be transmitted in real-time to a centralised database which can then be accessed by doctors and pharmacists during a consultation.  </w:t>
      </w:r>
    </w:p>
    <w:p w14:paraId="603BFB15" w14:textId="6614EB10" w:rsidR="00692E3B" w:rsidRPr="00692E3B" w:rsidRDefault="002C3B7F" w:rsidP="00FD5F18">
      <w:pPr>
        <w:pStyle w:val="DHHSbody"/>
        <w:spacing w:after="80"/>
      </w:pPr>
      <w:r>
        <w:t>SafeScript provide</w:t>
      </w:r>
      <w:r w:rsidR="002A0553">
        <w:t>s</w:t>
      </w:r>
      <w:r>
        <w:t xml:space="preserve"> prescribers and pharmacists with a clinical tool to make safer decisions about</w:t>
      </w:r>
      <w:r w:rsidR="00870FC4">
        <w:t xml:space="preserve"> the prescribing or dispensing of </w:t>
      </w:r>
      <w:r>
        <w:t>high-risk medicine</w:t>
      </w:r>
      <w:r w:rsidR="00870FC4">
        <w:t>s</w:t>
      </w:r>
      <w:r>
        <w:t>, and facilitate the early identification</w:t>
      </w:r>
      <w:r w:rsidR="00081DD1">
        <w:t xml:space="preserve">, </w:t>
      </w:r>
      <w:r>
        <w:t xml:space="preserve">treatment and support for patients who are developing signs of dependence. </w:t>
      </w:r>
    </w:p>
    <w:p w14:paraId="6CA10E31" w14:textId="644B859B" w:rsidR="008D0207" w:rsidRDefault="74ACD440" w:rsidP="00FD5F18">
      <w:pPr>
        <w:pStyle w:val="DHHSbody"/>
        <w:spacing w:after="0"/>
      </w:pPr>
      <w:r>
        <w:t>After a successful study area focussed on the Western Victoria Primary Health Network region, SafeScript was implemented across Victoria from 1 April 2019</w:t>
      </w:r>
      <w:r w:rsidRPr="74ACD440">
        <w:rPr>
          <w:lang w:val="en-US"/>
        </w:rPr>
        <w:t>.</w:t>
      </w:r>
    </w:p>
    <w:p w14:paraId="79AA67B5" w14:textId="77777777" w:rsidR="00B4640B" w:rsidRPr="00C84491" w:rsidRDefault="00B4640B" w:rsidP="001D72E3">
      <w:pPr>
        <w:pStyle w:val="Heading4"/>
        <w:rPr>
          <w:sz w:val="24"/>
        </w:rPr>
      </w:pPr>
      <w:r w:rsidRPr="00C84491">
        <w:rPr>
          <w:sz w:val="24"/>
        </w:rPr>
        <w:t xml:space="preserve">Why is </w:t>
      </w:r>
      <w:r w:rsidR="004F2E1A" w:rsidRPr="00C84491">
        <w:rPr>
          <w:sz w:val="24"/>
        </w:rPr>
        <w:t>SafeScript</w:t>
      </w:r>
      <w:r w:rsidRPr="00C84491">
        <w:rPr>
          <w:sz w:val="24"/>
        </w:rPr>
        <w:t xml:space="preserve"> necessary?</w:t>
      </w:r>
    </w:p>
    <w:p w14:paraId="195978FA" w14:textId="77777777" w:rsidR="00B4640B" w:rsidRDefault="00B4640B" w:rsidP="00B4640B">
      <w:pPr>
        <w:pStyle w:val="DHHSbody"/>
      </w:pPr>
      <w:r w:rsidRPr="00B4640B">
        <w:t xml:space="preserve">The </w:t>
      </w:r>
      <w:r w:rsidR="001033DD">
        <w:t xml:space="preserve">harms </w:t>
      </w:r>
      <w:r w:rsidR="00081DD1">
        <w:t xml:space="preserve">and increasing number of deaths </w:t>
      </w:r>
      <w:r w:rsidR="001033DD">
        <w:t>from</w:t>
      </w:r>
      <w:r w:rsidRPr="00B4640B">
        <w:t xml:space="preserve"> prescription medicines are a major public health concern.</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026"/>
        <w:gridCol w:w="1026"/>
        <w:gridCol w:w="1026"/>
        <w:gridCol w:w="1026"/>
        <w:gridCol w:w="1026"/>
        <w:gridCol w:w="1026"/>
      </w:tblGrid>
      <w:tr w:rsidR="003455EC" w:rsidRPr="005B6177" w14:paraId="615FF551" w14:textId="77777777" w:rsidTr="00FD5F18">
        <w:trPr>
          <w:trHeight w:val="220"/>
        </w:trPr>
        <w:tc>
          <w:tcPr>
            <w:tcW w:w="2575" w:type="dxa"/>
            <w:tcBorders>
              <w:bottom w:val="single" w:sz="4" w:space="0" w:color="auto"/>
            </w:tcBorders>
            <w:shd w:val="clear" w:color="auto" w:fill="201547"/>
          </w:tcPr>
          <w:p w14:paraId="1882C9CB" w14:textId="77777777" w:rsidR="003455EC" w:rsidRPr="00FD5F18" w:rsidRDefault="003455EC" w:rsidP="00FD5F18">
            <w:pPr>
              <w:pStyle w:val="TableHeader-White"/>
              <w:spacing w:before="20" w:after="20"/>
              <w:rPr>
                <w:rFonts w:ascii="Arial" w:hAnsi="Arial" w:cs="Arial"/>
                <w:sz w:val="18"/>
              </w:rPr>
            </w:pPr>
            <w:r w:rsidRPr="00FD5F18">
              <w:rPr>
                <w:rFonts w:ascii="Arial" w:hAnsi="Arial" w:cs="Arial"/>
                <w:sz w:val="18"/>
              </w:rPr>
              <w:t>Deaths in Victoria</w:t>
            </w:r>
          </w:p>
        </w:tc>
        <w:tc>
          <w:tcPr>
            <w:tcW w:w="1026" w:type="dxa"/>
            <w:tcBorders>
              <w:bottom w:val="single" w:sz="4" w:space="0" w:color="auto"/>
            </w:tcBorders>
            <w:shd w:val="clear" w:color="auto" w:fill="201547"/>
          </w:tcPr>
          <w:p w14:paraId="6C842259" w14:textId="77777777" w:rsidR="003455EC" w:rsidRPr="00FD5F18" w:rsidRDefault="003455EC" w:rsidP="00FD5F18">
            <w:pPr>
              <w:pStyle w:val="TableHeader-White"/>
              <w:spacing w:before="20" w:after="20"/>
              <w:jc w:val="center"/>
              <w:rPr>
                <w:rFonts w:ascii="Arial" w:hAnsi="Arial" w:cs="Arial"/>
                <w:sz w:val="18"/>
                <w:szCs w:val="17"/>
              </w:rPr>
            </w:pPr>
            <w:r w:rsidRPr="00FD5F18">
              <w:rPr>
                <w:rFonts w:ascii="Arial" w:hAnsi="Arial" w:cs="Arial"/>
                <w:sz w:val="18"/>
                <w:szCs w:val="17"/>
              </w:rPr>
              <w:t>2012</w:t>
            </w:r>
          </w:p>
        </w:tc>
        <w:tc>
          <w:tcPr>
            <w:tcW w:w="1026" w:type="dxa"/>
            <w:tcBorders>
              <w:bottom w:val="single" w:sz="4" w:space="0" w:color="auto"/>
            </w:tcBorders>
            <w:shd w:val="clear" w:color="auto" w:fill="201547"/>
          </w:tcPr>
          <w:p w14:paraId="2426939D" w14:textId="77777777" w:rsidR="003455EC" w:rsidRPr="00FD5F18" w:rsidRDefault="003455EC" w:rsidP="00FD5F18">
            <w:pPr>
              <w:pStyle w:val="TableHeader-White"/>
              <w:spacing w:before="20" w:after="20"/>
              <w:jc w:val="center"/>
              <w:rPr>
                <w:rFonts w:ascii="Arial" w:hAnsi="Arial" w:cs="Arial"/>
                <w:sz w:val="18"/>
                <w:szCs w:val="17"/>
              </w:rPr>
            </w:pPr>
            <w:r w:rsidRPr="00FD5F18">
              <w:rPr>
                <w:rFonts w:ascii="Arial" w:hAnsi="Arial" w:cs="Arial"/>
                <w:sz w:val="18"/>
                <w:szCs w:val="17"/>
              </w:rPr>
              <w:t>2013</w:t>
            </w:r>
          </w:p>
        </w:tc>
        <w:tc>
          <w:tcPr>
            <w:tcW w:w="1026" w:type="dxa"/>
            <w:tcBorders>
              <w:bottom w:val="single" w:sz="4" w:space="0" w:color="auto"/>
            </w:tcBorders>
            <w:shd w:val="clear" w:color="auto" w:fill="201547"/>
          </w:tcPr>
          <w:p w14:paraId="76F9BB6F" w14:textId="77777777" w:rsidR="003455EC" w:rsidRPr="00FD5F18" w:rsidRDefault="003455EC" w:rsidP="00FD5F18">
            <w:pPr>
              <w:pStyle w:val="TableHeader-White"/>
              <w:spacing w:before="20" w:after="20"/>
              <w:jc w:val="center"/>
              <w:rPr>
                <w:rFonts w:ascii="Arial" w:hAnsi="Arial" w:cs="Arial"/>
                <w:sz w:val="18"/>
                <w:szCs w:val="17"/>
              </w:rPr>
            </w:pPr>
            <w:r w:rsidRPr="00FD5F18">
              <w:rPr>
                <w:rFonts w:ascii="Arial" w:hAnsi="Arial" w:cs="Arial"/>
                <w:sz w:val="18"/>
                <w:szCs w:val="17"/>
              </w:rPr>
              <w:t>2014</w:t>
            </w:r>
          </w:p>
        </w:tc>
        <w:tc>
          <w:tcPr>
            <w:tcW w:w="1026" w:type="dxa"/>
            <w:tcBorders>
              <w:bottom w:val="single" w:sz="4" w:space="0" w:color="auto"/>
            </w:tcBorders>
            <w:shd w:val="clear" w:color="auto" w:fill="201547"/>
          </w:tcPr>
          <w:p w14:paraId="65988383" w14:textId="77777777" w:rsidR="003455EC" w:rsidRPr="00FD5F18" w:rsidRDefault="003455EC" w:rsidP="00FD5F18">
            <w:pPr>
              <w:pStyle w:val="TableHeader-White"/>
              <w:spacing w:before="20" w:after="20"/>
              <w:jc w:val="center"/>
              <w:rPr>
                <w:rFonts w:ascii="Arial" w:hAnsi="Arial" w:cs="Arial"/>
                <w:sz w:val="18"/>
                <w:szCs w:val="17"/>
              </w:rPr>
            </w:pPr>
            <w:r w:rsidRPr="00FD5F18">
              <w:rPr>
                <w:rFonts w:ascii="Arial" w:hAnsi="Arial" w:cs="Arial"/>
                <w:sz w:val="18"/>
                <w:szCs w:val="17"/>
              </w:rPr>
              <w:t>2015</w:t>
            </w:r>
          </w:p>
        </w:tc>
        <w:tc>
          <w:tcPr>
            <w:tcW w:w="1026" w:type="dxa"/>
            <w:tcBorders>
              <w:bottom w:val="single" w:sz="4" w:space="0" w:color="auto"/>
            </w:tcBorders>
            <w:shd w:val="clear" w:color="auto" w:fill="201547"/>
          </w:tcPr>
          <w:p w14:paraId="26FA31E7" w14:textId="77777777" w:rsidR="003455EC" w:rsidRPr="00FD5F18" w:rsidRDefault="003455EC" w:rsidP="00FD5F18">
            <w:pPr>
              <w:pStyle w:val="TableHeader-White"/>
              <w:spacing w:before="20" w:after="20"/>
              <w:jc w:val="center"/>
              <w:rPr>
                <w:rFonts w:ascii="Arial" w:hAnsi="Arial" w:cs="Arial"/>
                <w:sz w:val="18"/>
                <w:szCs w:val="17"/>
              </w:rPr>
            </w:pPr>
            <w:r w:rsidRPr="00FD5F18">
              <w:rPr>
                <w:rFonts w:ascii="Arial" w:hAnsi="Arial" w:cs="Arial"/>
                <w:sz w:val="18"/>
                <w:szCs w:val="17"/>
              </w:rPr>
              <w:t>2016</w:t>
            </w:r>
          </w:p>
        </w:tc>
        <w:tc>
          <w:tcPr>
            <w:tcW w:w="1026" w:type="dxa"/>
            <w:tcBorders>
              <w:bottom w:val="single" w:sz="4" w:space="0" w:color="auto"/>
            </w:tcBorders>
            <w:shd w:val="clear" w:color="auto" w:fill="201547"/>
          </w:tcPr>
          <w:p w14:paraId="67592150" w14:textId="77777777" w:rsidR="003455EC" w:rsidRPr="00FD5F18" w:rsidRDefault="003455EC" w:rsidP="00FD5F18">
            <w:pPr>
              <w:pStyle w:val="TableHeader-White"/>
              <w:spacing w:before="20" w:after="20"/>
              <w:jc w:val="center"/>
              <w:rPr>
                <w:rFonts w:ascii="Arial" w:hAnsi="Arial" w:cs="Arial"/>
                <w:sz w:val="18"/>
                <w:szCs w:val="17"/>
              </w:rPr>
            </w:pPr>
            <w:r w:rsidRPr="00FD5F18">
              <w:rPr>
                <w:rFonts w:ascii="Arial" w:hAnsi="Arial" w:cs="Arial"/>
                <w:sz w:val="18"/>
                <w:szCs w:val="17"/>
              </w:rPr>
              <w:t>2</w:t>
            </w:r>
            <w:r w:rsidR="00B708FC" w:rsidRPr="00FD5F18">
              <w:rPr>
                <w:rFonts w:ascii="Arial" w:hAnsi="Arial" w:cs="Arial"/>
                <w:sz w:val="18"/>
                <w:szCs w:val="17"/>
              </w:rPr>
              <w:t>0</w:t>
            </w:r>
            <w:r w:rsidRPr="00FD5F18">
              <w:rPr>
                <w:rFonts w:ascii="Arial" w:hAnsi="Arial" w:cs="Arial"/>
                <w:sz w:val="18"/>
                <w:szCs w:val="17"/>
              </w:rPr>
              <w:t>17</w:t>
            </w:r>
          </w:p>
        </w:tc>
      </w:tr>
      <w:tr w:rsidR="003455EC" w:rsidRPr="005B6177" w14:paraId="1C414A89" w14:textId="77777777" w:rsidTr="00DD16B3">
        <w:trPr>
          <w:trHeight w:val="265"/>
        </w:trPr>
        <w:tc>
          <w:tcPr>
            <w:tcW w:w="2575" w:type="dxa"/>
            <w:shd w:val="clear" w:color="auto" w:fill="auto"/>
          </w:tcPr>
          <w:p w14:paraId="39531CE9" w14:textId="77777777" w:rsidR="003455EC" w:rsidRPr="00932679" w:rsidRDefault="003455EC" w:rsidP="0028656F">
            <w:pPr>
              <w:pStyle w:val="TableHeader-White"/>
              <w:spacing w:before="20" w:after="20"/>
              <w:rPr>
                <w:rFonts w:ascii="Arial" w:hAnsi="Arial" w:cs="Arial"/>
                <w:color w:val="auto"/>
                <w:sz w:val="18"/>
                <w:szCs w:val="18"/>
              </w:rPr>
            </w:pPr>
            <w:r w:rsidRPr="00932679">
              <w:rPr>
                <w:rFonts w:ascii="Arial" w:hAnsi="Arial" w:cs="Arial"/>
                <w:color w:val="auto"/>
                <w:sz w:val="18"/>
                <w:szCs w:val="18"/>
              </w:rPr>
              <w:t>Pharmaceutical medicines</w:t>
            </w:r>
          </w:p>
        </w:tc>
        <w:tc>
          <w:tcPr>
            <w:tcW w:w="1026" w:type="dxa"/>
            <w:shd w:val="clear" w:color="auto" w:fill="auto"/>
          </w:tcPr>
          <w:p w14:paraId="4488F37B" w14:textId="77777777" w:rsidR="003455EC" w:rsidRPr="005B6177" w:rsidRDefault="003455EC" w:rsidP="008559F9">
            <w:pPr>
              <w:pStyle w:val="TableHeader-White"/>
              <w:spacing w:before="20" w:after="20"/>
              <w:jc w:val="center"/>
              <w:rPr>
                <w:rFonts w:ascii="Arial" w:hAnsi="Arial" w:cs="Arial"/>
                <w:color w:val="auto"/>
                <w:sz w:val="18"/>
              </w:rPr>
            </w:pPr>
            <w:r w:rsidRPr="005B6177">
              <w:rPr>
                <w:rFonts w:ascii="Arial" w:hAnsi="Arial" w:cs="Arial"/>
                <w:color w:val="auto"/>
                <w:sz w:val="18"/>
              </w:rPr>
              <w:t>30</w:t>
            </w:r>
            <w:r w:rsidR="008559F9">
              <w:rPr>
                <w:rFonts w:ascii="Arial" w:hAnsi="Arial" w:cs="Arial"/>
                <w:color w:val="auto"/>
                <w:sz w:val="18"/>
              </w:rPr>
              <w:t>3</w:t>
            </w:r>
          </w:p>
        </w:tc>
        <w:tc>
          <w:tcPr>
            <w:tcW w:w="1026" w:type="dxa"/>
            <w:shd w:val="clear" w:color="auto" w:fill="auto"/>
          </w:tcPr>
          <w:p w14:paraId="54F1918B" w14:textId="77777777" w:rsidR="003455EC" w:rsidRPr="005B6177" w:rsidRDefault="003455EC" w:rsidP="008559F9">
            <w:pPr>
              <w:pStyle w:val="TableHeader-White"/>
              <w:spacing w:before="20" w:after="20"/>
              <w:jc w:val="center"/>
              <w:rPr>
                <w:rFonts w:ascii="Arial" w:hAnsi="Arial" w:cs="Arial"/>
                <w:color w:val="auto"/>
                <w:sz w:val="18"/>
              </w:rPr>
            </w:pPr>
            <w:r w:rsidRPr="005B6177">
              <w:rPr>
                <w:rFonts w:ascii="Arial" w:hAnsi="Arial" w:cs="Arial"/>
                <w:color w:val="auto"/>
                <w:sz w:val="18"/>
              </w:rPr>
              <w:t>31</w:t>
            </w:r>
            <w:r w:rsidR="008559F9">
              <w:rPr>
                <w:rFonts w:ascii="Arial" w:hAnsi="Arial" w:cs="Arial"/>
                <w:color w:val="auto"/>
                <w:sz w:val="18"/>
              </w:rPr>
              <w:t>2</w:t>
            </w:r>
          </w:p>
        </w:tc>
        <w:tc>
          <w:tcPr>
            <w:tcW w:w="1026" w:type="dxa"/>
            <w:shd w:val="clear" w:color="auto" w:fill="auto"/>
          </w:tcPr>
          <w:p w14:paraId="526975DC" w14:textId="77777777" w:rsidR="003455EC" w:rsidRPr="005B6177" w:rsidRDefault="003455EC" w:rsidP="0028656F">
            <w:pPr>
              <w:pStyle w:val="TableHeader-White"/>
              <w:spacing w:before="20" w:after="20"/>
              <w:jc w:val="center"/>
              <w:rPr>
                <w:rFonts w:ascii="Arial" w:hAnsi="Arial" w:cs="Arial"/>
                <w:color w:val="auto"/>
                <w:sz w:val="18"/>
              </w:rPr>
            </w:pPr>
            <w:r w:rsidRPr="005B6177">
              <w:rPr>
                <w:rFonts w:ascii="Arial" w:hAnsi="Arial" w:cs="Arial"/>
                <w:color w:val="auto"/>
                <w:sz w:val="18"/>
              </w:rPr>
              <w:t>316</w:t>
            </w:r>
          </w:p>
        </w:tc>
        <w:tc>
          <w:tcPr>
            <w:tcW w:w="1026" w:type="dxa"/>
            <w:shd w:val="clear" w:color="auto" w:fill="auto"/>
          </w:tcPr>
          <w:p w14:paraId="32DB5622" w14:textId="77777777" w:rsidR="003455EC" w:rsidRPr="005B6177" w:rsidRDefault="003455EC" w:rsidP="008559F9">
            <w:pPr>
              <w:pStyle w:val="TableHeader-White"/>
              <w:spacing w:before="20" w:after="20"/>
              <w:jc w:val="center"/>
              <w:rPr>
                <w:rFonts w:ascii="Arial" w:hAnsi="Arial" w:cs="Arial"/>
                <w:color w:val="auto"/>
                <w:sz w:val="18"/>
              </w:rPr>
            </w:pPr>
            <w:r w:rsidRPr="005B6177">
              <w:rPr>
                <w:rFonts w:ascii="Arial" w:hAnsi="Arial" w:cs="Arial"/>
                <w:color w:val="auto"/>
                <w:sz w:val="18"/>
              </w:rPr>
              <w:t>3</w:t>
            </w:r>
            <w:r w:rsidR="008559F9">
              <w:rPr>
                <w:rFonts w:ascii="Arial" w:hAnsi="Arial" w:cs="Arial"/>
                <w:color w:val="auto"/>
                <w:sz w:val="18"/>
              </w:rPr>
              <w:t>56</w:t>
            </w:r>
          </w:p>
        </w:tc>
        <w:tc>
          <w:tcPr>
            <w:tcW w:w="1026" w:type="dxa"/>
            <w:shd w:val="clear" w:color="auto" w:fill="auto"/>
          </w:tcPr>
          <w:p w14:paraId="23842EB2" w14:textId="77777777" w:rsidR="003455EC" w:rsidRPr="005B6177" w:rsidRDefault="003455EC" w:rsidP="008559F9">
            <w:pPr>
              <w:pStyle w:val="TableHeader-White"/>
              <w:spacing w:before="20" w:after="20"/>
              <w:jc w:val="center"/>
              <w:rPr>
                <w:rFonts w:ascii="Arial" w:hAnsi="Arial" w:cs="Arial"/>
                <w:color w:val="auto"/>
                <w:sz w:val="18"/>
              </w:rPr>
            </w:pPr>
            <w:r w:rsidRPr="005B6177">
              <w:rPr>
                <w:rFonts w:ascii="Arial" w:hAnsi="Arial" w:cs="Arial"/>
                <w:color w:val="auto"/>
                <w:sz w:val="18"/>
              </w:rPr>
              <w:t>3</w:t>
            </w:r>
            <w:r w:rsidR="008559F9">
              <w:rPr>
                <w:rFonts w:ascii="Arial" w:hAnsi="Arial" w:cs="Arial"/>
                <w:color w:val="auto"/>
                <w:sz w:val="18"/>
              </w:rPr>
              <w:t>81</w:t>
            </w:r>
          </w:p>
        </w:tc>
        <w:tc>
          <w:tcPr>
            <w:tcW w:w="1026" w:type="dxa"/>
          </w:tcPr>
          <w:p w14:paraId="21001C10" w14:textId="77777777" w:rsidR="003455EC" w:rsidRPr="005B6177" w:rsidRDefault="003455EC" w:rsidP="0028656F">
            <w:pPr>
              <w:pStyle w:val="TableHeader-White"/>
              <w:spacing w:before="20" w:after="20"/>
              <w:jc w:val="center"/>
              <w:rPr>
                <w:rFonts w:ascii="Arial" w:hAnsi="Arial" w:cs="Arial"/>
                <w:color w:val="auto"/>
                <w:sz w:val="18"/>
              </w:rPr>
            </w:pPr>
            <w:r>
              <w:rPr>
                <w:rFonts w:ascii="Arial" w:hAnsi="Arial" w:cs="Arial"/>
                <w:color w:val="auto"/>
                <w:sz w:val="18"/>
              </w:rPr>
              <w:t>414</w:t>
            </w:r>
          </w:p>
        </w:tc>
      </w:tr>
      <w:tr w:rsidR="003455EC" w:rsidRPr="005B6177" w14:paraId="77BD0521" w14:textId="77777777" w:rsidTr="00FD5F18">
        <w:trPr>
          <w:trHeight w:val="174"/>
        </w:trPr>
        <w:tc>
          <w:tcPr>
            <w:tcW w:w="2575" w:type="dxa"/>
            <w:shd w:val="clear" w:color="auto" w:fill="auto"/>
          </w:tcPr>
          <w:p w14:paraId="0FD53081" w14:textId="77777777" w:rsidR="003455EC" w:rsidRPr="005B6177" w:rsidRDefault="003455EC" w:rsidP="0028656F">
            <w:pPr>
              <w:pStyle w:val="TableText"/>
              <w:rPr>
                <w:rFonts w:ascii="Arial" w:hAnsi="Arial" w:cs="Arial"/>
                <w:sz w:val="18"/>
              </w:rPr>
            </w:pPr>
            <w:r w:rsidRPr="005B6177">
              <w:rPr>
                <w:rFonts w:ascii="Arial" w:hAnsi="Arial" w:cs="Arial"/>
                <w:sz w:val="18"/>
              </w:rPr>
              <w:t>Illicit drugs</w:t>
            </w:r>
          </w:p>
        </w:tc>
        <w:tc>
          <w:tcPr>
            <w:tcW w:w="1026" w:type="dxa"/>
            <w:shd w:val="clear" w:color="auto" w:fill="auto"/>
          </w:tcPr>
          <w:p w14:paraId="00B28A53" w14:textId="77777777" w:rsidR="003455EC" w:rsidRPr="005B6177" w:rsidRDefault="003455EC" w:rsidP="008559F9">
            <w:pPr>
              <w:pStyle w:val="TableText"/>
              <w:jc w:val="center"/>
              <w:rPr>
                <w:rFonts w:ascii="Arial" w:hAnsi="Arial" w:cs="Arial"/>
                <w:sz w:val="18"/>
              </w:rPr>
            </w:pPr>
            <w:r w:rsidRPr="005B6177">
              <w:rPr>
                <w:rFonts w:ascii="Arial" w:hAnsi="Arial" w:cs="Arial"/>
                <w:sz w:val="18"/>
              </w:rPr>
              <w:t>13</w:t>
            </w:r>
            <w:r w:rsidR="008559F9">
              <w:rPr>
                <w:rFonts w:ascii="Arial" w:hAnsi="Arial" w:cs="Arial"/>
                <w:sz w:val="18"/>
              </w:rPr>
              <w:t>0</w:t>
            </w:r>
          </w:p>
        </w:tc>
        <w:tc>
          <w:tcPr>
            <w:tcW w:w="1026" w:type="dxa"/>
            <w:shd w:val="clear" w:color="auto" w:fill="auto"/>
          </w:tcPr>
          <w:p w14:paraId="5C71543D" w14:textId="77777777" w:rsidR="003455EC" w:rsidRPr="005B6177" w:rsidRDefault="003455EC" w:rsidP="008559F9">
            <w:pPr>
              <w:pStyle w:val="TableText"/>
              <w:jc w:val="center"/>
              <w:rPr>
                <w:rFonts w:ascii="Arial" w:hAnsi="Arial" w:cs="Arial"/>
                <w:sz w:val="18"/>
              </w:rPr>
            </w:pPr>
            <w:r w:rsidRPr="005B6177">
              <w:rPr>
                <w:rFonts w:ascii="Arial" w:hAnsi="Arial" w:cs="Arial"/>
                <w:sz w:val="18"/>
              </w:rPr>
              <w:t>16</w:t>
            </w:r>
            <w:r w:rsidR="008559F9">
              <w:rPr>
                <w:rFonts w:ascii="Arial" w:hAnsi="Arial" w:cs="Arial"/>
                <w:sz w:val="18"/>
              </w:rPr>
              <w:t>3</w:t>
            </w:r>
          </w:p>
        </w:tc>
        <w:tc>
          <w:tcPr>
            <w:tcW w:w="1026" w:type="dxa"/>
            <w:shd w:val="clear" w:color="auto" w:fill="auto"/>
          </w:tcPr>
          <w:p w14:paraId="02B989F2" w14:textId="77777777" w:rsidR="003455EC" w:rsidRPr="005B6177" w:rsidRDefault="003455EC" w:rsidP="0028656F">
            <w:pPr>
              <w:pStyle w:val="TableText"/>
              <w:jc w:val="center"/>
              <w:rPr>
                <w:rFonts w:ascii="Arial" w:hAnsi="Arial" w:cs="Arial"/>
                <w:sz w:val="18"/>
              </w:rPr>
            </w:pPr>
            <w:r w:rsidRPr="005B6177">
              <w:rPr>
                <w:rFonts w:ascii="Arial" w:hAnsi="Arial" w:cs="Arial"/>
                <w:sz w:val="18"/>
              </w:rPr>
              <w:t>164</w:t>
            </w:r>
          </w:p>
        </w:tc>
        <w:tc>
          <w:tcPr>
            <w:tcW w:w="1026" w:type="dxa"/>
            <w:shd w:val="clear" w:color="auto" w:fill="auto"/>
          </w:tcPr>
          <w:p w14:paraId="22EDC96E" w14:textId="77777777" w:rsidR="003455EC" w:rsidRPr="005B6177" w:rsidRDefault="003455EC" w:rsidP="008559F9">
            <w:pPr>
              <w:pStyle w:val="TableText"/>
              <w:jc w:val="center"/>
              <w:rPr>
                <w:rFonts w:ascii="Arial" w:hAnsi="Arial" w:cs="Arial"/>
                <w:sz w:val="18"/>
              </w:rPr>
            </w:pPr>
            <w:r w:rsidRPr="005B6177">
              <w:rPr>
                <w:rFonts w:ascii="Arial" w:hAnsi="Arial" w:cs="Arial"/>
                <w:sz w:val="18"/>
              </w:rPr>
              <w:t>2</w:t>
            </w:r>
            <w:r w:rsidR="008559F9">
              <w:rPr>
                <w:rFonts w:ascii="Arial" w:hAnsi="Arial" w:cs="Arial"/>
                <w:sz w:val="18"/>
              </w:rPr>
              <w:t>2</w:t>
            </w:r>
            <w:r w:rsidRPr="005B6177">
              <w:rPr>
                <w:rFonts w:ascii="Arial" w:hAnsi="Arial" w:cs="Arial"/>
                <w:sz w:val="18"/>
              </w:rPr>
              <w:t>7</w:t>
            </w:r>
          </w:p>
        </w:tc>
        <w:tc>
          <w:tcPr>
            <w:tcW w:w="1026" w:type="dxa"/>
            <w:shd w:val="clear" w:color="auto" w:fill="auto"/>
          </w:tcPr>
          <w:p w14:paraId="17554381" w14:textId="77777777" w:rsidR="003455EC" w:rsidRPr="005B6177" w:rsidRDefault="003455EC" w:rsidP="008559F9">
            <w:pPr>
              <w:pStyle w:val="TableText"/>
              <w:jc w:val="center"/>
              <w:rPr>
                <w:rFonts w:ascii="Arial" w:hAnsi="Arial" w:cs="Arial"/>
                <w:sz w:val="18"/>
              </w:rPr>
            </w:pPr>
            <w:r w:rsidRPr="005B6177">
              <w:rPr>
                <w:rFonts w:ascii="Arial" w:hAnsi="Arial" w:cs="Arial"/>
                <w:sz w:val="18"/>
              </w:rPr>
              <w:t>2</w:t>
            </w:r>
            <w:r w:rsidR="008559F9">
              <w:rPr>
                <w:rFonts w:ascii="Arial" w:hAnsi="Arial" w:cs="Arial"/>
                <w:sz w:val="18"/>
              </w:rPr>
              <w:t>63</w:t>
            </w:r>
          </w:p>
        </w:tc>
        <w:tc>
          <w:tcPr>
            <w:tcW w:w="1026" w:type="dxa"/>
          </w:tcPr>
          <w:p w14:paraId="3D0B5B5E" w14:textId="77777777" w:rsidR="003455EC" w:rsidRPr="005B6177" w:rsidRDefault="009E74F0" w:rsidP="0028656F">
            <w:pPr>
              <w:pStyle w:val="TableText"/>
              <w:jc w:val="center"/>
              <w:rPr>
                <w:rFonts w:ascii="Arial" w:hAnsi="Arial" w:cs="Arial"/>
                <w:sz w:val="18"/>
              </w:rPr>
            </w:pPr>
            <w:r>
              <w:rPr>
                <w:rFonts w:ascii="Arial" w:hAnsi="Arial" w:cs="Arial"/>
                <w:sz w:val="18"/>
              </w:rPr>
              <w:t>271</w:t>
            </w:r>
          </w:p>
        </w:tc>
      </w:tr>
      <w:tr w:rsidR="003455EC" w:rsidRPr="005B6177" w14:paraId="49C3351C" w14:textId="77777777" w:rsidTr="00FD5F18">
        <w:trPr>
          <w:trHeight w:val="185"/>
        </w:trPr>
        <w:tc>
          <w:tcPr>
            <w:tcW w:w="2575" w:type="dxa"/>
            <w:shd w:val="clear" w:color="auto" w:fill="auto"/>
          </w:tcPr>
          <w:p w14:paraId="297AB6FB" w14:textId="77777777" w:rsidR="003455EC" w:rsidRPr="005B6177" w:rsidRDefault="003455EC" w:rsidP="0028656F">
            <w:pPr>
              <w:pStyle w:val="TableText"/>
              <w:rPr>
                <w:rFonts w:ascii="Arial" w:hAnsi="Arial" w:cs="Arial"/>
                <w:sz w:val="18"/>
              </w:rPr>
            </w:pPr>
            <w:r w:rsidRPr="005B6177">
              <w:rPr>
                <w:rFonts w:ascii="Arial" w:hAnsi="Arial" w:cs="Arial"/>
                <w:sz w:val="18"/>
              </w:rPr>
              <w:t>Road toll</w:t>
            </w:r>
          </w:p>
        </w:tc>
        <w:tc>
          <w:tcPr>
            <w:tcW w:w="1026" w:type="dxa"/>
            <w:shd w:val="clear" w:color="auto" w:fill="auto"/>
          </w:tcPr>
          <w:p w14:paraId="63CA758D" w14:textId="77777777" w:rsidR="003455EC" w:rsidRPr="005B6177" w:rsidRDefault="003455EC" w:rsidP="0028656F">
            <w:pPr>
              <w:pStyle w:val="TableText"/>
              <w:jc w:val="center"/>
              <w:rPr>
                <w:rFonts w:ascii="Arial" w:hAnsi="Arial" w:cs="Arial"/>
                <w:sz w:val="18"/>
              </w:rPr>
            </w:pPr>
            <w:r w:rsidRPr="005B6177">
              <w:rPr>
                <w:rFonts w:ascii="Arial" w:hAnsi="Arial" w:cs="Arial"/>
                <w:sz w:val="18"/>
              </w:rPr>
              <w:t>282</w:t>
            </w:r>
          </w:p>
        </w:tc>
        <w:tc>
          <w:tcPr>
            <w:tcW w:w="1026" w:type="dxa"/>
            <w:shd w:val="clear" w:color="auto" w:fill="auto"/>
          </w:tcPr>
          <w:p w14:paraId="690C8F2B" w14:textId="77777777" w:rsidR="003455EC" w:rsidRPr="005B6177" w:rsidRDefault="003455EC" w:rsidP="0028656F">
            <w:pPr>
              <w:pStyle w:val="TableText"/>
              <w:jc w:val="center"/>
              <w:rPr>
                <w:rFonts w:ascii="Arial" w:hAnsi="Arial" w:cs="Arial"/>
                <w:sz w:val="18"/>
              </w:rPr>
            </w:pPr>
            <w:r w:rsidRPr="005B6177">
              <w:rPr>
                <w:rFonts w:ascii="Arial" w:hAnsi="Arial" w:cs="Arial"/>
                <w:sz w:val="18"/>
              </w:rPr>
              <w:t>243</w:t>
            </w:r>
          </w:p>
        </w:tc>
        <w:tc>
          <w:tcPr>
            <w:tcW w:w="1026" w:type="dxa"/>
            <w:shd w:val="clear" w:color="auto" w:fill="auto"/>
          </w:tcPr>
          <w:p w14:paraId="21DD4282" w14:textId="77777777" w:rsidR="003455EC" w:rsidRPr="005B6177" w:rsidRDefault="003455EC" w:rsidP="0028656F">
            <w:pPr>
              <w:pStyle w:val="TableText"/>
              <w:jc w:val="center"/>
              <w:rPr>
                <w:rFonts w:ascii="Arial" w:hAnsi="Arial" w:cs="Arial"/>
                <w:sz w:val="18"/>
              </w:rPr>
            </w:pPr>
            <w:r w:rsidRPr="005B6177">
              <w:rPr>
                <w:rFonts w:ascii="Arial" w:hAnsi="Arial" w:cs="Arial"/>
                <w:sz w:val="18"/>
              </w:rPr>
              <w:t>248</w:t>
            </w:r>
          </w:p>
        </w:tc>
        <w:tc>
          <w:tcPr>
            <w:tcW w:w="1026" w:type="dxa"/>
            <w:shd w:val="clear" w:color="auto" w:fill="auto"/>
          </w:tcPr>
          <w:p w14:paraId="404D3F8E" w14:textId="77777777" w:rsidR="003455EC" w:rsidRPr="005B6177" w:rsidRDefault="003455EC" w:rsidP="0028656F">
            <w:pPr>
              <w:pStyle w:val="TableText"/>
              <w:jc w:val="center"/>
              <w:rPr>
                <w:rFonts w:ascii="Arial" w:hAnsi="Arial" w:cs="Arial"/>
                <w:sz w:val="18"/>
              </w:rPr>
            </w:pPr>
            <w:r w:rsidRPr="005B6177">
              <w:rPr>
                <w:rFonts w:ascii="Arial" w:hAnsi="Arial" w:cs="Arial"/>
                <w:sz w:val="18"/>
              </w:rPr>
              <w:t>252</w:t>
            </w:r>
          </w:p>
        </w:tc>
        <w:tc>
          <w:tcPr>
            <w:tcW w:w="1026" w:type="dxa"/>
            <w:shd w:val="clear" w:color="auto" w:fill="auto"/>
          </w:tcPr>
          <w:p w14:paraId="6E8C0B9E" w14:textId="77777777" w:rsidR="003455EC" w:rsidRPr="005B6177" w:rsidRDefault="003455EC" w:rsidP="008559F9">
            <w:pPr>
              <w:pStyle w:val="TableText"/>
              <w:jc w:val="center"/>
              <w:rPr>
                <w:rFonts w:ascii="Arial" w:hAnsi="Arial" w:cs="Arial"/>
                <w:sz w:val="18"/>
              </w:rPr>
            </w:pPr>
            <w:r w:rsidRPr="005B6177">
              <w:rPr>
                <w:rFonts w:ascii="Arial" w:hAnsi="Arial" w:cs="Arial"/>
                <w:sz w:val="18"/>
              </w:rPr>
              <w:t>29</w:t>
            </w:r>
            <w:r w:rsidR="008559F9">
              <w:rPr>
                <w:rFonts w:ascii="Arial" w:hAnsi="Arial" w:cs="Arial"/>
                <w:sz w:val="18"/>
              </w:rPr>
              <w:t>0</w:t>
            </w:r>
          </w:p>
        </w:tc>
        <w:tc>
          <w:tcPr>
            <w:tcW w:w="1026" w:type="dxa"/>
          </w:tcPr>
          <w:p w14:paraId="0DA68EDC" w14:textId="77777777" w:rsidR="003455EC" w:rsidRPr="005B6177" w:rsidRDefault="009E74F0" w:rsidP="0028656F">
            <w:pPr>
              <w:pStyle w:val="TableText"/>
              <w:jc w:val="center"/>
              <w:rPr>
                <w:rFonts w:ascii="Arial" w:hAnsi="Arial" w:cs="Arial"/>
                <w:sz w:val="18"/>
              </w:rPr>
            </w:pPr>
            <w:r>
              <w:rPr>
                <w:rFonts w:ascii="Arial" w:hAnsi="Arial" w:cs="Arial"/>
                <w:sz w:val="18"/>
              </w:rPr>
              <w:t>258</w:t>
            </w:r>
          </w:p>
        </w:tc>
      </w:tr>
    </w:tbl>
    <w:p w14:paraId="60D94CEF" w14:textId="77777777" w:rsidR="00B4640B" w:rsidRDefault="00B4640B" w:rsidP="00E01AEF">
      <w:pPr>
        <w:pStyle w:val="DHHSbody"/>
        <w:spacing w:before="120"/>
      </w:pPr>
      <w:r>
        <w:t>In 201</w:t>
      </w:r>
      <w:r w:rsidR="003455EC">
        <w:t xml:space="preserve">7 </w:t>
      </w:r>
      <w:r>
        <w:t>there were</w:t>
      </w:r>
      <w:r w:rsidRPr="002A1236">
        <w:t xml:space="preserve"> </w:t>
      </w:r>
      <w:r w:rsidR="003455EC">
        <w:t>414</w:t>
      </w:r>
      <w:r w:rsidRPr="002A1236">
        <w:t xml:space="preserve"> </w:t>
      </w:r>
      <w:r>
        <w:t xml:space="preserve">Victorian </w:t>
      </w:r>
      <w:r w:rsidRPr="002A1236">
        <w:t xml:space="preserve">drug overdose deaths involving pharmaceutical </w:t>
      </w:r>
      <w:r>
        <w:t>medicines</w:t>
      </w:r>
      <w:r w:rsidRPr="002A1236">
        <w:t>, higher than the number of overdose deaths involving illicit drugs (</w:t>
      </w:r>
      <w:r w:rsidR="009E74F0">
        <w:t>271</w:t>
      </w:r>
      <w:r w:rsidRPr="002A1236">
        <w:t>), and higher than the road toll (</w:t>
      </w:r>
      <w:r w:rsidR="009E74F0" w:rsidRPr="002A1236">
        <w:t>2</w:t>
      </w:r>
      <w:r w:rsidR="009E74F0">
        <w:t>58</w:t>
      </w:r>
      <w:r w:rsidRPr="002A1236">
        <w:t>).</w:t>
      </w:r>
      <w:r>
        <w:t xml:space="preserve">  </w:t>
      </w:r>
      <w:r w:rsidR="00692E3B">
        <w:t>In 2016-17, there were almost as many ambulance callouts relating to pharmaceutical medicines (10,517) than for illicit drugs (11,097).</w:t>
      </w:r>
    </w:p>
    <w:p w14:paraId="0B695DE5" w14:textId="77777777" w:rsidR="00B4640B" w:rsidRPr="00C84491" w:rsidRDefault="00B4640B" w:rsidP="001D72E3">
      <w:pPr>
        <w:pStyle w:val="Heading4"/>
        <w:rPr>
          <w:sz w:val="24"/>
        </w:rPr>
      </w:pPr>
      <w:r w:rsidRPr="00C84491">
        <w:rPr>
          <w:sz w:val="24"/>
        </w:rPr>
        <w:t xml:space="preserve">What medicines </w:t>
      </w:r>
      <w:r w:rsidR="002A0553" w:rsidRPr="00C84491">
        <w:rPr>
          <w:sz w:val="24"/>
        </w:rPr>
        <w:t>are</w:t>
      </w:r>
      <w:r w:rsidRPr="00C84491">
        <w:rPr>
          <w:sz w:val="24"/>
        </w:rPr>
        <w:t xml:space="preserve"> monitored </w:t>
      </w:r>
      <w:r w:rsidR="00F52B74" w:rsidRPr="00C84491">
        <w:rPr>
          <w:sz w:val="24"/>
        </w:rPr>
        <w:t>through</w:t>
      </w:r>
      <w:r w:rsidR="00012A35" w:rsidRPr="00C84491">
        <w:rPr>
          <w:sz w:val="24"/>
        </w:rPr>
        <w:t xml:space="preserve"> SafeScript</w:t>
      </w:r>
      <w:r w:rsidRPr="00C84491">
        <w:rPr>
          <w:sz w:val="24"/>
        </w:rPr>
        <w:t>?</w:t>
      </w:r>
    </w:p>
    <w:p w14:paraId="6443D156" w14:textId="77777777" w:rsidR="00B4640B" w:rsidRDefault="00B4640B" w:rsidP="005C7115">
      <w:pPr>
        <w:pStyle w:val="DHHSbody"/>
      </w:pPr>
      <w:r w:rsidRPr="00DA12FF">
        <w:t xml:space="preserve">Based on the latest international and local research and recommendations from </w:t>
      </w:r>
      <w:r w:rsidR="00012A35">
        <w:t>an</w:t>
      </w:r>
      <w:r w:rsidRPr="00DA12FF">
        <w:t xml:space="preserve"> expert advisory group, the system monitor</w:t>
      </w:r>
      <w:r w:rsidR="002A0553">
        <w:t>s</w:t>
      </w:r>
      <w:r w:rsidRPr="00DA12FF">
        <w:t xml:space="preserve"> prescription medicines that are causing the greatest harm to the Victorian community. </w:t>
      </w:r>
    </w:p>
    <w:p w14:paraId="18C2C475" w14:textId="77777777" w:rsidR="00F86208" w:rsidRDefault="00F86208" w:rsidP="00B1503C">
      <w:pPr>
        <w:pStyle w:val="DHHSbody"/>
        <w:spacing w:after="80" w:line="240" w:lineRule="exact"/>
      </w:pPr>
      <w:r>
        <w:t>Medicines that are monitored include:</w:t>
      </w:r>
    </w:p>
    <w:p w14:paraId="02F78BC8" w14:textId="77777777" w:rsidR="00F86208" w:rsidRPr="00D52747" w:rsidRDefault="00F86208" w:rsidP="00B1503C">
      <w:pPr>
        <w:pStyle w:val="DHHSbullet1"/>
        <w:spacing w:after="60" w:line="240" w:lineRule="exact"/>
        <w:ind w:left="738"/>
      </w:pPr>
      <w:r>
        <w:t>all Schedule 8 medicines</w:t>
      </w:r>
    </w:p>
    <w:p w14:paraId="6DBA31E0" w14:textId="4CFAC13B" w:rsidR="00F86208" w:rsidRDefault="00F86208" w:rsidP="00B1503C">
      <w:pPr>
        <w:pStyle w:val="DHHSbullet1"/>
        <w:spacing w:after="60" w:line="240" w:lineRule="exact"/>
        <w:ind w:left="738"/>
      </w:pPr>
      <w:r w:rsidRPr="00D52747">
        <w:t>b</w:t>
      </w:r>
      <w:r>
        <w:t>enzodiazepines</w:t>
      </w:r>
      <w:r w:rsidR="008D09E3">
        <w:t>,</w:t>
      </w:r>
      <w:r>
        <w:t xml:space="preserve"> such as diazepam</w:t>
      </w:r>
    </w:p>
    <w:p w14:paraId="1B183D64" w14:textId="77777777" w:rsidR="00F86208" w:rsidRDefault="00F86208" w:rsidP="00B1503C">
      <w:pPr>
        <w:pStyle w:val="DHHSbullet1"/>
        <w:spacing w:after="60" w:line="240" w:lineRule="exact"/>
        <w:ind w:left="738"/>
      </w:pPr>
      <w:r w:rsidRPr="00D52747">
        <w:t xml:space="preserve">‘Z-drugs’ </w:t>
      </w:r>
      <w:r>
        <w:t>(</w:t>
      </w:r>
      <w:r w:rsidRPr="00D52747">
        <w:t xml:space="preserve">zolpidem, </w:t>
      </w:r>
      <w:r>
        <w:t>zopiclone)</w:t>
      </w:r>
      <w:r w:rsidRPr="00D52747">
        <w:t xml:space="preserve"> </w:t>
      </w:r>
    </w:p>
    <w:p w14:paraId="0BF7D5CF" w14:textId="77777777" w:rsidR="00F86208" w:rsidRDefault="00F86208" w:rsidP="00B1503C">
      <w:pPr>
        <w:pStyle w:val="DHHSbullet1"/>
        <w:spacing w:after="60" w:line="240" w:lineRule="exact"/>
        <w:ind w:left="738"/>
      </w:pPr>
      <w:r w:rsidRPr="00D52747">
        <w:t>quetiapine</w:t>
      </w:r>
    </w:p>
    <w:p w14:paraId="3DD22DAE" w14:textId="77777777" w:rsidR="00F86208" w:rsidRDefault="00F86208" w:rsidP="00B1503C">
      <w:pPr>
        <w:pStyle w:val="DHHSbullet1"/>
        <w:spacing w:after="120" w:line="240" w:lineRule="exact"/>
        <w:ind w:left="738"/>
      </w:pPr>
      <w:r>
        <w:t xml:space="preserve">codeine containing products  </w:t>
      </w:r>
    </w:p>
    <w:p w14:paraId="432F50FD" w14:textId="77777777" w:rsidR="00F86208" w:rsidRPr="00197CE6" w:rsidRDefault="00F86208" w:rsidP="005C7115">
      <w:pPr>
        <w:pStyle w:val="DHHSbody"/>
      </w:pPr>
      <w:r w:rsidRPr="00197CE6">
        <w:t>SafeScript monitor</w:t>
      </w:r>
      <w:r>
        <w:t>s</w:t>
      </w:r>
      <w:r w:rsidRPr="00197CE6">
        <w:t xml:space="preserve"> all prescriptions for these medicines regardless of whether they receive a PBS subsidy or are private, non-PBS prescriptions.</w:t>
      </w:r>
    </w:p>
    <w:p w14:paraId="0942DF84" w14:textId="77777777" w:rsidR="00FC6AF1" w:rsidRPr="00C84491" w:rsidRDefault="00481776" w:rsidP="001D72E3">
      <w:pPr>
        <w:pStyle w:val="Heading4"/>
        <w:rPr>
          <w:sz w:val="24"/>
        </w:rPr>
      </w:pPr>
      <w:r w:rsidRPr="00C84491">
        <w:rPr>
          <w:sz w:val="24"/>
        </w:rPr>
        <w:t xml:space="preserve">How </w:t>
      </w:r>
      <w:r w:rsidR="002A0553" w:rsidRPr="00C84491">
        <w:rPr>
          <w:sz w:val="24"/>
        </w:rPr>
        <w:t>does SafeScript collect prescription information</w:t>
      </w:r>
      <w:r w:rsidR="00FC6AF1" w:rsidRPr="00C84491">
        <w:rPr>
          <w:sz w:val="24"/>
        </w:rPr>
        <w:t>?</w:t>
      </w:r>
    </w:p>
    <w:p w14:paraId="65858A1E" w14:textId="418601AA" w:rsidR="00FC6AF1" w:rsidRDefault="00816229" w:rsidP="00387083">
      <w:pPr>
        <w:pStyle w:val="DHHSbody"/>
      </w:pPr>
      <w:r w:rsidRPr="005B6177">
        <w:t xml:space="preserve">The data required for </w:t>
      </w:r>
      <w:r w:rsidR="00012A35">
        <w:t>SafeScript</w:t>
      </w:r>
      <w:r w:rsidRPr="005B6177">
        <w:t xml:space="preserve"> </w:t>
      </w:r>
      <w:r w:rsidR="002A0553">
        <w:t>is</w:t>
      </w:r>
      <w:r w:rsidRPr="005B6177">
        <w:t xml:space="preserve"> </w:t>
      </w:r>
      <w:r w:rsidR="004F66DF">
        <w:t xml:space="preserve">collected </w:t>
      </w:r>
      <w:r w:rsidRPr="005B6177">
        <w:t xml:space="preserve">automatically from </w:t>
      </w:r>
      <w:r w:rsidR="008D09E3">
        <w:t xml:space="preserve">the </w:t>
      </w:r>
      <w:r w:rsidRPr="005B6177">
        <w:t xml:space="preserve">Prescription Exchange Services </w:t>
      </w:r>
      <w:r w:rsidR="00FC6AF1" w:rsidRPr="005B6177">
        <w:t xml:space="preserve">(PES) </w:t>
      </w:r>
      <w:r w:rsidR="00FC6AF1">
        <w:t>which currently support the electronic transfer of prescriptions</w:t>
      </w:r>
      <w:r w:rsidR="00012A35">
        <w:t xml:space="preserve"> from medical clinics to pharmacies</w:t>
      </w:r>
      <w:r w:rsidR="00E137AF">
        <w:t>.</w:t>
      </w:r>
    </w:p>
    <w:p w14:paraId="4F107F75" w14:textId="0EEB957D" w:rsidR="00012A35" w:rsidRDefault="00012A35" w:rsidP="00C852B2">
      <w:pPr>
        <w:pStyle w:val="DHHSbody"/>
      </w:pPr>
      <w:r w:rsidRPr="00012A35">
        <w:t xml:space="preserve">When a prescription </w:t>
      </w:r>
      <w:r>
        <w:t xml:space="preserve">is issued </w:t>
      </w:r>
      <w:r w:rsidR="00A72430">
        <w:t xml:space="preserve">at a medical clinic or </w:t>
      </w:r>
      <w:r w:rsidRPr="00012A35">
        <w:t xml:space="preserve">dispensed at </w:t>
      </w:r>
      <w:r w:rsidR="00A72430">
        <w:t xml:space="preserve">a </w:t>
      </w:r>
      <w:r w:rsidRPr="00012A35">
        <w:t xml:space="preserve">pharmacy, </w:t>
      </w:r>
      <w:r w:rsidR="004F66DF">
        <w:t>the PES send</w:t>
      </w:r>
      <w:r w:rsidR="002A0553">
        <w:t>s</w:t>
      </w:r>
      <w:r w:rsidR="004F66DF">
        <w:t xml:space="preserve"> </w:t>
      </w:r>
      <w:r w:rsidR="00E97EAB">
        <w:t>a</w:t>
      </w:r>
      <w:r w:rsidR="004F66DF">
        <w:t xml:space="preserve"> record</w:t>
      </w:r>
      <w:r w:rsidR="00E97EAB">
        <w:t xml:space="preserve"> of the prescription</w:t>
      </w:r>
      <w:r w:rsidR="004F66DF">
        <w:t xml:space="preserve"> in real-time to SafeScript</w:t>
      </w:r>
      <w:r w:rsidRPr="00012A35">
        <w:t xml:space="preserve">.  No additional data entry </w:t>
      </w:r>
      <w:r w:rsidR="002A0553">
        <w:t xml:space="preserve">is </w:t>
      </w:r>
      <w:r w:rsidRPr="00012A35">
        <w:t xml:space="preserve">necessary to record a </w:t>
      </w:r>
      <w:r w:rsidR="004F66DF">
        <w:t>prescription in SafeScript</w:t>
      </w:r>
      <w:r w:rsidRPr="00012A35">
        <w:t>.</w:t>
      </w:r>
    </w:p>
    <w:p w14:paraId="5F58EE2A" w14:textId="77777777" w:rsidR="0011603B" w:rsidRPr="0011603B" w:rsidRDefault="0011603B" w:rsidP="0011603B">
      <w:pPr>
        <w:pStyle w:val="Heading4"/>
        <w:rPr>
          <w:sz w:val="24"/>
        </w:rPr>
      </w:pPr>
      <w:r w:rsidRPr="0011603B">
        <w:rPr>
          <w:sz w:val="24"/>
        </w:rPr>
        <w:lastRenderedPageBreak/>
        <w:t>Who has access to patient records in SafeScript?</w:t>
      </w:r>
    </w:p>
    <w:p w14:paraId="71B5988C" w14:textId="3F65F911" w:rsidR="0011603B" w:rsidRDefault="0011603B" w:rsidP="0011603B">
      <w:pPr>
        <w:pStyle w:val="DHHSbody"/>
      </w:pPr>
      <w:r>
        <w:t>Doctors, nurse practitioners and pharmacists have access to SafeScript to view records of all high-risk medicines that have been supplied to patients under their care.  This enables health professionals to make safer and more informed clinical decisions and facilitates the co-ordination of treatment and communication by giving them visibility of all clinicians involved in the patient's care.</w:t>
      </w:r>
    </w:p>
    <w:p w14:paraId="7ED2A3F7" w14:textId="5EAA2426" w:rsidR="0011603B" w:rsidRDefault="0011603B" w:rsidP="0011603B">
      <w:pPr>
        <w:pStyle w:val="DHHSbody"/>
      </w:pPr>
      <w:r>
        <w:t>Authorised Department of Health and Human Services staff will also access SafeScript as part of their regulatory role in ensuring the safe supply of medicines in the community.</w:t>
      </w:r>
    </w:p>
    <w:p w14:paraId="7D61CDCE" w14:textId="7050214B" w:rsidR="008E453B" w:rsidRDefault="008E453B" w:rsidP="008E453B">
      <w:pPr>
        <w:pStyle w:val="Heading2"/>
      </w:pPr>
      <w:r>
        <w:t>Using SafeScript in clinical practice</w:t>
      </w:r>
    </w:p>
    <w:p w14:paraId="629313AB" w14:textId="06F6BC1F" w:rsidR="0011603B" w:rsidRPr="0011603B" w:rsidRDefault="0011603B" w:rsidP="0011603B">
      <w:pPr>
        <w:pStyle w:val="Heading4"/>
        <w:spacing w:before="200"/>
        <w:rPr>
          <w:sz w:val="24"/>
        </w:rPr>
      </w:pPr>
      <w:r w:rsidRPr="0011603B">
        <w:rPr>
          <w:sz w:val="24"/>
        </w:rPr>
        <w:t>When am I permitted to access a patient record in SafeScript?</w:t>
      </w:r>
    </w:p>
    <w:p w14:paraId="3F667ABC" w14:textId="77777777" w:rsidR="0011603B" w:rsidRPr="0011603B" w:rsidRDefault="0011603B" w:rsidP="0011603B">
      <w:pPr>
        <w:pStyle w:val="Heading4"/>
        <w:spacing w:before="200"/>
        <w:rPr>
          <w:rFonts w:eastAsia="Times"/>
          <w:b w:val="0"/>
          <w:bCs w:val="0"/>
        </w:rPr>
      </w:pPr>
      <w:r w:rsidRPr="0011603B">
        <w:rPr>
          <w:rFonts w:eastAsia="Times"/>
          <w:b w:val="0"/>
          <w:bCs w:val="0"/>
        </w:rPr>
        <w:t xml:space="preserve">Patient records in SafeScript may only be lawfully accessed when you are involved in that patient’s medical care and in the context of the medicines which are monitored.  </w:t>
      </w:r>
    </w:p>
    <w:p w14:paraId="597F628D" w14:textId="36914507" w:rsidR="0011603B" w:rsidRPr="0011603B" w:rsidRDefault="0011603B" w:rsidP="00DD16B3">
      <w:pPr>
        <w:pStyle w:val="Heading4"/>
        <w:spacing w:before="120" w:after="60"/>
        <w:rPr>
          <w:rFonts w:eastAsia="Times"/>
          <w:b w:val="0"/>
          <w:bCs w:val="0"/>
        </w:rPr>
      </w:pPr>
      <w:r w:rsidRPr="0011603B">
        <w:rPr>
          <w:rFonts w:eastAsia="Times"/>
          <w:b w:val="0"/>
          <w:bCs w:val="0"/>
        </w:rPr>
        <w:t>If you do access a patient's record in SafeScript, you will need to make sure you can substantiate this access in your capacity as their registered health practitioner.</w:t>
      </w:r>
    </w:p>
    <w:p w14:paraId="06F4966A" w14:textId="77777777" w:rsidR="0011603B" w:rsidRPr="0011603B" w:rsidRDefault="0011603B" w:rsidP="00DD16B3">
      <w:pPr>
        <w:pStyle w:val="Heading4"/>
        <w:spacing w:before="120"/>
        <w:rPr>
          <w:rFonts w:eastAsia="Times"/>
          <w:b w:val="0"/>
          <w:bCs w:val="0"/>
        </w:rPr>
      </w:pPr>
      <w:r w:rsidRPr="0011603B">
        <w:rPr>
          <w:rFonts w:eastAsia="Times"/>
          <w:b w:val="0"/>
          <w:bCs w:val="0"/>
        </w:rPr>
        <w:t>The following is a non-exhaustive list of circumstances where accessing patient records in SafeScript would be permitted in law:</w:t>
      </w:r>
    </w:p>
    <w:p w14:paraId="703B1627" w14:textId="3CABBDAC" w:rsidR="0011603B" w:rsidRPr="00877814" w:rsidRDefault="0011603B" w:rsidP="00877814">
      <w:pPr>
        <w:numPr>
          <w:ilvl w:val="0"/>
          <w:numId w:val="13"/>
        </w:numPr>
        <w:spacing w:before="120" w:line="240" w:lineRule="exact"/>
        <w:ind w:left="351" w:hanging="357"/>
        <w:rPr>
          <w:rFonts w:ascii="Arial" w:hAnsi="Arial" w:cs="Arial"/>
          <w:lang w:val="en" w:eastAsia="en-AU"/>
        </w:rPr>
      </w:pPr>
      <w:r w:rsidRPr="00877814">
        <w:rPr>
          <w:rFonts w:ascii="Arial" w:hAnsi="Arial" w:cs="Arial"/>
          <w:lang w:val="en" w:eastAsia="en-AU"/>
        </w:rPr>
        <w:t>when prescribing or supplying a medicine to the patient,</w:t>
      </w:r>
    </w:p>
    <w:p w14:paraId="25CDD878" w14:textId="258C57F4" w:rsidR="0011603B" w:rsidRPr="00877814" w:rsidRDefault="0011603B" w:rsidP="00877814">
      <w:pPr>
        <w:numPr>
          <w:ilvl w:val="0"/>
          <w:numId w:val="13"/>
        </w:numPr>
        <w:spacing w:before="120" w:line="240" w:lineRule="exact"/>
        <w:ind w:left="351" w:hanging="357"/>
        <w:rPr>
          <w:rFonts w:ascii="Arial" w:hAnsi="Arial" w:cs="Arial"/>
          <w:lang w:val="en" w:eastAsia="en-AU"/>
        </w:rPr>
      </w:pPr>
      <w:r w:rsidRPr="00877814">
        <w:rPr>
          <w:rFonts w:ascii="Arial" w:hAnsi="Arial" w:cs="Arial"/>
          <w:lang w:val="en" w:eastAsia="en-AU"/>
        </w:rPr>
        <w:t>when reviewing the patient’s medication history as part of a patient consultation (e.g. when a doctor takes a patient history or a pharmacist conducts a medication review), or</w:t>
      </w:r>
    </w:p>
    <w:p w14:paraId="64F648A3" w14:textId="70997C5E" w:rsidR="0011603B" w:rsidRPr="00877814" w:rsidRDefault="0011603B" w:rsidP="00877814">
      <w:pPr>
        <w:numPr>
          <w:ilvl w:val="0"/>
          <w:numId w:val="13"/>
        </w:numPr>
        <w:spacing w:before="120" w:line="240" w:lineRule="exact"/>
        <w:ind w:left="351" w:hanging="357"/>
        <w:rPr>
          <w:rFonts w:ascii="Arial" w:hAnsi="Arial" w:cs="Arial"/>
          <w:lang w:val="en" w:eastAsia="en-AU"/>
        </w:rPr>
      </w:pPr>
      <w:r w:rsidRPr="00877814">
        <w:rPr>
          <w:rFonts w:ascii="Arial" w:hAnsi="Arial" w:cs="Arial"/>
          <w:lang w:val="en" w:eastAsia="en-AU"/>
        </w:rPr>
        <w:t>when discussing the patient’s medication history with other registered health practitioners who are involved in that patient’s care.</w:t>
      </w:r>
    </w:p>
    <w:p w14:paraId="4AE5A15E" w14:textId="4BBB57B4" w:rsidR="0011603B" w:rsidRPr="0011603B" w:rsidRDefault="0011603B" w:rsidP="00DD16B3">
      <w:pPr>
        <w:pStyle w:val="Heading4"/>
        <w:spacing w:before="120"/>
        <w:rPr>
          <w:rFonts w:eastAsia="Times"/>
          <w:b w:val="0"/>
          <w:bCs w:val="0"/>
        </w:rPr>
      </w:pPr>
      <w:r w:rsidRPr="0011603B">
        <w:rPr>
          <w:rFonts w:eastAsia="Times"/>
          <w:b w:val="0"/>
          <w:bCs w:val="0"/>
        </w:rPr>
        <w:t>You must not use the information in SafeScript for any other purpose. Any other purpose may include (but is not limited to) marketing or commercial purposes.</w:t>
      </w:r>
    </w:p>
    <w:p w14:paraId="62F15544" w14:textId="77777777" w:rsidR="00934464" w:rsidRDefault="00934464" w:rsidP="00934464">
      <w:pPr>
        <w:pStyle w:val="Heading3"/>
      </w:pPr>
      <w:r>
        <w:t>Do I need to seek patient consent to access SafeScript?</w:t>
      </w:r>
    </w:p>
    <w:p w14:paraId="5F610FBB" w14:textId="77777777" w:rsidR="00934464" w:rsidRDefault="00934464" w:rsidP="00934464">
      <w:pPr>
        <w:pStyle w:val="DHHSbody"/>
      </w:pPr>
      <w:r>
        <w:t>Doctors, nurse practitioners and pharmacists who are involved in the care of a patient are authorised under law to access that patient’s record in SafeScript, without express permission from the patient, for the purposes of ensuring the patient’s safety from prescription medicine related harm.</w:t>
      </w:r>
    </w:p>
    <w:p w14:paraId="29A566B5" w14:textId="77777777" w:rsidR="00934464" w:rsidRDefault="00934464" w:rsidP="00934464">
      <w:pPr>
        <w:pStyle w:val="DHHSbody"/>
      </w:pPr>
      <w:r>
        <w:t xml:space="preserve">This authorisation is made under the </w:t>
      </w:r>
      <w:r>
        <w:rPr>
          <w:i/>
        </w:rPr>
        <w:t>Drugs, Poisons and Controlled Substances Act 1981</w:t>
      </w:r>
      <w:r>
        <w:t>.</w:t>
      </w:r>
    </w:p>
    <w:p w14:paraId="46F68E2F" w14:textId="4B099D55" w:rsidR="00E97EAB" w:rsidRPr="0079688C" w:rsidRDefault="00E97EAB" w:rsidP="00FD5F18">
      <w:pPr>
        <w:pStyle w:val="Heading4"/>
        <w:spacing w:before="200"/>
        <w:rPr>
          <w:sz w:val="24"/>
        </w:rPr>
      </w:pPr>
      <w:r w:rsidRPr="0079688C">
        <w:rPr>
          <w:sz w:val="24"/>
        </w:rPr>
        <w:t>How do I view records from my medical clinic or pharmacy?</w:t>
      </w:r>
    </w:p>
    <w:p w14:paraId="16F20612" w14:textId="5E14BCA9" w:rsidR="00F86208" w:rsidRDefault="00F86208" w:rsidP="00F86208">
      <w:pPr>
        <w:pStyle w:val="DHHSbody"/>
      </w:pPr>
      <w:r>
        <w:t xml:space="preserve">All </w:t>
      </w:r>
      <w:r w:rsidR="0087554A">
        <w:t xml:space="preserve">clinicians </w:t>
      </w:r>
      <w:r>
        <w:t xml:space="preserve">can access the </w:t>
      </w:r>
      <w:hyperlink r:id="rId12" w:history="1">
        <w:r w:rsidRPr="00DF078D">
          <w:rPr>
            <w:rStyle w:val="Hyperlink"/>
          </w:rPr>
          <w:t>SafeScript portal</w:t>
        </w:r>
      </w:hyperlink>
      <w:r>
        <w:t xml:space="preserve"> &lt;</w:t>
      </w:r>
      <w:r w:rsidRPr="00253084">
        <w:t>www.safescript.vic.gov.au</w:t>
      </w:r>
      <w:r>
        <w:t xml:space="preserve">&gt; on their computer or via a tablet </w:t>
      </w:r>
      <w:r w:rsidR="00215057">
        <w:t xml:space="preserve">or mobile </w:t>
      </w:r>
      <w:r>
        <w:t>device.</w:t>
      </w:r>
    </w:p>
    <w:p w14:paraId="71E16D0F" w14:textId="54ACF542" w:rsidR="00FA47D8" w:rsidRDefault="00FA47D8" w:rsidP="00FA47D8">
      <w:pPr>
        <w:pStyle w:val="DHHSbody"/>
      </w:pPr>
      <w:r>
        <w:t xml:space="preserve">SafeScript can </w:t>
      </w:r>
      <w:r w:rsidR="004D29EC">
        <w:t xml:space="preserve">also </w:t>
      </w:r>
      <w:r>
        <w:t xml:space="preserve">be integrated with your </w:t>
      </w:r>
      <w:r w:rsidR="001D15A6">
        <w:t>clinical</w:t>
      </w:r>
      <w:r>
        <w:t xml:space="preserve"> software to save you time</w:t>
      </w:r>
      <w:r w:rsidRPr="00387B41">
        <w:t>.</w:t>
      </w:r>
      <w:r>
        <w:t xml:space="preserve"> Pop-up notifications appear within seconds of prescribing</w:t>
      </w:r>
      <w:r w:rsidR="001D15A6">
        <w:t xml:space="preserve"> or dispensing</w:t>
      </w:r>
      <w:r>
        <w:t xml:space="preserve"> a high-risk medicine to inform you whether there are records in SafeScript requiring your review. A click on the notification takes you </w:t>
      </w:r>
      <w:r w:rsidRPr="00387B41">
        <w:t xml:space="preserve">directly to the patient's SafeScript </w:t>
      </w:r>
      <w:r>
        <w:t xml:space="preserve">record.  </w:t>
      </w:r>
    </w:p>
    <w:p w14:paraId="60BB4853" w14:textId="682DACCE" w:rsidR="00F86208" w:rsidRPr="00224A1A" w:rsidRDefault="00FA47D8" w:rsidP="00F86208">
      <w:pPr>
        <w:pStyle w:val="DHHSbody"/>
        <w:rPr>
          <w:rFonts w:cs="Arial"/>
          <w:iCs/>
        </w:rPr>
      </w:pPr>
      <w:r>
        <w:rPr>
          <w:rFonts w:cs="Arial"/>
          <w:iCs/>
        </w:rPr>
        <w:t xml:space="preserve">See </w:t>
      </w:r>
      <w:r>
        <w:rPr>
          <w:rFonts w:cs="Arial"/>
        </w:rPr>
        <w:t>v</w:t>
      </w:r>
      <w:r w:rsidRPr="00387B41">
        <w:rPr>
          <w:rFonts w:cs="Arial"/>
        </w:rPr>
        <w:t>ideos and quick reference guides</w:t>
      </w:r>
      <w:r>
        <w:rPr>
          <w:rFonts w:cs="Arial"/>
        </w:rPr>
        <w:t xml:space="preserve"> about integrating your clinical software</w:t>
      </w:r>
      <w:r w:rsidRPr="00387B41">
        <w:rPr>
          <w:rFonts w:cs="Arial"/>
        </w:rPr>
        <w:t xml:space="preserve"> </w:t>
      </w:r>
      <w:r w:rsidR="00224A1A">
        <w:t xml:space="preserve">on the </w:t>
      </w:r>
      <w:hyperlink r:id="rId13" w:history="1">
        <w:r w:rsidR="00224A1A" w:rsidRPr="00224A1A">
          <w:rPr>
            <w:rStyle w:val="Hyperlink"/>
          </w:rPr>
          <w:t>Setting up and accessing SafeScript page</w:t>
        </w:r>
      </w:hyperlink>
      <w:r w:rsidR="00F86208">
        <w:t xml:space="preserve"> at: &lt;</w:t>
      </w:r>
      <w:r w:rsidR="00F86208" w:rsidRPr="006269DB">
        <w:t>www2.health.vic.gov.au/public-health/drugs-and-poisons/safescript/access-and-setup</w:t>
      </w:r>
      <w:r w:rsidR="00F86208">
        <w:t>&gt;.</w:t>
      </w:r>
    </w:p>
    <w:p w14:paraId="435DD8BE" w14:textId="3C6B3CCC" w:rsidR="00877814" w:rsidRDefault="00877814" w:rsidP="001D72E3">
      <w:pPr>
        <w:pStyle w:val="Heading4"/>
        <w:rPr>
          <w:sz w:val="24"/>
        </w:rPr>
      </w:pPr>
      <w:r>
        <w:rPr>
          <w:sz w:val="24"/>
        </w:rPr>
        <w:t>What do pop-up notifications in my software and alerts in SafeScript mean?</w:t>
      </w:r>
    </w:p>
    <w:p w14:paraId="607DEAE4" w14:textId="77777777" w:rsidR="00877814" w:rsidRPr="00877814" w:rsidRDefault="00877814" w:rsidP="00877814">
      <w:pPr>
        <w:pStyle w:val="DHHSbody"/>
        <w:rPr>
          <w:rFonts w:eastAsia="Times New Roman" w:cs="Arial"/>
          <w:bCs/>
          <w:lang w:val="en" w:eastAsia="en-AU"/>
        </w:rPr>
      </w:pPr>
      <w:r w:rsidRPr="00877814">
        <w:rPr>
          <w:rFonts w:eastAsia="Times New Roman" w:cs="Arial"/>
          <w:bCs/>
          <w:lang w:val="en" w:eastAsia="en-AU"/>
        </w:rPr>
        <w:t>When using SafeScript, it is important to differentiate between notifications and alerts.</w:t>
      </w:r>
    </w:p>
    <w:p w14:paraId="59A90BC3" w14:textId="77777777" w:rsidR="00877814" w:rsidRPr="00877814" w:rsidRDefault="00877814" w:rsidP="00877814">
      <w:pPr>
        <w:pStyle w:val="DHHSbody"/>
        <w:rPr>
          <w:rFonts w:eastAsia="Times New Roman" w:cs="Arial"/>
          <w:bCs/>
          <w:lang w:val="en" w:eastAsia="en-AU"/>
        </w:rPr>
      </w:pPr>
      <w:r w:rsidRPr="00877814">
        <w:rPr>
          <w:rFonts w:eastAsia="Times New Roman" w:cs="Arial"/>
          <w:b/>
          <w:bCs/>
          <w:lang w:val="en" w:eastAsia="en-AU"/>
        </w:rPr>
        <w:t>Notifications</w:t>
      </w:r>
      <w:r w:rsidRPr="00877814">
        <w:rPr>
          <w:rFonts w:eastAsia="Times New Roman" w:cs="Arial"/>
          <w:bCs/>
          <w:lang w:val="en" w:eastAsia="en-AU"/>
        </w:rPr>
        <w:t xml:space="preserve"> are the red, amber or green messages that pop-up on a prescriber or pharmacist’s screen when they are prescribing or dispensing a medicine monitored in SafeScript. These notifications are designed to quickly and clearly signal to the prescriber or pharmacist if checking the patient’s record in SafeScript is required.</w:t>
      </w:r>
    </w:p>
    <w:p w14:paraId="0F24809E" w14:textId="45351700" w:rsidR="00877814" w:rsidRPr="00877814" w:rsidRDefault="00877814" w:rsidP="00877814">
      <w:pPr>
        <w:pStyle w:val="DHHSbody"/>
        <w:rPr>
          <w:rFonts w:eastAsia="Times New Roman" w:cs="Arial"/>
          <w:bCs/>
          <w:lang w:val="en" w:eastAsia="en-AU"/>
        </w:rPr>
      </w:pPr>
      <w:r w:rsidRPr="00877814">
        <w:rPr>
          <w:rFonts w:eastAsia="Times New Roman" w:cs="Arial"/>
          <w:b/>
          <w:bCs/>
          <w:lang w:val="en" w:eastAsia="en-AU"/>
        </w:rPr>
        <w:t>Alerts</w:t>
      </w:r>
      <w:r w:rsidRPr="00877814">
        <w:rPr>
          <w:rFonts w:eastAsia="Times New Roman" w:cs="Arial"/>
          <w:bCs/>
          <w:lang w:val="en" w:eastAsia="en-AU"/>
        </w:rPr>
        <w:t xml:space="preserve"> exist within the SafeScript portal and indicate that the dispensing history for a patient has met certain criteria for high-risk circumstances. Clinicians will be prompted to consider this information as part of their clinical decision-making. </w:t>
      </w:r>
    </w:p>
    <w:p w14:paraId="0BD27046" w14:textId="11742797" w:rsidR="00F86208" w:rsidRDefault="00F86208" w:rsidP="001D72E3">
      <w:pPr>
        <w:pStyle w:val="Heading4"/>
        <w:rPr>
          <w:sz w:val="24"/>
        </w:rPr>
      </w:pPr>
      <w:r>
        <w:rPr>
          <w:sz w:val="24"/>
        </w:rPr>
        <w:lastRenderedPageBreak/>
        <w:t xml:space="preserve">What </w:t>
      </w:r>
      <w:r w:rsidR="00877814">
        <w:rPr>
          <w:sz w:val="24"/>
        </w:rPr>
        <w:t xml:space="preserve">are the </w:t>
      </w:r>
      <w:r>
        <w:rPr>
          <w:sz w:val="24"/>
        </w:rPr>
        <w:t>red, amber and green pop-up notifications</w:t>
      </w:r>
      <w:r w:rsidR="00877814">
        <w:rPr>
          <w:sz w:val="24"/>
        </w:rPr>
        <w:t xml:space="preserve"> that display in my software</w:t>
      </w:r>
      <w:r>
        <w:rPr>
          <w:sz w:val="24"/>
        </w:rPr>
        <w:t>?</w:t>
      </w:r>
    </w:p>
    <w:p w14:paraId="16670FD2" w14:textId="2597329E" w:rsidR="00F86208" w:rsidRPr="00EB1FC2" w:rsidRDefault="74ACD440" w:rsidP="00EB1FC2">
      <w:pPr>
        <w:spacing w:before="120" w:after="120" w:line="270" w:lineRule="atLeast"/>
        <w:rPr>
          <w:rFonts w:ascii="Arial" w:hAnsi="Arial" w:cs="Arial"/>
          <w:lang w:val="en" w:eastAsia="en-AU"/>
        </w:rPr>
      </w:pPr>
      <w:r w:rsidRPr="001F7F70">
        <w:rPr>
          <w:rFonts w:ascii="Arial" w:hAnsi="Arial" w:cs="Arial"/>
          <w:bCs/>
          <w:lang w:val="en" w:eastAsia="en-AU"/>
        </w:rPr>
        <w:t xml:space="preserve">A </w:t>
      </w:r>
      <w:r w:rsidRPr="00EB1FC2">
        <w:rPr>
          <w:rFonts w:ascii="Arial" w:hAnsi="Arial" w:cs="Arial"/>
          <w:b/>
          <w:bCs/>
          <w:lang w:val="en" w:eastAsia="en-AU"/>
        </w:rPr>
        <w:t>red notification</w:t>
      </w:r>
      <w:r w:rsidRPr="001F7F70">
        <w:rPr>
          <w:rFonts w:ascii="Arial" w:hAnsi="Arial" w:cs="Arial"/>
          <w:bCs/>
          <w:lang w:val="en" w:eastAsia="en-AU"/>
        </w:rPr>
        <w:t xml:space="preserve"> will appear when there is a clinical alert relating to the prescribing/dispensing history of a patient</w:t>
      </w:r>
      <w:r w:rsidRPr="001F7F70">
        <w:rPr>
          <w:rFonts w:ascii="Arial" w:hAnsi="Arial" w:cs="Arial"/>
          <w:lang w:val="en" w:eastAsia="en-AU"/>
        </w:rPr>
        <w:t>.</w:t>
      </w:r>
      <w:r w:rsidR="00EB1FC2">
        <w:rPr>
          <w:rFonts w:ascii="Arial" w:hAnsi="Arial" w:cs="Arial"/>
          <w:lang w:val="en" w:eastAsia="en-AU"/>
        </w:rPr>
        <w:t xml:space="preserve"> </w:t>
      </w:r>
      <w:r w:rsidR="00F86208" w:rsidRPr="00F86208">
        <w:rPr>
          <w:rFonts w:ascii="Arial" w:hAnsi="Arial" w:cs="Arial"/>
          <w:szCs w:val="24"/>
          <w:lang w:val="en" w:eastAsia="en-AU"/>
        </w:rPr>
        <w:t xml:space="preserve">These alerts </w:t>
      </w:r>
      <w:r w:rsidR="00EB1FC2">
        <w:rPr>
          <w:rFonts w:ascii="Arial" w:hAnsi="Arial" w:cs="Arial"/>
          <w:szCs w:val="24"/>
          <w:lang w:val="en" w:eastAsia="en-AU"/>
        </w:rPr>
        <w:t>include</w:t>
      </w:r>
      <w:r w:rsidR="00F86208" w:rsidRPr="00F86208">
        <w:rPr>
          <w:rFonts w:ascii="Arial" w:hAnsi="Arial" w:cs="Arial"/>
          <w:szCs w:val="24"/>
          <w:lang w:val="en" w:eastAsia="en-AU"/>
        </w:rPr>
        <w:t>:</w:t>
      </w:r>
    </w:p>
    <w:p w14:paraId="0AD6B0E7" w14:textId="70C51468" w:rsidR="00F86208" w:rsidRPr="00F86208" w:rsidRDefault="74ACD440" w:rsidP="74ACD440">
      <w:pPr>
        <w:numPr>
          <w:ilvl w:val="0"/>
          <w:numId w:val="12"/>
        </w:numPr>
        <w:spacing w:line="270" w:lineRule="atLeast"/>
        <w:rPr>
          <w:rFonts w:ascii="Arial" w:hAnsi="Arial" w:cs="Arial"/>
          <w:lang w:val="en" w:eastAsia="en-AU"/>
        </w:rPr>
      </w:pPr>
      <w:r w:rsidRPr="74ACD440">
        <w:rPr>
          <w:rFonts w:ascii="Arial" w:hAnsi="Arial" w:cs="Arial"/>
          <w:b/>
          <w:bCs/>
          <w:lang w:val="en" w:eastAsia="en-AU"/>
        </w:rPr>
        <w:t>Multiple provider episodes:</w:t>
      </w:r>
      <w:r w:rsidRPr="74ACD440">
        <w:rPr>
          <w:rFonts w:ascii="Arial" w:hAnsi="Arial" w:cs="Arial"/>
          <w:lang w:val="en" w:eastAsia="en-AU"/>
        </w:rPr>
        <w:t xml:space="preserve"> </w:t>
      </w:r>
      <w:r w:rsidR="00852B96" w:rsidRPr="00852B96">
        <w:rPr>
          <w:rFonts w:ascii="Arial" w:hAnsi="Arial" w:cs="Arial"/>
          <w:lang w:val="en" w:eastAsia="en-AU"/>
        </w:rPr>
        <w:t>When prescriptions from 4 or more prescribers/medical practices have been recorded in SafeScript within the last 90 days</w:t>
      </w:r>
      <w:r w:rsidRPr="74ACD440">
        <w:rPr>
          <w:rFonts w:ascii="Arial" w:hAnsi="Arial" w:cs="Arial"/>
          <w:lang w:val="en" w:eastAsia="en-AU"/>
        </w:rPr>
        <w:t>.</w:t>
      </w:r>
    </w:p>
    <w:p w14:paraId="694D3793" w14:textId="77777777" w:rsidR="00F86208" w:rsidRPr="00F86208" w:rsidRDefault="00F86208" w:rsidP="00CF5218">
      <w:pPr>
        <w:numPr>
          <w:ilvl w:val="0"/>
          <w:numId w:val="12"/>
        </w:numPr>
        <w:spacing w:before="120" w:after="60" w:line="240" w:lineRule="exact"/>
        <w:ind w:left="357" w:hanging="357"/>
        <w:rPr>
          <w:rFonts w:ascii="Arial" w:hAnsi="Arial" w:cs="Arial"/>
          <w:szCs w:val="24"/>
          <w:lang w:val="en" w:eastAsia="en-AU"/>
        </w:rPr>
      </w:pPr>
      <w:r w:rsidRPr="00F86208">
        <w:rPr>
          <w:rFonts w:ascii="Arial" w:hAnsi="Arial" w:cs="Arial"/>
          <w:b/>
          <w:bCs/>
          <w:szCs w:val="24"/>
          <w:lang w:val="en" w:eastAsia="en-AU"/>
        </w:rPr>
        <w:t>High-risk drug combinations</w:t>
      </w:r>
      <w:r w:rsidRPr="00F86208">
        <w:rPr>
          <w:rFonts w:ascii="Arial" w:hAnsi="Arial" w:cs="Arial"/>
          <w:szCs w:val="24"/>
          <w:lang w:val="en" w:eastAsia="en-AU"/>
        </w:rPr>
        <w:t xml:space="preserve">: When prescriptions for certain drug combinations have been recorded in SafeScript within the last 90 days. </w:t>
      </w:r>
    </w:p>
    <w:p w14:paraId="525A024E" w14:textId="77777777" w:rsidR="00F86208" w:rsidRPr="00F86208" w:rsidRDefault="00F86208" w:rsidP="00CF5218">
      <w:pPr>
        <w:numPr>
          <w:ilvl w:val="2"/>
          <w:numId w:val="11"/>
        </w:numPr>
        <w:spacing w:after="60" w:line="240" w:lineRule="exact"/>
        <w:ind w:left="811" w:hanging="357"/>
        <w:rPr>
          <w:rFonts w:ascii="Arial" w:hAnsi="Arial" w:cs="Arial"/>
          <w:szCs w:val="24"/>
          <w:lang w:val="en" w:eastAsia="en-AU"/>
        </w:rPr>
      </w:pPr>
      <w:r w:rsidRPr="00F86208">
        <w:rPr>
          <w:rFonts w:ascii="Arial" w:hAnsi="Arial" w:cs="Arial"/>
          <w:szCs w:val="24"/>
          <w:lang w:val="en" w:eastAsia="en-AU"/>
        </w:rPr>
        <w:t>Methadone + a benzodiazepine</w:t>
      </w:r>
    </w:p>
    <w:p w14:paraId="6217467F" w14:textId="77777777" w:rsidR="00F86208" w:rsidRPr="00F86208" w:rsidRDefault="00F86208" w:rsidP="00CF5218">
      <w:pPr>
        <w:numPr>
          <w:ilvl w:val="2"/>
          <w:numId w:val="11"/>
        </w:numPr>
        <w:spacing w:after="60" w:line="240" w:lineRule="exact"/>
        <w:ind w:left="811" w:hanging="357"/>
        <w:rPr>
          <w:rFonts w:ascii="Arial" w:hAnsi="Arial" w:cs="Arial"/>
          <w:szCs w:val="24"/>
          <w:lang w:val="en" w:eastAsia="en-AU"/>
        </w:rPr>
      </w:pPr>
      <w:r w:rsidRPr="00F86208">
        <w:rPr>
          <w:rFonts w:ascii="Arial" w:hAnsi="Arial" w:cs="Arial"/>
          <w:szCs w:val="24"/>
          <w:lang w:val="en" w:eastAsia="en-AU"/>
        </w:rPr>
        <w:t>Methadone + a long-acting opioid</w:t>
      </w:r>
    </w:p>
    <w:p w14:paraId="31F86003" w14:textId="77777777" w:rsidR="00F86208" w:rsidRPr="00F86208" w:rsidRDefault="00F86208" w:rsidP="00CF5218">
      <w:pPr>
        <w:numPr>
          <w:ilvl w:val="2"/>
          <w:numId w:val="11"/>
        </w:numPr>
        <w:spacing w:after="60" w:line="240" w:lineRule="exact"/>
        <w:ind w:left="811" w:hanging="357"/>
        <w:rPr>
          <w:rFonts w:ascii="Arial" w:hAnsi="Arial" w:cs="Arial"/>
          <w:szCs w:val="24"/>
          <w:lang w:val="en" w:eastAsia="en-AU"/>
        </w:rPr>
      </w:pPr>
      <w:r w:rsidRPr="00F86208">
        <w:rPr>
          <w:rFonts w:ascii="Arial" w:hAnsi="Arial" w:cs="Arial"/>
          <w:szCs w:val="24"/>
          <w:lang w:val="en" w:eastAsia="en-AU"/>
        </w:rPr>
        <w:t>Fentanyl + a benzodiazepine</w:t>
      </w:r>
      <w:bookmarkStart w:id="0" w:name="_GoBack"/>
      <w:bookmarkEnd w:id="0"/>
    </w:p>
    <w:p w14:paraId="20881FD2" w14:textId="77777777" w:rsidR="00F86208" w:rsidRPr="00F86208" w:rsidRDefault="00F86208" w:rsidP="00CF5218">
      <w:pPr>
        <w:numPr>
          <w:ilvl w:val="2"/>
          <w:numId w:val="11"/>
        </w:numPr>
        <w:spacing w:after="80" w:line="240" w:lineRule="exact"/>
        <w:ind w:left="811" w:hanging="357"/>
        <w:rPr>
          <w:rFonts w:ascii="Arial" w:hAnsi="Arial" w:cs="Arial"/>
          <w:szCs w:val="24"/>
          <w:lang w:val="en" w:eastAsia="en-AU"/>
        </w:rPr>
      </w:pPr>
      <w:r w:rsidRPr="00F86208">
        <w:rPr>
          <w:rFonts w:ascii="Arial" w:hAnsi="Arial" w:cs="Arial"/>
          <w:szCs w:val="24"/>
          <w:lang w:val="en" w:eastAsia="en-AU"/>
        </w:rPr>
        <w:t>Fentanyl + a long-acting opioid</w:t>
      </w:r>
    </w:p>
    <w:p w14:paraId="21396EC4" w14:textId="77777777" w:rsidR="00F86208" w:rsidRPr="00F86208" w:rsidRDefault="00F86208" w:rsidP="00F86208">
      <w:pPr>
        <w:numPr>
          <w:ilvl w:val="1"/>
          <w:numId w:val="11"/>
        </w:numPr>
        <w:spacing w:before="120" w:after="120" w:line="270" w:lineRule="atLeast"/>
        <w:ind w:left="357" w:hanging="357"/>
        <w:rPr>
          <w:rFonts w:ascii="Arial" w:hAnsi="Arial" w:cs="Arial"/>
          <w:szCs w:val="24"/>
          <w:lang w:val="en" w:eastAsia="en-AU"/>
        </w:rPr>
      </w:pPr>
      <w:r w:rsidRPr="00F86208">
        <w:rPr>
          <w:rFonts w:ascii="Arial" w:hAnsi="Arial" w:cs="Arial"/>
          <w:b/>
          <w:bCs/>
          <w:szCs w:val="24"/>
          <w:lang w:val="en" w:eastAsia="en-AU"/>
        </w:rPr>
        <w:t>Opioid dose threshold</w:t>
      </w:r>
      <w:r w:rsidRPr="00F86208">
        <w:rPr>
          <w:rFonts w:ascii="Arial" w:hAnsi="Arial" w:cs="Arial"/>
          <w:szCs w:val="24"/>
          <w:lang w:val="en" w:eastAsia="en-AU"/>
        </w:rPr>
        <w:t>: When the daily morphine equivalent dose (calculated based on an average over the last 90 days) exceeds 100mg MED daily (i.e. a high</w:t>
      </w:r>
      <w:r w:rsidR="00215057">
        <w:rPr>
          <w:rFonts w:ascii="Arial" w:hAnsi="Arial" w:cs="Arial"/>
          <w:szCs w:val="24"/>
          <w:lang w:val="en" w:eastAsia="en-AU"/>
        </w:rPr>
        <w:t>-</w:t>
      </w:r>
      <w:r w:rsidRPr="00F86208">
        <w:rPr>
          <w:rFonts w:ascii="Arial" w:hAnsi="Arial" w:cs="Arial"/>
          <w:szCs w:val="24"/>
          <w:lang w:val="en" w:eastAsia="en-AU"/>
        </w:rPr>
        <w:t>risk dose).</w:t>
      </w:r>
    </w:p>
    <w:p w14:paraId="335B26E0" w14:textId="6304062B" w:rsidR="00F86208" w:rsidRPr="00F86208" w:rsidRDefault="74ACD440" w:rsidP="74ACD440">
      <w:pPr>
        <w:spacing w:before="120" w:after="120" w:line="270" w:lineRule="atLeast"/>
        <w:rPr>
          <w:rFonts w:ascii="Arial" w:hAnsi="Arial" w:cs="Arial"/>
          <w:lang w:val="en" w:eastAsia="en-AU"/>
        </w:rPr>
      </w:pPr>
      <w:r w:rsidRPr="74ACD440">
        <w:rPr>
          <w:rFonts w:ascii="Arial" w:hAnsi="Arial" w:cs="Arial"/>
          <w:lang w:val="en" w:eastAsia="en-AU"/>
        </w:rPr>
        <w:t xml:space="preserve">When use of SafeScript becomes mandatory, </w:t>
      </w:r>
      <w:r w:rsidR="00E019BC">
        <w:rPr>
          <w:rFonts w:ascii="Arial" w:hAnsi="Arial" w:cs="Arial"/>
          <w:lang w:val="en" w:eastAsia="en-AU"/>
        </w:rPr>
        <w:t>clinicians</w:t>
      </w:r>
      <w:r w:rsidRPr="74ACD440">
        <w:rPr>
          <w:rFonts w:ascii="Arial" w:hAnsi="Arial" w:cs="Arial"/>
          <w:lang w:val="en" w:eastAsia="en-AU"/>
        </w:rPr>
        <w:t xml:space="preserve"> will be required to click on the red notification to review the patient history to assess whether it is safe or appropriate to prescribe or dispense a medicine.</w:t>
      </w:r>
    </w:p>
    <w:p w14:paraId="4AEF38C4" w14:textId="77777777" w:rsidR="00F86208" w:rsidRPr="00F86208" w:rsidRDefault="00F86208" w:rsidP="00CF5218">
      <w:pPr>
        <w:spacing w:after="120" w:line="270" w:lineRule="atLeast"/>
        <w:rPr>
          <w:rFonts w:ascii="Arial" w:hAnsi="Arial" w:cs="Arial"/>
          <w:b/>
          <w:szCs w:val="24"/>
          <w:lang w:val="en" w:eastAsia="en-AU"/>
        </w:rPr>
      </w:pPr>
      <w:r w:rsidRPr="00F86208">
        <w:rPr>
          <w:rFonts w:ascii="Arial" w:hAnsi="Arial" w:cs="Arial"/>
          <w:b/>
          <w:szCs w:val="24"/>
          <w:lang w:val="en" w:eastAsia="en-AU"/>
        </w:rPr>
        <w:t xml:space="preserve">An </w:t>
      </w:r>
      <w:r w:rsidRPr="009E34B6">
        <w:rPr>
          <w:rFonts w:ascii="Arial" w:hAnsi="Arial" w:cs="Arial"/>
          <w:b/>
          <w:bCs/>
          <w:szCs w:val="24"/>
          <w:lang w:val="en" w:eastAsia="en-AU"/>
        </w:rPr>
        <w:t xml:space="preserve">amber </w:t>
      </w:r>
      <w:r w:rsidRPr="00F86208">
        <w:rPr>
          <w:rFonts w:ascii="Arial" w:hAnsi="Arial" w:cs="Arial"/>
          <w:b/>
          <w:szCs w:val="24"/>
          <w:lang w:val="en" w:eastAsia="en-AU"/>
        </w:rPr>
        <w:t>notification will appear in the following situations:</w:t>
      </w:r>
    </w:p>
    <w:p w14:paraId="5142EFB8" w14:textId="77777777" w:rsidR="00852B96" w:rsidRPr="00852B96" w:rsidRDefault="00852B96" w:rsidP="00852B96">
      <w:pPr>
        <w:numPr>
          <w:ilvl w:val="0"/>
          <w:numId w:val="14"/>
        </w:numPr>
        <w:spacing w:after="120" w:line="270" w:lineRule="atLeast"/>
        <w:rPr>
          <w:rFonts w:ascii="Arial" w:hAnsi="Arial" w:cs="Arial"/>
          <w:lang w:eastAsia="en-AU"/>
        </w:rPr>
      </w:pPr>
      <w:r w:rsidRPr="00852B96">
        <w:rPr>
          <w:rFonts w:ascii="Arial" w:hAnsi="Arial" w:cs="Arial"/>
          <w:lang w:eastAsia="en-AU"/>
        </w:rPr>
        <w:t>When prescriptions for a monitored medicine in the last 6 months have been issued by more than one prescriber/medical practice, or 4 or more pharmacies.</w:t>
      </w:r>
    </w:p>
    <w:p w14:paraId="0FF34382" w14:textId="35590ACD" w:rsidR="00852B96" w:rsidRPr="00852B96" w:rsidRDefault="00852B96" w:rsidP="00852B96">
      <w:pPr>
        <w:numPr>
          <w:ilvl w:val="0"/>
          <w:numId w:val="15"/>
        </w:numPr>
        <w:spacing w:after="120" w:line="270" w:lineRule="atLeast"/>
        <w:rPr>
          <w:rFonts w:ascii="Arial" w:hAnsi="Arial" w:cs="Arial"/>
          <w:lang w:eastAsia="en-AU"/>
        </w:rPr>
      </w:pPr>
      <w:r w:rsidRPr="00852B96">
        <w:rPr>
          <w:rFonts w:ascii="Arial" w:hAnsi="Arial" w:cs="Arial"/>
          <w:lang w:eastAsia="en-AU"/>
        </w:rPr>
        <w:t xml:space="preserve">When the daily morphine equivalent dose (calculated based on </w:t>
      </w:r>
      <w:r w:rsidRPr="00852B96">
        <w:rPr>
          <w:rFonts w:ascii="Arial" w:hAnsi="Arial" w:cs="Arial"/>
          <w:lang w:eastAsia="en-AU"/>
        </w:rPr>
        <w:t>an average</w:t>
      </w:r>
      <w:r w:rsidRPr="00852B96">
        <w:rPr>
          <w:rFonts w:ascii="Arial" w:hAnsi="Arial" w:cs="Arial"/>
          <w:lang w:eastAsia="en-AU"/>
        </w:rPr>
        <w:t xml:space="preserve"> over the last 90 days) is between 50mg and 100mg MED daily (i.e. a medium risk dose)</w:t>
      </w:r>
    </w:p>
    <w:p w14:paraId="027187A8" w14:textId="77777777" w:rsidR="00852B96" w:rsidRPr="00852B96" w:rsidRDefault="00852B96" w:rsidP="00852B96">
      <w:pPr>
        <w:spacing w:after="120" w:line="270" w:lineRule="atLeast"/>
        <w:rPr>
          <w:rFonts w:ascii="Arial" w:hAnsi="Arial" w:cs="Arial"/>
          <w:lang w:eastAsia="en-AU"/>
        </w:rPr>
      </w:pPr>
      <w:r w:rsidRPr="00852B96">
        <w:rPr>
          <w:rFonts w:ascii="Arial" w:hAnsi="Arial" w:cs="Arial"/>
          <w:lang w:eastAsia="en-AU"/>
        </w:rPr>
        <w:t>When use of SafeScript becomes mandatory, prescribers/pharmacists will be required to click on the notification to review the patient history to assess whether it is safe or appropriate to prescribe/dispense a medicine.</w:t>
      </w:r>
    </w:p>
    <w:p w14:paraId="50421989" w14:textId="586DD8B3" w:rsidR="00F86208" w:rsidRPr="00F86208" w:rsidRDefault="00852B96" w:rsidP="00852B96">
      <w:pPr>
        <w:spacing w:after="120" w:line="270" w:lineRule="atLeast"/>
        <w:rPr>
          <w:rFonts w:ascii="Arial" w:hAnsi="Arial" w:cs="Arial"/>
          <w:b/>
          <w:szCs w:val="24"/>
          <w:lang w:val="en" w:eastAsia="en-AU"/>
        </w:rPr>
      </w:pPr>
      <w:r w:rsidRPr="00852B96">
        <w:rPr>
          <w:rFonts w:ascii="Arial" w:hAnsi="Arial" w:cs="Arial"/>
          <w:b/>
          <w:lang w:val="en" w:eastAsia="en-AU"/>
        </w:rPr>
        <w:t xml:space="preserve"> </w:t>
      </w:r>
      <w:r w:rsidR="00F86208" w:rsidRPr="00F86208">
        <w:rPr>
          <w:rFonts w:ascii="Arial" w:hAnsi="Arial" w:cs="Arial"/>
          <w:b/>
          <w:szCs w:val="24"/>
          <w:lang w:val="en" w:eastAsia="en-AU"/>
        </w:rPr>
        <w:t xml:space="preserve">A </w:t>
      </w:r>
      <w:r w:rsidR="00FD5F18" w:rsidRPr="009E34B6">
        <w:rPr>
          <w:rFonts w:ascii="Arial" w:hAnsi="Arial" w:cs="Arial"/>
          <w:b/>
          <w:bCs/>
          <w:szCs w:val="24"/>
          <w:lang w:val="en" w:eastAsia="en-AU"/>
        </w:rPr>
        <w:t>green</w:t>
      </w:r>
      <w:r w:rsidR="00F86208" w:rsidRPr="00F86208">
        <w:rPr>
          <w:rFonts w:ascii="Arial" w:hAnsi="Arial" w:cs="Arial"/>
          <w:b/>
          <w:szCs w:val="24"/>
          <w:lang w:val="en" w:eastAsia="en-AU"/>
        </w:rPr>
        <w:t xml:space="preserve"> notification will appear in the following situations:</w:t>
      </w:r>
    </w:p>
    <w:p w14:paraId="12DA7F3A" w14:textId="6DB38A3B" w:rsidR="00F86208" w:rsidRPr="00F86208" w:rsidRDefault="74ACD440" w:rsidP="007A4F7F">
      <w:pPr>
        <w:numPr>
          <w:ilvl w:val="1"/>
          <w:numId w:val="11"/>
        </w:numPr>
        <w:spacing w:before="120" w:after="120" w:line="240" w:lineRule="exact"/>
        <w:ind w:left="453" w:hanging="357"/>
        <w:rPr>
          <w:rFonts w:ascii="Arial" w:hAnsi="Arial" w:cs="Arial"/>
          <w:lang w:val="en" w:eastAsia="en-AU"/>
        </w:rPr>
      </w:pPr>
      <w:r w:rsidRPr="74ACD440">
        <w:rPr>
          <w:rFonts w:ascii="Arial" w:hAnsi="Arial" w:cs="Arial"/>
          <w:lang w:val="en" w:eastAsia="en-AU"/>
        </w:rPr>
        <w:t>When there has not been a prescription issued or dispensed for a monitored medicine in the last 6 months, or</w:t>
      </w:r>
    </w:p>
    <w:p w14:paraId="634FA178" w14:textId="1DDAD9ED" w:rsidR="00F86208" w:rsidRPr="00F86208" w:rsidRDefault="74ACD440" w:rsidP="007A4F7F">
      <w:pPr>
        <w:numPr>
          <w:ilvl w:val="1"/>
          <w:numId w:val="11"/>
        </w:numPr>
        <w:spacing w:before="120" w:after="120" w:line="240" w:lineRule="exact"/>
        <w:ind w:left="453" w:hanging="357"/>
        <w:rPr>
          <w:rFonts w:ascii="Arial" w:hAnsi="Arial" w:cs="Arial"/>
          <w:lang w:val="en" w:eastAsia="en-AU"/>
        </w:rPr>
      </w:pPr>
      <w:r w:rsidRPr="74ACD440">
        <w:rPr>
          <w:rFonts w:ascii="Arial" w:hAnsi="Arial" w:cs="Arial"/>
          <w:lang w:val="en" w:eastAsia="en-AU"/>
        </w:rPr>
        <w:t>When prescriptions for a monitored medicine in the last 6 months have been issued by the same prescriber, and there are no clinical alerts</w:t>
      </w:r>
    </w:p>
    <w:p w14:paraId="00F26ACA" w14:textId="7776D06A" w:rsidR="00F86208" w:rsidRPr="00FD5F18" w:rsidRDefault="74ACD440" w:rsidP="74ACD440">
      <w:pPr>
        <w:spacing w:before="120" w:after="120" w:line="270" w:lineRule="atLeast"/>
        <w:rPr>
          <w:rFonts w:ascii="Arial" w:hAnsi="Arial" w:cs="Arial"/>
          <w:lang w:val="en" w:eastAsia="en-AU"/>
        </w:rPr>
      </w:pPr>
      <w:r w:rsidRPr="74ACD440">
        <w:rPr>
          <w:rFonts w:ascii="Arial" w:hAnsi="Arial" w:cs="Arial"/>
          <w:lang w:val="en" w:eastAsia="en-AU"/>
        </w:rPr>
        <w:t xml:space="preserve">When use of SafeScript becomes mandatory, </w:t>
      </w:r>
      <w:r w:rsidR="001E5D0D">
        <w:rPr>
          <w:rFonts w:ascii="Arial" w:hAnsi="Arial" w:cs="Arial"/>
          <w:lang w:val="en" w:eastAsia="en-AU"/>
        </w:rPr>
        <w:t>clinicians</w:t>
      </w:r>
      <w:r w:rsidRPr="74ACD440">
        <w:rPr>
          <w:rFonts w:ascii="Arial" w:hAnsi="Arial" w:cs="Arial"/>
          <w:lang w:val="en" w:eastAsia="en-AU"/>
        </w:rPr>
        <w:t xml:space="preserve"> will not be required to click on the notification to review the patient history.</w:t>
      </w:r>
    </w:p>
    <w:p w14:paraId="6EF773F6" w14:textId="525E0C11" w:rsidR="00C852B2" w:rsidRPr="0079688C" w:rsidRDefault="009C72AC" w:rsidP="001D72E3">
      <w:pPr>
        <w:pStyle w:val="Heading4"/>
        <w:rPr>
          <w:sz w:val="24"/>
        </w:rPr>
      </w:pPr>
      <w:r w:rsidRPr="0079688C">
        <w:rPr>
          <w:sz w:val="24"/>
        </w:rPr>
        <w:t>Does</w:t>
      </w:r>
      <w:r w:rsidR="00C852B2" w:rsidRPr="0079688C">
        <w:rPr>
          <w:sz w:val="24"/>
        </w:rPr>
        <w:t xml:space="preserve"> </w:t>
      </w:r>
      <w:r w:rsidR="009E34B6">
        <w:rPr>
          <w:sz w:val="24"/>
        </w:rPr>
        <w:t>a</w:t>
      </w:r>
      <w:r w:rsidR="00AC70E4">
        <w:rPr>
          <w:sz w:val="24"/>
        </w:rPr>
        <w:t xml:space="preserve">n alert </w:t>
      </w:r>
      <w:r w:rsidR="00877814">
        <w:rPr>
          <w:sz w:val="24"/>
        </w:rPr>
        <w:t xml:space="preserve">in SafeScript </w:t>
      </w:r>
      <w:r w:rsidR="00AC70E4">
        <w:rPr>
          <w:sz w:val="24"/>
        </w:rPr>
        <w:t>mean I am not allowed to</w:t>
      </w:r>
      <w:r w:rsidR="009E34B6">
        <w:rPr>
          <w:sz w:val="24"/>
        </w:rPr>
        <w:t xml:space="preserve"> prescrib</w:t>
      </w:r>
      <w:r w:rsidR="00AC70E4">
        <w:rPr>
          <w:sz w:val="24"/>
        </w:rPr>
        <w:t>e</w:t>
      </w:r>
      <w:r w:rsidR="00C778A1">
        <w:rPr>
          <w:sz w:val="24"/>
        </w:rPr>
        <w:t xml:space="preserve"> </w:t>
      </w:r>
      <w:r w:rsidR="009E34B6">
        <w:rPr>
          <w:sz w:val="24"/>
        </w:rPr>
        <w:t>or dispens</w:t>
      </w:r>
      <w:r w:rsidR="00AC70E4">
        <w:rPr>
          <w:sz w:val="24"/>
        </w:rPr>
        <w:t>e</w:t>
      </w:r>
      <w:r w:rsidR="009E34B6">
        <w:rPr>
          <w:sz w:val="24"/>
        </w:rPr>
        <w:t xml:space="preserve"> a medicine?</w:t>
      </w:r>
    </w:p>
    <w:p w14:paraId="5F23E38F" w14:textId="04745D40" w:rsidR="00440910" w:rsidRDefault="00437E3B" w:rsidP="00C416BB">
      <w:pPr>
        <w:spacing w:after="120" w:line="270" w:lineRule="atLeast"/>
        <w:rPr>
          <w:rFonts w:ascii="Arial" w:hAnsi="Arial" w:cs="Arial"/>
          <w:color w:val="000000"/>
        </w:rPr>
      </w:pPr>
      <w:r>
        <w:rPr>
          <w:rFonts w:ascii="Arial" w:hAnsi="Arial" w:cs="Arial"/>
          <w:color w:val="000000"/>
        </w:rPr>
        <w:t>An alert does not mean that you are no</w:t>
      </w:r>
      <w:r w:rsidR="00A0412E">
        <w:rPr>
          <w:rFonts w:ascii="Arial" w:hAnsi="Arial" w:cs="Arial"/>
          <w:color w:val="000000"/>
        </w:rPr>
        <w:t>t</w:t>
      </w:r>
      <w:r>
        <w:rPr>
          <w:rFonts w:ascii="Arial" w:hAnsi="Arial" w:cs="Arial"/>
          <w:color w:val="000000"/>
        </w:rPr>
        <w:t xml:space="preserve"> allowed to prescribe or dispense a medicine, but it indicates that </w:t>
      </w:r>
      <w:r w:rsidR="00A0412E">
        <w:rPr>
          <w:rFonts w:ascii="Arial" w:hAnsi="Arial" w:cs="Arial"/>
          <w:color w:val="000000"/>
        </w:rPr>
        <w:t xml:space="preserve">some </w:t>
      </w:r>
      <w:r w:rsidR="00934464">
        <w:rPr>
          <w:rFonts w:ascii="Arial" w:hAnsi="Arial" w:cs="Arial"/>
          <w:color w:val="000000"/>
        </w:rPr>
        <w:t>clinical risk has been identified which you need to review</w:t>
      </w:r>
      <w:r w:rsidR="00962167">
        <w:rPr>
          <w:rFonts w:ascii="Arial" w:hAnsi="Arial" w:cs="Arial"/>
          <w:color w:val="000000"/>
        </w:rPr>
        <w:t xml:space="preserve"> and manage appropriately</w:t>
      </w:r>
      <w:r w:rsidR="00934464">
        <w:rPr>
          <w:rFonts w:ascii="Arial" w:hAnsi="Arial" w:cs="Arial"/>
          <w:color w:val="000000"/>
        </w:rPr>
        <w:t>.</w:t>
      </w:r>
    </w:p>
    <w:p w14:paraId="668A1491" w14:textId="72FB06EF" w:rsidR="005D249E" w:rsidRPr="005D249E" w:rsidRDefault="005D249E" w:rsidP="005D249E">
      <w:pPr>
        <w:spacing w:after="120" w:line="270" w:lineRule="atLeast"/>
        <w:rPr>
          <w:rFonts w:ascii="Arial" w:hAnsi="Arial" w:cs="Arial"/>
        </w:rPr>
      </w:pPr>
      <w:r w:rsidRPr="005D249E">
        <w:rPr>
          <w:rFonts w:ascii="Arial" w:hAnsi="Arial" w:cs="Arial"/>
        </w:rPr>
        <w:t xml:space="preserve">SafeScript does not instruct </w:t>
      </w:r>
      <w:r w:rsidR="00437E3B">
        <w:rPr>
          <w:rFonts w:ascii="Arial" w:hAnsi="Arial" w:cs="Arial"/>
        </w:rPr>
        <w:t>you</w:t>
      </w:r>
      <w:r w:rsidRPr="005D249E">
        <w:rPr>
          <w:rFonts w:ascii="Arial" w:hAnsi="Arial" w:cs="Arial"/>
        </w:rPr>
        <w:t xml:space="preserve"> on what to do or decide whether a medicine should or should not be prescribed to </w:t>
      </w:r>
      <w:r w:rsidR="00437E3B">
        <w:rPr>
          <w:rFonts w:ascii="Arial" w:hAnsi="Arial" w:cs="Arial"/>
        </w:rPr>
        <w:t xml:space="preserve">your </w:t>
      </w:r>
      <w:r w:rsidRPr="005D249E">
        <w:rPr>
          <w:rFonts w:ascii="Arial" w:hAnsi="Arial" w:cs="Arial"/>
        </w:rPr>
        <w:t>patient.  This remains</w:t>
      </w:r>
      <w:r w:rsidR="00437E3B">
        <w:rPr>
          <w:rFonts w:ascii="Arial" w:hAnsi="Arial" w:cs="Arial"/>
        </w:rPr>
        <w:t xml:space="preserve"> your clinical decision </w:t>
      </w:r>
      <w:r w:rsidRPr="005D249E">
        <w:rPr>
          <w:rFonts w:ascii="Arial" w:hAnsi="Arial" w:cs="Arial"/>
        </w:rPr>
        <w:t xml:space="preserve">to determine whether the medicines prescribed </w:t>
      </w:r>
      <w:r w:rsidR="00437E3B">
        <w:rPr>
          <w:rFonts w:ascii="Arial" w:hAnsi="Arial" w:cs="Arial"/>
        </w:rPr>
        <w:t xml:space="preserve">continue to be </w:t>
      </w:r>
      <w:r w:rsidRPr="005D249E">
        <w:rPr>
          <w:rFonts w:ascii="Arial" w:hAnsi="Arial" w:cs="Arial"/>
        </w:rPr>
        <w:t xml:space="preserve">the safest and best option for </w:t>
      </w:r>
      <w:r w:rsidR="00437E3B">
        <w:rPr>
          <w:rFonts w:ascii="Arial" w:hAnsi="Arial" w:cs="Arial"/>
        </w:rPr>
        <w:t xml:space="preserve">your </w:t>
      </w:r>
      <w:r w:rsidRPr="005D249E">
        <w:rPr>
          <w:rFonts w:ascii="Arial" w:hAnsi="Arial" w:cs="Arial"/>
        </w:rPr>
        <w:t>patient’s medical needs.</w:t>
      </w:r>
    </w:p>
    <w:p w14:paraId="3FD6842B" w14:textId="37900450" w:rsidR="00C416BB" w:rsidRPr="00C416BB" w:rsidRDefault="005D249E" w:rsidP="00C416BB">
      <w:pPr>
        <w:spacing w:after="120" w:line="270" w:lineRule="atLeast"/>
        <w:rPr>
          <w:rFonts w:ascii="Arial" w:hAnsi="Arial" w:cs="Arial"/>
        </w:rPr>
      </w:pPr>
      <w:r>
        <w:rPr>
          <w:rFonts w:ascii="Arial" w:hAnsi="Arial" w:cs="Arial"/>
        </w:rPr>
        <w:t>S</w:t>
      </w:r>
      <w:r w:rsidRPr="005D249E">
        <w:rPr>
          <w:rFonts w:ascii="Arial" w:hAnsi="Arial" w:cs="Arial"/>
        </w:rPr>
        <w:t xml:space="preserve">hould </w:t>
      </w:r>
      <w:r>
        <w:rPr>
          <w:rFonts w:ascii="Arial" w:hAnsi="Arial" w:cs="Arial"/>
        </w:rPr>
        <w:t xml:space="preserve">you </w:t>
      </w:r>
      <w:r w:rsidRPr="005D249E">
        <w:rPr>
          <w:rFonts w:ascii="Arial" w:hAnsi="Arial" w:cs="Arial"/>
        </w:rPr>
        <w:t xml:space="preserve">decide that a medicine is no longer the safest treatment, </w:t>
      </w:r>
      <w:r>
        <w:rPr>
          <w:rFonts w:ascii="Arial" w:hAnsi="Arial" w:cs="Arial"/>
        </w:rPr>
        <w:t>you are reminded that g</w:t>
      </w:r>
      <w:r w:rsidR="00C416BB" w:rsidRPr="00C416BB">
        <w:rPr>
          <w:rFonts w:ascii="Arial" w:hAnsi="Arial" w:cs="Arial"/>
        </w:rPr>
        <w:t xml:space="preserve">ood </w:t>
      </w:r>
      <w:r>
        <w:rPr>
          <w:rFonts w:ascii="Arial" w:hAnsi="Arial" w:cs="Arial"/>
        </w:rPr>
        <w:t xml:space="preserve">clinical </w:t>
      </w:r>
      <w:r w:rsidR="00C416BB" w:rsidRPr="00C416BB">
        <w:rPr>
          <w:rFonts w:ascii="Arial" w:hAnsi="Arial" w:cs="Arial"/>
        </w:rPr>
        <w:t xml:space="preserve">practice involves ensuring that appropriate continuity of care is provided for </w:t>
      </w:r>
      <w:r w:rsidR="00934464">
        <w:rPr>
          <w:rFonts w:ascii="Arial" w:hAnsi="Arial" w:cs="Arial"/>
        </w:rPr>
        <w:t>your patient</w:t>
      </w:r>
      <w:r w:rsidR="00C416BB" w:rsidRPr="00C416BB">
        <w:rPr>
          <w:rFonts w:ascii="Arial" w:hAnsi="Arial" w:cs="Arial"/>
        </w:rPr>
        <w:t xml:space="preserve">. </w:t>
      </w:r>
      <w:r w:rsidR="00934464">
        <w:rPr>
          <w:rFonts w:ascii="Arial" w:hAnsi="Arial" w:cs="Arial"/>
        </w:rPr>
        <w:t xml:space="preserve"> </w:t>
      </w:r>
      <w:r w:rsidR="00C416BB" w:rsidRPr="00C416BB">
        <w:rPr>
          <w:rFonts w:ascii="Arial" w:hAnsi="Arial" w:cs="Arial"/>
        </w:rPr>
        <w:t xml:space="preserve">Abruptly discharging the patient from your care or </w:t>
      </w:r>
      <w:r w:rsidR="00934464">
        <w:rPr>
          <w:rFonts w:ascii="Arial" w:hAnsi="Arial" w:cs="Arial"/>
        </w:rPr>
        <w:t xml:space="preserve">abruptly </w:t>
      </w:r>
      <w:r w:rsidR="00C416BB" w:rsidRPr="00C416BB">
        <w:rPr>
          <w:rFonts w:ascii="Arial" w:hAnsi="Arial" w:cs="Arial"/>
        </w:rPr>
        <w:t xml:space="preserve">stopping treatment in patients who have been taking high-risk medicines over a long period </w:t>
      </w:r>
      <w:r w:rsidR="00934464">
        <w:rPr>
          <w:rFonts w:ascii="Arial" w:hAnsi="Arial" w:cs="Arial"/>
        </w:rPr>
        <w:t xml:space="preserve">of time </w:t>
      </w:r>
      <w:r w:rsidR="00C416BB" w:rsidRPr="00C416BB">
        <w:rPr>
          <w:rFonts w:ascii="Arial" w:hAnsi="Arial" w:cs="Arial"/>
        </w:rPr>
        <w:t>may be contrary to patient safety. There may be implications to discontinuing some medicines too quickly. For example, sudden withdrawal of benzodiazepines may result in rebound insomnia or anxiety, or at worst, seizures.</w:t>
      </w:r>
    </w:p>
    <w:p w14:paraId="474E83CB" w14:textId="5B690D92" w:rsidR="005D249E" w:rsidRPr="00C416BB" w:rsidRDefault="005D249E" w:rsidP="005D249E">
      <w:pPr>
        <w:pStyle w:val="DHHSbody"/>
        <w:rPr>
          <w:rFonts w:cs="Arial"/>
        </w:rPr>
      </w:pPr>
      <w:r w:rsidRPr="00C416BB">
        <w:rPr>
          <w:rFonts w:cs="Arial"/>
        </w:rPr>
        <w:t xml:space="preserve">Medical practitioners </w:t>
      </w:r>
      <w:r>
        <w:rPr>
          <w:rFonts w:cs="Arial"/>
        </w:rPr>
        <w:t xml:space="preserve">and pharmacists </w:t>
      </w:r>
      <w:r w:rsidRPr="00C416BB">
        <w:rPr>
          <w:rFonts w:cs="Arial"/>
        </w:rPr>
        <w:t xml:space="preserve">are </w:t>
      </w:r>
      <w:r w:rsidR="0011603B">
        <w:rPr>
          <w:rFonts w:cs="Arial"/>
        </w:rPr>
        <w:t xml:space="preserve">also </w:t>
      </w:r>
      <w:r w:rsidRPr="00C416BB">
        <w:rPr>
          <w:rFonts w:cs="Arial"/>
        </w:rPr>
        <w:t>reminded of their responsibilities as part of their professional registration, contained within their code of conduct.</w:t>
      </w:r>
      <w:r w:rsidRPr="000A35B6">
        <w:rPr>
          <w:rFonts w:cs="Arial"/>
        </w:rPr>
        <w:t xml:space="preserve"> </w:t>
      </w:r>
      <w:r w:rsidRPr="00933DC2">
        <w:rPr>
          <w:rFonts w:cs="Arial"/>
        </w:rPr>
        <w:t>It is important that all patients receive the same standard of care, remembering that anyone can develop a dependency on prescription medicines.</w:t>
      </w:r>
    </w:p>
    <w:p w14:paraId="00AE6D36" w14:textId="44951046" w:rsidR="00974EBE" w:rsidRPr="00712F96" w:rsidRDefault="00827BFC" w:rsidP="00440910">
      <w:pPr>
        <w:pStyle w:val="DHHSbody"/>
      </w:pPr>
      <w:r>
        <w:t>Clinicians are strongly encouraged to complete the c</w:t>
      </w:r>
      <w:r w:rsidR="00974EBE" w:rsidRPr="00974EBE">
        <w:t xml:space="preserve">omprehensive training </w:t>
      </w:r>
      <w:r>
        <w:t xml:space="preserve">provided </w:t>
      </w:r>
      <w:r w:rsidR="00974EBE" w:rsidRPr="00974EBE">
        <w:t xml:space="preserve">as part of SafeScript </w:t>
      </w:r>
      <w:r w:rsidR="00EF11FE">
        <w:t>implementation</w:t>
      </w:r>
      <w:r>
        <w:t xml:space="preserve">, which has </w:t>
      </w:r>
      <w:r w:rsidR="00974EBE">
        <w:t xml:space="preserve">a focus on enhancing </w:t>
      </w:r>
      <w:r w:rsidR="00EF11FE">
        <w:t>clini</w:t>
      </w:r>
      <w:r w:rsidR="00CC1582">
        <w:t xml:space="preserve">cal and counselling skills.  </w:t>
      </w:r>
      <w:r>
        <w:t xml:space="preserve">When you identify a high-risk </w:t>
      </w:r>
      <w:r>
        <w:lastRenderedPageBreak/>
        <w:t>circumstance in SafeScript, t</w:t>
      </w:r>
      <w:r w:rsidR="00974EBE" w:rsidRPr="00974EBE">
        <w:t>his training will</w:t>
      </w:r>
      <w:r>
        <w:t xml:space="preserve"> give you the </w:t>
      </w:r>
      <w:r w:rsidR="00CC1582">
        <w:t xml:space="preserve">confidence and skills </w:t>
      </w:r>
      <w:r>
        <w:t xml:space="preserve">to </w:t>
      </w:r>
      <w:r w:rsidR="0025083E">
        <w:t xml:space="preserve">enable you to </w:t>
      </w:r>
      <w:r>
        <w:t>c</w:t>
      </w:r>
      <w:r w:rsidR="00EF11FE">
        <w:t>ontinu</w:t>
      </w:r>
      <w:r>
        <w:t>e to provide safe</w:t>
      </w:r>
      <w:r w:rsidR="0025083E">
        <w:t xml:space="preserve"> </w:t>
      </w:r>
      <w:r>
        <w:t>and appropriate ongoing care to your patient.</w:t>
      </w:r>
      <w:r w:rsidR="00AF6FB7" w:rsidRPr="00AF6FB7">
        <w:t xml:space="preserve"> </w:t>
      </w:r>
      <w:r w:rsidR="00AF6FB7">
        <w:t xml:space="preserve">More information about the training available can be found at </w:t>
      </w:r>
      <w:bookmarkStart w:id="1" w:name="_Hlk5709246"/>
      <w:r w:rsidR="00AF6FB7">
        <w:t xml:space="preserve">the </w:t>
      </w:r>
      <w:hyperlink r:id="rId14" w:history="1">
        <w:r w:rsidR="006A441F" w:rsidRPr="006A441F">
          <w:rPr>
            <w:rStyle w:val="Hyperlink"/>
          </w:rPr>
          <w:t>SafeScript Training Hub</w:t>
        </w:r>
      </w:hyperlink>
      <w:r w:rsidR="006A441F">
        <w:t xml:space="preserve"> &lt;</w:t>
      </w:r>
      <w:r w:rsidR="00AF6FB7" w:rsidRPr="00AF6FB7">
        <w:t>https://vtphna.org.au/safescript-training-hub/</w:t>
      </w:r>
      <w:r w:rsidR="006A441F">
        <w:t>&gt;</w:t>
      </w:r>
      <w:r w:rsidR="00981EC0">
        <w:t>.</w:t>
      </w:r>
      <w:bookmarkEnd w:id="1"/>
    </w:p>
    <w:p w14:paraId="2D52652D" w14:textId="77777777" w:rsidR="00DB2BE8" w:rsidRPr="00DB2BE8" w:rsidRDefault="00DB2BE8" w:rsidP="00DB2BE8">
      <w:pPr>
        <w:pStyle w:val="Heading4"/>
        <w:rPr>
          <w:sz w:val="24"/>
        </w:rPr>
      </w:pPr>
      <w:r w:rsidRPr="00DB2BE8">
        <w:rPr>
          <w:sz w:val="24"/>
        </w:rPr>
        <w:t>I prefer keeping paper patient files and I handwrite prescriptions. How can I access SafeScript?</w:t>
      </w:r>
    </w:p>
    <w:p w14:paraId="4D00394B" w14:textId="77777777" w:rsidR="00DB2BE8" w:rsidRDefault="00DB2BE8" w:rsidP="00DB2BE8">
      <w:pPr>
        <w:pStyle w:val="DHHSbody"/>
      </w:pPr>
      <w:r>
        <w:t>While SafeScript has been designed to integrate with clinical workflows for clinicians using prescribing software, prescribers are not required to use medical practice software in order to access SafeScript.</w:t>
      </w:r>
    </w:p>
    <w:p w14:paraId="1CA2C78E" w14:textId="1448A5D6" w:rsidR="00DB2BE8" w:rsidRDefault="00DB2BE8" w:rsidP="00DB2BE8">
      <w:pPr>
        <w:pStyle w:val="DHHSbody"/>
      </w:pPr>
      <w:r>
        <w:t xml:space="preserve">Access is still available at all times via the secure </w:t>
      </w:r>
      <w:hyperlink r:id="rId15" w:history="1">
        <w:r w:rsidRPr="00D055C6">
          <w:rPr>
            <w:rStyle w:val="Hyperlink"/>
          </w:rPr>
          <w:t>SafeScript portal</w:t>
        </w:r>
      </w:hyperlink>
      <w:r>
        <w:t xml:space="preserve"> &lt;https://www.safescript.vic.gov.au&gt; for prescribers who write paper prescriptions. The portal is also available on mobile or tablet devices.</w:t>
      </w:r>
    </w:p>
    <w:p w14:paraId="3EA05B54" w14:textId="67DA2778" w:rsidR="00885576" w:rsidRPr="0079688C" w:rsidRDefault="00885576" w:rsidP="001D72E3">
      <w:pPr>
        <w:pStyle w:val="Heading4"/>
        <w:rPr>
          <w:sz w:val="24"/>
        </w:rPr>
      </w:pPr>
      <w:r w:rsidRPr="0079688C">
        <w:rPr>
          <w:sz w:val="24"/>
        </w:rPr>
        <w:t xml:space="preserve">What support is provided to patients and health professionals for the implementation of SafeScript? </w:t>
      </w:r>
    </w:p>
    <w:p w14:paraId="2B6281FA" w14:textId="3F8C8289" w:rsidR="00885576" w:rsidRPr="00D52747" w:rsidRDefault="00885576" w:rsidP="00885576">
      <w:pPr>
        <w:pStyle w:val="DHHSbody"/>
      </w:pPr>
      <w:r>
        <w:t>SafeScript</w:t>
      </w:r>
      <w:r w:rsidRPr="00D52747">
        <w:t xml:space="preserve"> </w:t>
      </w:r>
      <w:r>
        <w:t xml:space="preserve">is </w:t>
      </w:r>
      <w:r w:rsidRPr="00D52747">
        <w:t xml:space="preserve">accompanied by a range of initiatives to support and prepare patients and health professionals for </w:t>
      </w:r>
      <w:r>
        <w:t xml:space="preserve">its </w:t>
      </w:r>
      <w:r w:rsidRPr="00D52747">
        <w:t>implementation.</w:t>
      </w:r>
      <w:r w:rsidR="00D66099">
        <w:t xml:space="preserve"> </w:t>
      </w:r>
      <w:r>
        <w:t>These</w:t>
      </w:r>
      <w:r w:rsidRPr="00D52747">
        <w:t xml:space="preserve"> include:</w:t>
      </w:r>
    </w:p>
    <w:p w14:paraId="7D21148E" w14:textId="7F388F36" w:rsidR="00885576" w:rsidRPr="00D52747" w:rsidRDefault="001B566D" w:rsidP="00D63D08">
      <w:pPr>
        <w:pStyle w:val="DHHSbody"/>
        <w:numPr>
          <w:ilvl w:val="0"/>
          <w:numId w:val="10"/>
        </w:numPr>
        <w:ind w:left="357" w:hanging="357"/>
      </w:pPr>
      <w:r>
        <w:t>A</w:t>
      </w:r>
      <w:r w:rsidR="00885576" w:rsidRPr="00D52747">
        <w:t xml:space="preserve"> public awareness campaign </w:t>
      </w:r>
      <w:r w:rsidR="00CE1DD6">
        <w:t>aimed at</w:t>
      </w:r>
      <w:r w:rsidR="00885576" w:rsidRPr="00D52747">
        <w:t xml:space="preserve"> improv</w:t>
      </w:r>
      <w:r w:rsidR="00CE1DD6">
        <w:t xml:space="preserve">ing </w:t>
      </w:r>
      <w:r w:rsidR="00885576" w:rsidRPr="00D52747">
        <w:t>understanding of the risks associated with some prescription medicines</w:t>
      </w:r>
      <w:r w:rsidR="005B6F25">
        <w:t xml:space="preserve">. Brochures about SafeScript for patients have been supplied to pharmacies and medical clinics. To order more brochures, please email </w:t>
      </w:r>
      <w:hyperlink r:id="rId16" w:history="1">
        <w:r w:rsidR="005B6F25" w:rsidRPr="00057E07">
          <w:rPr>
            <w:rStyle w:val="Hyperlink"/>
          </w:rPr>
          <w:t>safescript@dhhs.vic.gov.au</w:t>
        </w:r>
      </w:hyperlink>
      <w:r w:rsidR="005B6F25">
        <w:t xml:space="preserve">. </w:t>
      </w:r>
    </w:p>
    <w:p w14:paraId="791E8963" w14:textId="221EFBE2" w:rsidR="00885576" w:rsidRPr="00764B2D" w:rsidRDefault="00764B2D" w:rsidP="00D63D08">
      <w:pPr>
        <w:pStyle w:val="ListParagraph"/>
        <w:numPr>
          <w:ilvl w:val="0"/>
          <w:numId w:val="10"/>
        </w:numPr>
        <w:spacing w:after="120" w:line="270" w:lineRule="atLeast"/>
        <w:ind w:left="357" w:hanging="357"/>
        <w:contextualSpacing w:val="0"/>
        <w:rPr>
          <w:rFonts w:ascii="Arial" w:hAnsi="Arial" w:cs="Arial"/>
          <w:sz w:val="20"/>
        </w:rPr>
      </w:pPr>
      <w:r w:rsidRPr="00764B2D">
        <w:rPr>
          <w:rFonts w:ascii="Arial" w:hAnsi="Arial" w:cs="Arial"/>
          <w:sz w:val="20"/>
        </w:rPr>
        <w:t>SafeScript GP Clinical Advisory Service</w:t>
      </w:r>
      <w:r>
        <w:rPr>
          <w:rFonts w:ascii="Arial" w:hAnsi="Arial" w:cs="Arial"/>
          <w:sz w:val="20"/>
        </w:rPr>
        <w:t xml:space="preserve"> is</w:t>
      </w:r>
      <w:r w:rsidRPr="00764B2D">
        <w:rPr>
          <w:rFonts w:ascii="Arial" w:hAnsi="Arial" w:cs="Arial"/>
          <w:b/>
          <w:sz w:val="20"/>
        </w:rPr>
        <w:t xml:space="preserve"> </w:t>
      </w:r>
      <w:r w:rsidRPr="00764B2D">
        <w:rPr>
          <w:rFonts w:ascii="Arial" w:hAnsi="Arial" w:cs="Arial"/>
          <w:sz w:val="20"/>
        </w:rPr>
        <w:t>a peer-to-peer service helping GPs to support patients with prescription medicine concerns and complex needs (</w:t>
      </w:r>
      <w:r w:rsidRPr="00764B2D">
        <w:rPr>
          <w:rFonts w:ascii="Arial" w:hAnsi="Arial" w:cs="Arial"/>
          <w:b/>
          <w:sz w:val="20"/>
        </w:rPr>
        <w:t>1800 812 804</w:t>
      </w:r>
      <w:r w:rsidRPr="00764B2D">
        <w:rPr>
          <w:rFonts w:ascii="Arial" w:hAnsi="Arial" w:cs="Arial"/>
          <w:sz w:val="20"/>
        </w:rPr>
        <w:t xml:space="preserve">). </w:t>
      </w:r>
      <w:r w:rsidR="74ACD440" w:rsidRPr="00764B2D">
        <w:rPr>
          <w:rFonts w:ascii="Arial" w:hAnsi="Arial" w:cs="Arial"/>
          <w:sz w:val="20"/>
        </w:rPr>
        <w:t xml:space="preserve">More information can be found at the </w:t>
      </w:r>
      <w:hyperlink r:id="rId17" w:history="1">
        <w:r w:rsidR="00D749EA" w:rsidRPr="004248AF">
          <w:rPr>
            <w:rStyle w:val="Hyperlink"/>
            <w:rFonts w:ascii="Arial" w:hAnsi="Arial" w:cs="Arial"/>
            <w:sz w:val="20"/>
          </w:rPr>
          <w:t>GP Clinical Advisory Service website</w:t>
        </w:r>
      </w:hyperlink>
      <w:r w:rsidR="74ACD440" w:rsidRPr="00764B2D">
        <w:rPr>
          <w:rFonts w:ascii="Arial" w:hAnsi="Arial" w:cs="Arial"/>
          <w:sz w:val="20"/>
        </w:rPr>
        <w:t xml:space="preserve"> &lt;https://www.dacas.org.au/clinical-resources/clinical-advisors&gt;.</w:t>
      </w:r>
    </w:p>
    <w:p w14:paraId="23899A45" w14:textId="617B39B1" w:rsidR="00885576" w:rsidRPr="00DA445F" w:rsidRDefault="00DA445F" w:rsidP="00D63D08">
      <w:pPr>
        <w:pStyle w:val="ListParagraph"/>
        <w:numPr>
          <w:ilvl w:val="0"/>
          <w:numId w:val="10"/>
        </w:numPr>
        <w:spacing w:after="120" w:line="270" w:lineRule="atLeast"/>
        <w:ind w:left="357" w:hanging="357"/>
        <w:contextualSpacing w:val="0"/>
        <w:rPr>
          <w:rFonts w:ascii="Arial" w:eastAsia="Arial" w:hAnsi="Arial" w:cs="Arial"/>
          <w:sz w:val="20"/>
          <w:szCs w:val="20"/>
        </w:rPr>
      </w:pPr>
      <w:r w:rsidRPr="00DA445F">
        <w:rPr>
          <w:rFonts w:ascii="Arial" w:eastAsia="Arial" w:hAnsi="Arial" w:cs="Arial"/>
          <w:sz w:val="20"/>
          <w:szCs w:val="20"/>
        </w:rPr>
        <w:t xml:space="preserve">Accredited </w:t>
      </w:r>
      <w:r w:rsidRPr="006614E3">
        <w:rPr>
          <w:rFonts w:ascii="Arial" w:eastAsia="Arial" w:hAnsi="Arial" w:cs="Arial"/>
          <w:sz w:val="20"/>
          <w:szCs w:val="20"/>
        </w:rPr>
        <w:t>SafeScript training</w:t>
      </w:r>
      <w:r w:rsidRPr="00DA445F">
        <w:rPr>
          <w:rFonts w:ascii="Arial" w:eastAsia="Arial" w:hAnsi="Arial" w:cs="Arial"/>
          <w:sz w:val="20"/>
          <w:szCs w:val="20"/>
        </w:rPr>
        <w:t xml:space="preserve"> available online, covers planning for consultations, alternative management options and having challenging conversations. </w:t>
      </w:r>
      <w:r w:rsidR="006614E3">
        <w:rPr>
          <w:rFonts w:ascii="Arial" w:hAnsi="Arial" w:cs="Arial"/>
          <w:sz w:val="20"/>
          <w:szCs w:val="20"/>
        </w:rPr>
        <w:t xml:space="preserve">Online training can be accessed </w:t>
      </w:r>
      <w:r w:rsidR="74ACD440" w:rsidRPr="00DA445F">
        <w:rPr>
          <w:rFonts w:ascii="Arial" w:hAnsi="Arial" w:cs="Arial"/>
          <w:sz w:val="20"/>
          <w:szCs w:val="20"/>
        </w:rPr>
        <w:t xml:space="preserve">at the </w:t>
      </w:r>
      <w:hyperlink r:id="rId18">
        <w:r w:rsidR="74ACD440" w:rsidRPr="00DA445F">
          <w:rPr>
            <w:rStyle w:val="Hyperlink"/>
            <w:rFonts w:ascii="Arial" w:hAnsi="Arial" w:cs="Arial"/>
            <w:sz w:val="20"/>
            <w:szCs w:val="20"/>
          </w:rPr>
          <w:t>SafeScript Training Hub</w:t>
        </w:r>
      </w:hyperlink>
      <w:r w:rsidR="74ACD440" w:rsidRPr="00DA445F">
        <w:rPr>
          <w:rFonts w:ascii="Arial" w:hAnsi="Arial" w:cs="Arial"/>
          <w:sz w:val="20"/>
          <w:szCs w:val="20"/>
        </w:rPr>
        <w:t xml:space="preserve"> &lt;https://vtphna.org.au/safescript-training-hub/&gt;.</w:t>
      </w:r>
    </w:p>
    <w:p w14:paraId="70F013EB" w14:textId="48B84BB0" w:rsidR="00885576" w:rsidRPr="00634F8C" w:rsidRDefault="00634F8C" w:rsidP="00D63D08">
      <w:pPr>
        <w:pStyle w:val="ListParagraph"/>
        <w:numPr>
          <w:ilvl w:val="0"/>
          <w:numId w:val="10"/>
        </w:numPr>
        <w:spacing w:after="120" w:line="270" w:lineRule="atLeast"/>
        <w:ind w:left="357" w:hanging="357"/>
        <w:contextualSpacing w:val="0"/>
        <w:rPr>
          <w:rFonts w:ascii="Arial" w:hAnsi="Arial" w:cs="Arial"/>
          <w:sz w:val="20"/>
        </w:rPr>
      </w:pPr>
      <w:r w:rsidRPr="00634F8C">
        <w:rPr>
          <w:rFonts w:ascii="Arial" w:eastAsia="Arial" w:hAnsi="Arial" w:cs="Arial"/>
          <w:sz w:val="20"/>
        </w:rPr>
        <w:t xml:space="preserve">Secondary consultation services are also available </w:t>
      </w:r>
      <w:r w:rsidR="00DC5384">
        <w:rPr>
          <w:rFonts w:ascii="Arial" w:eastAsia="Arial" w:hAnsi="Arial" w:cs="Arial"/>
          <w:sz w:val="20"/>
        </w:rPr>
        <w:t xml:space="preserve">to medical practitioners </w:t>
      </w:r>
      <w:r w:rsidRPr="00634F8C">
        <w:rPr>
          <w:rFonts w:ascii="Arial" w:eastAsia="Arial" w:hAnsi="Arial" w:cs="Arial"/>
          <w:sz w:val="20"/>
        </w:rPr>
        <w:t xml:space="preserve">through </w:t>
      </w:r>
      <w:r w:rsidRPr="00634F8C">
        <w:rPr>
          <w:rFonts w:ascii="Arial" w:hAnsi="Arial" w:cs="Arial"/>
          <w:sz w:val="20"/>
        </w:rPr>
        <w:t xml:space="preserve">Reconnexion, specialising in anxiety disorders, depression and benzodiazepine dependency. </w:t>
      </w:r>
      <w:r w:rsidR="00885576" w:rsidRPr="00634F8C">
        <w:rPr>
          <w:rFonts w:ascii="Arial" w:hAnsi="Arial" w:cs="Arial"/>
          <w:sz w:val="20"/>
        </w:rPr>
        <w:t xml:space="preserve">Reconnexion </w:t>
      </w:r>
      <w:r w:rsidR="0035477F">
        <w:rPr>
          <w:rFonts w:ascii="Arial" w:hAnsi="Arial" w:cs="Arial"/>
          <w:sz w:val="20"/>
        </w:rPr>
        <w:t xml:space="preserve">also offers counselling services for patients and </w:t>
      </w:r>
      <w:r w:rsidR="00885576" w:rsidRPr="00634F8C">
        <w:rPr>
          <w:rFonts w:ascii="Arial" w:hAnsi="Arial" w:cs="Arial"/>
          <w:sz w:val="20"/>
        </w:rPr>
        <w:t xml:space="preserve">can be reached </w:t>
      </w:r>
      <w:r w:rsidR="00C778A1" w:rsidRPr="00634F8C">
        <w:rPr>
          <w:rFonts w:ascii="Arial" w:hAnsi="Arial" w:cs="Arial"/>
          <w:sz w:val="20"/>
        </w:rPr>
        <w:t>on</w:t>
      </w:r>
      <w:r w:rsidR="00885576" w:rsidRPr="00634F8C">
        <w:rPr>
          <w:rFonts w:ascii="Arial" w:hAnsi="Arial" w:cs="Arial"/>
          <w:sz w:val="20"/>
        </w:rPr>
        <w:t xml:space="preserve"> 1300 273 266</w:t>
      </w:r>
      <w:r w:rsidR="00C778A1" w:rsidRPr="00634F8C">
        <w:rPr>
          <w:rFonts w:ascii="Arial" w:hAnsi="Arial" w:cs="Arial"/>
          <w:sz w:val="20"/>
        </w:rPr>
        <w:t xml:space="preserve"> or at </w:t>
      </w:r>
      <w:hyperlink r:id="rId19" w:history="1">
        <w:r w:rsidR="00C778A1" w:rsidRPr="00634F8C">
          <w:rPr>
            <w:rStyle w:val="Hyperlink"/>
            <w:rFonts w:ascii="Arial" w:hAnsi="Arial" w:cs="Arial"/>
            <w:sz w:val="20"/>
          </w:rPr>
          <w:t>www.reconnexion.org.au</w:t>
        </w:r>
      </w:hyperlink>
      <w:r w:rsidR="00C778A1" w:rsidRPr="00634F8C">
        <w:rPr>
          <w:rFonts w:ascii="Arial" w:hAnsi="Arial" w:cs="Arial"/>
          <w:sz w:val="20"/>
        </w:rPr>
        <w:t>.</w:t>
      </w:r>
    </w:p>
    <w:p w14:paraId="453909D1" w14:textId="1FB33EEC" w:rsidR="00885576" w:rsidRDefault="00DC5384" w:rsidP="00D63D08">
      <w:pPr>
        <w:pStyle w:val="DHHSbody"/>
        <w:numPr>
          <w:ilvl w:val="0"/>
          <w:numId w:val="10"/>
        </w:numPr>
        <w:ind w:left="357" w:hanging="357"/>
      </w:pPr>
      <w:r>
        <w:t>The SafeScript</w:t>
      </w:r>
      <w:r w:rsidR="00885576">
        <w:t xml:space="preserve"> Pharmaceutical Helpline </w:t>
      </w:r>
      <w:r w:rsidR="00CE1DD6">
        <w:t>is</w:t>
      </w:r>
      <w:r w:rsidR="00885576">
        <w:t xml:space="preserve"> ready to respond to patients with concerns about their use of high-risk medicines. This line is staffed by nurses </w:t>
      </w:r>
      <w:r w:rsidR="00E01AEF">
        <w:t>and</w:t>
      </w:r>
      <w:r w:rsidR="00885576">
        <w:t xml:space="preserve"> trained counsellors and is available 24 hours a day. </w:t>
      </w:r>
      <w:r w:rsidR="00CE1DD6">
        <w:t xml:space="preserve">Patients </w:t>
      </w:r>
      <w:r w:rsidR="00885576">
        <w:t>can reach the Helpline by calling 1800 737 233.</w:t>
      </w:r>
    </w:p>
    <w:p w14:paraId="62690591" w14:textId="77777777" w:rsidR="00934464" w:rsidRDefault="00934464" w:rsidP="00934464">
      <w:pPr>
        <w:pStyle w:val="Heading2"/>
      </w:pPr>
      <w:r>
        <w:t>Mandatory use</w:t>
      </w:r>
    </w:p>
    <w:p w14:paraId="72076FE3" w14:textId="77777777" w:rsidR="00934464" w:rsidRPr="0079688C" w:rsidRDefault="00934464" w:rsidP="00934464">
      <w:pPr>
        <w:pStyle w:val="Heading4"/>
        <w:rPr>
          <w:sz w:val="24"/>
        </w:rPr>
      </w:pPr>
      <w:r w:rsidRPr="0079688C">
        <w:rPr>
          <w:sz w:val="24"/>
        </w:rPr>
        <w:t xml:space="preserve">Will the use of SafeScript be mandatory? </w:t>
      </w:r>
    </w:p>
    <w:p w14:paraId="225C51C0" w14:textId="77777777" w:rsidR="00934464" w:rsidRDefault="00934464" w:rsidP="00934464">
      <w:pPr>
        <w:pStyle w:val="DHHSbody"/>
      </w:pPr>
      <w:r>
        <w:t>I</w:t>
      </w:r>
      <w:r w:rsidRPr="00A31935">
        <w:t>t will be mandatory to check SafeScript prior to writing or dispensing a prescription for a high-risk medicine</w:t>
      </w:r>
      <w:r>
        <w:t xml:space="preserve"> from April 2020</w:t>
      </w:r>
      <w:r w:rsidRPr="00A31935">
        <w:t>. This follows worldwide best practice, as mandatory systems adopted in other countries have shown to provide greater reduction in harms from high-risk prescription medicines.</w:t>
      </w:r>
    </w:p>
    <w:p w14:paraId="4AB8F702" w14:textId="77777777" w:rsidR="00934464" w:rsidRDefault="00934464" w:rsidP="00934464">
      <w:pPr>
        <w:pStyle w:val="DHHSbody"/>
      </w:pPr>
      <w:r>
        <w:t>There will be exceptions in some circumstances, including when treating patients in hospitals, prisons, police gaols, aged care and palliative care.</w:t>
      </w:r>
    </w:p>
    <w:p w14:paraId="34E8F3C6" w14:textId="77777777" w:rsidR="00934464" w:rsidRPr="00C778A1" w:rsidRDefault="00934464" w:rsidP="00934464">
      <w:pPr>
        <w:pStyle w:val="Heading4"/>
        <w:spacing w:line="240" w:lineRule="auto"/>
        <w:rPr>
          <w:sz w:val="24"/>
        </w:rPr>
      </w:pPr>
      <w:r w:rsidRPr="00C778A1">
        <w:rPr>
          <w:sz w:val="24"/>
        </w:rPr>
        <w:t xml:space="preserve">Are there penalties for clinicians if they fail to check SafeScript from April 2020? </w:t>
      </w:r>
    </w:p>
    <w:p w14:paraId="67DCC9EB" w14:textId="77777777" w:rsidR="00934464" w:rsidRPr="00F10202" w:rsidRDefault="00934464" w:rsidP="00934464">
      <w:pPr>
        <w:pStyle w:val="DHHSbody"/>
      </w:pPr>
      <w:r>
        <w:t xml:space="preserve">The </w:t>
      </w:r>
      <w:r w:rsidRPr="74ACD440">
        <w:rPr>
          <w:i/>
          <w:iCs/>
        </w:rPr>
        <w:t>Drugs, Poisons and Controlled Substances Act 1981</w:t>
      </w:r>
      <w:r>
        <w:t xml:space="preserve"> specifies penalties that can be imposed on clinicians if they do not take all reasonable steps to check SafeScript when prescribing or dispensing a high-risk medicine.</w:t>
      </w:r>
    </w:p>
    <w:p w14:paraId="1C3B3828" w14:textId="77777777" w:rsidR="00934464" w:rsidRPr="00F10202" w:rsidRDefault="00934464" w:rsidP="00934464">
      <w:pPr>
        <w:pStyle w:val="DHHSbody"/>
      </w:pPr>
      <w:r w:rsidRPr="00F10202">
        <w:t>The penalties of 100 penalty units are identical to the existing penalties in drugs and poisons legislation for failing to apply for a treatment permit when prescribing Schedule 8 medicines to patients</w:t>
      </w:r>
      <w:r>
        <w:t>.</w:t>
      </w:r>
      <w:r w:rsidRPr="00F10202">
        <w:t xml:space="preserve"> These</w:t>
      </w:r>
      <w:r>
        <w:t xml:space="preserve"> </w:t>
      </w:r>
      <w:r w:rsidRPr="00F10202">
        <w:t>penalties have been in place under drugs and poisons legislation in Victoria since the early 1960s</w:t>
      </w:r>
      <w:r>
        <w:t>.</w:t>
      </w:r>
    </w:p>
    <w:p w14:paraId="26E60CB5" w14:textId="77777777" w:rsidR="00934464" w:rsidRPr="004653A0" w:rsidRDefault="00934464" w:rsidP="00934464">
      <w:pPr>
        <w:pStyle w:val="DHHSbody"/>
      </w:pPr>
      <w:r w:rsidRPr="004653A0">
        <w:lastRenderedPageBreak/>
        <w:t xml:space="preserve">While the Act has provisions to prosecute for failure to comply with these requirements, non-compliance </w:t>
      </w:r>
      <w:r>
        <w:t xml:space="preserve">is </w:t>
      </w:r>
      <w:r w:rsidRPr="004653A0">
        <w:t>assessed within a risk-based framework that focusses on conduct that pose</w:t>
      </w:r>
      <w:r>
        <w:t>s</w:t>
      </w:r>
      <w:r w:rsidRPr="004653A0">
        <w:t xml:space="preserve"> the most significant risks of harm to patients and practitioners who have repeatedly failed to comply with SafeScript requirements.</w:t>
      </w:r>
    </w:p>
    <w:p w14:paraId="62823BBE" w14:textId="77777777" w:rsidR="00934464" w:rsidRDefault="00934464" w:rsidP="00934464">
      <w:pPr>
        <w:pStyle w:val="DHHSbody"/>
      </w:pPr>
      <w:r w:rsidRPr="00133EF8">
        <w:t>The department utilise</w:t>
      </w:r>
      <w:r>
        <w:t>s</w:t>
      </w:r>
      <w:r w:rsidRPr="00133EF8">
        <w:t xml:space="preserve"> a range of compliance tools, including education and counselling, to assist practitioners to meet their regulatory</w:t>
      </w:r>
      <w:r>
        <w:t xml:space="preserve"> obligations</w:t>
      </w:r>
      <w:r w:rsidRPr="00133EF8">
        <w:t>, and take</w:t>
      </w:r>
      <w:r>
        <w:t>s</w:t>
      </w:r>
      <w:r w:rsidRPr="00133EF8">
        <w:t xml:space="preserve"> individual circumstances into account before any consideration is made on a decision to initiate prosecution.</w:t>
      </w:r>
    </w:p>
    <w:p w14:paraId="393AC682" w14:textId="77777777" w:rsidR="00934464" w:rsidRPr="00CE1DD6" w:rsidRDefault="00934464" w:rsidP="00934464">
      <w:pPr>
        <w:pStyle w:val="DHHSbody"/>
        <w:spacing w:before="240"/>
        <w:rPr>
          <w:b/>
          <w:sz w:val="24"/>
        </w:rPr>
      </w:pPr>
      <w:r w:rsidRPr="00CE1DD6">
        <w:rPr>
          <w:b/>
          <w:sz w:val="24"/>
        </w:rPr>
        <w:t xml:space="preserve">What does </w:t>
      </w:r>
      <w:proofErr w:type="gramStart"/>
      <w:r w:rsidRPr="00CE1DD6">
        <w:rPr>
          <w:b/>
          <w:sz w:val="24"/>
        </w:rPr>
        <w:t>taking</w:t>
      </w:r>
      <w:proofErr w:type="gramEnd"/>
      <w:r w:rsidRPr="00CE1DD6">
        <w:rPr>
          <w:b/>
          <w:sz w:val="24"/>
        </w:rPr>
        <w:t xml:space="preserve"> “all reasonable steps” to check SafeScript mean?</w:t>
      </w:r>
    </w:p>
    <w:p w14:paraId="1EDE44F1" w14:textId="77777777" w:rsidR="00934464" w:rsidRPr="00133EF8" w:rsidRDefault="00934464" w:rsidP="00934464">
      <w:pPr>
        <w:pStyle w:val="DHHSbody"/>
      </w:pPr>
      <w:r w:rsidRPr="00133EF8">
        <w:t xml:space="preserve">From 1 April 2020, the </w:t>
      </w:r>
      <w:r w:rsidRPr="00133EF8">
        <w:rPr>
          <w:i/>
        </w:rPr>
        <w:t>Drugs, Poisons and Controlled Substances Act 1981</w:t>
      </w:r>
      <w:r w:rsidRPr="00133EF8">
        <w:t xml:space="preserve"> will require prescribers and pharmacists to take all reasonable steps to check SafeScript when prescribing or supplying a high-risk medicine.</w:t>
      </w:r>
    </w:p>
    <w:p w14:paraId="5007919D" w14:textId="77777777" w:rsidR="00934464" w:rsidRPr="00133EF8" w:rsidRDefault="00934464" w:rsidP="00934464">
      <w:pPr>
        <w:pStyle w:val="DHHSbody"/>
      </w:pPr>
      <w:r>
        <w:t>There</w:t>
      </w:r>
      <w:r w:rsidRPr="00133EF8">
        <w:t xml:space="preserve"> may be circumstances where clinicians may not be able to check </w:t>
      </w:r>
      <w:proofErr w:type="gramStart"/>
      <w:r w:rsidRPr="00133EF8">
        <w:t>SafeScript</w:t>
      </w:r>
      <w:proofErr w:type="gramEnd"/>
      <w:r w:rsidRPr="00133EF8">
        <w:t xml:space="preserve"> but they consider it necessary to prescribe or supply a high-risk medicine. The phrase “all reasonable steps” takes into consideration what measures were taken by a clinician to atte</w:t>
      </w:r>
      <w:r>
        <w:t>mpt to satisfy this requirement.</w:t>
      </w:r>
    </w:p>
    <w:p w14:paraId="4D6A197D" w14:textId="77777777" w:rsidR="00934464" w:rsidRPr="00133EF8" w:rsidRDefault="00934464" w:rsidP="00934464">
      <w:pPr>
        <w:pStyle w:val="DHHSbody"/>
      </w:pPr>
      <w:r>
        <w:t xml:space="preserve">Examples </w:t>
      </w:r>
      <w:r w:rsidRPr="00133EF8">
        <w:t>include:</w:t>
      </w:r>
    </w:p>
    <w:p w14:paraId="7A60A800" w14:textId="77777777" w:rsidR="00934464" w:rsidRPr="00133EF8" w:rsidRDefault="00934464" w:rsidP="00934464">
      <w:pPr>
        <w:pStyle w:val="DHHSbullet1"/>
      </w:pPr>
      <w:r w:rsidRPr="00133EF8">
        <w:t>Contacting the department to enquire about a patient history in SafeScript</w:t>
      </w:r>
    </w:p>
    <w:p w14:paraId="6919EECD" w14:textId="77777777" w:rsidR="00934464" w:rsidRPr="00133EF8" w:rsidRDefault="00934464" w:rsidP="00934464">
      <w:pPr>
        <w:pStyle w:val="DHHSbullet1"/>
      </w:pPr>
      <w:r w:rsidRPr="00133EF8">
        <w:t>Contacting the pharmacy to enquire about the patient history in SafeScript</w:t>
      </w:r>
    </w:p>
    <w:p w14:paraId="22EB1068" w14:textId="77777777" w:rsidR="00934464" w:rsidRPr="00133EF8" w:rsidRDefault="00934464" w:rsidP="00934464">
      <w:pPr>
        <w:pStyle w:val="DHHSbullet1lastline"/>
      </w:pPr>
      <w:r w:rsidRPr="00133EF8">
        <w:t>If access to SafeScript is temporarily unavailable, prescribing or supplying limited quantities and checking SafeScript at the next available opportunity</w:t>
      </w:r>
    </w:p>
    <w:p w14:paraId="2EE128C5" w14:textId="77777777" w:rsidR="00934464" w:rsidRDefault="00934464" w:rsidP="00934464">
      <w:pPr>
        <w:pStyle w:val="DHHSbody"/>
      </w:pPr>
      <w:r w:rsidRPr="00133EF8">
        <w:t>Clinicians who do not check SafeScript simply b</w:t>
      </w:r>
      <w:r>
        <w:t xml:space="preserve">ecause they have not registered </w:t>
      </w:r>
      <w:r w:rsidRPr="00133EF8">
        <w:t xml:space="preserve">or </w:t>
      </w:r>
      <w:r>
        <w:t>have not arranged access to a computer</w:t>
      </w:r>
      <w:r w:rsidRPr="00133EF8">
        <w:t>, and do not consider other measures to establish the patient’s history in SafeScript, are unlikely to satisfy this requirement.</w:t>
      </w:r>
    </w:p>
    <w:p w14:paraId="18BB17AC" w14:textId="29216CB5" w:rsidR="0011603B" w:rsidRDefault="0011603B" w:rsidP="0011603B">
      <w:pPr>
        <w:pStyle w:val="Heading2"/>
      </w:pPr>
      <w:r>
        <w:t>Privacy and data security</w:t>
      </w:r>
    </w:p>
    <w:p w14:paraId="38B1B19C" w14:textId="77777777" w:rsidR="0011603B" w:rsidRDefault="0011603B" w:rsidP="0011603B">
      <w:pPr>
        <w:pStyle w:val="Heading3"/>
      </w:pPr>
      <w:r>
        <w:t>How is patient privacy protected under law?</w:t>
      </w:r>
    </w:p>
    <w:p w14:paraId="13F78544" w14:textId="77777777" w:rsidR="0011603B" w:rsidRDefault="0011603B" w:rsidP="0011603B">
      <w:pPr>
        <w:pStyle w:val="DHHSbody"/>
      </w:pPr>
      <w:r>
        <w:t xml:space="preserve">There are offences and strict penalties under the </w:t>
      </w:r>
      <w:r>
        <w:rPr>
          <w:i/>
        </w:rPr>
        <w:t>Drugs, Poisons and Controlled Substances Act 1981</w:t>
      </w:r>
      <w:r>
        <w:t xml:space="preserve"> for improper or unauthorised use of SafeScript.</w:t>
      </w:r>
    </w:p>
    <w:p w14:paraId="19C04225" w14:textId="77777777" w:rsidR="0011603B" w:rsidRDefault="0011603B" w:rsidP="0011603B">
      <w:pPr>
        <w:pStyle w:val="DHHSbody"/>
      </w:pPr>
      <w:r>
        <w:t>A log is created each time a record is viewed in SafeScript and this is monitored by the Department of Health and Human Services.  If inappropriate use is detected, health professionals may face penalties under Victorian law and the matter may be referred to the Australian Health Practitioner Regulation Agency for further investigation.</w:t>
      </w:r>
    </w:p>
    <w:p w14:paraId="7FB64101" w14:textId="77777777" w:rsidR="0011603B" w:rsidRDefault="0011603B" w:rsidP="0011603B">
      <w:pPr>
        <w:pStyle w:val="DHHSbody"/>
      </w:pPr>
      <w:r>
        <w:t xml:space="preserve">Health professionals must always adhere to privacy requirements set out in the </w:t>
      </w:r>
      <w:r>
        <w:rPr>
          <w:i/>
        </w:rPr>
        <w:t>Health Records Act 2001</w:t>
      </w:r>
      <w:r>
        <w:t xml:space="preserve"> and </w:t>
      </w:r>
      <w:r>
        <w:rPr>
          <w:i/>
        </w:rPr>
        <w:t>Privacy Act 1988</w:t>
      </w:r>
      <w:r>
        <w:t xml:space="preserve"> when handling patients’ health information.  The Health Privacy Principles and Australian Privacy Principles specify the circumstances where health professionals can access, collect, use or disclose health information about an individual.</w:t>
      </w:r>
    </w:p>
    <w:p w14:paraId="0DE8D314" w14:textId="77777777" w:rsidR="0011603B" w:rsidRDefault="0011603B" w:rsidP="0011603B">
      <w:pPr>
        <w:pStyle w:val="DHHSbody"/>
      </w:pPr>
      <w:r>
        <w:t>A Privacy Impact Assessment has been undertaken to ensure the implementation of SafeScript is compliant with privacy laws.</w:t>
      </w:r>
    </w:p>
    <w:p w14:paraId="7CAC24A9" w14:textId="77777777" w:rsidR="0011603B" w:rsidRDefault="0011603B" w:rsidP="0011603B">
      <w:pPr>
        <w:pStyle w:val="Heading3"/>
      </w:pPr>
      <w:r>
        <w:t>How does SafeScript keep records secure?</w:t>
      </w:r>
    </w:p>
    <w:p w14:paraId="73075250" w14:textId="77777777" w:rsidR="0011603B" w:rsidRDefault="0011603B" w:rsidP="0011603B">
      <w:pPr>
        <w:pStyle w:val="DHHSbody"/>
      </w:pPr>
      <w:r>
        <w:t>SafeScript has been built to the Victorian Protective Data Security Standards, which provide a set of criteria for the consistent application of risk managed security practices across Victorian Government Information.  The Victorian Protective Data Security Standards are consistent with Commonwealth Government security measures, including the Australian Signals Directorate’s Information Security Manual.</w:t>
      </w:r>
    </w:p>
    <w:p w14:paraId="7AEDCF0E" w14:textId="77777777" w:rsidR="0011603B" w:rsidRDefault="0011603B" w:rsidP="0011603B">
      <w:pPr>
        <w:pStyle w:val="DHHSbody"/>
      </w:pPr>
      <w:r>
        <w:t>SafeScript has been independently security audited as well as security tested to this standard.</w:t>
      </w:r>
    </w:p>
    <w:p w14:paraId="102D4001" w14:textId="77777777" w:rsidR="0011603B" w:rsidRDefault="0011603B" w:rsidP="0011603B">
      <w:pPr>
        <w:pStyle w:val="Heading4"/>
      </w:pPr>
      <w:r>
        <w:t>Data encrypted in transit and at rest</w:t>
      </w:r>
    </w:p>
    <w:p w14:paraId="32FD19D7" w14:textId="77777777" w:rsidR="0011603B" w:rsidRDefault="0011603B" w:rsidP="0011603B">
      <w:pPr>
        <w:pStyle w:val="DHHSbody"/>
      </w:pPr>
      <w:r>
        <w:t xml:space="preserve">Data transmitted between medical practice systems, pharmacy systems and the SafeScript database </w:t>
      </w:r>
      <w:proofErr w:type="gramStart"/>
      <w:r>
        <w:t>is encrypted at all times</w:t>
      </w:r>
      <w:proofErr w:type="gramEnd"/>
      <w:r>
        <w:t xml:space="preserve"> and occurs through a secure, encrypted internet connection.  Data stored in the SafeScript database </w:t>
      </w:r>
      <w:proofErr w:type="gramStart"/>
      <w:r>
        <w:t>is also encrypted at all times</w:t>
      </w:r>
      <w:proofErr w:type="gramEnd"/>
      <w:r>
        <w:t>.</w:t>
      </w:r>
    </w:p>
    <w:p w14:paraId="32D51EC7" w14:textId="77777777" w:rsidR="0011603B" w:rsidRDefault="0011603B" w:rsidP="0011603B">
      <w:pPr>
        <w:pStyle w:val="Heading4"/>
      </w:pPr>
      <w:r>
        <w:lastRenderedPageBreak/>
        <w:t>Multi-factor authentication</w:t>
      </w:r>
    </w:p>
    <w:p w14:paraId="350A91AF" w14:textId="77777777" w:rsidR="0011603B" w:rsidRDefault="0011603B" w:rsidP="0011603B">
      <w:pPr>
        <w:pStyle w:val="DHHSbody"/>
      </w:pPr>
      <w:r>
        <w:t>SafeScript also utilises contemporary security measures to safeguard data against unauthorised access.  Health professionals will be required to use multi-factor authentication (a username/password + PIN) in order to access the system.</w:t>
      </w:r>
    </w:p>
    <w:p w14:paraId="7183B4CC" w14:textId="77777777" w:rsidR="0011603B" w:rsidRDefault="0011603B" w:rsidP="0011603B">
      <w:pPr>
        <w:pStyle w:val="Heading4"/>
      </w:pPr>
      <w:r>
        <w:t>Penetration testing</w:t>
      </w:r>
    </w:p>
    <w:p w14:paraId="64BBE839" w14:textId="77777777" w:rsidR="0011603B" w:rsidRDefault="0011603B" w:rsidP="0011603B">
      <w:pPr>
        <w:pStyle w:val="DHHSbody"/>
      </w:pPr>
      <w:r>
        <w:t>The security of the system is routinely tested and reviewed to ensure data stored in SafeScript remains protected.</w:t>
      </w:r>
    </w:p>
    <w:p w14:paraId="43D47DD2" w14:textId="0EE85751" w:rsidR="0011603B" w:rsidRPr="00133EF8" w:rsidRDefault="0011603B" w:rsidP="0011603B">
      <w:pPr>
        <w:pStyle w:val="Heading2"/>
      </w:pPr>
      <w:r>
        <w:t>Other questions</w:t>
      </w:r>
    </w:p>
    <w:p w14:paraId="6D2662CE" w14:textId="77777777" w:rsidR="00437E3B" w:rsidRPr="0079688C" w:rsidRDefault="00437E3B" w:rsidP="00437E3B">
      <w:pPr>
        <w:pStyle w:val="Heading4"/>
        <w:rPr>
          <w:sz w:val="24"/>
        </w:rPr>
      </w:pPr>
      <w:r w:rsidRPr="0079688C">
        <w:rPr>
          <w:sz w:val="24"/>
        </w:rPr>
        <w:t>How does this initiative impact current arrangements for prescribing these medicines in Victoria?</w:t>
      </w:r>
    </w:p>
    <w:p w14:paraId="74A970DE" w14:textId="77777777" w:rsidR="00437E3B" w:rsidRDefault="00437E3B" w:rsidP="00437E3B">
      <w:pPr>
        <w:pStyle w:val="DHHSbody"/>
      </w:pPr>
      <w:r w:rsidRPr="002A0553">
        <w:t>As SafeScript now provide</w:t>
      </w:r>
      <w:r>
        <w:t>s</w:t>
      </w:r>
      <w:r w:rsidRPr="002A0553">
        <w:t xml:space="preserve"> clinicians direct access to prescription histories of their patients for high-risk medicines, there is reduced reliance on the Schedule 8 permit system to assist in the co-ordination of care. This means that some of the Schedule 8 permit requirements for prescribers </w:t>
      </w:r>
      <w:r>
        <w:t xml:space="preserve">have been </w:t>
      </w:r>
      <w:r w:rsidRPr="002A0553">
        <w:t>reduced when they check SafeScript before prescribing a Schedule 8 medicine.</w:t>
      </w:r>
    </w:p>
    <w:p w14:paraId="235BF48E" w14:textId="77777777" w:rsidR="00437E3B" w:rsidRDefault="00437E3B" w:rsidP="00437E3B">
      <w:pPr>
        <w:pStyle w:val="DHHSbody"/>
      </w:pPr>
      <w:r>
        <w:t xml:space="preserve">Further information on permit requirements is available on the </w:t>
      </w:r>
      <w:hyperlink r:id="rId20" w:history="1">
        <w:r w:rsidRPr="00944FAF">
          <w:rPr>
            <w:rStyle w:val="Hyperlink"/>
          </w:rPr>
          <w:t>Medicines and Poisons Regulation website</w:t>
        </w:r>
      </w:hyperlink>
      <w:r>
        <w:t xml:space="preserve"> &lt;</w:t>
      </w:r>
      <w:r w:rsidRPr="00944FAF">
        <w:t>https://www2.health.vic.gov.au/public-health/drugs-and-poisons/patient-schedule-8-treatment-permits</w:t>
      </w:r>
      <w:r>
        <w:t>&gt;.</w:t>
      </w:r>
    </w:p>
    <w:p w14:paraId="194D64E5" w14:textId="77777777" w:rsidR="0011603B" w:rsidRDefault="0011603B" w:rsidP="0011603B">
      <w:pPr>
        <w:pStyle w:val="Heading3"/>
      </w:pPr>
      <w:r>
        <w:t xml:space="preserve">Will data be used for research purposes? </w:t>
      </w:r>
    </w:p>
    <w:p w14:paraId="49245C30" w14:textId="77777777" w:rsidR="0011603B" w:rsidRDefault="0011603B" w:rsidP="0011603B">
      <w:pPr>
        <w:pStyle w:val="DHHSbody"/>
        <w:rPr>
          <w:b/>
          <w:szCs w:val="18"/>
        </w:rPr>
      </w:pPr>
      <w:r>
        <w:rPr>
          <w:szCs w:val="18"/>
        </w:rPr>
        <w:t>De-identified data in SafeScript may be used by the Victorian Government to inform service planning and policy decisions to improve healthcare for the Victorian community.</w:t>
      </w:r>
    </w:p>
    <w:p w14:paraId="12F183B8" w14:textId="77777777" w:rsidR="0011603B" w:rsidRDefault="0011603B" w:rsidP="0011603B">
      <w:pPr>
        <w:pStyle w:val="DHHSbody"/>
        <w:rPr>
          <w:szCs w:val="18"/>
        </w:rPr>
      </w:pPr>
      <w:r>
        <w:rPr>
          <w:szCs w:val="18"/>
        </w:rPr>
        <w:t>The harms from prescription medicines is a growing public health issue.  Data in SafeScript may also be published at an aggregate population level to respond to the increasing research interest in understanding the level and trends of prescription medicine usage.</w:t>
      </w:r>
    </w:p>
    <w:p w14:paraId="5656DAFF" w14:textId="77777777" w:rsidR="0011603B" w:rsidRDefault="0011603B" w:rsidP="0011603B">
      <w:pPr>
        <w:pStyle w:val="DHHSbody"/>
        <w:rPr>
          <w:szCs w:val="18"/>
        </w:rPr>
      </w:pPr>
      <w:r>
        <w:rPr>
          <w:szCs w:val="18"/>
        </w:rPr>
        <w:t xml:space="preserve">All data used for research and evaluation purposes will be in accordance with the requirements in the </w:t>
      </w:r>
      <w:r>
        <w:rPr>
          <w:i/>
          <w:szCs w:val="18"/>
        </w:rPr>
        <w:t>Health Records Act 2001</w:t>
      </w:r>
      <w:r>
        <w:rPr>
          <w:szCs w:val="18"/>
        </w:rPr>
        <w:t xml:space="preserve"> and the appropriate Human Research and Ethics Committee standards.</w:t>
      </w:r>
    </w:p>
    <w:p w14:paraId="52091B15" w14:textId="77777777" w:rsidR="009037C1" w:rsidRPr="0079688C" w:rsidRDefault="009037C1" w:rsidP="001D72E3">
      <w:pPr>
        <w:pStyle w:val="Heading4"/>
        <w:rPr>
          <w:sz w:val="24"/>
        </w:rPr>
      </w:pPr>
      <w:r w:rsidRPr="0079688C">
        <w:rPr>
          <w:sz w:val="24"/>
        </w:rPr>
        <w:t xml:space="preserve">Why can’t the </w:t>
      </w:r>
      <w:r w:rsidR="002A0553" w:rsidRPr="0079688C">
        <w:rPr>
          <w:sz w:val="24"/>
        </w:rPr>
        <w:t xml:space="preserve">My </w:t>
      </w:r>
      <w:r w:rsidRPr="0079688C">
        <w:rPr>
          <w:sz w:val="24"/>
        </w:rPr>
        <w:t>Health Record be used for real-time prescription monitoring?</w:t>
      </w:r>
    </w:p>
    <w:p w14:paraId="4260C660" w14:textId="77777777" w:rsidR="00721079" w:rsidRDefault="009037C1" w:rsidP="009037C1">
      <w:pPr>
        <w:pStyle w:val="DHHSbody"/>
      </w:pPr>
      <w:r w:rsidRPr="002F20E5">
        <w:t xml:space="preserve">The </w:t>
      </w:r>
      <w:r w:rsidR="002A0553">
        <w:t xml:space="preserve">My </w:t>
      </w:r>
      <w:r w:rsidRPr="002F20E5">
        <w:t xml:space="preserve">Health Record </w:t>
      </w:r>
      <w:r>
        <w:t xml:space="preserve">is a patient-controlled summary of a patient’s health record, in which patients can choose </w:t>
      </w:r>
      <w:r w:rsidRPr="002F20E5">
        <w:t xml:space="preserve">what is included and who can view </w:t>
      </w:r>
      <w:r>
        <w:t xml:space="preserve">their </w:t>
      </w:r>
      <w:r w:rsidRPr="002F20E5">
        <w:t>medication history.</w:t>
      </w:r>
      <w:r w:rsidR="00721079">
        <w:t xml:space="preserve"> </w:t>
      </w:r>
      <w:r>
        <w:t xml:space="preserve">SafeScript is different because it </w:t>
      </w:r>
      <w:r w:rsidR="002A0553">
        <w:t>a</w:t>
      </w:r>
      <w:r>
        <w:t>llow</w:t>
      </w:r>
      <w:r w:rsidR="002A0553">
        <w:t>s</w:t>
      </w:r>
      <w:r>
        <w:t xml:space="preserve"> </w:t>
      </w:r>
      <w:r w:rsidRPr="002F20E5">
        <w:t xml:space="preserve">doctors and pharmacists involved in </w:t>
      </w:r>
      <w:r>
        <w:t xml:space="preserve">a patient’s care access to a </w:t>
      </w:r>
      <w:r w:rsidRPr="002F20E5">
        <w:t>complete record of high</w:t>
      </w:r>
      <w:r>
        <w:t>-</w:t>
      </w:r>
      <w:r w:rsidRPr="002F20E5">
        <w:t>risk medicines that have been supplied</w:t>
      </w:r>
      <w:r>
        <w:t xml:space="preserve">.  </w:t>
      </w:r>
    </w:p>
    <w:p w14:paraId="15A7313C" w14:textId="77777777" w:rsidR="009037C1" w:rsidRDefault="009037C1" w:rsidP="009037C1">
      <w:pPr>
        <w:pStyle w:val="DHHSbody"/>
      </w:pPr>
      <w:r>
        <w:t xml:space="preserve">Patients </w:t>
      </w:r>
      <w:r w:rsidR="00E731FA">
        <w:t>are</w:t>
      </w:r>
      <w:r>
        <w:t xml:space="preserve"> not be able to opt-out or restrict what medication history can be viewed</w:t>
      </w:r>
      <w:r w:rsidR="00721079">
        <w:t xml:space="preserve"> in SafeScript</w:t>
      </w:r>
      <w:r>
        <w:t>.</w:t>
      </w:r>
      <w:r w:rsidR="00E731FA">
        <w:t xml:space="preserve"> This is necessary to ensure </w:t>
      </w:r>
      <w:r w:rsidR="00721079">
        <w:t xml:space="preserve">a </w:t>
      </w:r>
      <w:r w:rsidR="00E731FA">
        <w:t>comprehensive medication history can be captured to</w:t>
      </w:r>
      <w:r w:rsidR="00721079">
        <w:t xml:space="preserve"> allow health professionals to make safer clinical decisions and</w:t>
      </w:r>
      <w:r w:rsidR="00E731FA">
        <w:t xml:space="preserve"> reduce the harms caused by high-risk medicines.</w:t>
      </w:r>
    </w:p>
    <w:p w14:paraId="4A1894E7" w14:textId="77777777" w:rsidR="00B4640B" w:rsidRPr="0079688C" w:rsidRDefault="00B4640B" w:rsidP="001D72E3">
      <w:pPr>
        <w:pStyle w:val="Heading4"/>
        <w:rPr>
          <w:sz w:val="24"/>
        </w:rPr>
      </w:pPr>
      <w:r w:rsidRPr="0079688C">
        <w:rPr>
          <w:sz w:val="24"/>
        </w:rPr>
        <w:t xml:space="preserve">Where can I get further information?  </w:t>
      </w:r>
    </w:p>
    <w:p w14:paraId="2C152E0C" w14:textId="77777777" w:rsidR="007F6854" w:rsidRDefault="00B4640B" w:rsidP="007F6854">
      <w:pPr>
        <w:pStyle w:val="DHHSbody"/>
        <w:spacing w:line="260" w:lineRule="atLeast"/>
      </w:pPr>
      <w:r>
        <w:t xml:space="preserve">Further information is available on the </w:t>
      </w:r>
      <w:hyperlink r:id="rId21" w:history="1">
        <w:r w:rsidR="007F6854" w:rsidRPr="00DE2743">
          <w:rPr>
            <w:rStyle w:val="Hyperlink"/>
          </w:rPr>
          <w:t xml:space="preserve">SafeScript </w:t>
        </w:r>
        <w:r w:rsidRPr="00DE2743">
          <w:rPr>
            <w:rStyle w:val="Hyperlink"/>
          </w:rPr>
          <w:t>website</w:t>
        </w:r>
      </w:hyperlink>
      <w:r w:rsidR="00271BFD">
        <w:t xml:space="preserve"> at </w:t>
      </w:r>
      <w:r w:rsidR="00DE2743">
        <w:t>&lt;</w:t>
      </w:r>
      <w:r w:rsidR="00693519" w:rsidRPr="00DE2743">
        <w:t>www.health.vic.gov.au/safescript</w:t>
      </w:r>
      <w:r w:rsidR="00DE2743">
        <w:t>&gt;</w:t>
      </w:r>
      <w:r w:rsidR="00A31F4E">
        <w:t>.</w:t>
      </w:r>
      <w:r w:rsidR="00B27AC3">
        <w:t xml:space="preserve"> </w:t>
      </w:r>
      <w:r>
        <w:t xml:space="preserve"> </w:t>
      </w:r>
    </w:p>
    <w:p w14:paraId="43944AD1" w14:textId="77777777" w:rsidR="00B4640B" w:rsidRDefault="00B4640B" w:rsidP="00387083">
      <w:pPr>
        <w:pStyle w:val="DHHSbody"/>
        <w:spacing w:line="260" w:lineRule="atLeast"/>
        <w:sectPr w:rsidR="00B4640B" w:rsidSect="00B1503C">
          <w:type w:val="continuous"/>
          <w:pgSz w:w="11906" w:h="16838" w:code="9"/>
          <w:pgMar w:top="1418" w:right="851" w:bottom="794" w:left="851" w:header="567" w:footer="476" w:gutter="0"/>
          <w:cols w:space="340"/>
          <w:titlePg/>
          <w:docGrid w:linePitch="360"/>
        </w:sectPr>
      </w:pPr>
      <w:r>
        <w:t xml:space="preserve">The </w:t>
      </w:r>
      <w:hyperlink r:id="rId22" w:history="1">
        <w:r w:rsidR="00DC62F8" w:rsidRPr="009C7D10">
          <w:rPr>
            <w:rStyle w:val="Hyperlink"/>
          </w:rPr>
          <w:t xml:space="preserve">SafeScript </w:t>
        </w:r>
        <w:r w:rsidR="009C7D10" w:rsidRPr="009C7D10">
          <w:rPr>
            <w:rStyle w:val="Hyperlink"/>
          </w:rPr>
          <w:t>General Enquiries</w:t>
        </w:r>
      </w:hyperlink>
      <w:r w:rsidR="009C7D10">
        <w:t xml:space="preserve"> </w:t>
      </w:r>
      <w:r>
        <w:t>team can be contacted on</w:t>
      </w:r>
      <w:r w:rsidR="003A35EC">
        <w:t xml:space="preserve"> 03</w:t>
      </w:r>
      <w:r>
        <w:t xml:space="preserve"> 9096 5633 or via email </w:t>
      </w:r>
      <w:r w:rsidR="009C7D10">
        <w:t>&lt;</w:t>
      </w:r>
      <w:r w:rsidR="00541AA0" w:rsidRPr="009C7D10">
        <w:t>safescript@dhhs.vic.gov.au</w:t>
      </w:r>
      <w:r w:rsidR="009C7D10">
        <w:t>&gt;</w:t>
      </w:r>
      <w:r>
        <w:t>.</w:t>
      </w:r>
    </w:p>
    <w:p w14:paraId="2B070034" w14:textId="77777777" w:rsidR="00B2752E" w:rsidRPr="00906490" w:rsidRDefault="00B2752E" w:rsidP="00F323E1">
      <w:pPr>
        <w:pStyle w:val="DHHSbody"/>
      </w:pPr>
    </w:p>
    <w:sectPr w:rsidR="00B2752E" w:rsidRPr="00906490" w:rsidSect="008A7FEC">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D79B" w14:textId="77777777" w:rsidR="00AD3DAC" w:rsidRDefault="00AD3DAC">
      <w:r>
        <w:separator/>
      </w:r>
    </w:p>
  </w:endnote>
  <w:endnote w:type="continuationSeparator" w:id="0">
    <w:p w14:paraId="5D271E3C" w14:textId="77777777" w:rsidR="00AD3DAC" w:rsidRDefault="00AD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0B2E" w14:textId="77777777" w:rsidR="009D70A4" w:rsidRPr="00F65AA9" w:rsidRDefault="00DE2743" w:rsidP="0051568D">
    <w:pPr>
      <w:pStyle w:val="DHHSfooter"/>
    </w:pPr>
    <w:r>
      <w:rPr>
        <w:noProof/>
        <w:lang w:eastAsia="en-AU"/>
      </w:rPr>
      <w:drawing>
        <wp:anchor distT="0" distB="0" distL="114300" distR="114300" simplePos="0" relativeHeight="251657728" behindDoc="0" locked="0" layoutInCell="1" allowOverlap="0" wp14:anchorId="39DCD734" wp14:editId="53201D84">
          <wp:simplePos x="0" y="0"/>
          <wp:positionH relativeFrom="page">
            <wp:align>right</wp:align>
          </wp:positionH>
          <wp:positionV relativeFrom="paragraph">
            <wp:posOffset>-309880</wp:posOffset>
          </wp:positionV>
          <wp:extent cx="7564120" cy="793750"/>
          <wp:effectExtent l="0" t="0" r="0" b="6350"/>
          <wp:wrapNone/>
          <wp:docPr id="5" name="Picture 5" descr="DHHS Safe Script Factsheet Foot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 Safe Script Factsheet Foot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793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3E23" w14:textId="77777777" w:rsidR="009D70A4" w:rsidRPr="00A11421" w:rsidRDefault="00DC3441" w:rsidP="0051568D">
    <w:pPr>
      <w:pStyle w:val="DHHSfooter"/>
    </w:pPr>
    <w:r w:rsidRPr="00DC3441">
      <w:t>SafeScript Frequently Asked Questions</w:t>
    </w:r>
    <w:r w:rsidR="00271BFD">
      <w:t xml:space="preserve"> – for health professionals</w:t>
    </w:r>
    <w:r w:rsidR="009D70A4" w:rsidRPr="00A11421">
      <w:tab/>
    </w:r>
    <w:r w:rsidR="009D70A4" w:rsidRPr="00A11421">
      <w:fldChar w:fldCharType="begin"/>
    </w:r>
    <w:r w:rsidR="009D70A4" w:rsidRPr="00A11421">
      <w:instrText xml:space="preserve"> PAGE </w:instrText>
    </w:r>
    <w:r w:rsidR="009D70A4" w:rsidRPr="00A11421">
      <w:fldChar w:fldCharType="separate"/>
    </w:r>
    <w:r w:rsidR="00BD5980">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8EBBA" w14:textId="77777777" w:rsidR="00AD3DAC" w:rsidRDefault="00AD3DAC" w:rsidP="002862F1">
      <w:pPr>
        <w:spacing w:before="120"/>
      </w:pPr>
      <w:r>
        <w:separator/>
      </w:r>
    </w:p>
  </w:footnote>
  <w:footnote w:type="continuationSeparator" w:id="0">
    <w:p w14:paraId="4FED3543" w14:textId="77777777" w:rsidR="00AD3DAC" w:rsidRDefault="00AD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D4CD"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9A40C85"/>
    <w:multiLevelType w:val="multilevel"/>
    <w:tmpl w:val="0A6C41D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AB918E5"/>
    <w:multiLevelType w:val="multilevel"/>
    <w:tmpl w:val="A2DA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D43DB"/>
    <w:multiLevelType w:val="multilevel"/>
    <w:tmpl w:val="4B4E7622"/>
    <w:numStyleLink w:val="ZZNumbers"/>
  </w:abstractNum>
  <w:abstractNum w:abstractNumId="5" w15:restartNumberingAfterBreak="0">
    <w:nsid w:val="12265E57"/>
    <w:multiLevelType w:val="multilevel"/>
    <w:tmpl w:val="4EFCA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75F88"/>
    <w:multiLevelType w:val="multilevel"/>
    <w:tmpl w:val="0A6C41D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D3964FF"/>
    <w:multiLevelType w:val="multilevel"/>
    <w:tmpl w:val="AC84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4057E"/>
    <w:multiLevelType w:val="hybridMultilevel"/>
    <w:tmpl w:val="D9CCFC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E190F2D"/>
    <w:multiLevelType w:val="hybridMultilevel"/>
    <w:tmpl w:val="37726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9"/>
  </w:num>
  <w:num w:numId="10">
    <w:abstractNumId w:val="11"/>
  </w:num>
  <w:num w:numId="11">
    <w:abstractNumId w:val="5"/>
  </w:num>
  <w:num w:numId="12">
    <w:abstractNumId w:val="2"/>
  </w:num>
  <w:num w:numId="13">
    <w:abstractNumId w:val="6"/>
  </w:num>
  <w:num w:numId="14">
    <w:abstractNumId w:val="8"/>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82"/>
    <w:rsid w:val="000072B6"/>
    <w:rsid w:val="0001021B"/>
    <w:rsid w:val="00011D89"/>
    <w:rsid w:val="00012A35"/>
    <w:rsid w:val="00024D89"/>
    <w:rsid w:val="000250B6"/>
    <w:rsid w:val="00033D81"/>
    <w:rsid w:val="00041130"/>
    <w:rsid w:val="00041BF0"/>
    <w:rsid w:val="0004536B"/>
    <w:rsid w:val="00045F6F"/>
    <w:rsid w:val="00046B68"/>
    <w:rsid w:val="000527DD"/>
    <w:rsid w:val="00054C42"/>
    <w:rsid w:val="000578B2"/>
    <w:rsid w:val="00060959"/>
    <w:rsid w:val="00061717"/>
    <w:rsid w:val="000663CD"/>
    <w:rsid w:val="0007149C"/>
    <w:rsid w:val="000733FE"/>
    <w:rsid w:val="00074219"/>
    <w:rsid w:val="00074ED5"/>
    <w:rsid w:val="00081DD1"/>
    <w:rsid w:val="0009113B"/>
    <w:rsid w:val="00094DA3"/>
    <w:rsid w:val="00096CD1"/>
    <w:rsid w:val="000A012C"/>
    <w:rsid w:val="000A0EB9"/>
    <w:rsid w:val="000A186C"/>
    <w:rsid w:val="000A1FC3"/>
    <w:rsid w:val="000A35B6"/>
    <w:rsid w:val="000B23FD"/>
    <w:rsid w:val="000B543D"/>
    <w:rsid w:val="000B5BF7"/>
    <w:rsid w:val="000B6BC8"/>
    <w:rsid w:val="000C42EA"/>
    <w:rsid w:val="000C4546"/>
    <w:rsid w:val="000D1242"/>
    <w:rsid w:val="000E3CC7"/>
    <w:rsid w:val="000E6BD4"/>
    <w:rsid w:val="000F1F1E"/>
    <w:rsid w:val="000F2259"/>
    <w:rsid w:val="000F7CBA"/>
    <w:rsid w:val="001003ED"/>
    <w:rsid w:val="001033DD"/>
    <w:rsid w:val="0010392D"/>
    <w:rsid w:val="0010447F"/>
    <w:rsid w:val="00104FE3"/>
    <w:rsid w:val="0011603B"/>
    <w:rsid w:val="00120BD3"/>
    <w:rsid w:val="00122FEA"/>
    <w:rsid w:val="001232BD"/>
    <w:rsid w:val="00124ED5"/>
    <w:rsid w:val="001447B3"/>
    <w:rsid w:val="0014706E"/>
    <w:rsid w:val="00152073"/>
    <w:rsid w:val="00161939"/>
    <w:rsid w:val="00161AA0"/>
    <w:rsid w:val="00162031"/>
    <w:rsid w:val="00162093"/>
    <w:rsid w:val="00171103"/>
    <w:rsid w:val="001771DD"/>
    <w:rsid w:val="00177995"/>
    <w:rsid w:val="00177A8C"/>
    <w:rsid w:val="00186B33"/>
    <w:rsid w:val="00192F9D"/>
    <w:rsid w:val="00196EB8"/>
    <w:rsid w:val="001979FF"/>
    <w:rsid w:val="00197B17"/>
    <w:rsid w:val="001A225D"/>
    <w:rsid w:val="001A3ACE"/>
    <w:rsid w:val="001B566D"/>
    <w:rsid w:val="001C0E04"/>
    <w:rsid w:val="001C277E"/>
    <w:rsid w:val="001C2A72"/>
    <w:rsid w:val="001C3519"/>
    <w:rsid w:val="001C4891"/>
    <w:rsid w:val="001D0B75"/>
    <w:rsid w:val="001D15A6"/>
    <w:rsid w:val="001D3C09"/>
    <w:rsid w:val="001D44E8"/>
    <w:rsid w:val="001D60EC"/>
    <w:rsid w:val="001D72E3"/>
    <w:rsid w:val="001E3788"/>
    <w:rsid w:val="001E44DF"/>
    <w:rsid w:val="001E5088"/>
    <w:rsid w:val="001E5D0D"/>
    <w:rsid w:val="001E68A5"/>
    <w:rsid w:val="001E6BB0"/>
    <w:rsid w:val="001F2547"/>
    <w:rsid w:val="001F3826"/>
    <w:rsid w:val="001F6E46"/>
    <w:rsid w:val="001F733E"/>
    <w:rsid w:val="001F7C91"/>
    <w:rsid w:val="001F7F70"/>
    <w:rsid w:val="00206463"/>
    <w:rsid w:val="00206F2F"/>
    <w:rsid w:val="0021053D"/>
    <w:rsid w:val="00210A92"/>
    <w:rsid w:val="00215057"/>
    <w:rsid w:val="00216C03"/>
    <w:rsid w:val="00220C04"/>
    <w:rsid w:val="0022278D"/>
    <w:rsid w:val="00224A1A"/>
    <w:rsid w:val="0022701F"/>
    <w:rsid w:val="002333F5"/>
    <w:rsid w:val="00233724"/>
    <w:rsid w:val="002432E1"/>
    <w:rsid w:val="00246207"/>
    <w:rsid w:val="00246C5E"/>
    <w:rsid w:val="0025083E"/>
    <w:rsid w:val="00251343"/>
    <w:rsid w:val="00254F58"/>
    <w:rsid w:val="002620BC"/>
    <w:rsid w:val="00262802"/>
    <w:rsid w:val="00263A90"/>
    <w:rsid w:val="0026408B"/>
    <w:rsid w:val="00267C3E"/>
    <w:rsid w:val="002709BB"/>
    <w:rsid w:val="00271BFD"/>
    <w:rsid w:val="00273E22"/>
    <w:rsid w:val="002763B3"/>
    <w:rsid w:val="00277C84"/>
    <w:rsid w:val="002802E3"/>
    <w:rsid w:val="0028213D"/>
    <w:rsid w:val="002837B2"/>
    <w:rsid w:val="002862F1"/>
    <w:rsid w:val="0028656F"/>
    <w:rsid w:val="00286B8E"/>
    <w:rsid w:val="00287265"/>
    <w:rsid w:val="00291373"/>
    <w:rsid w:val="0029597D"/>
    <w:rsid w:val="002962C3"/>
    <w:rsid w:val="0029752B"/>
    <w:rsid w:val="002A0553"/>
    <w:rsid w:val="002A483C"/>
    <w:rsid w:val="002B1729"/>
    <w:rsid w:val="002B4DD4"/>
    <w:rsid w:val="002B5277"/>
    <w:rsid w:val="002B5375"/>
    <w:rsid w:val="002B77C1"/>
    <w:rsid w:val="002C2728"/>
    <w:rsid w:val="002C3B7F"/>
    <w:rsid w:val="002C7317"/>
    <w:rsid w:val="002D5006"/>
    <w:rsid w:val="002E01D0"/>
    <w:rsid w:val="002E161D"/>
    <w:rsid w:val="002E3100"/>
    <w:rsid w:val="002E6C95"/>
    <w:rsid w:val="002E7C36"/>
    <w:rsid w:val="002F5383"/>
    <w:rsid w:val="002F5F31"/>
    <w:rsid w:val="002F5F46"/>
    <w:rsid w:val="00302216"/>
    <w:rsid w:val="00303E53"/>
    <w:rsid w:val="00306E5F"/>
    <w:rsid w:val="00307E14"/>
    <w:rsid w:val="003133C8"/>
    <w:rsid w:val="0031342E"/>
    <w:rsid w:val="00314054"/>
    <w:rsid w:val="00316F27"/>
    <w:rsid w:val="00327870"/>
    <w:rsid w:val="00327E9B"/>
    <w:rsid w:val="003302D2"/>
    <w:rsid w:val="0033259D"/>
    <w:rsid w:val="003406C6"/>
    <w:rsid w:val="003418CC"/>
    <w:rsid w:val="003455EC"/>
    <w:rsid w:val="003459BD"/>
    <w:rsid w:val="00350019"/>
    <w:rsid w:val="00350D38"/>
    <w:rsid w:val="00351B36"/>
    <w:rsid w:val="0035477F"/>
    <w:rsid w:val="00354EEB"/>
    <w:rsid w:val="0035698D"/>
    <w:rsid w:val="00356BCD"/>
    <w:rsid w:val="00357B4E"/>
    <w:rsid w:val="003744CF"/>
    <w:rsid w:val="00374717"/>
    <w:rsid w:val="0037676C"/>
    <w:rsid w:val="003829E5"/>
    <w:rsid w:val="00387083"/>
    <w:rsid w:val="00394FDB"/>
    <w:rsid w:val="003956CC"/>
    <w:rsid w:val="00395C9A"/>
    <w:rsid w:val="003A35EC"/>
    <w:rsid w:val="003A6B67"/>
    <w:rsid w:val="003B15E6"/>
    <w:rsid w:val="003C2045"/>
    <w:rsid w:val="003C43A1"/>
    <w:rsid w:val="003C4FC0"/>
    <w:rsid w:val="003C55F4"/>
    <w:rsid w:val="003C7A3F"/>
    <w:rsid w:val="003D2766"/>
    <w:rsid w:val="003D3E8F"/>
    <w:rsid w:val="003D6475"/>
    <w:rsid w:val="003E27EB"/>
    <w:rsid w:val="003F0445"/>
    <w:rsid w:val="003F0CF0"/>
    <w:rsid w:val="003F14B1"/>
    <w:rsid w:val="003F3289"/>
    <w:rsid w:val="00401FCF"/>
    <w:rsid w:val="00403013"/>
    <w:rsid w:val="00406285"/>
    <w:rsid w:val="004119FB"/>
    <w:rsid w:val="004148F9"/>
    <w:rsid w:val="0042084E"/>
    <w:rsid w:val="00421EEF"/>
    <w:rsid w:val="00422EE2"/>
    <w:rsid w:val="00424D65"/>
    <w:rsid w:val="00437E3B"/>
    <w:rsid w:val="00440910"/>
    <w:rsid w:val="00442C6C"/>
    <w:rsid w:val="00443CBE"/>
    <w:rsid w:val="00443E8A"/>
    <w:rsid w:val="004441BC"/>
    <w:rsid w:val="004468B4"/>
    <w:rsid w:val="0045230A"/>
    <w:rsid w:val="00457337"/>
    <w:rsid w:val="0047372D"/>
    <w:rsid w:val="004743DD"/>
    <w:rsid w:val="00474CEA"/>
    <w:rsid w:val="0048118B"/>
    <w:rsid w:val="00481776"/>
    <w:rsid w:val="00483968"/>
    <w:rsid w:val="00484F86"/>
    <w:rsid w:val="00486E12"/>
    <w:rsid w:val="00490746"/>
    <w:rsid w:val="00490852"/>
    <w:rsid w:val="00492F30"/>
    <w:rsid w:val="004946F4"/>
    <w:rsid w:val="0049487E"/>
    <w:rsid w:val="00495732"/>
    <w:rsid w:val="00495D60"/>
    <w:rsid w:val="004A160D"/>
    <w:rsid w:val="004A3E81"/>
    <w:rsid w:val="004A5C62"/>
    <w:rsid w:val="004A707D"/>
    <w:rsid w:val="004C6EEE"/>
    <w:rsid w:val="004C702B"/>
    <w:rsid w:val="004D016B"/>
    <w:rsid w:val="004D03FC"/>
    <w:rsid w:val="004D1B22"/>
    <w:rsid w:val="004D29EC"/>
    <w:rsid w:val="004D36F2"/>
    <w:rsid w:val="004E138F"/>
    <w:rsid w:val="004E4649"/>
    <w:rsid w:val="004E5C2B"/>
    <w:rsid w:val="004F00DD"/>
    <w:rsid w:val="004F2133"/>
    <w:rsid w:val="004F2E1A"/>
    <w:rsid w:val="004F55F1"/>
    <w:rsid w:val="004F66DF"/>
    <w:rsid w:val="004F6936"/>
    <w:rsid w:val="00503DC6"/>
    <w:rsid w:val="00506F5D"/>
    <w:rsid w:val="005126D0"/>
    <w:rsid w:val="0051568D"/>
    <w:rsid w:val="0052139F"/>
    <w:rsid w:val="00526C15"/>
    <w:rsid w:val="00536499"/>
    <w:rsid w:val="00541AA0"/>
    <w:rsid w:val="00543903"/>
    <w:rsid w:val="00543F11"/>
    <w:rsid w:val="00547A95"/>
    <w:rsid w:val="00550AA5"/>
    <w:rsid w:val="00572031"/>
    <w:rsid w:val="00576E84"/>
    <w:rsid w:val="00582B8C"/>
    <w:rsid w:val="0058757E"/>
    <w:rsid w:val="00596A4B"/>
    <w:rsid w:val="00597507"/>
    <w:rsid w:val="005B21B6"/>
    <w:rsid w:val="005B3A08"/>
    <w:rsid w:val="005B6177"/>
    <w:rsid w:val="005B6F25"/>
    <w:rsid w:val="005B7A63"/>
    <w:rsid w:val="005C0955"/>
    <w:rsid w:val="005C49DA"/>
    <w:rsid w:val="005C50F3"/>
    <w:rsid w:val="005C5D91"/>
    <w:rsid w:val="005C7115"/>
    <w:rsid w:val="005D07B8"/>
    <w:rsid w:val="005D249E"/>
    <w:rsid w:val="005D6597"/>
    <w:rsid w:val="005D776E"/>
    <w:rsid w:val="005E14E7"/>
    <w:rsid w:val="005E26A3"/>
    <w:rsid w:val="005E447E"/>
    <w:rsid w:val="005E69EF"/>
    <w:rsid w:val="005F0775"/>
    <w:rsid w:val="005F0CF5"/>
    <w:rsid w:val="005F21EB"/>
    <w:rsid w:val="005F517B"/>
    <w:rsid w:val="00600CA1"/>
    <w:rsid w:val="00605908"/>
    <w:rsid w:val="00610D7C"/>
    <w:rsid w:val="00611B0D"/>
    <w:rsid w:val="00613414"/>
    <w:rsid w:val="006171E0"/>
    <w:rsid w:val="0062408D"/>
    <w:rsid w:val="006240CC"/>
    <w:rsid w:val="00627DA7"/>
    <w:rsid w:val="00630701"/>
    <w:rsid w:val="00634F8C"/>
    <w:rsid w:val="00635671"/>
    <w:rsid w:val="006358B4"/>
    <w:rsid w:val="006414CE"/>
    <w:rsid w:val="006419AA"/>
    <w:rsid w:val="00644B7E"/>
    <w:rsid w:val="006454E6"/>
    <w:rsid w:val="00646A68"/>
    <w:rsid w:val="0065092E"/>
    <w:rsid w:val="006557A7"/>
    <w:rsid w:val="00656290"/>
    <w:rsid w:val="006614E3"/>
    <w:rsid w:val="006621D7"/>
    <w:rsid w:val="0066302A"/>
    <w:rsid w:val="00670597"/>
    <w:rsid w:val="006706D0"/>
    <w:rsid w:val="00674602"/>
    <w:rsid w:val="00677574"/>
    <w:rsid w:val="00684024"/>
    <w:rsid w:val="0068454C"/>
    <w:rsid w:val="00691B62"/>
    <w:rsid w:val="00692E3B"/>
    <w:rsid w:val="00693519"/>
    <w:rsid w:val="00693D14"/>
    <w:rsid w:val="006A18C2"/>
    <w:rsid w:val="006A441F"/>
    <w:rsid w:val="006A4EE0"/>
    <w:rsid w:val="006B077C"/>
    <w:rsid w:val="006B6803"/>
    <w:rsid w:val="006C43BC"/>
    <w:rsid w:val="006D2A3F"/>
    <w:rsid w:val="006D2FBC"/>
    <w:rsid w:val="006E138B"/>
    <w:rsid w:val="006E5630"/>
    <w:rsid w:val="006F1FDC"/>
    <w:rsid w:val="007013EF"/>
    <w:rsid w:val="00706A09"/>
    <w:rsid w:val="00712B40"/>
    <w:rsid w:val="00712F96"/>
    <w:rsid w:val="007173CA"/>
    <w:rsid w:val="007207B4"/>
    <w:rsid w:val="00721079"/>
    <w:rsid w:val="007216AA"/>
    <w:rsid w:val="00721AB5"/>
    <w:rsid w:val="00721DEF"/>
    <w:rsid w:val="00724A43"/>
    <w:rsid w:val="007346E4"/>
    <w:rsid w:val="00740F22"/>
    <w:rsid w:val="00741F1A"/>
    <w:rsid w:val="007450F8"/>
    <w:rsid w:val="0074696E"/>
    <w:rsid w:val="00750135"/>
    <w:rsid w:val="00750EC2"/>
    <w:rsid w:val="00752B28"/>
    <w:rsid w:val="00754C74"/>
    <w:rsid w:val="00754E36"/>
    <w:rsid w:val="007554F6"/>
    <w:rsid w:val="00763139"/>
    <w:rsid w:val="00763F5B"/>
    <w:rsid w:val="00764B2D"/>
    <w:rsid w:val="00764C1D"/>
    <w:rsid w:val="0076685E"/>
    <w:rsid w:val="00770F37"/>
    <w:rsid w:val="007711A0"/>
    <w:rsid w:val="00772D5E"/>
    <w:rsid w:val="00773146"/>
    <w:rsid w:val="00776928"/>
    <w:rsid w:val="00785677"/>
    <w:rsid w:val="00786F16"/>
    <w:rsid w:val="007932B8"/>
    <w:rsid w:val="0079688C"/>
    <w:rsid w:val="00796E20"/>
    <w:rsid w:val="00797C32"/>
    <w:rsid w:val="007A4F7F"/>
    <w:rsid w:val="007B0914"/>
    <w:rsid w:val="007B1374"/>
    <w:rsid w:val="007B2A54"/>
    <w:rsid w:val="007B589F"/>
    <w:rsid w:val="007B6186"/>
    <w:rsid w:val="007B73BC"/>
    <w:rsid w:val="007C20B9"/>
    <w:rsid w:val="007C5936"/>
    <w:rsid w:val="007C7301"/>
    <w:rsid w:val="007C7859"/>
    <w:rsid w:val="007D2BDE"/>
    <w:rsid w:val="007D2FB6"/>
    <w:rsid w:val="007D72CA"/>
    <w:rsid w:val="007E0DE2"/>
    <w:rsid w:val="007E3B98"/>
    <w:rsid w:val="007F31B6"/>
    <w:rsid w:val="007F546C"/>
    <w:rsid w:val="007F625F"/>
    <w:rsid w:val="007F665E"/>
    <w:rsid w:val="007F6854"/>
    <w:rsid w:val="00800412"/>
    <w:rsid w:val="0080120E"/>
    <w:rsid w:val="0080587B"/>
    <w:rsid w:val="00806468"/>
    <w:rsid w:val="008155F0"/>
    <w:rsid w:val="00816229"/>
    <w:rsid w:val="00816735"/>
    <w:rsid w:val="008173B4"/>
    <w:rsid w:val="00820141"/>
    <w:rsid w:val="00820E0C"/>
    <w:rsid w:val="00823969"/>
    <w:rsid w:val="00827BFC"/>
    <w:rsid w:val="008338A2"/>
    <w:rsid w:val="00841AA9"/>
    <w:rsid w:val="00846D75"/>
    <w:rsid w:val="00852B96"/>
    <w:rsid w:val="00853EE4"/>
    <w:rsid w:val="00855535"/>
    <w:rsid w:val="008559F9"/>
    <w:rsid w:val="0086255E"/>
    <w:rsid w:val="008633F0"/>
    <w:rsid w:val="00867D9D"/>
    <w:rsid w:val="00870FC4"/>
    <w:rsid w:val="00872E0A"/>
    <w:rsid w:val="00875285"/>
    <w:rsid w:val="0087554A"/>
    <w:rsid w:val="00877814"/>
    <w:rsid w:val="00884B62"/>
    <w:rsid w:val="0088529C"/>
    <w:rsid w:val="00885576"/>
    <w:rsid w:val="00887903"/>
    <w:rsid w:val="0089270A"/>
    <w:rsid w:val="00893122"/>
    <w:rsid w:val="00893AF6"/>
    <w:rsid w:val="0089450D"/>
    <w:rsid w:val="00894BC4"/>
    <w:rsid w:val="008953D9"/>
    <w:rsid w:val="008A4FEC"/>
    <w:rsid w:val="008A5B32"/>
    <w:rsid w:val="008A7FEC"/>
    <w:rsid w:val="008B2EE4"/>
    <w:rsid w:val="008B4D3D"/>
    <w:rsid w:val="008B57C7"/>
    <w:rsid w:val="008C2F92"/>
    <w:rsid w:val="008D0207"/>
    <w:rsid w:val="008D09E3"/>
    <w:rsid w:val="008D14E2"/>
    <w:rsid w:val="008D2846"/>
    <w:rsid w:val="008D4236"/>
    <w:rsid w:val="008D462F"/>
    <w:rsid w:val="008D6DCF"/>
    <w:rsid w:val="008E36E7"/>
    <w:rsid w:val="008E4376"/>
    <w:rsid w:val="008E453B"/>
    <w:rsid w:val="008E7A0A"/>
    <w:rsid w:val="00900719"/>
    <w:rsid w:val="009017AC"/>
    <w:rsid w:val="009037C1"/>
    <w:rsid w:val="0090460F"/>
    <w:rsid w:val="00904A1C"/>
    <w:rsid w:val="00905030"/>
    <w:rsid w:val="00906490"/>
    <w:rsid w:val="00910215"/>
    <w:rsid w:val="009111B2"/>
    <w:rsid w:val="00924AE1"/>
    <w:rsid w:val="009269B1"/>
    <w:rsid w:val="0092724D"/>
    <w:rsid w:val="00932679"/>
    <w:rsid w:val="00934464"/>
    <w:rsid w:val="00937BD9"/>
    <w:rsid w:val="00943059"/>
    <w:rsid w:val="00944FAF"/>
    <w:rsid w:val="00945B84"/>
    <w:rsid w:val="00950E2C"/>
    <w:rsid w:val="00951D50"/>
    <w:rsid w:val="009525EB"/>
    <w:rsid w:val="00954874"/>
    <w:rsid w:val="00961400"/>
    <w:rsid w:val="00962167"/>
    <w:rsid w:val="009630C5"/>
    <w:rsid w:val="00963646"/>
    <w:rsid w:val="00966A9D"/>
    <w:rsid w:val="00974EBE"/>
    <w:rsid w:val="00981EC0"/>
    <w:rsid w:val="009853E1"/>
    <w:rsid w:val="00986E6B"/>
    <w:rsid w:val="00991769"/>
    <w:rsid w:val="00994386"/>
    <w:rsid w:val="009A13D8"/>
    <w:rsid w:val="009A279E"/>
    <w:rsid w:val="009A3EDA"/>
    <w:rsid w:val="009B0A6F"/>
    <w:rsid w:val="009B0A94"/>
    <w:rsid w:val="009B5496"/>
    <w:rsid w:val="009B59E9"/>
    <w:rsid w:val="009B70AA"/>
    <w:rsid w:val="009C6EEA"/>
    <w:rsid w:val="009C72AC"/>
    <w:rsid w:val="009C7A7E"/>
    <w:rsid w:val="009C7D10"/>
    <w:rsid w:val="009D02E8"/>
    <w:rsid w:val="009D51D0"/>
    <w:rsid w:val="009D70A4"/>
    <w:rsid w:val="009E08D1"/>
    <w:rsid w:val="009E1B95"/>
    <w:rsid w:val="009E34B6"/>
    <w:rsid w:val="009E496F"/>
    <w:rsid w:val="009E4B0D"/>
    <w:rsid w:val="009E74F0"/>
    <w:rsid w:val="009E7F92"/>
    <w:rsid w:val="009F02A3"/>
    <w:rsid w:val="009F074B"/>
    <w:rsid w:val="009F2F27"/>
    <w:rsid w:val="009F34AA"/>
    <w:rsid w:val="009F6BCB"/>
    <w:rsid w:val="009F7B78"/>
    <w:rsid w:val="00A0057A"/>
    <w:rsid w:val="00A0412E"/>
    <w:rsid w:val="00A11421"/>
    <w:rsid w:val="00A157B1"/>
    <w:rsid w:val="00A22229"/>
    <w:rsid w:val="00A30FB3"/>
    <w:rsid w:val="00A31935"/>
    <w:rsid w:val="00A31F4E"/>
    <w:rsid w:val="00A44882"/>
    <w:rsid w:val="00A54715"/>
    <w:rsid w:val="00A6061C"/>
    <w:rsid w:val="00A62D44"/>
    <w:rsid w:val="00A67263"/>
    <w:rsid w:val="00A7161C"/>
    <w:rsid w:val="00A72430"/>
    <w:rsid w:val="00A732C1"/>
    <w:rsid w:val="00A76561"/>
    <w:rsid w:val="00A7679D"/>
    <w:rsid w:val="00A76DAA"/>
    <w:rsid w:val="00A77AA3"/>
    <w:rsid w:val="00A85086"/>
    <w:rsid w:val="00A854EB"/>
    <w:rsid w:val="00A872E5"/>
    <w:rsid w:val="00A91406"/>
    <w:rsid w:val="00A95E72"/>
    <w:rsid w:val="00A96E65"/>
    <w:rsid w:val="00A97C72"/>
    <w:rsid w:val="00AA63D4"/>
    <w:rsid w:val="00AB06E8"/>
    <w:rsid w:val="00AB1CD3"/>
    <w:rsid w:val="00AB352F"/>
    <w:rsid w:val="00AC274B"/>
    <w:rsid w:val="00AC4764"/>
    <w:rsid w:val="00AC6D36"/>
    <w:rsid w:val="00AC70E4"/>
    <w:rsid w:val="00AD0CBA"/>
    <w:rsid w:val="00AD26E2"/>
    <w:rsid w:val="00AD3DAC"/>
    <w:rsid w:val="00AD784C"/>
    <w:rsid w:val="00AE126A"/>
    <w:rsid w:val="00AE3005"/>
    <w:rsid w:val="00AE3BD5"/>
    <w:rsid w:val="00AE59A0"/>
    <w:rsid w:val="00AF0C57"/>
    <w:rsid w:val="00AF1D7A"/>
    <w:rsid w:val="00AF26F3"/>
    <w:rsid w:val="00AF3F3E"/>
    <w:rsid w:val="00AF5F04"/>
    <w:rsid w:val="00AF6FB7"/>
    <w:rsid w:val="00B00672"/>
    <w:rsid w:val="00B01B4D"/>
    <w:rsid w:val="00B06571"/>
    <w:rsid w:val="00B068BA"/>
    <w:rsid w:val="00B13851"/>
    <w:rsid w:val="00B13B1C"/>
    <w:rsid w:val="00B13BFF"/>
    <w:rsid w:val="00B1503C"/>
    <w:rsid w:val="00B155D6"/>
    <w:rsid w:val="00B21A05"/>
    <w:rsid w:val="00B22291"/>
    <w:rsid w:val="00B23F9A"/>
    <w:rsid w:val="00B2417B"/>
    <w:rsid w:val="00B24E6F"/>
    <w:rsid w:val="00B26CB5"/>
    <w:rsid w:val="00B2752E"/>
    <w:rsid w:val="00B27AC3"/>
    <w:rsid w:val="00B307CC"/>
    <w:rsid w:val="00B326B7"/>
    <w:rsid w:val="00B36413"/>
    <w:rsid w:val="00B431E8"/>
    <w:rsid w:val="00B45141"/>
    <w:rsid w:val="00B459B8"/>
    <w:rsid w:val="00B4640B"/>
    <w:rsid w:val="00B5273A"/>
    <w:rsid w:val="00B61B7C"/>
    <w:rsid w:val="00B62B50"/>
    <w:rsid w:val="00B635B7"/>
    <w:rsid w:val="00B63AE8"/>
    <w:rsid w:val="00B65950"/>
    <w:rsid w:val="00B66D83"/>
    <w:rsid w:val="00B672C0"/>
    <w:rsid w:val="00B67B77"/>
    <w:rsid w:val="00B708FC"/>
    <w:rsid w:val="00B75646"/>
    <w:rsid w:val="00B90729"/>
    <w:rsid w:val="00B907DA"/>
    <w:rsid w:val="00B950BC"/>
    <w:rsid w:val="00B9714C"/>
    <w:rsid w:val="00BA3F8D"/>
    <w:rsid w:val="00BB7A10"/>
    <w:rsid w:val="00BC5AEE"/>
    <w:rsid w:val="00BC7468"/>
    <w:rsid w:val="00BC7D4F"/>
    <w:rsid w:val="00BC7ED7"/>
    <w:rsid w:val="00BD2850"/>
    <w:rsid w:val="00BD5980"/>
    <w:rsid w:val="00BE28D2"/>
    <w:rsid w:val="00BE4A64"/>
    <w:rsid w:val="00BF5667"/>
    <w:rsid w:val="00BF7F58"/>
    <w:rsid w:val="00C01381"/>
    <w:rsid w:val="00C06EB3"/>
    <w:rsid w:val="00C079B8"/>
    <w:rsid w:val="00C123EA"/>
    <w:rsid w:val="00C12A49"/>
    <w:rsid w:val="00C1326B"/>
    <w:rsid w:val="00C133EE"/>
    <w:rsid w:val="00C177AF"/>
    <w:rsid w:val="00C22B4C"/>
    <w:rsid w:val="00C22D28"/>
    <w:rsid w:val="00C27DE9"/>
    <w:rsid w:val="00C33388"/>
    <w:rsid w:val="00C33871"/>
    <w:rsid w:val="00C35484"/>
    <w:rsid w:val="00C416BB"/>
    <w:rsid w:val="00C4173A"/>
    <w:rsid w:val="00C602FF"/>
    <w:rsid w:val="00C61174"/>
    <w:rsid w:val="00C6148F"/>
    <w:rsid w:val="00C62F7A"/>
    <w:rsid w:val="00C63B9C"/>
    <w:rsid w:val="00C6682F"/>
    <w:rsid w:val="00C7275E"/>
    <w:rsid w:val="00C74C5D"/>
    <w:rsid w:val="00C76234"/>
    <w:rsid w:val="00C778A1"/>
    <w:rsid w:val="00C84491"/>
    <w:rsid w:val="00C852B2"/>
    <w:rsid w:val="00C863C4"/>
    <w:rsid w:val="00C90310"/>
    <w:rsid w:val="00C93C3E"/>
    <w:rsid w:val="00CA12E3"/>
    <w:rsid w:val="00CA6611"/>
    <w:rsid w:val="00CA6AE6"/>
    <w:rsid w:val="00CA782F"/>
    <w:rsid w:val="00CB356E"/>
    <w:rsid w:val="00CB477C"/>
    <w:rsid w:val="00CC0C72"/>
    <w:rsid w:val="00CC1582"/>
    <w:rsid w:val="00CC2BFD"/>
    <w:rsid w:val="00CD3476"/>
    <w:rsid w:val="00CD64DF"/>
    <w:rsid w:val="00CD78AF"/>
    <w:rsid w:val="00CE1DD6"/>
    <w:rsid w:val="00CF2F50"/>
    <w:rsid w:val="00CF5218"/>
    <w:rsid w:val="00D02919"/>
    <w:rsid w:val="00D04C61"/>
    <w:rsid w:val="00D05B8D"/>
    <w:rsid w:val="00D065A2"/>
    <w:rsid w:val="00D07F00"/>
    <w:rsid w:val="00D11589"/>
    <w:rsid w:val="00D17B72"/>
    <w:rsid w:val="00D3185C"/>
    <w:rsid w:val="00D33E72"/>
    <w:rsid w:val="00D35BD6"/>
    <w:rsid w:val="00D361B5"/>
    <w:rsid w:val="00D411A2"/>
    <w:rsid w:val="00D4606D"/>
    <w:rsid w:val="00D50B9C"/>
    <w:rsid w:val="00D52747"/>
    <w:rsid w:val="00D52D73"/>
    <w:rsid w:val="00D52E58"/>
    <w:rsid w:val="00D63D08"/>
    <w:rsid w:val="00D66099"/>
    <w:rsid w:val="00D70D2D"/>
    <w:rsid w:val="00D714CC"/>
    <w:rsid w:val="00D7433B"/>
    <w:rsid w:val="00D749EA"/>
    <w:rsid w:val="00D75EA7"/>
    <w:rsid w:val="00D81F21"/>
    <w:rsid w:val="00D85AC1"/>
    <w:rsid w:val="00D94FB1"/>
    <w:rsid w:val="00D95470"/>
    <w:rsid w:val="00D96F1E"/>
    <w:rsid w:val="00DA2619"/>
    <w:rsid w:val="00DA4239"/>
    <w:rsid w:val="00DA445F"/>
    <w:rsid w:val="00DB0B61"/>
    <w:rsid w:val="00DB2BE8"/>
    <w:rsid w:val="00DB7AC2"/>
    <w:rsid w:val="00DC090B"/>
    <w:rsid w:val="00DC1679"/>
    <w:rsid w:val="00DC2CF1"/>
    <w:rsid w:val="00DC3441"/>
    <w:rsid w:val="00DC4FCF"/>
    <w:rsid w:val="00DC50E0"/>
    <w:rsid w:val="00DC5384"/>
    <w:rsid w:val="00DC62F8"/>
    <w:rsid w:val="00DC6386"/>
    <w:rsid w:val="00DD1130"/>
    <w:rsid w:val="00DD16B3"/>
    <w:rsid w:val="00DD1951"/>
    <w:rsid w:val="00DD6628"/>
    <w:rsid w:val="00DE2743"/>
    <w:rsid w:val="00DE3250"/>
    <w:rsid w:val="00DE6028"/>
    <w:rsid w:val="00DE78A3"/>
    <w:rsid w:val="00DF182D"/>
    <w:rsid w:val="00DF1A71"/>
    <w:rsid w:val="00DF68C7"/>
    <w:rsid w:val="00DF731A"/>
    <w:rsid w:val="00DF7784"/>
    <w:rsid w:val="00E019BC"/>
    <w:rsid w:val="00E01AEF"/>
    <w:rsid w:val="00E137AF"/>
    <w:rsid w:val="00E141FE"/>
    <w:rsid w:val="00E170DC"/>
    <w:rsid w:val="00E2084C"/>
    <w:rsid w:val="00E26818"/>
    <w:rsid w:val="00E27FFC"/>
    <w:rsid w:val="00E30B15"/>
    <w:rsid w:val="00E40181"/>
    <w:rsid w:val="00E47E59"/>
    <w:rsid w:val="00E534F1"/>
    <w:rsid w:val="00E56A01"/>
    <w:rsid w:val="00E57982"/>
    <w:rsid w:val="00E629A1"/>
    <w:rsid w:val="00E71591"/>
    <w:rsid w:val="00E7278F"/>
    <w:rsid w:val="00E731FA"/>
    <w:rsid w:val="00E758C4"/>
    <w:rsid w:val="00E82C55"/>
    <w:rsid w:val="00E92AC3"/>
    <w:rsid w:val="00E97EAB"/>
    <w:rsid w:val="00EB00E0"/>
    <w:rsid w:val="00EB1FC2"/>
    <w:rsid w:val="00EC059F"/>
    <w:rsid w:val="00EC1F24"/>
    <w:rsid w:val="00EC22F6"/>
    <w:rsid w:val="00EC2F23"/>
    <w:rsid w:val="00ED5B9B"/>
    <w:rsid w:val="00ED5CA7"/>
    <w:rsid w:val="00ED6BAD"/>
    <w:rsid w:val="00ED7447"/>
    <w:rsid w:val="00EE1488"/>
    <w:rsid w:val="00EE4D5D"/>
    <w:rsid w:val="00EE5131"/>
    <w:rsid w:val="00EF109B"/>
    <w:rsid w:val="00EF11FE"/>
    <w:rsid w:val="00EF36AF"/>
    <w:rsid w:val="00F00F9C"/>
    <w:rsid w:val="00F01E5F"/>
    <w:rsid w:val="00F02ABA"/>
    <w:rsid w:val="00F0437A"/>
    <w:rsid w:val="00F06FC9"/>
    <w:rsid w:val="00F07719"/>
    <w:rsid w:val="00F11037"/>
    <w:rsid w:val="00F14F9D"/>
    <w:rsid w:val="00F16F1B"/>
    <w:rsid w:val="00F250A9"/>
    <w:rsid w:val="00F30FF4"/>
    <w:rsid w:val="00F3122E"/>
    <w:rsid w:val="00F323E1"/>
    <w:rsid w:val="00F331AD"/>
    <w:rsid w:val="00F35287"/>
    <w:rsid w:val="00F42B1B"/>
    <w:rsid w:val="00F43A37"/>
    <w:rsid w:val="00F4641B"/>
    <w:rsid w:val="00F46EB8"/>
    <w:rsid w:val="00F501E6"/>
    <w:rsid w:val="00F511E4"/>
    <w:rsid w:val="00F52B74"/>
    <w:rsid w:val="00F52D09"/>
    <w:rsid w:val="00F52E08"/>
    <w:rsid w:val="00F55B21"/>
    <w:rsid w:val="00F56EF6"/>
    <w:rsid w:val="00F61A9F"/>
    <w:rsid w:val="00F64696"/>
    <w:rsid w:val="00F65AA9"/>
    <w:rsid w:val="00F6768F"/>
    <w:rsid w:val="00F72C2C"/>
    <w:rsid w:val="00F740AD"/>
    <w:rsid w:val="00F76CAB"/>
    <w:rsid w:val="00F772C6"/>
    <w:rsid w:val="00F815B5"/>
    <w:rsid w:val="00F85195"/>
    <w:rsid w:val="00F86208"/>
    <w:rsid w:val="00F938BA"/>
    <w:rsid w:val="00FA2C46"/>
    <w:rsid w:val="00FA2CC4"/>
    <w:rsid w:val="00FA3525"/>
    <w:rsid w:val="00FA47D8"/>
    <w:rsid w:val="00FB4CDA"/>
    <w:rsid w:val="00FC0F81"/>
    <w:rsid w:val="00FC3583"/>
    <w:rsid w:val="00FC395C"/>
    <w:rsid w:val="00FC6AF1"/>
    <w:rsid w:val="00FD3766"/>
    <w:rsid w:val="00FD47C4"/>
    <w:rsid w:val="00FD5F18"/>
    <w:rsid w:val="00FE2DCF"/>
    <w:rsid w:val="00FF2FCE"/>
    <w:rsid w:val="00FF4F7D"/>
    <w:rsid w:val="00FF6D9D"/>
    <w:rsid w:val="74ACD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767CC9BF"/>
  <w15:docId w15:val="{6E40D5B4-9B7F-449F-862B-EC963E43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aliases w:val="ICB Table"/>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273E22"/>
    <w:rPr>
      <w:rFonts w:ascii="Tahoma" w:hAnsi="Tahoma" w:cs="Tahoma"/>
      <w:sz w:val="16"/>
      <w:szCs w:val="16"/>
    </w:rPr>
  </w:style>
  <w:style w:type="character" w:customStyle="1" w:styleId="BalloonTextChar">
    <w:name w:val="Balloon Text Char"/>
    <w:link w:val="BalloonText"/>
    <w:uiPriority w:val="99"/>
    <w:semiHidden/>
    <w:rsid w:val="00273E22"/>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TableHeader-White">
    <w:name w:val="Table Header - White"/>
    <w:basedOn w:val="Normal"/>
    <w:rsid w:val="00B4640B"/>
    <w:pPr>
      <w:keepNext/>
      <w:spacing w:before="60" w:after="60"/>
    </w:pPr>
    <w:rPr>
      <w:rFonts w:ascii="Calibri" w:hAnsi="Calibri"/>
      <w:b/>
      <w:color w:val="FFFFFF"/>
      <w:sz w:val="16"/>
      <w:lang w:eastAsia="en-AU"/>
    </w:rPr>
  </w:style>
  <w:style w:type="paragraph" w:customStyle="1" w:styleId="TableText">
    <w:name w:val="Table Text"/>
    <w:basedOn w:val="Normal"/>
    <w:uiPriority w:val="99"/>
    <w:qFormat/>
    <w:rsid w:val="00B4640B"/>
    <w:pPr>
      <w:spacing w:before="20" w:after="20"/>
    </w:pPr>
    <w:rPr>
      <w:rFonts w:ascii="Calibri" w:hAnsi="Calibri" w:cs="Calibri"/>
      <w:sz w:val="16"/>
      <w:szCs w:val="18"/>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styleId="CommentReference">
    <w:name w:val="annotation reference"/>
    <w:uiPriority w:val="99"/>
    <w:semiHidden/>
    <w:unhideWhenUsed/>
    <w:rsid w:val="004F2E1A"/>
    <w:rPr>
      <w:sz w:val="16"/>
      <w:szCs w:val="16"/>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ommentText">
    <w:name w:val="annotation text"/>
    <w:basedOn w:val="Normal"/>
    <w:link w:val="CommentTextChar"/>
    <w:uiPriority w:val="99"/>
    <w:semiHidden/>
    <w:unhideWhenUsed/>
    <w:rsid w:val="004F2E1A"/>
  </w:style>
  <w:style w:type="character" w:customStyle="1" w:styleId="CommentTextChar">
    <w:name w:val="Comment Text Char"/>
    <w:link w:val="CommentText"/>
    <w:uiPriority w:val="99"/>
    <w:semiHidden/>
    <w:rsid w:val="004F2E1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F2E1A"/>
    <w:rPr>
      <w:b/>
      <w:bCs/>
    </w:rPr>
  </w:style>
  <w:style w:type="character" w:customStyle="1" w:styleId="CommentSubjectChar">
    <w:name w:val="Comment Subject Char"/>
    <w:link w:val="CommentSubject"/>
    <w:uiPriority w:val="99"/>
    <w:semiHidden/>
    <w:rsid w:val="004F2E1A"/>
    <w:rPr>
      <w:rFonts w:ascii="Cambria" w:hAnsi="Cambria"/>
      <w:b/>
      <w:bCs/>
      <w:lang w:eastAsia="en-US"/>
    </w:rPr>
  </w:style>
  <w:style w:type="paragraph" w:styleId="ListParagraph">
    <w:name w:val="List Paragraph"/>
    <w:basedOn w:val="Normal"/>
    <w:uiPriority w:val="34"/>
    <w:qFormat/>
    <w:rsid w:val="00D52747"/>
    <w:pPr>
      <w:spacing w:after="200" w:line="276" w:lineRule="auto"/>
      <w:ind w:left="720"/>
      <w:contextualSpacing/>
    </w:pPr>
    <w:rPr>
      <w:rFonts w:ascii="Calibri" w:eastAsia="Calibri" w:hAnsi="Calibri"/>
      <w:sz w:val="22"/>
      <w:szCs w:val="22"/>
    </w:rPr>
  </w:style>
  <w:style w:type="paragraph" w:customStyle="1" w:styleId="Default">
    <w:name w:val="Default"/>
    <w:rsid w:val="002C3B7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A441F"/>
    <w:rPr>
      <w:color w:val="605E5C"/>
      <w:shd w:val="clear" w:color="auto" w:fill="E1DFDD"/>
    </w:rPr>
  </w:style>
  <w:style w:type="paragraph" w:styleId="NormalWeb">
    <w:name w:val="Normal (Web)"/>
    <w:basedOn w:val="Normal"/>
    <w:uiPriority w:val="99"/>
    <w:semiHidden/>
    <w:unhideWhenUsed/>
    <w:rsid w:val="00F86208"/>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44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07436">
      <w:bodyDiv w:val="1"/>
      <w:marLeft w:val="0"/>
      <w:marRight w:val="0"/>
      <w:marTop w:val="0"/>
      <w:marBottom w:val="0"/>
      <w:divBdr>
        <w:top w:val="none" w:sz="0" w:space="0" w:color="auto"/>
        <w:left w:val="none" w:sz="0" w:space="0" w:color="auto"/>
        <w:bottom w:val="none" w:sz="0" w:space="0" w:color="auto"/>
        <w:right w:val="none" w:sz="0" w:space="0" w:color="auto"/>
      </w:divBdr>
    </w:div>
    <w:div w:id="53897344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23739737">
      <w:bodyDiv w:val="1"/>
      <w:marLeft w:val="0"/>
      <w:marRight w:val="0"/>
      <w:marTop w:val="0"/>
      <w:marBottom w:val="0"/>
      <w:divBdr>
        <w:top w:val="none" w:sz="0" w:space="0" w:color="auto"/>
        <w:left w:val="none" w:sz="0" w:space="0" w:color="auto"/>
        <w:bottom w:val="none" w:sz="0" w:space="0" w:color="auto"/>
        <w:right w:val="none" w:sz="0" w:space="0" w:color="auto"/>
      </w:divBdr>
    </w:div>
    <w:div w:id="1608922697">
      <w:bodyDiv w:val="1"/>
      <w:marLeft w:val="0"/>
      <w:marRight w:val="0"/>
      <w:marTop w:val="0"/>
      <w:marBottom w:val="0"/>
      <w:divBdr>
        <w:top w:val="none" w:sz="0" w:space="0" w:color="auto"/>
        <w:left w:val="none" w:sz="0" w:space="0" w:color="auto"/>
        <w:bottom w:val="none" w:sz="0" w:space="0" w:color="auto"/>
        <w:right w:val="none" w:sz="0" w:space="0" w:color="auto"/>
      </w:divBdr>
    </w:div>
    <w:div w:id="1670449336">
      <w:bodyDiv w:val="1"/>
      <w:marLeft w:val="0"/>
      <w:marRight w:val="0"/>
      <w:marTop w:val="0"/>
      <w:marBottom w:val="0"/>
      <w:divBdr>
        <w:top w:val="none" w:sz="0" w:space="0" w:color="auto"/>
        <w:left w:val="none" w:sz="0" w:space="0" w:color="auto"/>
        <w:bottom w:val="none" w:sz="0" w:space="0" w:color="auto"/>
        <w:right w:val="none" w:sz="0" w:space="0" w:color="auto"/>
      </w:divBdr>
      <w:divsChild>
        <w:div w:id="1850945262">
          <w:marLeft w:val="0"/>
          <w:marRight w:val="0"/>
          <w:marTop w:val="0"/>
          <w:marBottom w:val="0"/>
          <w:divBdr>
            <w:top w:val="none" w:sz="0" w:space="0" w:color="auto"/>
            <w:left w:val="none" w:sz="0" w:space="0" w:color="auto"/>
            <w:bottom w:val="none" w:sz="0" w:space="0" w:color="auto"/>
            <w:right w:val="none" w:sz="0" w:space="0" w:color="auto"/>
          </w:divBdr>
          <w:divsChild>
            <w:div w:id="1275478997">
              <w:marLeft w:val="0"/>
              <w:marRight w:val="0"/>
              <w:marTop w:val="0"/>
              <w:marBottom w:val="0"/>
              <w:divBdr>
                <w:top w:val="none" w:sz="0" w:space="0" w:color="auto"/>
                <w:left w:val="none" w:sz="0" w:space="0" w:color="auto"/>
                <w:bottom w:val="none" w:sz="0" w:space="0" w:color="auto"/>
                <w:right w:val="none" w:sz="0" w:space="0" w:color="auto"/>
              </w:divBdr>
              <w:divsChild>
                <w:div w:id="947657738">
                  <w:marLeft w:val="0"/>
                  <w:marRight w:val="0"/>
                  <w:marTop w:val="0"/>
                  <w:marBottom w:val="0"/>
                  <w:divBdr>
                    <w:top w:val="none" w:sz="0" w:space="0" w:color="auto"/>
                    <w:left w:val="none" w:sz="0" w:space="0" w:color="auto"/>
                    <w:bottom w:val="none" w:sz="0" w:space="0" w:color="auto"/>
                    <w:right w:val="none" w:sz="0" w:space="0" w:color="auto"/>
                  </w:divBdr>
                  <w:divsChild>
                    <w:div w:id="777061141">
                      <w:marLeft w:val="0"/>
                      <w:marRight w:val="0"/>
                      <w:marTop w:val="0"/>
                      <w:marBottom w:val="0"/>
                      <w:divBdr>
                        <w:top w:val="none" w:sz="0" w:space="0" w:color="auto"/>
                        <w:left w:val="none" w:sz="0" w:space="0" w:color="auto"/>
                        <w:bottom w:val="none" w:sz="0" w:space="0" w:color="auto"/>
                        <w:right w:val="none" w:sz="0" w:space="0" w:color="auto"/>
                      </w:divBdr>
                      <w:divsChild>
                        <w:div w:id="978876272">
                          <w:marLeft w:val="0"/>
                          <w:marRight w:val="0"/>
                          <w:marTop w:val="0"/>
                          <w:marBottom w:val="0"/>
                          <w:divBdr>
                            <w:top w:val="none" w:sz="0" w:space="0" w:color="auto"/>
                            <w:left w:val="none" w:sz="0" w:space="0" w:color="auto"/>
                            <w:bottom w:val="none" w:sz="0" w:space="0" w:color="auto"/>
                            <w:right w:val="none" w:sz="0" w:space="0" w:color="auto"/>
                          </w:divBdr>
                          <w:divsChild>
                            <w:div w:id="202446684">
                              <w:marLeft w:val="0"/>
                              <w:marRight w:val="0"/>
                              <w:marTop w:val="0"/>
                              <w:marBottom w:val="0"/>
                              <w:divBdr>
                                <w:top w:val="none" w:sz="0" w:space="0" w:color="auto"/>
                                <w:left w:val="none" w:sz="0" w:space="0" w:color="auto"/>
                                <w:bottom w:val="none" w:sz="0" w:space="0" w:color="auto"/>
                                <w:right w:val="none" w:sz="0" w:space="0" w:color="auto"/>
                              </w:divBdr>
                              <w:divsChild>
                                <w:div w:id="141311921">
                                  <w:marLeft w:val="0"/>
                                  <w:marRight w:val="0"/>
                                  <w:marTop w:val="0"/>
                                  <w:marBottom w:val="0"/>
                                  <w:divBdr>
                                    <w:top w:val="none" w:sz="0" w:space="0" w:color="auto"/>
                                    <w:left w:val="none" w:sz="0" w:space="0" w:color="auto"/>
                                    <w:bottom w:val="none" w:sz="0" w:space="0" w:color="auto"/>
                                    <w:right w:val="none" w:sz="0" w:space="0" w:color="auto"/>
                                  </w:divBdr>
                                  <w:divsChild>
                                    <w:div w:id="1911887043">
                                      <w:marLeft w:val="0"/>
                                      <w:marRight w:val="0"/>
                                      <w:marTop w:val="0"/>
                                      <w:marBottom w:val="0"/>
                                      <w:divBdr>
                                        <w:top w:val="none" w:sz="0" w:space="0" w:color="auto"/>
                                        <w:left w:val="none" w:sz="0" w:space="0" w:color="auto"/>
                                        <w:bottom w:val="none" w:sz="0" w:space="0" w:color="auto"/>
                                        <w:right w:val="none" w:sz="0" w:space="0" w:color="auto"/>
                                      </w:divBdr>
                                      <w:divsChild>
                                        <w:div w:id="5534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public-health/drugs-and-poisons/safescript/access-and-setup" TargetMode="External"/><Relationship Id="rId18" Type="http://schemas.openxmlformats.org/officeDocument/2006/relationships/hyperlink" Target="https://vtphna.org.au/safescript-training-hub/" TargetMode="External"/><Relationship Id="rId3" Type="http://schemas.openxmlformats.org/officeDocument/2006/relationships/styles" Target="styles.xml"/><Relationship Id="rId21" Type="http://schemas.openxmlformats.org/officeDocument/2006/relationships/hyperlink" Target="http://www.health.vic.gov.au/safescript/" TargetMode="External"/><Relationship Id="rId7" Type="http://schemas.openxmlformats.org/officeDocument/2006/relationships/endnotes" Target="endnotes.xml"/><Relationship Id="rId12" Type="http://schemas.openxmlformats.org/officeDocument/2006/relationships/hyperlink" Target="http://www.safescript.vic.gov.au" TargetMode="External"/><Relationship Id="rId17" Type="http://schemas.openxmlformats.org/officeDocument/2006/relationships/hyperlink" Target="https://dhhsvicgovau-my.sharepoint.com/personal/catherine_dennehy_dhhs_vic_gov_au/Documents/GP%20Clinical%20Advisory%20Service%20website" TargetMode="External"/><Relationship Id="rId2" Type="http://schemas.openxmlformats.org/officeDocument/2006/relationships/numbering" Target="numbering.xml"/><Relationship Id="rId16" Type="http://schemas.openxmlformats.org/officeDocument/2006/relationships/hyperlink" Target="mailto:safescript@dhhs.vic.gov.au" TargetMode="External"/><Relationship Id="rId20" Type="http://schemas.openxmlformats.org/officeDocument/2006/relationships/hyperlink" Target="https://www2.health.vic.gov.au/public-health/drugs-and-poisons/patient-schedule-8-treatment-perm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cden2005\AppData\Local\Microsoft\Windows\INetCache\Content.Outlook\KSIH0ANU\SafeScript%20porta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reconnexion.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tphna.org.au/safescript-training-hub/" TargetMode="External"/><Relationship Id="rId22" Type="http://schemas.openxmlformats.org/officeDocument/2006/relationships/hyperlink" Target="mailto:safescript@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713A-8A51-4EE9-91D1-3DAD328A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2901</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20720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Bridget Box (DHHS)</cp:lastModifiedBy>
  <cp:revision>3</cp:revision>
  <cp:lastPrinted>2018-11-07T04:05:00Z</cp:lastPrinted>
  <dcterms:created xsi:type="dcterms:W3CDTF">2020-02-19T01:38:00Z</dcterms:created>
  <dcterms:modified xsi:type="dcterms:W3CDTF">2020-02-19T01:41:00Z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