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92D50" w14:textId="77777777" w:rsidR="0074696E" w:rsidRPr="004C6EEE" w:rsidRDefault="002C4E84" w:rsidP="00AD784C">
      <w:pPr>
        <w:pStyle w:val="Spacerparatopoffirstpage"/>
      </w:pPr>
      <w:r>
        <w:drawing>
          <wp:anchor distT="0" distB="0" distL="114300" distR="114300" simplePos="0" relativeHeight="251657728" behindDoc="1" locked="1" layoutInCell="0" allowOverlap="1" wp14:anchorId="5EC2029C" wp14:editId="53EB0778">
            <wp:simplePos x="0" y="0"/>
            <wp:positionH relativeFrom="page">
              <wp:posOffset>0</wp:posOffset>
            </wp:positionH>
            <wp:positionV relativeFrom="page">
              <wp:posOffset>0</wp:posOffset>
            </wp:positionV>
            <wp:extent cx="7563485" cy="2072640"/>
            <wp:effectExtent l="0" t="0" r="0" b="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pic:spPr>
                </pic:pic>
              </a:graphicData>
            </a:graphic>
            <wp14:sizeRelH relativeFrom="page">
              <wp14:pctWidth>0</wp14:pctWidth>
            </wp14:sizeRelH>
            <wp14:sizeRelV relativeFrom="page">
              <wp14:pctHeight>0</wp14:pctHeight>
            </wp14:sizeRelV>
          </wp:anchor>
        </w:drawing>
      </w:r>
    </w:p>
    <w:p w14:paraId="3C3C5E35"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06CB348D" w14:textId="77777777" w:rsidTr="001C277E">
        <w:trPr>
          <w:trHeight w:val="1247"/>
        </w:trPr>
        <w:tc>
          <w:tcPr>
            <w:tcW w:w="8046" w:type="dxa"/>
            <w:shd w:val="clear" w:color="auto" w:fill="auto"/>
            <w:vAlign w:val="bottom"/>
          </w:tcPr>
          <w:p w14:paraId="72F6F2BD" w14:textId="77777777" w:rsidR="00AD784C" w:rsidRPr="00161AA0" w:rsidRDefault="008C5BC2" w:rsidP="00A91406">
            <w:pPr>
              <w:pStyle w:val="DHHSmainheading"/>
            </w:pPr>
            <w:r>
              <w:t>Fleet management</w:t>
            </w:r>
          </w:p>
        </w:tc>
      </w:tr>
      <w:tr w:rsidR="00AD784C" w14:paraId="20B19588" w14:textId="77777777" w:rsidTr="00357B4E">
        <w:trPr>
          <w:trHeight w:hRule="exact" w:val="1162"/>
        </w:trPr>
        <w:tc>
          <w:tcPr>
            <w:tcW w:w="8046" w:type="dxa"/>
            <w:shd w:val="clear" w:color="auto" w:fill="auto"/>
            <w:tcMar>
              <w:top w:w="170" w:type="dxa"/>
              <w:bottom w:w="510" w:type="dxa"/>
            </w:tcMar>
          </w:tcPr>
          <w:p w14:paraId="3CABAA50" w14:textId="77777777" w:rsidR="00357B4E" w:rsidRPr="00AD784C" w:rsidRDefault="008C5BC2" w:rsidP="00357B4E">
            <w:pPr>
              <w:pStyle w:val="DHHSmainsubheading"/>
              <w:rPr>
                <w:szCs w:val="28"/>
              </w:rPr>
            </w:pPr>
            <w:r>
              <w:rPr>
                <w:szCs w:val="28"/>
              </w:rPr>
              <w:t>Planning for electric vehicles in the health sector</w:t>
            </w:r>
          </w:p>
        </w:tc>
      </w:tr>
    </w:tbl>
    <w:p w14:paraId="73FC6F98" w14:textId="287754C7" w:rsidR="00893AF6" w:rsidRDefault="009F4D39" w:rsidP="009F4D39">
      <w:pPr>
        <w:pStyle w:val="Heading1"/>
      </w:pPr>
      <w:bookmarkStart w:id="0" w:name="_Toc19629556"/>
      <w:r>
        <w:t>I</w:t>
      </w:r>
      <w:r w:rsidR="008C5BC2">
        <w:t>ntroduction</w:t>
      </w:r>
      <w:bookmarkEnd w:id="0"/>
    </w:p>
    <w:p w14:paraId="36521135" w14:textId="08AC079B" w:rsidR="008C5BC2" w:rsidRDefault="008C5BC2" w:rsidP="008C5BC2">
      <w:pPr>
        <w:pStyle w:val="DHHSbody"/>
      </w:pPr>
      <w:r>
        <w:t>Electric vehicles and charging stations are becoming more common in Australia. There are multiple models</w:t>
      </w:r>
      <w:r w:rsidR="00FD3B39">
        <w:t xml:space="preserve"> of electric vehicle</w:t>
      </w:r>
      <w:r>
        <w:t xml:space="preserve"> available in Australia across most vehicle types and almost 450 charging stations.</w:t>
      </w:r>
    </w:p>
    <w:p w14:paraId="056AE2D1" w14:textId="556716AD" w:rsidR="008C5BC2" w:rsidRDefault="008C5BC2" w:rsidP="008C5BC2">
      <w:pPr>
        <w:pStyle w:val="DHHSbody"/>
      </w:pPr>
      <w:r>
        <w:t>The benefits of electric vehicles include lower operating costs, removing the need to use liquid fuels, reduced maintenance requirements, reduced localised air and noise pollution and the ability to be zero</w:t>
      </w:r>
      <w:r w:rsidR="00FD3B39">
        <w:t>-</w:t>
      </w:r>
      <w:r>
        <w:t>emission when charged with renewable energy. Studies have also found that the lower centre of gravity mak</w:t>
      </w:r>
      <w:r w:rsidR="00FD3B39">
        <w:t>es</w:t>
      </w:r>
      <w:r>
        <w:t xml:space="preserve"> them less likely to roll over in a collision and they have a reduced risk of a major fire or explosion when compared </w:t>
      </w:r>
      <w:r w:rsidR="009A7E09">
        <w:t xml:space="preserve">with </w:t>
      </w:r>
      <w:r>
        <w:t>conventional vehicles.</w:t>
      </w:r>
      <w:r w:rsidR="00CD364D">
        <w:rPr>
          <w:rStyle w:val="FootnoteReference"/>
        </w:rPr>
        <w:footnoteReference w:id="1"/>
      </w:r>
      <w:r>
        <w:t xml:space="preserve"> The benefits of electric vehicles can be maximised by preferencing short to mid-range trips where vehicles can be charged at destinations, </w:t>
      </w:r>
      <w:proofErr w:type="spellStart"/>
      <w:r>
        <w:t>en</w:t>
      </w:r>
      <w:proofErr w:type="spellEnd"/>
      <w:r w:rsidR="009A7E09">
        <w:t xml:space="preserve"> </w:t>
      </w:r>
      <w:r>
        <w:t>route or overnight at off-peak energy costs.</w:t>
      </w:r>
    </w:p>
    <w:p w14:paraId="708C271E" w14:textId="3B9E173D" w:rsidR="008C5BC2" w:rsidRDefault="008C5BC2" w:rsidP="008C5BC2">
      <w:pPr>
        <w:pStyle w:val="DHHSbody"/>
      </w:pPr>
      <w:r>
        <w:t xml:space="preserve">Electric vehicles face unique issues in terms of energy supply </w:t>
      </w:r>
      <w:r w:rsidR="00FD3B39">
        <w:t xml:space="preserve">because </w:t>
      </w:r>
      <w:r>
        <w:t xml:space="preserve">power outages can disrupt charging. This issue is especially relevant for rural and regional locations where </w:t>
      </w:r>
      <w:r w:rsidR="00FD3B39">
        <w:t xml:space="preserve">the </w:t>
      </w:r>
      <w:r>
        <w:t xml:space="preserve">energy supply may be less reliable. In cities, blackouts are less common, and brownouts tend to be localised and short term and </w:t>
      </w:r>
      <w:r w:rsidR="009A7E09">
        <w:t xml:space="preserve">therefore </w:t>
      </w:r>
      <w:r>
        <w:t xml:space="preserve">unlikely to </w:t>
      </w:r>
      <w:r w:rsidR="009A7E09">
        <w:t>affe</w:t>
      </w:r>
      <w:r>
        <w:t>ct vehicle charging. This risk can be mitigated by charging during off-peak times when blackouts and brownouts are less common, which has the additional advantage of lower electricity costs, or linking batteries to charging stations.</w:t>
      </w:r>
    </w:p>
    <w:p w14:paraId="4BC596C5" w14:textId="66D30FE9" w:rsidR="008C5BC2" w:rsidRDefault="008C5BC2" w:rsidP="008C5BC2">
      <w:pPr>
        <w:pStyle w:val="DHHSbody"/>
      </w:pPr>
      <w:r>
        <w:t xml:space="preserve">As electric vehicles increase in popularity, issues of power availability may further disrupt charging. However, the parallel development of similar technologies including microgrids and battery storage will help mitigate these risks in the future. Conversely, Australia has an increasing reliance on foreign liquid fuel imports. </w:t>
      </w:r>
      <w:r w:rsidR="00FD3B39">
        <w:t>E</w:t>
      </w:r>
      <w:r>
        <w:t>lectric vehicles would help mitigate the risk of service disruption</w:t>
      </w:r>
      <w:r w:rsidR="00FD3B39">
        <w:t xml:space="preserve"> by introducing a diverse fuel mix for operational fleets</w:t>
      </w:r>
      <w:r>
        <w:t>.</w:t>
      </w:r>
    </w:p>
    <w:p w14:paraId="7635DA8E" w14:textId="12E62045" w:rsidR="008C5BC2" w:rsidRDefault="008C5BC2" w:rsidP="008C5BC2">
      <w:pPr>
        <w:pStyle w:val="DHHSbody"/>
      </w:pPr>
      <w:r>
        <w:t>This fact</w:t>
      </w:r>
      <w:r w:rsidR="00FD3B39">
        <w:t xml:space="preserve"> </w:t>
      </w:r>
      <w:r>
        <w:t xml:space="preserve">sheet provides guidance on the </w:t>
      </w:r>
      <w:proofErr w:type="gramStart"/>
      <w:r>
        <w:t>issues</w:t>
      </w:r>
      <w:proofErr w:type="gramEnd"/>
      <w:r>
        <w:t xml:space="preserve"> health services should consider when planning for electric vehicles, including vehicle models and availability, vehicle use (trip types), driver training and behaviour and charging infrastructure.</w:t>
      </w:r>
    </w:p>
    <w:p w14:paraId="0B0E755F" w14:textId="77777777" w:rsidR="008C5BC2" w:rsidRPr="00B57329" w:rsidRDefault="008C5BC2" w:rsidP="008C5BC2">
      <w:pPr>
        <w:pStyle w:val="Heading1"/>
      </w:pPr>
      <w:bookmarkStart w:id="1" w:name="_Toc11750547"/>
      <w:bookmarkStart w:id="2" w:name="_Toc19629557"/>
      <w:r>
        <w:t>Vehicle models and availability</w:t>
      </w:r>
      <w:bookmarkEnd w:id="1"/>
      <w:bookmarkEnd w:id="2"/>
    </w:p>
    <w:p w14:paraId="44B973AF" w14:textId="514E08A4" w:rsidR="008C5BC2" w:rsidRDefault="008C5BC2" w:rsidP="008C5BC2">
      <w:pPr>
        <w:pStyle w:val="DHHSbody"/>
      </w:pPr>
      <w:r>
        <w:t>Electric vehicle selection should consider both upfront and operational costs as well as characteristics of vehicle use including trip types, frequency of use and range requirements. The market should be reviewed annually to remain up</w:t>
      </w:r>
      <w:r w:rsidR="00FD3B39">
        <w:t xml:space="preserve"> </w:t>
      </w:r>
      <w:r>
        <w:t>to</w:t>
      </w:r>
      <w:r w:rsidR="00FD3B39">
        <w:t xml:space="preserve"> </w:t>
      </w:r>
      <w:r>
        <w:t>date on new vehicles available and new policies applicable to electric vehicles. This is particularly relevant as of 2019</w:t>
      </w:r>
      <w:r w:rsidR="00FD3B39">
        <w:t>,</w:t>
      </w:r>
      <w:r>
        <w:t xml:space="preserve"> and new policies may come into effect a</w:t>
      </w:r>
      <w:r w:rsidR="00FD3B39">
        <w:t>s</w:t>
      </w:r>
      <w:r>
        <w:t xml:space="preserve"> lower cost vehicles enter the Australian market.</w:t>
      </w:r>
    </w:p>
    <w:p w14:paraId="1997E6EE" w14:textId="70ADD46D" w:rsidR="008C5BC2" w:rsidRPr="00DD1130" w:rsidRDefault="008C5BC2" w:rsidP="008C5BC2">
      <w:pPr>
        <w:pStyle w:val="DHHSbody"/>
        <w:rPr>
          <w:lang w:val="fr-FR"/>
        </w:rPr>
      </w:pPr>
      <w:r>
        <w:t>Table 1 summarises some of the lowest-cost vehicles available or planned for release in the Australian market as of April 2019. Many of the models listed have limited availability in Australia at present due to a lack of government incentives but indicate the types of electric vehicles that will be available in Australia.</w:t>
      </w:r>
    </w:p>
    <w:p w14:paraId="39BDBED9" w14:textId="4A3BFF1C" w:rsidR="009F4D39" w:rsidRDefault="009F4D39" w:rsidP="009F4D39">
      <w:pPr>
        <w:pStyle w:val="DHHSbodyaftertablefigure"/>
      </w:pPr>
      <w:r>
        <w:t>A</w:t>
      </w:r>
      <w:r w:rsidRPr="00355181">
        <w:t>nnual CO</w:t>
      </w:r>
      <w:r w:rsidRPr="001C48D4">
        <w:rPr>
          <w:vertAlign w:val="subscript"/>
        </w:rPr>
        <w:t>2</w:t>
      </w:r>
      <w:r w:rsidRPr="00355181">
        <w:t>-e emissions for internal combustion engine vehicles are approximately 15</w:t>
      </w:r>
      <w:r>
        <w:t xml:space="preserve"> per cent</w:t>
      </w:r>
      <w:r w:rsidRPr="00355181">
        <w:t xml:space="preserve"> lower than that of </w:t>
      </w:r>
      <w:r>
        <w:t>electric vehicle</w:t>
      </w:r>
      <w:r w:rsidRPr="00355181">
        <w:t>s if they are charged using the Victorian electricity grid.</w:t>
      </w:r>
      <w:r>
        <w:t xml:space="preserve"> </w:t>
      </w:r>
      <w:r w:rsidRPr="00355181">
        <w:t xml:space="preserve">As the Victorian electricity grid decarbonises in the future, electric vehicles will have lower emissions than petrol vehicles. </w:t>
      </w:r>
      <w:bookmarkStart w:id="3" w:name="_GoBack"/>
      <w:bookmarkEnd w:id="3"/>
      <w:r w:rsidRPr="00355181">
        <w:t>If the grid decarbonises by 25</w:t>
      </w:r>
      <w:r>
        <w:t xml:space="preserve"> per </w:t>
      </w:r>
      <w:r>
        <w:lastRenderedPageBreak/>
        <w:t>cent</w:t>
      </w:r>
      <w:r w:rsidRPr="00355181">
        <w:t xml:space="preserve">, </w:t>
      </w:r>
      <w:r>
        <w:t>electric vehicle</w:t>
      </w:r>
      <w:r w:rsidRPr="00355181">
        <w:t>s charged using the grid will have lower emissions by around 12</w:t>
      </w:r>
      <w:r>
        <w:t xml:space="preserve"> per cent</w:t>
      </w:r>
      <w:r w:rsidRPr="00355181">
        <w:t>.</w:t>
      </w:r>
      <w:r>
        <w:t xml:space="preserve"> Utilising renewable electricity to charge electric vehicles would make them carbon neutral.</w:t>
      </w:r>
    </w:p>
    <w:p w14:paraId="7382F094" w14:textId="77777777" w:rsidR="008C5BC2" w:rsidRDefault="008C5BC2" w:rsidP="008C5BC2">
      <w:pPr>
        <w:pStyle w:val="DHHStablecaption"/>
      </w:pPr>
      <w:r>
        <w:t>Table 1: Suitable electric vehicles in the marketplace (April 2019)</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735"/>
        <w:gridCol w:w="1392"/>
        <w:gridCol w:w="1710"/>
        <w:gridCol w:w="1530"/>
        <w:gridCol w:w="2197"/>
        <w:gridCol w:w="1359"/>
      </w:tblGrid>
      <w:tr w:rsidR="00027591" w14:paraId="41ADC565" w14:textId="77777777" w:rsidTr="009A7E09">
        <w:trPr>
          <w:tblHeader/>
        </w:trPr>
        <w:tc>
          <w:tcPr>
            <w:tcW w:w="1735" w:type="dxa"/>
            <w:shd w:val="clear" w:color="auto" w:fill="auto"/>
          </w:tcPr>
          <w:p w14:paraId="01545FD8" w14:textId="77777777" w:rsidR="008C5BC2" w:rsidRPr="00CB3285" w:rsidRDefault="008C5BC2" w:rsidP="006231F7">
            <w:pPr>
              <w:pStyle w:val="DHHStablecolhead"/>
            </w:pPr>
            <w:r>
              <w:t>Manufacturer</w:t>
            </w:r>
          </w:p>
        </w:tc>
        <w:tc>
          <w:tcPr>
            <w:tcW w:w="1392" w:type="dxa"/>
            <w:shd w:val="clear" w:color="auto" w:fill="auto"/>
          </w:tcPr>
          <w:p w14:paraId="1CEDA189" w14:textId="77777777" w:rsidR="008C5BC2" w:rsidRPr="00CB3285" w:rsidRDefault="008C5BC2" w:rsidP="006231F7">
            <w:pPr>
              <w:pStyle w:val="DHHStablecolhead"/>
            </w:pPr>
            <w:r>
              <w:t>Model</w:t>
            </w:r>
          </w:p>
        </w:tc>
        <w:tc>
          <w:tcPr>
            <w:tcW w:w="1710" w:type="dxa"/>
            <w:shd w:val="clear" w:color="auto" w:fill="auto"/>
          </w:tcPr>
          <w:p w14:paraId="635AC3DC" w14:textId="77777777" w:rsidR="008C5BC2" w:rsidRPr="00B36948" w:rsidRDefault="008C5BC2" w:rsidP="006231F7">
            <w:pPr>
              <w:pStyle w:val="DHHStablecolhead"/>
            </w:pPr>
            <w:r>
              <w:t>Type</w:t>
            </w:r>
          </w:p>
        </w:tc>
        <w:tc>
          <w:tcPr>
            <w:tcW w:w="1530" w:type="dxa"/>
            <w:shd w:val="clear" w:color="auto" w:fill="auto"/>
          </w:tcPr>
          <w:p w14:paraId="2C18B204" w14:textId="57BB5CDF" w:rsidR="008C5BC2" w:rsidRPr="00B36948" w:rsidRDefault="008C5BC2" w:rsidP="006231F7">
            <w:pPr>
              <w:pStyle w:val="DHHStablecolhead"/>
            </w:pPr>
            <w:r>
              <w:t>Range (km)</w:t>
            </w:r>
          </w:p>
        </w:tc>
        <w:tc>
          <w:tcPr>
            <w:tcW w:w="2197" w:type="dxa"/>
            <w:shd w:val="clear" w:color="auto" w:fill="auto"/>
          </w:tcPr>
          <w:p w14:paraId="4A721294" w14:textId="77777777" w:rsidR="008C5BC2" w:rsidRPr="00B36948" w:rsidRDefault="008C5BC2" w:rsidP="006231F7">
            <w:pPr>
              <w:pStyle w:val="DHHStablecolhead"/>
            </w:pPr>
            <w:r>
              <w:t>Price (indicative)</w:t>
            </w:r>
          </w:p>
        </w:tc>
        <w:tc>
          <w:tcPr>
            <w:tcW w:w="1359" w:type="dxa"/>
            <w:shd w:val="clear" w:color="auto" w:fill="auto"/>
          </w:tcPr>
          <w:p w14:paraId="153F8A6A" w14:textId="77777777" w:rsidR="008C5BC2" w:rsidRPr="00B36948" w:rsidRDefault="008C5BC2" w:rsidP="006231F7">
            <w:pPr>
              <w:pStyle w:val="DHHStablecolhead"/>
            </w:pPr>
            <w:r>
              <w:t>Type</w:t>
            </w:r>
          </w:p>
        </w:tc>
      </w:tr>
      <w:tr w:rsidR="00027591" w14:paraId="32394284" w14:textId="77777777" w:rsidTr="009A7E09">
        <w:tc>
          <w:tcPr>
            <w:tcW w:w="1735" w:type="dxa"/>
            <w:shd w:val="clear" w:color="auto" w:fill="auto"/>
          </w:tcPr>
          <w:p w14:paraId="427A9912" w14:textId="77777777" w:rsidR="008C5BC2" w:rsidRDefault="008C5BC2" w:rsidP="006231F7">
            <w:pPr>
              <w:pStyle w:val="DHHStabletext"/>
            </w:pPr>
            <w:r>
              <w:t>Mitsubishi</w:t>
            </w:r>
          </w:p>
        </w:tc>
        <w:tc>
          <w:tcPr>
            <w:tcW w:w="1392" w:type="dxa"/>
            <w:shd w:val="clear" w:color="auto" w:fill="auto"/>
          </w:tcPr>
          <w:p w14:paraId="744F1829" w14:textId="77777777" w:rsidR="008C5BC2" w:rsidRDefault="008C5BC2" w:rsidP="006231F7">
            <w:pPr>
              <w:pStyle w:val="DHHStabletext"/>
            </w:pPr>
            <w:r>
              <w:t>Outlander</w:t>
            </w:r>
          </w:p>
        </w:tc>
        <w:tc>
          <w:tcPr>
            <w:tcW w:w="1710" w:type="dxa"/>
            <w:shd w:val="clear" w:color="auto" w:fill="auto"/>
          </w:tcPr>
          <w:p w14:paraId="195EC7D2" w14:textId="77777777" w:rsidR="008C5BC2" w:rsidRDefault="008C5BC2" w:rsidP="00027591">
            <w:pPr>
              <w:pStyle w:val="DHHStablebullet2"/>
              <w:numPr>
                <w:ilvl w:val="0"/>
                <w:numId w:val="0"/>
              </w:numPr>
            </w:pPr>
            <w:r>
              <w:t>SUV</w:t>
            </w:r>
          </w:p>
        </w:tc>
        <w:tc>
          <w:tcPr>
            <w:tcW w:w="1530" w:type="dxa"/>
            <w:shd w:val="clear" w:color="auto" w:fill="auto"/>
          </w:tcPr>
          <w:p w14:paraId="64247E8E" w14:textId="77777777" w:rsidR="008C5BC2" w:rsidRDefault="008C5BC2" w:rsidP="00027591">
            <w:pPr>
              <w:pStyle w:val="DHHStablebullet2"/>
              <w:numPr>
                <w:ilvl w:val="0"/>
                <w:numId w:val="0"/>
              </w:numPr>
            </w:pPr>
            <w:r>
              <w:t>50 (EV alone)</w:t>
            </w:r>
          </w:p>
        </w:tc>
        <w:tc>
          <w:tcPr>
            <w:tcW w:w="2197" w:type="dxa"/>
            <w:shd w:val="clear" w:color="auto" w:fill="auto"/>
          </w:tcPr>
          <w:p w14:paraId="6718016C" w14:textId="77777777" w:rsidR="008C5BC2" w:rsidRDefault="008C5BC2" w:rsidP="00027591">
            <w:pPr>
              <w:pStyle w:val="DHHStablebullet1"/>
              <w:numPr>
                <w:ilvl w:val="0"/>
                <w:numId w:val="0"/>
              </w:numPr>
              <w:ind w:left="227" w:hanging="227"/>
            </w:pPr>
            <w:r>
              <w:t>$35,000</w:t>
            </w:r>
          </w:p>
        </w:tc>
        <w:tc>
          <w:tcPr>
            <w:tcW w:w="1359" w:type="dxa"/>
            <w:shd w:val="clear" w:color="auto" w:fill="auto"/>
          </w:tcPr>
          <w:p w14:paraId="1EFB8565" w14:textId="77777777" w:rsidR="008C5BC2" w:rsidRDefault="008C5BC2" w:rsidP="00027591">
            <w:pPr>
              <w:pStyle w:val="DHHStablebullet1"/>
              <w:numPr>
                <w:ilvl w:val="0"/>
                <w:numId w:val="0"/>
              </w:numPr>
              <w:ind w:left="227" w:hanging="227"/>
            </w:pPr>
            <w:r>
              <w:t>PHEV</w:t>
            </w:r>
          </w:p>
        </w:tc>
      </w:tr>
      <w:tr w:rsidR="00027591" w14:paraId="199035DE" w14:textId="77777777" w:rsidTr="009A7E09">
        <w:tc>
          <w:tcPr>
            <w:tcW w:w="1735" w:type="dxa"/>
            <w:shd w:val="clear" w:color="auto" w:fill="auto"/>
          </w:tcPr>
          <w:p w14:paraId="59B99F16" w14:textId="77777777" w:rsidR="008C5BC2" w:rsidRDefault="008C5BC2" w:rsidP="006231F7">
            <w:pPr>
              <w:pStyle w:val="DHHStabletext"/>
            </w:pPr>
            <w:r>
              <w:t>General Motors</w:t>
            </w:r>
          </w:p>
        </w:tc>
        <w:tc>
          <w:tcPr>
            <w:tcW w:w="1392" w:type="dxa"/>
            <w:shd w:val="clear" w:color="auto" w:fill="auto"/>
          </w:tcPr>
          <w:p w14:paraId="411906BA" w14:textId="77777777" w:rsidR="008C5BC2" w:rsidRDefault="008C5BC2" w:rsidP="006231F7">
            <w:pPr>
              <w:pStyle w:val="DHHStabletext"/>
            </w:pPr>
            <w:r>
              <w:t>Chevy Bolt</w:t>
            </w:r>
          </w:p>
        </w:tc>
        <w:tc>
          <w:tcPr>
            <w:tcW w:w="1710" w:type="dxa"/>
            <w:shd w:val="clear" w:color="auto" w:fill="auto"/>
          </w:tcPr>
          <w:p w14:paraId="7823F172" w14:textId="77777777" w:rsidR="008C5BC2" w:rsidRDefault="008C5BC2" w:rsidP="00027591">
            <w:pPr>
              <w:pStyle w:val="DHHStablebullet1"/>
              <w:numPr>
                <w:ilvl w:val="0"/>
                <w:numId w:val="0"/>
              </w:numPr>
              <w:ind w:left="227" w:hanging="227"/>
            </w:pPr>
            <w:r>
              <w:t>Hatchback</w:t>
            </w:r>
          </w:p>
        </w:tc>
        <w:tc>
          <w:tcPr>
            <w:tcW w:w="1530" w:type="dxa"/>
            <w:shd w:val="clear" w:color="auto" w:fill="auto"/>
          </w:tcPr>
          <w:p w14:paraId="15F2A77D" w14:textId="77777777" w:rsidR="008C5BC2" w:rsidRDefault="008C5BC2" w:rsidP="00027591">
            <w:pPr>
              <w:pStyle w:val="DHHStablebullet1"/>
              <w:numPr>
                <w:ilvl w:val="0"/>
                <w:numId w:val="0"/>
              </w:numPr>
              <w:ind w:left="227" w:hanging="227"/>
            </w:pPr>
            <w:r>
              <w:t>383</w:t>
            </w:r>
          </w:p>
        </w:tc>
        <w:tc>
          <w:tcPr>
            <w:tcW w:w="2197" w:type="dxa"/>
            <w:shd w:val="clear" w:color="auto" w:fill="auto"/>
          </w:tcPr>
          <w:p w14:paraId="191030AB" w14:textId="77777777" w:rsidR="008C5BC2" w:rsidRDefault="008C5BC2" w:rsidP="00027591">
            <w:pPr>
              <w:pStyle w:val="DHHStablebullet1"/>
              <w:numPr>
                <w:ilvl w:val="0"/>
                <w:numId w:val="0"/>
              </w:numPr>
              <w:ind w:left="227" w:hanging="227"/>
            </w:pPr>
            <w:r>
              <w:t>$40,000</w:t>
            </w:r>
          </w:p>
        </w:tc>
        <w:tc>
          <w:tcPr>
            <w:tcW w:w="1359" w:type="dxa"/>
            <w:shd w:val="clear" w:color="auto" w:fill="auto"/>
          </w:tcPr>
          <w:p w14:paraId="1D27C3D3" w14:textId="77777777" w:rsidR="008C5BC2" w:rsidRDefault="008C5BC2" w:rsidP="00027591">
            <w:pPr>
              <w:pStyle w:val="DHHStablebullet1"/>
              <w:numPr>
                <w:ilvl w:val="0"/>
                <w:numId w:val="0"/>
              </w:numPr>
              <w:ind w:left="227" w:hanging="227"/>
            </w:pPr>
            <w:r>
              <w:t>BEV</w:t>
            </w:r>
          </w:p>
        </w:tc>
      </w:tr>
      <w:tr w:rsidR="00027591" w14:paraId="215D910B" w14:textId="77777777" w:rsidTr="009A7E09">
        <w:tc>
          <w:tcPr>
            <w:tcW w:w="1735" w:type="dxa"/>
            <w:shd w:val="clear" w:color="auto" w:fill="auto"/>
          </w:tcPr>
          <w:p w14:paraId="4C6F52AD" w14:textId="77777777" w:rsidR="008C5BC2" w:rsidRDefault="008C5BC2" w:rsidP="006231F7">
            <w:pPr>
              <w:pStyle w:val="DHHStabletext"/>
            </w:pPr>
            <w:r>
              <w:t>Hyundai</w:t>
            </w:r>
          </w:p>
        </w:tc>
        <w:tc>
          <w:tcPr>
            <w:tcW w:w="1392" w:type="dxa"/>
            <w:shd w:val="clear" w:color="auto" w:fill="auto"/>
          </w:tcPr>
          <w:p w14:paraId="65C38632" w14:textId="77777777" w:rsidR="008C5BC2" w:rsidRDefault="008C5BC2" w:rsidP="006231F7">
            <w:pPr>
              <w:pStyle w:val="DHHStabletext"/>
            </w:pPr>
            <w:r>
              <w:t>IONIQ</w:t>
            </w:r>
          </w:p>
        </w:tc>
        <w:tc>
          <w:tcPr>
            <w:tcW w:w="1710" w:type="dxa"/>
            <w:shd w:val="clear" w:color="auto" w:fill="auto"/>
          </w:tcPr>
          <w:p w14:paraId="190013B8" w14:textId="77777777" w:rsidR="008C5BC2" w:rsidRDefault="008C5BC2" w:rsidP="00027591">
            <w:pPr>
              <w:pStyle w:val="DHHStablebullet1"/>
              <w:numPr>
                <w:ilvl w:val="0"/>
                <w:numId w:val="0"/>
              </w:numPr>
              <w:ind w:left="227" w:hanging="227"/>
            </w:pPr>
            <w:r>
              <w:t>Small sedan</w:t>
            </w:r>
          </w:p>
        </w:tc>
        <w:tc>
          <w:tcPr>
            <w:tcW w:w="1530" w:type="dxa"/>
            <w:shd w:val="clear" w:color="auto" w:fill="auto"/>
          </w:tcPr>
          <w:p w14:paraId="33012E5F" w14:textId="77777777" w:rsidR="008C5BC2" w:rsidRDefault="008C5BC2" w:rsidP="00027591">
            <w:pPr>
              <w:pStyle w:val="DHHStablebullet1"/>
              <w:numPr>
                <w:ilvl w:val="0"/>
                <w:numId w:val="0"/>
              </w:numPr>
              <w:ind w:left="227" w:hanging="227"/>
            </w:pPr>
            <w:r>
              <w:t>200</w:t>
            </w:r>
          </w:p>
        </w:tc>
        <w:tc>
          <w:tcPr>
            <w:tcW w:w="2197" w:type="dxa"/>
            <w:shd w:val="clear" w:color="auto" w:fill="auto"/>
          </w:tcPr>
          <w:p w14:paraId="4F5CB2A6" w14:textId="77777777" w:rsidR="008C5BC2" w:rsidRDefault="008C5BC2" w:rsidP="00027591">
            <w:pPr>
              <w:pStyle w:val="DHHStablebullet1"/>
              <w:numPr>
                <w:ilvl w:val="0"/>
                <w:numId w:val="0"/>
              </w:numPr>
              <w:ind w:left="227" w:hanging="227"/>
            </w:pPr>
            <w:r>
              <w:t>$43,000</w:t>
            </w:r>
          </w:p>
        </w:tc>
        <w:tc>
          <w:tcPr>
            <w:tcW w:w="1359" w:type="dxa"/>
            <w:shd w:val="clear" w:color="auto" w:fill="auto"/>
          </w:tcPr>
          <w:p w14:paraId="323E76BA" w14:textId="77777777" w:rsidR="008C5BC2" w:rsidRDefault="008C5BC2" w:rsidP="00027591">
            <w:pPr>
              <w:pStyle w:val="DHHStablebullet1"/>
              <w:numPr>
                <w:ilvl w:val="0"/>
                <w:numId w:val="0"/>
              </w:numPr>
              <w:ind w:left="227" w:hanging="227"/>
            </w:pPr>
            <w:r>
              <w:t>PHEV / BEV</w:t>
            </w:r>
          </w:p>
        </w:tc>
      </w:tr>
      <w:tr w:rsidR="00027591" w14:paraId="11A2958F" w14:textId="77777777" w:rsidTr="009A7E09">
        <w:tc>
          <w:tcPr>
            <w:tcW w:w="1735" w:type="dxa"/>
            <w:shd w:val="clear" w:color="auto" w:fill="auto"/>
          </w:tcPr>
          <w:p w14:paraId="1D9213D0" w14:textId="77777777" w:rsidR="008C5BC2" w:rsidRDefault="008C5BC2" w:rsidP="006231F7">
            <w:pPr>
              <w:pStyle w:val="DHHStabletext"/>
            </w:pPr>
            <w:r>
              <w:t>Renault</w:t>
            </w:r>
          </w:p>
        </w:tc>
        <w:tc>
          <w:tcPr>
            <w:tcW w:w="1392" w:type="dxa"/>
            <w:shd w:val="clear" w:color="auto" w:fill="auto"/>
          </w:tcPr>
          <w:p w14:paraId="080ECA9D" w14:textId="77777777" w:rsidR="008C5BC2" w:rsidRDefault="008C5BC2" w:rsidP="006231F7">
            <w:pPr>
              <w:pStyle w:val="DHHStabletext"/>
            </w:pPr>
            <w:r>
              <w:t>Zoe</w:t>
            </w:r>
          </w:p>
        </w:tc>
        <w:tc>
          <w:tcPr>
            <w:tcW w:w="1710" w:type="dxa"/>
            <w:shd w:val="clear" w:color="auto" w:fill="auto"/>
          </w:tcPr>
          <w:p w14:paraId="3A7F976B" w14:textId="77777777" w:rsidR="008C5BC2" w:rsidRDefault="008C5BC2" w:rsidP="00027591">
            <w:pPr>
              <w:pStyle w:val="DHHStablebullet1"/>
              <w:numPr>
                <w:ilvl w:val="0"/>
                <w:numId w:val="0"/>
              </w:numPr>
              <w:ind w:left="227" w:hanging="227"/>
            </w:pPr>
            <w:r>
              <w:t>Small sedan</w:t>
            </w:r>
          </w:p>
        </w:tc>
        <w:tc>
          <w:tcPr>
            <w:tcW w:w="1530" w:type="dxa"/>
            <w:shd w:val="clear" w:color="auto" w:fill="auto"/>
          </w:tcPr>
          <w:p w14:paraId="4BE0A80E" w14:textId="77777777" w:rsidR="008C5BC2" w:rsidRDefault="008C5BC2" w:rsidP="00027591">
            <w:pPr>
              <w:pStyle w:val="DHHStablebullet1"/>
              <w:numPr>
                <w:ilvl w:val="0"/>
                <w:numId w:val="0"/>
              </w:numPr>
              <w:ind w:left="227" w:hanging="227"/>
            </w:pPr>
            <w:r>
              <w:t>300</w:t>
            </w:r>
          </w:p>
        </w:tc>
        <w:tc>
          <w:tcPr>
            <w:tcW w:w="2197" w:type="dxa"/>
            <w:shd w:val="clear" w:color="auto" w:fill="auto"/>
          </w:tcPr>
          <w:p w14:paraId="049C062B" w14:textId="77777777" w:rsidR="008C5BC2" w:rsidRDefault="008C5BC2" w:rsidP="00027591">
            <w:pPr>
              <w:pStyle w:val="DHHStablebullet1"/>
              <w:numPr>
                <w:ilvl w:val="0"/>
                <w:numId w:val="0"/>
              </w:numPr>
              <w:ind w:left="227" w:hanging="227"/>
            </w:pPr>
            <w:r>
              <w:t>$51,000</w:t>
            </w:r>
          </w:p>
        </w:tc>
        <w:tc>
          <w:tcPr>
            <w:tcW w:w="1359" w:type="dxa"/>
            <w:shd w:val="clear" w:color="auto" w:fill="auto"/>
          </w:tcPr>
          <w:p w14:paraId="70A5545E" w14:textId="77777777" w:rsidR="008C5BC2" w:rsidRDefault="008C5BC2" w:rsidP="00027591">
            <w:pPr>
              <w:pStyle w:val="DHHStablebullet1"/>
              <w:numPr>
                <w:ilvl w:val="0"/>
                <w:numId w:val="0"/>
              </w:numPr>
              <w:ind w:left="227" w:hanging="227"/>
            </w:pPr>
            <w:r>
              <w:t>BEV</w:t>
            </w:r>
          </w:p>
        </w:tc>
      </w:tr>
      <w:tr w:rsidR="00027591" w14:paraId="481221DD" w14:textId="77777777" w:rsidTr="009A7E09">
        <w:tc>
          <w:tcPr>
            <w:tcW w:w="1735" w:type="dxa"/>
            <w:shd w:val="clear" w:color="auto" w:fill="auto"/>
          </w:tcPr>
          <w:p w14:paraId="255048B9" w14:textId="77777777" w:rsidR="008C5BC2" w:rsidRDefault="008C5BC2" w:rsidP="006231F7">
            <w:pPr>
              <w:pStyle w:val="DHHStabletext"/>
            </w:pPr>
            <w:r>
              <w:t>Nissan</w:t>
            </w:r>
          </w:p>
        </w:tc>
        <w:tc>
          <w:tcPr>
            <w:tcW w:w="1392" w:type="dxa"/>
            <w:shd w:val="clear" w:color="auto" w:fill="auto"/>
          </w:tcPr>
          <w:p w14:paraId="14029669" w14:textId="77777777" w:rsidR="008C5BC2" w:rsidRDefault="008C5BC2" w:rsidP="006231F7">
            <w:pPr>
              <w:pStyle w:val="DHHStabletext"/>
            </w:pPr>
            <w:r>
              <w:t>Leaf</w:t>
            </w:r>
          </w:p>
        </w:tc>
        <w:tc>
          <w:tcPr>
            <w:tcW w:w="1710" w:type="dxa"/>
            <w:shd w:val="clear" w:color="auto" w:fill="auto"/>
          </w:tcPr>
          <w:p w14:paraId="4250EC46" w14:textId="77777777" w:rsidR="008C5BC2" w:rsidRDefault="008C5BC2" w:rsidP="00027591">
            <w:pPr>
              <w:pStyle w:val="DHHStablebullet1"/>
              <w:numPr>
                <w:ilvl w:val="0"/>
                <w:numId w:val="0"/>
              </w:numPr>
              <w:ind w:left="227" w:hanging="227"/>
            </w:pPr>
            <w:r>
              <w:t>Small sedan</w:t>
            </w:r>
          </w:p>
        </w:tc>
        <w:tc>
          <w:tcPr>
            <w:tcW w:w="1530" w:type="dxa"/>
            <w:shd w:val="clear" w:color="auto" w:fill="auto"/>
          </w:tcPr>
          <w:p w14:paraId="358500C3" w14:textId="77777777" w:rsidR="008C5BC2" w:rsidRDefault="008C5BC2" w:rsidP="00027591">
            <w:pPr>
              <w:pStyle w:val="DHHStablebullet1"/>
              <w:numPr>
                <w:ilvl w:val="0"/>
                <w:numId w:val="0"/>
              </w:numPr>
              <w:ind w:left="227" w:hanging="227"/>
            </w:pPr>
            <w:r>
              <w:t>240</w:t>
            </w:r>
          </w:p>
        </w:tc>
        <w:tc>
          <w:tcPr>
            <w:tcW w:w="2197" w:type="dxa"/>
            <w:shd w:val="clear" w:color="auto" w:fill="auto"/>
          </w:tcPr>
          <w:p w14:paraId="4A7B0FAE" w14:textId="77777777" w:rsidR="008C5BC2" w:rsidRDefault="008C5BC2" w:rsidP="00027591">
            <w:pPr>
              <w:pStyle w:val="DHHStablebullet1"/>
              <w:numPr>
                <w:ilvl w:val="0"/>
                <w:numId w:val="0"/>
              </w:numPr>
              <w:ind w:left="227" w:hanging="227"/>
            </w:pPr>
            <w:r>
              <w:t>$55,000</w:t>
            </w:r>
          </w:p>
        </w:tc>
        <w:tc>
          <w:tcPr>
            <w:tcW w:w="1359" w:type="dxa"/>
            <w:shd w:val="clear" w:color="auto" w:fill="auto"/>
          </w:tcPr>
          <w:p w14:paraId="6E15740E" w14:textId="77777777" w:rsidR="008C5BC2" w:rsidRDefault="008C5BC2" w:rsidP="00027591">
            <w:pPr>
              <w:pStyle w:val="DHHStablebullet1"/>
              <w:numPr>
                <w:ilvl w:val="0"/>
                <w:numId w:val="0"/>
              </w:numPr>
              <w:ind w:left="227" w:hanging="227"/>
            </w:pPr>
            <w:r>
              <w:t>BEV</w:t>
            </w:r>
          </w:p>
        </w:tc>
      </w:tr>
      <w:tr w:rsidR="00027591" w14:paraId="0E0490C7" w14:textId="77777777" w:rsidTr="009A7E09">
        <w:tc>
          <w:tcPr>
            <w:tcW w:w="1735" w:type="dxa"/>
            <w:shd w:val="clear" w:color="auto" w:fill="auto"/>
          </w:tcPr>
          <w:p w14:paraId="7AAA00F6" w14:textId="77777777" w:rsidR="008C5BC2" w:rsidRDefault="008C5BC2" w:rsidP="006231F7">
            <w:pPr>
              <w:pStyle w:val="DHHStabletext"/>
            </w:pPr>
            <w:r>
              <w:t>Tesla</w:t>
            </w:r>
          </w:p>
        </w:tc>
        <w:tc>
          <w:tcPr>
            <w:tcW w:w="1392" w:type="dxa"/>
            <w:shd w:val="clear" w:color="auto" w:fill="auto"/>
          </w:tcPr>
          <w:p w14:paraId="66F3C9DC" w14:textId="77777777" w:rsidR="008C5BC2" w:rsidRDefault="008C5BC2" w:rsidP="006231F7">
            <w:pPr>
              <w:pStyle w:val="DHHStabletext"/>
            </w:pPr>
            <w:r>
              <w:t>Model 3</w:t>
            </w:r>
          </w:p>
        </w:tc>
        <w:tc>
          <w:tcPr>
            <w:tcW w:w="1710" w:type="dxa"/>
            <w:shd w:val="clear" w:color="auto" w:fill="auto"/>
          </w:tcPr>
          <w:p w14:paraId="3193FDBA" w14:textId="77777777" w:rsidR="008C5BC2" w:rsidRDefault="008C5BC2" w:rsidP="00027591">
            <w:pPr>
              <w:pStyle w:val="DHHStablebullet1"/>
              <w:numPr>
                <w:ilvl w:val="0"/>
                <w:numId w:val="0"/>
              </w:numPr>
              <w:ind w:left="227" w:hanging="227"/>
            </w:pPr>
            <w:r>
              <w:t>Medium sedan</w:t>
            </w:r>
          </w:p>
        </w:tc>
        <w:tc>
          <w:tcPr>
            <w:tcW w:w="1530" w:type="dxa"/>
            <w:shd w:val="clear" w:color="auto" w:fill="auto"/>
          </w:tcPr>
          <w:p w14:paraId="15798544" w14:textId="77777777" w:rsidR="008C5BC2" w:rsidRDefault="008C5BC2" w:rsidP="00027591">
            <w:pPr>
              <w:pStyle w:val="DHHStablebullet1"/>
              <w:numPr>
                <w:ilvl w:val="0"/>
                <w:numId w:val="0"/>
              </w:numPr>
              <w:ind w:left="227" w:hanging="227"/>
            </w:pPr>
            <w:r>
              <w:t>350</w:t>
            </w:r>
          </w:p>
        </w:tc>
        <w:tc>
          <w:tcPr>
            <w:tcW w:w="2197" w:type="dxa"/>
            <w:shd w:val="clear" w:color="auto" w:fill="auto"/>
          </w:tcPr>
          <w:p w14:paraId="71FA3A1F" w14:textId="77777777" w:rsidR="008C5BC2" w:rsidRDefault="008C5BC2" w:rsidP="00027591">
            <w:pPr>
              <w:pStyle w:val="DHHStablebullet1"/>
              <w:numPr>
                <w:ilvl w:val="0"/>
                <w:numId w:val="0"/>
              </w:numPr>
              <w:ind w:left="227" w:hanging="227"/>
            </w:pPr>
            <w:r>
              <w:t>$60,000</w:t>
            </w:r>
          </w:p>
        </w:tc>
        <w:tc>
          <w:tcPr>
            <w:tcW w:w="1359" w:type="dxa"/>
            <w:shd w:val="clear" w:color="auto" w:fill="auto"/>
          </w:tcPr>
          <w:p w14:paraId="2794AED9" w14:textId="77777777" w:rsidR="008C5BC2" w:rsidRDefault="008C5BC2" w:rsidP="00027591">
            <w:pPr>
              <w:pStyle w:val="DHHStablebullet1"/>
              <w:numPr>
                <w:ilvl w:val="0"/>
                <w:numId w:val="0"/>
              </w:numPr>
              <w:ind w:left="227" w:hanging="227"/>
            </w:pPr>
            <w:r>
              <w:t>BEV</w:t>
            </w:r>
          </w:p>
        </w:tc>
      </w:tr>
      <w:tr w:rsidR="00027591" w14:paraId="0D025384" w14:textId="77777777" w:rsidTr="009A7E09">
        <w:tc>
          <w:tcPr>
            <w:tcW w:w="1735" w:type="dxa"/>
            <w:shd w:val="clear" w:color="auto" w:fill="auto"/>
          </w:tcPr>
          <w:p w14:paraId="6032E2E1" w14:textId="77777777" w:rsidR="008C5BC2" w:rsidRDefault="008C5BC2" w:rsidP="006231F7">
            <w:pPr>
              <w:pStyle w:val="DHHStabletext"/>
            </w:pPr>
            <w:r>
              <w:t>Hyundai</w:t>
            </w:r>
          </w:p>
        </w:tc>
        <w:tc>
          <w:tcPr>
            <w:tcW w:w="1392" w:type="dxa"/>
            <w:shd w:val="clear" w:color="auto" w:fill="auto"/>
          </w:tcPr>
          <w:p w14:paraId="1B36C19C" w14:textId="77777777" w:rsidR="008C5BC2" w:rsidRDefault="008C5BC2" w:rsidP="006231F7">
            <w:pPr>
              <w:pStyle w:val="DHHStabletext"/>
            </w:pPr>
            <w:r>
              <w:t>Kona</w:t>
            </w:r>
          </w:p>
        </w:tc>
        <w:tc>
          <w:tcPr>
            <w:tcW w:w="1710" w:type="dxa"/>
            <w:shd w:val="clear" w:color="auto" w:fill="auto"/>
          </w:tcPr>
          <w:p w14:paraId="1EAE386B" w14:textId="77777777" w:rsidR="008C5BC2" w:rsidRDefault="008C5BC2" w:rsidP="00027591">
            <w:pPr>
              <w:pStyle w:val="DHHStablebullet1"/>
              <w:numPr>
                <w:ilvl w:val="0"/>
                <w:numId w:val="0"/>
              </w:numPr>
              <w:ind w:left="227" w:hanging="227"/>
            </w:pPr>
            <w:r>
              <w:t>Small SUV</w:t>
            </w:r>
          </w:p>
        </w:tc>
        <w:tc>
          <w:tcPr>
            <w:tcW w:w="1530" w:type="dxa"/>
            <w:shd w:val="clear" w:color="auto" w:fill="auto"/>
          </w:tcPr>
          <w:p w14:paraId="1CB723EF" w14:textId="49E6B9D8" w:rsidR="008C5BC2" w:rsidRDefault="008C5BC2" w:rsidP="00027591">
            <w:pPr>
              <w:pStyle w:val="DHHStablebullet1"/>
              <w:numPr>
                <w:ilvl w:val="0"/>
                <w:numId w:val="0"/>
              </w:numPr>
              <w:ind w:left="227" w:hanging="227"/>
            </w:pPr>
            <w:r>
              <w:t>312</w:t>
            </w:r>
            <w:r w:rsidR="0061361F">
              <w:t>–</w:t>
            </w:r>
            <w:r>
              <w:t>480</w:t>
            </w:r>
          </w:p>
        </w:tc>
        <w:tc>
          <w:tcPr>
            <w:tcW w:w="2197" w:type="dxa"/>
            <w:shd w:val="clear" w:color="auto" w:fill="auto"/>
          </w:tcPr>
          <w:p w14:paraId="38EA511B" w14:textId="33745D59" w:rsidR="008C5BC2" w:rsidRDefault="008C5BC2" w:rsidP="00027591">
            <w:pPr>
              <w:pStyle w:val="DHHStablebullet1"/>
              <w:numPr>
                <w:ilvl w:val="0"/>
                <w:numId w:val="0"/>
              </w:numPr>
              <w:ind w:left="227" w:hanging="227"/>
            </w:pPr>
            <w:r>
              <w:t>$60</w:t>
            </w:r>
            <w:r w:rsidR="009A7E09">
              <w:t>,000</w:t>
            </w:r>
            <w:r w:rsidR="0061361F">
              <w:t>–</w:t>
            </w:r>
            <w:r>
              <w:t>65,000</w:t>
            </w:r>
          </w:p>
        </w:tc>
        <w:tc>
          <w:tcPr>
            <w:tcW w:w="1359" w:type="dxa"/>
            <w:shd w:val="clear" w:color="auto" w:fill="auto"/>
          </w:tcPr>
          <w:p w14:paraId="10364504" w14:textId="77777777" w:rsidR="008C5BC2" w:rsidRDefault="008C5BC2" w:rsidP="00027591">
            <w:pPr>
              <w:pStyle w:val="DHHStablebullet1"/>
              <w:numPr>
                <w:ilvl w:val="0"/>
                <w:numId w:val="0"/>
              </w:numPr>
              <w:ind w:left="227" w:hanging="227"/>
            </w:pPr>
            <w:r>
              <w:t>BEV</w:t>
            </w:r>
          </w:p>
        </w:tc>
      </w:tr>
      <w:tr w:rsidR="00027591" w14:paraId="799B6F9D" w14:textId="77777777" w:rsidTr="009A7E09">
        <w:tc>
          <w:tcPr>
            <w:tcW w:w="1735" w:type="dxa"/>
            <w:shd w:val="clear" w:color="auto" w:fill="auto"/>
          </w:tcPr>
          <w:p w14:paraId="2D4AB71C" w14:textId="77777777" w:rsidR="008C5BC2" w:rsidRDefault="008C5BC2" w:rsidP="006231F7">
            <w:pPr>
              <w:pStyle w:val="DHHStabletext"/>
            </w:pPr>
            <w:r>
              <w:t>Kia</w:t>
            </w:r>
          </w:p>
        </w:tc>
        <w:tc>
          <w:tcPr>
            <w:tcW w:w="1392" w:type="dxa"/>
            <w:shd w:val="clear" w:color="auto" w:fill="auto"/>
          </w:tcPr>
          <w:p w14:paraId="265F83F1" w14:textId="77777777" w:rsidR="008C5BC2" w:rsidRDefault="008C5BC2" w:rsidP="006231F7">
            <w:pPr>
              <w:pStyle w:val="DHHStabletext"/>
            </w:pPr>
            <w:r>
              <w:t>Niro electric</w:t>
            </w:r>
          </w:p>
        </w:tc>
        <w:tc>
          <w:tcPr>
            <w:tcW w:w="1710" w:type="dxa"/>
            <w:shd w:val="clear" w:color="auto" w:fill="auto"/>
          </w:tcPr>
          <w:p w14:paraId="39557511" w14:textId="77777777" w:rsidR="008C5BC2" w:rsidRDefault="008C5BC2" w:rsidP="00027591">
            <w:pPr>
              <w:pStyle w:val="DHHStablebullet1"/>
              <w:numPr>
                <w:ilvl w:val="0"/>
                <w:numId w:val="0"/>
              </w:numPr>
              <w:ind w:left="227" w:hanging="227"/>
            </w:pPr>
            <w:r>
              <w:t>Compact utility</w:t>
            </w:r>
          </w:p>
        </w:tc>
        <w:tc>
          <w:tcPr>
            <w:tcW w:w="1530" w:type="dxa"/>
            <w:shd w:val="clear" w:color="auto" w:fill="auto"/>
          </w:tcPr>
          <w:p w14:paraId="1E78CFB7" w14:textId="122DFCEC" w:rsidR="008C5BC2" w:rsidRDefault="008C5BC2" w:rsidP="00027591">
            <w:pPr>
              <w:pStyle w:val="DHHStablebullet1"/>
              <w:numPr>
                <w:ilvl w:val="0"/>
                <w:numId w:val="0"/>
              </w:numPr>
              <w:ind w:left="227" w:hanging="227"/>
            </w:pPr>
            <w:r>
              <w:t>310</w:t>
            </w:r>
            <w:r w:rsidR="0061361F">
              <w:t>–</w:t>
            </w:r>
            <w:r>
              <w:t>480</w:t>
            </w:r>
          </w:p>
        </w:tc>
        <w:tc>
          <w:tcPr>
            <w:tcW w:w="2197" w:type="dxa"/>
            <w:shd w:val="clear" w:color="auto" w:fill="auto"/>
          </w:tcPr>
          <w:p w14:paraId="1BC55E59" w14:textId="094C9832" w:rsidR="008C5BC2" w:rsidRDefault="008C5BC2" w:rsidP="00027591">
            <w:pPr>
              <w:pStyle w:val="DHHStablebullet1"/>
              <w:numPr>
                <w:ilvl w:val="0"/>
                <w:numId w:val="0"/>
              </w:numPr>
              <w:ind w:left="227" w:hanging="227"/>
            </w:pPr>
            <w:r>
              <w:t>$60</w:t>
            </w:r>
            <w:r w:rsidR="009A7E09">
              <w:t>,000</w:t>
            </w:r>
            <w:r w:rsidR="0061361F">
              <w:t>–</w:t>
            </w:r>
            <w:r>
              <w:t>65,000</w:t>
            </w:r>
          </w:p>
        </w:tc>
        <w:tc>
          <w:tcPr>
            <w:tcW w:w="1359" w:type="dxa"/>
            <w:shd w:val="clear" w:color="auto" w:fill="auto"/>
          </w:tcPr>
          <w:p w14:paraId="7DC13F04" w14:textId="77777777" w:rsidR="008C5BC2" w:rsidRDefault="008C5BC2" w:rsidP="00027591">
            <w:pPr>
              <w:pStyle w:val="DHHStablebullet1"/>
              <w:numPr>
                <w:ilvl w:val="0"/>
                <w:numId w:val="0"/>
              </w:numPr>
              <w:ind w:left="227" w:hanging="227"/>
            </w:pPr>
            <w:r>
              <w:t>BEV</w:t>
            </w:r>
          </w:p>
        </w:tc>
      </w:tr>
    </w:tbl>
    <w:p w14:paraId="5B15E148" w14:textId="20C90410" w:rsidR="008C5BC2" w:rsidRPr="00A330BB" w:rsidRDefault="009A7E09" w:rsidP="008C5BC2">
      <w:pPr>
        <w:pStyle w:val="DHHStablefigurenote"/>
      </w:pPr>
      <w:r>
        <w:t>BEV</w:t>
      </w:r>
      <w:r w:rsidR="001A1094">
        <w:t xml:space="preserve"> =</w:t>
      </w:r>
      <w:r>
        <w:t xml:space="preserve"> battery electric vehicle; </w:t>
      </w:r>
      <w:r w:rsidR="008C5BC2">
        <w:t>PHEV</w:t>
      </w:r>
      <w:r w:rsidR="001A1094">
        <w:t xml:space="preserve"> =</w:t>
      </w:r>
      <w:r w:rsidR="008C5BC2">
        <w:t xml:space="preserve"> </w:t>
      </w:r>
      <w:r>
        <w:t>p</w:t>
      </w:r>
      <w:r w:rsidR="008C5BC2">
        <w:t>lug-in hybrid electric vehicle (with combustion engine)</w:t>
      </w:r>
      <w:r w:rsidR="001A1094">
        <w:t>; SUV = sports utility vehicle</w:t>
      </w:r>
      <w:r w:rsidR="008C5BC2">
        <w:t xml:space="preserve"> </w:t>
      </w:r>
    </w:p>
    <w:p w14:paraId="7E7CB15C" w14:textId="77777777" w:rsidR="008C5BC2" w:rsidRDefault="008C5BC2" w:rsidP="008C5BC2">
      <w:pPr>
        <w:pStyle w:val="Heading1"/>
      </w:pPr>
      <w:bookmarkStart w:id="4" w:name="_Toc11750548"/>
      <w:bookmarkStart w:id="5" w:name="_Toc19629558"/>
      <w:r>
        <w:t>Charging infrastructure</w:t>
      </w:r>
      <w:bookmarkEnd w:id="4"/>
      <w:bookmarkEnd w:id="5"/>
    </w:p>
    <w:p w14:paraId="10AD03BF" w14:textId="5DA27AFC" w:rsidR="008C5BC2" w:rsidRPr="003B6901" w:rsidRDefault="008C5BC2" w:rsidP="003B6901">
      <w:pPr>
        <w:pStyle w:val="DHHSbody"/>
      </w:pPr>
      <w:r w:rsidRPr="00F42E0C">
        <w:t xml:space="preserve">The process of selecting a suitable location for an </w:t>
      </w:r>
      <w:r w:rsidR="001A1094">
        <w:t>electric vehicle</w:t>
      </w:r>
      <w:r w:rsidRPr="00F42E0C">
        <w:t xml:space="preserve"> charging station is based on a range of key factors such as facilities</w:t>
      </w:r>
      <w:r>
        <w:t>,</w:t>
      </w:r>
      <w:r w:rsidRPr="00F42E0C">
        <w:t xml:space="preserve"> access</w:t>
      </w:r>
      <w:r>
        <w:t xml:space="preserve">, </w:t>
      </w:r>
      <w:r w:rsidRPr="003B6901">
        <w:t>regulations, safety, sustainability and power.</w:t>
      </w:r>
    </w:p>
    <w:p w14:paraId="58756A76" w14:textId="3D550EEE" w:rsidR="008C5BC2" w:rsidRPr="003B6901" w:rsidRDefault="008C5BC2" w:rsidP="003B6901">
      <w:pPr>
        <w:pStyle w:val="DHHSbody"/>
      </w:pPr>
      <w:r w:rsidRPr="003B6901">
        <w:t>New charging stations can be rolled out in existing carparks. To date, car manufacturers have not been consistent with the location of charging ports on the vehicle. In general terms, if the charging cable can reach both sides of the front of the carparking space, then it should be able to cater for all electric vehicles. Furthermore, all charging bays should be standard carpark spaces (as opposed to being angled, parallel or reverse-in only) with space beyond the front of the bay to allow charging hardware to be mounted on a wall or in the ground.</w:t>
      </w:r>
    </w:p>
    <w:p w14:paraId="2B8213ED" w14:textId="42F425E7" w:rsidR="008C5BC2" w:rsidRPr="003B6901" w:rsidRDefault="008C5BC2" w:rsidP="003B6901">
      <w:pPr>
        <w:pStyle w:val="DHHSbody"/>
      </w:pPr>
      <w:r w:rsidRPr="003B6901">
        <w:t xml:space="preserve">Charging bays should be in an area </w:t>
      </w:r>
      <w:r w:rsidR="008C152A">
        <w:t>that</w:t>
      </w:r>
      <w:r w:rsidR="008C152A" w:rsidRPr="003B6901">
        <w:t xml:space="preserve"> </w:t>
      </w:r>
      <w:r w:rsidRPr="003B6901">
        <w:t xml:space="preserve">does not have potential trenching implications, and surface drainage and flood risk should be considered. The potential for vandalism should </w:t>
      </w:r>
      <w:r w:rsidR="008C152A">
        <w:t xml:space="preserve">also </w:t>
      </w:r>
      <w:r w:rsidRPr="003B6901">
        <w:t xml:space="preserve">be considered when locating charging infrastructure. The number of charger points to install will depend on the mileage of electric vehicles per day, as well as the type of charging station selected. For example, if basic AC charging is selected, it may be necessary to have one charger per vehicle </w:t>
      </w:r>
      <w:r w:rsidR="005C2974">
        <w:t>because</w:t>
      </w:r>
      <w:r w:rsidR="005C2974" w:rsidRPr="003B6901">
        <w:t xml:space="preserve"> </w:t>
      </w:r>
      <w:r w:rsidRPr="003B6901">
        <w:t>these typically charge overnight, since vehicle range is approximately 80</w:t>
      </w:r>
      <w:r w:rsidR="009A7E09">
        <w:t>–</w:t>
      </w:r>
      <w:r w:rsidRPr="003B6901">
        <w:t>300 km.</w:t>
      </w:r>
    </w:p>
    <w:p w14:paraId="38432385" w14:textId="70B2C790" w:rsidR="008C5BC2" w:rsidRPr="003B6901" w:rsidRDefault="008C5BC2" w:rsidP="003B6901">
      <w:pPr>
        <w:pStyle w:val="DHHSbody"/>
      </w:pPr>
      <w:r w:rsidRPr="003B6901">
        <w:t>Consider whether charging stations are public, staff or fleet vehicle access. If they are public or staff</w:t>
      </w:r>
      <w:r w:rsidR="005C2974">
        <w:t>,</w:t>
      </w:r>
      <w:r w:rsidRPr="003B6901">
        <w:t xml:space="preserve"> a decision will need to be made </w:t>
      </w:r>
      <w:r w:rsidR="005C2974">
        <w:t xml:space="preserve">about </w:t>
      </w:r>
      <w:r w:rsidRPr="003B6901">
        <w:t>whether they are free or fee-for-use. Free charging would encourage the broader uptake of electric vehicles</w:t>
      </w:r>
      <w:r w:rsidR="005C2974">
        <w:t>,</w:t>
      </w:r>
      <w:r w:rsidRPr="003B6901">
        <w:t xml:space="preserve"> but as they become more common, this would become cost prohibitive. A well-utilised public charging station could be profitable.</w:t>
      </w:r>
    </w:p>
    <w:p w14:paraId="02B6768B" w14:textId="6486E8B9" w:rsidR="008C5BC2" w:rsidRPr="003B6901" w:rsidRDefault="008C5BC2" w:rsidP="003B6901">
      <w:pPr>
        <w:pStyle w:val="DHHSbody"/>
      </w:pPr>
      <w:r w:rsidRPr="003B6901">
        <w:t xml:space="preserve">The location of charging stations in high-trafficked areas would </w:t>
      </w:r>
      <w:r w:rsidR="005C2974">
        <w:t>help</w:t>
      </w:r>
      <w:r w:rsidRPr="003B6901">
        <w:t xml:space="preserve"> promot</w:t>
      </w:r>
      <w:r w:rsidR="005C2974">
        <w:t>e</w:t>
      </w:r>
      <w:r w:rsidRPr="003B6901">
        <w:t xml:space="preserve"> the health service</w:t>
      </w:r>
      <w:r w:rsidR="005C2974">
        <w:t>’</w:t>
      </w:r>
      <w:r w:rsidRPr="003B6901">
        <w:t>s commitment to electric vehicle</w:t>
      </w:r>
      <w:r w:rsidR="005C2974">
        <w:t>s</w:t>
      </w:r>
      <w:r w:rsidRPr="003B6901">
        <w:t xml:space="preserve">, as well as encouraging uptake through priority parking spots. However, due to the high cost of electric vehicles, preferential parking spots could pose equity issues for those who </w:t>
      </w:r>
      <w:r w:rsidR="005C2974">
        <w:t>cannot</w:t>
      </w:r>
      <w:r w:rsidRPr="003B6901">
        <w:t xml:space="preserve"> afford them.</w:t>
      </w:r>
    </w:p>
    <w:p w14:paraId="2CEE6214" w14:textId="0332C6FF" w:rsidR="003B6901" w:rsidRDefault="008C5BC2" w:rsidP="003B6901">
      <w:pPr>
        <w:pStyle w:val="DHHSbody"/>
      </w:pPr>
      <w:r w:rsidRPr="003B6901">
        <w:t>Four main types of charging</w:t>
      </w:r>
      <w:r w:rsidRPr="00CA56D0">
        <w:t xml:space="preserve"> stations and details on their implementation are presented in Table </w:t>
      </w:r>
      <w:r>
        <w:t xml:space="preserve">2. </w:t>
      </w:r>
      <w:r w:rsidR="005C2974">
        <w:t>Go online to f</w:t>
      </w:r>
      <w:r w:rsidR="009A7E09">
        <w:t>ind out t</w:t>
      </w:r>
      <w:r>
        <w:t xml:space="preserve">he </w:t>
      </w:r>
      <w:hyperlink r:id="rId10" w:history="1">
        <w:r w:rsidRPr="009A7E09">
          <w:rPr>
            <w:rStyle w:val="Hyperlink"/>
          </w:rPr>
          <w:t>locations of charge stations</w:t>
        </w:r>
      </w:hyperlink>
      <w:r>
        <w:t xml:space="preserve"> </w:t>
      </w:r>
      <w:r w:rsidR="009A7E09">
        <w:t>&lt;</w:t>
      </w:r>
      <w:r w:rsidR="009A7E09" w:rsidRPr="001C48D4">
        <w:t>https://myelectriccar.com.au/charge-stations-in-australia/</w:t>
      </w:r>
      <w:r w:rsidR="009A7E09">
        <w:t>&gt;</w:t>
      </w:r>
      <w:r w:rsidRPr="00CA56D0">
        <w:t>.</w:t>
      </w:r>
    </w:p>
    <w:p w14:paraId="6326940B" w14:textId="77777777" w:rsidR="009F4D39" w:rsidRDefault="009F4D39">
      <w:pPr>
        <w:rPr>
          <w:rFonts w:ascii="Arial" w:hAnsi="Arial"/>
          <w:b/>
        </w:rPr>
      </w:pPr>
      <w:r>
        <w:br w:type="page"/>
      </w:r>
    </w:p>
    <w:p w14:paraId="503559DB" w14:textId="3F4F601A" w:rsidR="008C5BC2" w:rsidRDefault="008C5BC2" w:rsidP="003B6901">
      <w:pPr>
        <w:pStyle w:val="DHHStablecaption"/>
      </w:pPr>
      <w:r>
        <w:lastRenderedPageBreak/>
        <w:t>Table 2: Charging station types and features</w:t>
      </w:r>
    </w:p>
    <w:tbl>
      <w:tblPr>
        <w:tblW w:w="10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560"/>
        <w:gridCol w:w="2835"/>
        <w:gridCol w:w="2254"/>
        <w:gridCol w:w="2282"/>
        <w:gridCol w:w="1174"/>
      </w:tblGrid>
      <w:tr w:rsidR="00027591" w:rsidRPr="00B36948" w14:paraId="0BE97E1C" w14:textId="77777777" w:rsidTr="003B6901">
        <w:trPr>
          <w:tblHeader/>
        </w:trPr>
        <w:tc>
          <w:tcPr>
            <w:tcW w:w="1560" w:type="dxa"/>
            <w:shd w:val="clear" w:color="auto" w:fill="auto"/>
          </w:tcPr>
          <w:p w14:paraId="29C50711" w14:textId="77777777" w:rsidR="008C5BC2" w:rsidRPr="00CB3285" w:rsidRDefault="008C5BC2" w:rsidP="00027591">
            <w:pPr>
              <w:pStyle w:val="DHHStablecolhead"/>
              <w:ind w:left="38"/>
            </w:pPr>
            <w:r>
              <w:t>Charging station</w:t>
            </w:r>
          </w:p>
        </w:tc>
        <w:tc>
          <w:tcPr>
            <w:tcW w:w="2835" w:type="dxa"/>
            <w:shd w:val="clear" w:color="auto" w:fill="auto"/>
          </w:tcPr>
          <w:p w14:paraId="06ACEF38" w14:textId="77777777" w:rsidR="008C5BC2" w:rsidRPr="00CB3285" w:rsidRDefault="008C5BC2" w:rsidP="006231F7">
            <w:pPr>
              <w:pStyle w:val="DHHStablecolhead"/>
            </w:pPr>
            <w:r>
              <w:t>Overview</w:t>
            </w:r>
          </w:p>
        </w:tc>
        <w:tc>
          <w:tcPr>
            <w:tcW w:w="2254" w:type="dxa"/>
            <w:shd w:val="clear" w:color="auto" w:fill="auto"/>
          </w:tcPr>
          <w:p w14:paraId="3361FB3B" w14:textId="77777777" w:rsidR="008C5BC2" w:rsidRPr="00B36948" w:rsidRDefault="008C5BC2" w:rsidP="006231F7">
            <w:pPr>
              <w:pStyle w:val="DHHStablecolhead"/>
            </w:pPr>
            <w:r>
              <w:t>Characteristics</w:t>
            </w:r>
          </w:p>
        </w:tc>
        <w:tc>
          <w:tcPr>
            <w:tcW w:w="2282" w:type="dxa"/>
            <w:shd w:val="clear" w:color="auto" w:fill="auto"/>
          </w:tcPr>
          <w:p w14:paraId="50EFCFA3" w14:textId="77777777" w:rsidR="008C5BC2" w:rsidRPr="00B36948" w:rsidRDefault="008C5BC2" w:rsidP="006231F7">
            <w:pPr>
              <w:pStyle w:val="DHHStablecolhead"/>
            </w:pPr>
            <w:r>
              <w:t>Site selection</w:t>
            </w:r>
          </w:p>
        </w:tc>
        <w:tc>
          <w:tcPr>
            <w:tcW w:w="1174" w:type="dxa"/>
            <w:shd w:val="clear" w:color="auto" w:fill="auto"/>
          </w:tcPr>
          <w:p w14:paraId="1AFD8BD1" w14:textId="4E08CC33" w:rsidR="008C5BC2" w:rsidRPr="00B36948" w:rsidRDefault="008C5BC2" w:rsidP="006231F7">
            <w:pPr>
              <w:pStyle w:val="DHHStablecolhead"/>
            </w:pPr>
            <w:r>
              <w:t>Cost</w:t>
            </w:r>
          </w:p>
        </w:tc>
      </w:tr>
      <w:tr w:rsidR="00027591" w14:paraId="4E4F0B1C" w14:textId="77777777" w:rsidTr="00027591">
        <w:tc>
          <w:tcPr>
            <w:tcW w:w="1560" w:type="dxa"/>
            <w:shd w:val="clear" w:color="auto" w:fill="auto"/>
          </w:tcPr>
          <w:p w14:paraId="1797BFF5" w14:textId="77777777" w:rsidR="008C5BC2" w:rsidRDefault="008C5BC2" w:rsidP="006231F7">
            <w:pPr>
              <w:pStyle w:val="DHHStabletext"/>
            </w:pPr>
            <w:r>
              <w:t>Basic AC charging</w:t>
            </w:r>
          </w:p>
        </w:tc>
        <w:tc>
          <w:tcPr>
            <w:tcW w:w="2835" w:type="dxa"/>
            <w:shd w:val="clear" w:color="auto" w:fill="auto"/>
          </w:tcPr>
          <w:p w14:paraId="33ABCDEE" w14:textId="428E96C6" w:rsidR="008C5BC2" w:rsidRDefault="008C5BC2" w:rsidP="006231F7">
            <w:pPr>
              <w:pStyle w:val="DHHStabletext"/>
            </w:pPr>
            <w:r w:rsidRPr="0087702F">
              <w:t>Basic AC chargers are the minimum recommended solution for charging and require a charging unit to be installed on a dedicated circuit by a licensed electrician</w:t>
            </w:r>
          </w:p>
        </w:tc>
        <w:tc>
          <w:tcPr>
            <w:tcW w:w="2254" w:type="dxa"/>
            <w:shd w:val="clear" w:color="auto" w:fill="auto"/>
          </w:tcPr>
          <w:p w14:paraId="6107F894" w14:textId="733AF707" w:rsidR="008C5BC2" w:rsidRPr="0035787F" w:rsidRDefault="008C5BC2" w:rsidP="006231F7">
            <w:pPr>
              <w:pStyle w:val="DHHStabletext"/>
            </w:pPr>
            <w:r w:rsidRPr="0035787F">
              <w:t>Power: 2.4</w:t>
            </w:r>
            <w:r w:rsidR="0061361F">
              <w:t>–</w:t>
            </w:r>
            <w:r w:rsidRPr="0035787F">
              <w:t>7 kW</w:t>
            </w:r>
          </w:p>
          <w:p w14:paraId="09D82CCC" w14:textId="3823C439" w:rsidR="008C5BC2" w:rsidRPr="0035787F" w:rsidRDefault="008C5BC2" w:rsidP="006231F7">
            <w:pPr>
              <w:pStyle w:val="DHHStabletext"/>
            </w:pPr>
            <w:r w:rsidRPr="0035787F">
              <w:t>Approx. charging rates</w:t>
            </w:r>
            <w:r w:rsidR="00C956A5">
              <w:t>:</w:t>
            </w:r>
            <w:r w:rsidRPr="0035787F">
              <w:t xml:space="preserve"> adds 10</w:t>
            </w:r>
            <w:r w:rsidR="0061361F">
              <w:t>–</w:t>
            </w:r>
            <w:r w:rsidRPr="0035787F">
              <w:t>45 km range p</w:t>
            </w:r>
            <w:r>
              <w:t>er hour</w:t>
            </w:r>
          </w:p>
          <w:p w14:paraId="453B3838" w14:textId="77777777" w:rsidR="008C5BC2" w:rsidRPr="0035787F" w:rsidRDefault="008C5BC2" w:rsidP="006231F7">
            <w:pPr>
              <w:pStyle w:val="DHHStabletext"/>
            </w:pPr>
            <w:r w:rsidRPr="0035787F">
              <w:t xml:space="preserve">Typical charging time: 2 hours </w:t>
            </w:r>
            <w:r>
              <w:t>to</w:t>
            </w:r>
            <w:r w:rsidRPr="0035787F">
              <w:t xml:space="preserve"> overnight</w:t>
            </w:r>
          </w:p>
          <w:p w14:paraId="0BE89955" w14:textId="77777777" w:rsidR="008C5BC2" w:rsidRDefault="008C5BC2" w:rsidP="006231F7">
            <w:pPr>
              <w:pStyle w:val="DHHStabletext"/>
            </w:pPr>
            <w:r w:rsidRPr="0035787F">
              <w:t>Charging Mode 3 (IEC 61851-1)</w:t>
            </w:r>
          </w:p>
        </w:tc>
        <w:tc>
          <w:tcPr>
            <w:tcW w:w="2282" w:type="dxa"/>
            <w:shd w:val="clear" w:color="auto" w:fill="auto"/>
          </w:tcPr>
          <w:p w14:paraId="754F1550" w14:textId="57F7F3FA" w:rsidR="008C5BC2" w:rsidRPr="001C037A" w:rsidRDefault="008C5BC2" w:rsidP="006231F7">
            <w:pPr>
              <w:pStyle w:val="DHHStabletext"/>
            </w:pPr>
            <w:r w:rsidRPr="001C037A">
              <w:t>Suitable for retail centres, council carparks and multi-residential buildings</w:t>
            </w:r>
          </w:p>
        </w:tc>
        <w:tc>
          <w:tcPr>
            <w:tcW w:w="1174" w:type="dxa"/>
            <w:shd w:val="clear" w:color="auto" w:fill="auto"/>
          </w:tcPr>
          <w:p w14:paraId="75F18A2E" w14:textId="5E57A0CD" w:rsidR="008C5BC2" w:rsidRDefault="008C5BC2" w:rsidP="00027591">
            <w:pPr>
              <w:pStyle w:val="DHHStablebullet1"/>
              <w:numPr>
                <w:ilvl w:val="0"/>
                <w:numId w:val="0"/>
              </w:numPr>
              <w:ind w:left="2" w:hanging="2"/>
            </w:pPr>
            <w:r>
              <w:t>$1,000</w:t>
            </w:r>
            <w:r w:rsidR="0061361F">
              <w:t>–</w:t>
            </w:r>
            <w:r>
              <w:t>$2,500</w:t>
            </w:r>
          </w:p>
        </w:tc>
      </w:tr>
      <w:tr w:rsidR="00027591" w14:paraId="5CCF455A" w14:textId="77777777" w:rsidTr="00027591">
        <w:tc>
          <w:tcPr>
            <w:tcW w:w="1560" w:type="dxa"/>
            <w:shd w:val="clear" w:color="auto" w:fill="auto"/>
          </w:tcPr>
          <w:p w14:paraId="496A0983" w14:textId="77777777" w:rsidR="008C5BC2" w:rsidRDefault="008C5BC2" w:rsidP="006231F7">
            <w:pPr>
              <w:pStyle w:val="DHHStabletext"/>
            </w:pPr>
            <w:r>
              <w:t>Destination AC charging</w:t>
            </w:r>
          </w:p>
        </w:tc>
        <w:tc>
          <w:tcPr>
            <w:tcW w:w="2835" w:type="dxa"/>
            <w:shd w:val="clear" w:color="auto" w:fill="auto"/>
          </w:tcPr>
          <w:p w14:paraId="03FBC65A" w14:textId="1537DC3B" w:rsidR="008C5BC2" w:rsidRDefault="008C5BC2" w:rsidP="006231F7">
            <w:pPr>
              <w:pStyle w:val="DHHStabletext"/>
            </w:pPr>
            <w:r w:rsidRPr="0087702F">
              <w:t>These chargers are an ideal public charging option for locations where visitors can partake in an activity whil</w:t>
            </w:r>
            <w:r w:rsidR="0061361F">
              <w:t>e</w:t>
            </w:r>
            <w:r w:rsidRPr="0087702F">
              <w:t xml:space="preserve"> charging</w:t>
            </w:r>
          </w:p>
        </w:tc>
        <w:tc>
          <w:tcPr>
            <w:tcW w:w="2254" w:type="dxa"/>
            <w:shd w:val="clear" w:color="auto" w:fill="auto"/>
          </w:tcPr>
          <w:p w14:paraId="6CF5236A" w14:textId="1B0872A4" w:rsidR="008C5BC2" w:rsidRPr="0035787F" w:rsidRDefault="008C5BC2" w:rsidP="006231F7">
            <w:pPr>
              <w:pStyle w:val="DHHStabletext"/>
            </w:pPr>
            <w:r w:rsidRPr="0035787F">
              <w:t>Power: 11</w:t>
            </w:r>
            <w:r w:rsidR="0061361F">
              <w:t>–</w:t>
            </w:r>
            <w:r w:rsidRPr="0035787F">
              <w:t>22 kW</w:t>
            </w:r>
          </w:p>
          <w:p w14:paraId="135C869B" w14:textId="066D5B0D" w:rsidR="008C5BC2" w:rsidRPr="0035787F" w:rsidRDefault="008C5BC2" w:rsidP="006231F7">
            <w:pPr>
              <w:pStyle w:val="DHHStabletext"/>
            </w:pPr>
            <w:r w:rsidRPr="0035787F">
              <w:t xml:space="preserve">Approx. charging rates: </w:t>
            </w:r>
            <w:r w:rsidR="00C956A5">
              <w:t>a</w:t>
            </w:r>
            <w:r w:rsidRPr="0035787F">
              <w:t>dds 50</w:t>
            </w:r>
            <w:r w:rsidR="0061361F">
              <w:t>–</w:t>
            </w:r>
            <w:r w:rsidRPr="0035787F">
              <w:t xml:space="preserve">130 km range </w:t>
            </w:r>
            <w:r>
              <w:t>per hour</w:t>
            </w:r>
          </w:p>
          <w:p w14:paraId="5FA4ADC4" w14:textId="77777777" w:rsidR="008C5BC2" w:rsidRPr="0035787F" w:rsidRDefault="008C5BC2" w:rsidP="006231F7">
            <w:pPr>
              <w:pStyle w:val="DHHStabletext"/>
            </w:pPr>
            <w:r w:rsidRPr="0035787F">
              <w:t>Typical charging time: 30 minutes to 2 hours</w:t>
            </w:r>
          </w:p>
          <w:p w14:paraId="4BAB20A7" w14:textId="77777777" w:rsidR="008C5BC2" w:rsidRDefault="008C5BC2" w:rsidP="006231F7">
            <w:pPr>
              <w:pStyle w:val="DHHStabletext"/>
            </w:pPr>
            <w:r w:rsidRPr="0035787F">
              <w:t>Charging Mode 3 (IEC 61851-1)</w:t>
            </w:r>
          </w:p>
        </w:tc>
        <w:tc>
          <w:tcPr>
            <w:tcW w:w="2282" w:type="dxa"/>
            <w:shd w:val="clear" w:color="auto" w:fill="auto"/>
          </w:tcPr>
          <w:p w14:paraId="7F108872" w14:textId="49E52DE3" w:rsidR="008C5BC2" w:rsidRPr="001C037A" w:rsidRDefault="008C5BC2" w:rsidP="006231F7">
            <w:pPr>
              <w:pStyle w:val="DHHStabletext"/>
            </w:pPr>
            <w:r w:rsidRPr="001C037A">
              <w:t>Likely locations include council carparks and service stations with dwell facilities, but also suitable for workplaces</w:t>
            </w:r>
            <w:r>
              <w:t xml:space="preserve"> with multiple electric vehicles</w:t>
            </w:r>
          </w:p>
        </w:tc>
        <w:tc>
          <w:tcPr>
            <w:tcW w:w="1174" w:type="dxa"/>
            <w:shd w:val="clear" w:color="auto" w:fill="auto"/>
          </w:tcPr>
          <w:p w14:paraId="384F7F31" w14:textId="781E410B" w:rsidR="008C5BC2" w:rsidRDefault="008C5BC2" w:rsidP="00027591">
            <w:pPr>
              <w:pStyle w:val="DHHStablebullet1"/>
              <w:numPr>
                <w:ilvl w:val="0"/>
                <w:numId w:val="0"/>
              </w:numPr>
              <w:ind w:left="2" w:hanging="2"/>
            </w:pPr>
            <w:r>
              <w:t>$1,950</w:t>
            </w:r>
            <w:r w:rsidR="0061361F">
              <w:t>–</w:t>
            </w:r>
            <w:r>
              <w:t>$3,000</w:t>
            </w:r>
          </w:p>
        </w:tc>
      </w:tr>
      <w:tr w:rsidR="00027591" w14:paraId="2F21EF24" w14:textId="77777777" w:rsidTr="00027591">
        <w:tc>
          <w:tcPr>
            <w:tcW w:w="1560" w:type="dxa"/>
            <w:shd w:val="clear" w:color="auto" w:fill="auto"/>
          </w:tcPr>
          <w:p w14:paraId="16A483A3" w14:textId="77777777" w:rsidR="008C5BC2" w:rsidRDefault="008C5BC2" w:rsidP="006231F7">
            <w:pPr>
              <w:pStyle w:val="DHHStabletext"/>
            </w:pPr>
            <w:r>
              <w:t>Fast DC charging</w:t>
            </w:r>
          </w:p>
        </w:tc>
        <w:tc>
          <w:tcPr>
            <w:tcW w:w="2835" w:type="dxa"/>
            <w:shd w:val="clear" w:color="auto" w:fill="auto"/>
          </w:tcPr>
          <w:p w14:paraId="405AB3F2" w14:textId="3BB22C32" w:rsidR="008C5BC2" w:rsidRDefault="008C5BC2" w:rsidP="006231F7">
            <w:pPr>
              <w:pStyle w:val="DHHStabletext"/>
            </w:pPr>
            <w:r w:rsidRPr="0087702F">
              <w:t>Fast charging stations are required in key strategic locations along major routes or in areas of high demand to provide easily accessible, fast charging facilities for drivers</w:t>
            </w:r>
          </w:p>
        </w:tc>
        <w:tc>
          <w:tcPr>
            <w:tcW w:w="2254" w:type="dxa"/>
            <w:shd w:val="clear" w:color="auto" w:fill="auto"/>
          </w:tcPr>
          <w:p w14:paraId="72B61970" w14:textId="3D5654E7" w:rsidR="008C5BC2" w:rsidRPr="0035787F" w:rsidRDefault="008C5BC2" w:rsidP="006231F7">
            <w:pPr>
              <w:pStyle w:val="DHHStabletext"/>
            </w:pPr>
            <w:r w:rsidRPr="0035787F">
              <w:t>Power: 50 kW</w:t>
            </w:r>
            <w:r w:rsidR="0061361F">
              <w:t>–</w:t>
            </w:r>
            <w:r w:rsidRPr="0035787F">
              <w:t>150 kw</w:t>
            </w:r>
          </w:p>
          <w:p w14:paraId="4EFAC550" w14:textId="3403FA7C" w:rsidR="008C5BC2" w:rsidRDefault="008C5BC2" w:rsidP="006231F7">
            <w:pPr>
              <w:pStyle w:val="DHHStabletext"/>
            </w:pPr>
            <w:r w:rsidRPr="0035787F">
              <w:t xml:space="preserve">Approx. charging rates: </w:t>
            </w:r>
            <w:r w:rsidR="00C956A5">
              <w:t>f</w:t>
            </w:r>
            <w:r w:rsidRPr="0035787F">
              <w:t>rom 100 to over 300 km range</w:t>
            </w:r>
            <w:r>
              <w:t xml:space="preserve"> per hour</w:t>
            </w:r>
          </w:p>
          <w:p w14:paraId="05706FFF" w14:textId="77777777" w:rsidR="008C5BC2" w:rsidRPr="000611AA" w:rsidRDefault="008C5BC2" w:rsidP="006231F7">
            <w:pPr>
              <w:pStyle w:val="DHHStabletext"/>
            </w:pPr>
            <w:r w:rsidRPr="000611AA">
              <w:t>Typical charging time: 20 minutes to 1 hour</w:t>
            </w:r>
          </w:p>
          <w:p w14:paraId="45854C9F" w14:textId="77777777" w:rsidR="008C5BC2" w:rsidRDefault="008C5BC2" w:rsidP="006231F7">
            <w:pPr>
              <w:pStyle w:val="DHHStabletext"/>
            </w:pPr>
            <w:r w:rsidRPr="0035787F">
              <w:t>Charging Mode 4 (IEC 61851-1)</w:t>
            </w:r>
          </w:p>
        </w:tc>
        <w:tc>
          <w:tcPr>
            <w:tcW w:w="2282" w:type="dxa"/>
            <w:shd w:val="clear" w:color="auto" w:fill="auto"/>
          </w:tcPr>
          <w:p w14:paraId="25D95870" w14:textId="6AE46A0D" w:rsidR="008C5BC2" w:rsidRPr="001C037A" w:rsidRDefault="008C5BC2" w:rsidP="006231F7">
            <w:pPr>
              <w:pStyle w:val="DHHStabletext"/>
            </w:pPr>
            <w:r w:rsidRPr="001C037A">
              <w:t xml:space="preserve">Fast charging stations are best placed on major routes, key locations within cities or near major airports where there is high daily </w:t>
            </w:r>
            <w:r>
              <w:t>electric vehicle</w:t>
            </w:r>
            <w:r w:rsidRPr="001C037A">
              <w:t xml:space="preserve"> traffic</w:t>
            </w:r>
          </w:p>
        </w:tc>
        <w:tc>
          <w:tcPr>
            <w:tcW w:w="1174" w:type="dxa"/>
            <w:shd w:val="clear" w:color="auto" w:fill="auto"/>
          </w:tcPr>
          <w:p w14:paraId="1E229103" w14:textId="77777777" w:rsidR="008C5BC2" w:rsidRDefault="008C5BC2" w:rsidP="00027591">
            <w:pPr>
              <w:pStyle w:val="DHHStablebullet1"/>
              <w:numPr>
                <w:ilvl w:val="0"/>
                <w:numId w:val="0"/>
              </w:numPr>
              <w:ind w:left="2" w:hanging="2"/>
            </w:pPr>
            <w:r>
              <w:t>~$55,000</w:t>
            </w:r>
          </w:p>
        </w:tc>
      </w:tr>
      <w:tr w:rsidR="00027591" w14:paraId="3EC68038" w14:textId="77777777" w:rsidTr="00027591">
        <w:tc>
          <w:tcPr>
            <w:tcW w:w="1560" w:type="dxa"/>
            <w:shd w:val="clear" w:color="auto" w:fill="auto"/>
          </w:tcPr>
          <w:p w14:paraId="43E003C1" w14:textId="77777777" w:rsidR="008C5BC2" w:rsidRDefault="008C5BC2" w:rsidP="006231F7">
            <w:pPr>
              <w:pStyle w:val="DHHStabletext"/>
            </w:pPr>
            <w:r>
              <w:t>Ultra-fast DC charging</w:t>
            </w:r>
          </w:p>
        </w:tc>
        <w:tc>
          <w:tcPr>
            <w:tcW w:w="2835" w:type="dxa"/>
            <w:shd w:val="clear" w:color="auto" w:fill="auto"/>
          </w:tcPr>
          <w:p w14:paraId="03FCEE7D" w14:textId="428B86F7" w:rsidR="008C5BC2" w:rsidRDefault="008C5BC2" w:rsidP="006231F7">
            <w:pPr>
              <w:pStyle w:val="DHHStabletext"/>
            </w:pPr>
            <w:r w:rsidRPr="0087702F">
              <w:t>As longer</w:t>
            </w:r>
            <w:r w:rsidR="00C86ABB">
              <w:t xml:space="preserve"> </w:t>
            </w:r>
            <w:r w:rsidRPr="0087702F">
              <w:t xml:space="preserve">range </w:t>
            </w:r>
            <w:r>
              <w:t>vehicle</w:t>
            </w:r>
            <w:r w:rsidRPr="0087702F">
              <w:t xml:space="preserve">s become more affordable, </w:t>
            </w:r>
            <w:r w:rsidR="0061361F">
              <w:t>‘</w:t>
            </w:r>
            <w:r w:rsidRPr="0087702F">
              <w:t>ultra-fast</w:t>
            </w:r>
            <w:r w:rsidR="0061361F">
              <w:t>’</w:t>
            </w:r>
            <w:r w:rsidRPr="0087702F">
              <w:t xml:space="preserve"> charging is expected to allow </w:t>
            </w:r>
            <w:r w:rsidR="00C86ABB">
              <w:t xml:space="preserve">an </w:t>
            </w:r>
            <w:r w:rsidRPr="0087702F">
              <w:t>add</w:t>
            </w:r>
            <w:r>
              <w:t>ition</w:t>
            </w:r>
            <w:r w:rsidR="00C86ABB">
              <w:t>al</w:t>
            </w:r>
            <w:r>
              <w:t xml:space="preserve"> </w:t>
            </w:r>
            <w:r w:rsidRPr="0087702F">
              <w:t>300</w:t>
            </w:r>
            <w:r w:rsidR="0061361F">
              <w:t xml:space="preserve"> </w:t>
            </w:r>
            <w:r w:rsidRPr="0087702F">
              <w:t xml:space="preserve">km of range within </w:t>
            </w:r>
            <w:r w:rsidR="00C956A5">
              <w:t>5–</w:t>
            </w:r>
            <w:r w:rsidR="00C86ABB">
              <w:t>10</w:t>
            </w:r>
            <w:r w:rsidR="00C86ABB" w:rsidRPr="0087702F">
              <w:t xml:space="preserve"> </w:t>
            </w:r>
            <w:r w:rsidRPr="0087702F">
              <w:t>minutes</w:t>
            </w:r>
          </w:p>
        </w:tc>
        <w:tc>
          <w:tcPr>
            <w:tcW w:w="2254" w:type="dxa"/>
            <w:shd w:val="clear" w:color="auto" w:fill="auto"/>
          </w:tcPr>
          <w:p w14:paraId="1955F00E" w14:textId="7DC59109" w:rsidR="008C5BC2" w:rsidRDefault="008C5BC2" w:rsidP="006231F7">
            <w:pPr>
              <w:pStyle w:val="DHHStabletext"/>
            </w:pPr>
            <w:r w:rsidRPr="0035787F">
              <w:t>Power: 150</w:t>
            </w:r>
            <w:r w:rsidR="0061361F">
              <w:t>–</w:t>
            </w:r>
            <w:r w:rsidRPr="0035787F">
              <w:t>350 kW</w:t>
            </w:r>
          </w:p>
          <w:p w14:paraId="10E6F6DF" w14:textId="776EC79D" w:rsidR="008C5BC2" w:rsidRPr="0035787F" w:rsidRDefault="008C5BC2" w:rsidP="006231F7">
            <w:pPr>
              <w:pStyle w:val="DHHStabletext"/>
            </w:pPr>
            <w:r>
              <w:t xml:space="preserve">Charging rates: </w:t>
            </w:r>
            <w:r w:rsidRPr="0035787F">
              <w:t>300</w:t>
            </w:r>
            <w:r w:rsidR="0061361F">
              <w:t xml:space="preserve"> </w:t>
            </w:r>
            <w:r w:rsidRPr="0035787F">
              <w:t xml:space="preserve">km of range within </w:t>
            </w:r>
            <w:r w:rsidR="00C956A5">
              <w:t>5–10</w:t>
            </w:r>
            <w:r w:rsidR="00C956A5" w:rsidRPr="0035787F">
              <w:t xml:space="preserve"> </w:t>
            </w:r>
            <w:r w:rsidRPr="0035787F">
              <w:t>minutes</w:t>
            </w:r>
          </w:p>
          <w:p w14:paraId="07997BD1" w14:textId="59AB52EB" w:rsidR="008C5BC2" w:rsidRDefault="008C5BC2" w:rsidP="006231F7">
            <w:pPr>
              <w:pStyle w:val="DHHStabletext"/>
            </w:pPr>
            <w:r w:rsidRPr="0035787F">
              <w:t>Typical charging time: 5</w:t>
            </w:r>
            <w:r w:rsidR="0061361F">
              <w:t>–</w:t>
            </w:r>
            <w:r w:rsidRPr="0035787F">
              <w:t>20 min</w:t>
            </w:r>
            <w:r w:rsidR="0061361F">
              <w:t>utes</w:t>
            </w:r>
          </w:p>
        </w:tc>
        <w:tc>
          <w:tcPr>
            <w:tcW w:w="2282" w:type="dxa"/>
            <w:shd w:val="clear" w:color="auto" w:fill="auto"/>
          </w:tcPr>
          <w:p w14:paraId="262FBA3F" w14:textId="1C98DDD6" w:rsidR="008C5BC2" w:rsidRDefault="008C5BC2" w:rsidP="006231F7">
            <w:pPr>
              <w:pStyle w:val="DHHStabletext"/>
            </w:pPr>
            <w:r w:rsidRPr="001C037A">
              <w:t>Ultra-fast chargers will require a significant investment in the local electrical network, and therefore extensive planning is necessary</w:t>
            </w:r>
          </w:p>
        </w:tc>
        <w:tc>
          <w:tcPr>
            <w:tcW w:w="1174" w:type="dxa"/>
            <w:shd w:val="clear" w:color="auto" w:fill="auto"/>
          </w:tcPr>
          <w:p w14:paraId="1008DB01" w14:textId="77777777" w:rsidR="008C5BC2" w:rsidRDefault="008C5BC2" w:rsidP="00027591">
            <w:pPr>
              <w:pStyle w:val="DHHStablebullet1"/>
              <w:numPr>
                <w:ilvl w:val="0"/>
                <w:numId w:val="0"/>
              </w:numPr>
              <w:ind w:left="227" w:hanging="227"/>
            </w:pPr>
            <w:r>
              <w:t>~$160,000</w:t>
            </w:r>
          </w:p>
        </w:tc>
      </w:tr>
    </w:tbl>
    <w:p w14:paraId="6031A96D" w14:textId="77777777" w:rsidR="008C5BC2" w:rsidRDefault="008C5BC2" w:rsidP="008C5BC2">
      <w:pPr>
        <w:pStyle w:val="DHHStablefigurenote"/>
      </w:pPr>
      <w:r>
        <w:t>Note: Pricing indicative as of May 2019.</w:t>
      </w:r>
    </w:p>
    <w:p w14:paraId="6C3DA691" w14:textId="77777777" w:rsidR="008C5BC2" w:rsidRDefault="008C5BC2" w:rsidP="008C5BC2">
      <w:pPr>
        <w:pStyle w:val="Heading1"/>
      </w:pPr>
      <w:bookmarkStart w:id="6" w:name="_Toc11750549"/>
      <w:bookmarkStart w:id="7" w:name="_Toc19629559"/>
      <w:r>
        <w:t>Driver training and behaviour</w:t>
      </w:r>
      <w:bookmarkEnd w:id="6"/>
      <w:bookmarkEnd w:id="7"/>
    </w:p>
    <w:p w14:paraId="142BFF11" w14:textId="529A0272" w:rsidR="008C5BC2" w:rsidRDefault="008C5BC2" w:rsidP="008C5BC2">
      <w:pPr>
        <w:pStyle w:val="DHHSbody"/>
      </w:pPr>
      <w:r>
        <w:t xml:space="preserve">Training courses </w:t>
      </w:r>
      <w:r w:rsidR="004C24BB">
        <w:t>to</w:t>
      </w:r>
      <w:r>
        <w:t xml:space="preserve"> learn the functions and use of electric vehicles</w:t>
      </w:r>
      <w:r w:rsidR="004C24BB" w:rsidRPr="004C24BB">
        <w:t xml:space="preserve"> </w:t>
      </w:r>
      <w:r w:rsidR="004C24BB">
        <w:t>are available in Victoria</w:t>
      </w:r>
      <w:r>
        <w:t>. Electric vehicles have different features to standard vehicles, and therefore training drivers may be necessary for ensuring a smooth transition from conventional vehicles.</w:t>
      </w:r>
    </w:p>
    <w:p w14:paraId="76E4E259" w14:textId="730F71B2" w:rsidR="008C5BC2" w:rsidRDefault="008C5BC2" w:rsidP="008C5BC2">
      <w:pPr>
        <w:pStyle w:val="DHHSbody"/>
      </w:pPr>
      <w:r>
        <w:t xml:space="preserve">Most electric vehicles do not have a gearbox, and some models only have an ignition switch with an accelerate and reverse option. Electric vehicles have an additional braking system </w:t>
      </w:r>
      <w:r w:rsidR="004C24BB">
        <w:t xml:space="preserve">that </w:t>
      </w:r>
      <w:r>
        <w:t>uses momentum to generate more power for its batteries. There is also little sound or vibration when driving</w:t>
      </w:r>
      <w:r w:rsidR="004C24BB">
        <w:t>,</w:t>
      </w:r>
      <w:r>
        <w:t xml:space="preserve"> and drivers, along with people working around the vehicles, should be aware of this when operating the vehicle. This is particularly important in carparks, interfaces with cycling infrastructure and areas frequented by vulnerable people.</w:t>
      </w:r>
    </w:p>
    <w:p w14:paraId="45CC72DB" w14:textId="67C655BD" w:rsidR="008C5BC2" w:rsidRDefault="008C5BC2" w:rsidP="008C5BC2">
      <w:pPr>
        <w:pStyle w:val="DHHSbody"/>
      </w:pPr>
      <w:r>
        <w:t xml:space="preserve">The process of recharging electric vehicles is different </w:t>
      </w:r>
      <w:r w:rsidR="004C24BB">
        <w:t xml:space="preserve">from </w:t>
      </w:r>
      <w:r>
        <w:t xml:space="preserve">refuelling standard vehicles. Electric vehicles are most convenient when they only require charging overnight when not in use. Drivers or fleet managers will need to get into the habit of plugging vehicles into charging points at the end of the day, as well as choosing, or allocating, vehicles based on the available range and length of trip. </w:t>
      </w:r>
    </w:p>
    <w:p w14:paraId="4F5F2595" w14:textId="77777777" w:rsidR="008C5BC2" w:rsidRDefault="008C5BC2" w:rsidP="008C5BC2">
      <w:pPr>
        <w:pStyle w:val="DHHSbody"/>
      </w:pPr>
      <w:r>
        <w:lastRenderedPageBreak/>
        <w:t xml:space="preserve">Route planning will be required to ensure drivers can complete their trip within the vehicle range or access a charging station during the trip. This could be built into the booking system to preference electric vehicles for short trips and not provide them as an option for routes outside their range. </w:t>
      </w:r>
    </w:p>
    <w:p w14:paraId="10319FCC" w14:textId="6C7AA69A" w:rsidR="008C5BC2" w:rsidRPr="00CA56D0" w:rsidRDefault="008C5BC2" w:rsidP="008C5BC2">
      <w:pPr>
        <w:pStyle w:val="DHHSbody"/>
      </w:pPr>
      <w:r>
        <w:t>Health services could pilot electric vehicles for dedicated trips within specific departments with a high frequency of short trips. This would assist with familiarising staff with electric vehicles, provide primary data on costs and benefits and ascertain the opportunities for further rollout within the health service.</w:t>
      </w:r>
    </w:p>
    <w:p w14:paraId="5ACC0057" w14:textId="77777777" w:rsidR="008C5BC2" w:rsidRDefault="008C5BC2" w:rsidP="008C5BC2">
      <w:pPr>
        <w:pStyle w:val="Heading1"/>
      </w:pPr>
      <w:bookmarkStart w:id="8" w:name="_Toc11750550"/>
      <w:bookmarkStart w:id="9" w:name="_Toc19629560"/>
      <w:r>
        <w:t>Conclusion</w:t>
      </w:r>
      <w:bookmarkEnd w:id="8"/>
      <w:bookmarkEnd w:id="9"/>
    </w:p>
    <w:p w14:paraId="5F360263" w14:textId="19B1D624" w:rsidR="00C31A10" w:rsidRDefault="008C5BC2" w:rsidP="008C5BC2">
      <w:pPr>
        <w:pStyle w:val="DHHSbody"/>
      </w:pPr>
      <w:r>
        <w:t xml:space="preserve">Electric vehicles cost in the order of $3.00 per 100 kilometres to run, compared </w:t>
      </w:r>
      <w:r w:rsidR="005C2974">
        <w:t xml:space="preserve">with </w:t>
      </w:r>
      <w:r>
        <w:t>around $10.00 per 100 kilometres for a standard petrol car</w:t>
      </w:r>
      <w:r w:rsidR="009A7E09">
        <w:t>.</w:t>
      </w:r>
      <w:r>
        <w:rPr>
          <w:rStyle w:val="FootnoteReference"/>
        </w:rPr>
        <w:footnoteReference w:id="2"/>
      </w:r>
      <w:r>
        <w:t xml:space="preserve"> Despite this, the higher capital cost makes the payback for switching to electric vehicles as a standard fleet option unattractive. This is particularly the case where the </w:t>
      </w:r>
      <w:proofErr w:type="spellStart"/>
      <w:r>
        <w:t>VicFleet</w:t>
      </w:r>
      <w:proofErr w:type="spellEnd"/>
      <w:r>
        <w:t xml:space="preserve"> </w:t>
      </w:r>
      <w:r w:rsidRPr="001C48D4">
        <w:rPr>
          <w:i/>
          <w:iCs/>
        </w:rPr>
        <w:t xml:space="preserve">Standard </w:t>
      </w:r>
      <w:r w:rsidR="004C24BB">
        <w:rPr>
          <w:i/>
          <w:iCs/>
        </w:rPr>
        <w:t>v</w:t>
      </w:r>
      <w:r w:rsidRPr="001C48D4">
        <w:rPr>
          <w:i/>
          <w:iCs/>
        </w:rPr>
        <w:t xml:space="preserve">ehicle </w:t>
      </w:r>
      <w:r w:rsidR="004C24BB">
        <w:rPr>
          <w:i/>
          <w:iCs/>
        </w:rPr>
        <w:t>m</w:t>
      </w:r>
      <w:r w:rsidRPr="001C48D4">
        <w:rPr>
          <w:i/>
          <w:iCs/>
        </w:rPr>
        <w:t xml:space="preserve">otor </w:t>
      </w:r>
      <w:r w:rsidR="004C24BB">
        <w:rPr>
          <w:i/>
          <w:iCs/>
        </w:rPr>
        <w:t>p</w:t>
      </w:r>
      <w:r w:rsidRPr="001C48D4">
        <w:rPr>
          <w:i/>
          <w:iCs/>
        </w:rPr>
        <w:t xml:space="preserve">olicy </w:t>
      </w:r>
      <w:r>
        <w:t>requires lease terms of three years</w:t>
      </w:r>
    </w:p>
    <w:p w14:paraId="360688AD" w14:textId="442E53E1" w:rsidR="008C5BC2" w:rsidRPr="0091436C" w:rsidRDefault="00C31A10" w:rsidP="008C5BC2">
      <w:pPr>
        <w:pStyle w:val="DHHSbody"/>
      </w:pPr>
      <w:r w:rsidRPr="00C31A10">
        <w:t xml:space="preserve">Health services should, however, consider planning for the uptake of electric vehicles. This could include, for example, trialling electric vehicles to </w:t>
      </w:r>
      <w:proofErr w:type="spellStart"/>
      <w:r w:rsidRPr="00C31A10">
        <w:t>familarise</w:t>
      </w:r>
      <w:proofErr w:type="spellEnd"/>
      <w:r w:rsidRPr="00C31A10">
        <w:t xml:space="preserve"> them with staff, installing charging infrastructure to encourage use within the broader community, or future</w:t>
      </w:r>
      <w:r w:rsidR="004C24BB">
        <w:t>-</w:t>
      </w:r>
      <w:r w:rsidRPr="00C31A10">
        <w:t>proofing carpark infrastructure to enable charging stations to be installed at a later date.</w:t>
      </w:r>
    </w:p>
    <w:p w14:paraId="33B6203A" w14:textId="77777777" w:rsidR="008C5BC2" w:rsidRPr="00E10B33" w:rsidRDefault="008C5BC2" w:rsidP="008C5BC2">
      <w:pPr>
        <w:pStyle w:val="DHHSbody"/>
        <w:rPr>
          <w:lang w:val="fr-FR"/>
        </w:rPr>
      </w:pPr>
    </w:p>
    <w:tbl>
      <w:tblPr>
        <w:tblW w:w="4895" w:type="pct"/>
        <w:tblInd w:w="113" w:type="dxa"/>
        <w:tblCellMar>
          <w:top w:w="113" w:type="dxa"/>
          <w:bottom w:w="57" w:type="dxa"/>
        </w:tblCellMar>
        <w:tblLook w:val="00A0" w:firstRow="1" w:lastRow="0" w:firstColumn="1" w:lastColumn="0" w:noHBand="0" w:noVBand="0"/>
      </w:tblPr>
      <w:tblGrid>
        <w:gridCol w:w="9980"/>
      </w:tblGrid>
      <w:tr w:rsidR="008C5BC2" w:rsidRPr="002802E3" w14:paraId="755D795C" w14:textId="77777777" w:rsidTr="006231F7">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6CFF2091" w14:textId="77777777" w:rsidR="008C5BC2" w:rsidRPr="00C31117" w:rsidRDefault="008C5BC2" w:rsidP="006231F7">
            <w:pPr>
              <w:pStyle w:val="DHHSaccessibilitypara"/>
            </w:pPr>
            <w:r w:rsidRPr="00C31117">
              <w:t xml:space="preserve">To receive this publication in an accessible format </w:t>
            </w:r>
            <w:r w:rsidRPr="001801F7">
              <w:t xml:space="preserve">phone (03) 9194 8565, using the National Relay Service 13 36 77 if required, </w:t>
            </w:r>
            <w:r w:rsidR="00487797" w:rsidRPr="001801F7">
              <w:t xml:space="preserve">or </w:t>
            </w:r>
            <w:hyperlink r:id="rId11" w:history="1">
              <w:r w:rsidR="00487797" w:rsidRPr="00F34D92">
                <w:rPr>
                  <w:rStyle w:val="Hyperlink"/>
                </w:rPr>
                <w:t>email Environmental Sustainability</w:t>
              </w:r>
            </w:hyperlink>
            <w:r w:rsidR="00487797">
              <w:rPr>
                <w:rFonts w:cs="Arial"/>
                <w:color w:val="000000"/>
                <w:sz w:val="18"/>
                <w:szCs w:val="18"/>
                <w:shd w:val="clear" w:color="auto" w:fill="FFFFFF"/>
              </w:rPr>
              <w:t xml:space="preserve"> </w:t>
            </w:r>
            <w:r w:rsidR="00487797" w:rsidRPr="00C31117">
              <w:t>&lt;</w:t>
            </w:r>
            <w:r w:rsidR="00487797" w:rsidRPr="00B9542A">
              <w:t>sustainability@dhhs.vic.gov.au</w:t>
            </w:r>
            <w:r w:rsidR="00487797" w:rsidRPr="00C31117">
              <w:t>&gt;</w:t>
            </w:r>
            <w:r w:rsidR="00487797">
              <w:t>.</w:t>
            </w:r>
          </w:p>
          <w:p w14:paraId="1291502B" w14:textId="77777777" w:rsidR="008C5BC2" w:rsidRPr="00C31117" w:rsidRDefault="008C5BC2" w:rsidP="006231F7">
            <w:pPr>
              <w:pStyle w:val="DHHSbody"/>
            </w:pPr>
            <w:r w:rsidRPr="00C31117">
              <w:t>Authorised and published by the Victorian Government, 1 Treasury Place, Melbourne.</w:t>
            </w:r>
          </w:p>
          <w:p w14:paraId="6BBD2DE7" w14:textId="484AC205" w:rsidR="008C5BC2" w:rsidRPr="00C31117" w:rsidRDefault="008C5BC2" w:rsidP="006231F7">
            <w:pPr>
              <w:pStyle w:val="DHHSbody"/>
            </w:pPr>
            <w:r w:rsidRPr="00C31117">
              <w:t xml:space="preserve">© State of Victoria, </w:t>
            </w:r>
            <w:r w:rsidR="00C341B9">
              <w:t xml:space="preserve">Australia, </w:t>
            </w:r>
            <w:r>
              <w:t>Department of Health and Human Service</w:t>
            </w:r>
            <w:r w:rsidRPr="00C31117">
              <w:t>s</w:t>
            </w:r>
            <w:r w:rsidR="00CD364D">
              <w:t>,</w:t>
            </w:r>
            <w:r>
              <w:t xml:space="preserve"> </w:t>
            </w:r>
            <w:r w:rsidR="00C9466E">
              <w:t>September</w:t>
            </w:r>
            <w:r w:rsidRPr="008C5BC2">
              <w:t xml:space="preserve"> 2019</w:t>
            </w:r>
            <w:r w:rsidRPr="00C31117">
              <w:t>.</w:t>
            </w:r>
          </w:p>
          <w:p w14:paraId="5396DE2B" w14:textId="77777777" w:rsidR="00022B22" w:rsidRDefault="00022B22" w:rsidP="006231F7">
            <w:pPr>
              <w:pStyle w:val="DHHSbody"/>
            </w:pPr>
            <w:r w:rsidRPr="00022B22">
              <w:t xml:space="preserve">ISBN 978-1-76069-017-5 (pdf/online/MS word) </w:t>
            </w:r>
          </w:p>
          <w:p w14:paraId="5DD5FD26" w14:textId="77777777" w:rsidR="008C5BC2" w:rsidRPr="002802E3" w:rsidRDefault="008C5BC2" w:rsidP="006231F7">
            <w:pPr>
              <w:pStyle w:val="DHHSbody"/>
            </w:pPr>
            <w:r w:rsidRPr="00C31117">
              <w:rPr>
                <w:szCs w:val="19"/>
              </w:rPr>
              <w:t xml:space="preserve">Available </w:t>
            </w:r>
            <w:r w:rsidR="00487797">
              <w:t xml:space="preserve">from the department’s </w:t>
            </w:r>
            <w:hyperlink r:id="rId12" w:history="1">
              <w:r w:rsidR="00487797" w:rsidRPr="00F34D92">
                <w:rPr>
                  <w:rStyle w:val="Hyperlink"/>
                </w:rPr>
                <w:t>Environmental Sustainability webpage</w:t>
              </w:r>
            </w:hyperlink>
            <w:r w:rsidR="00487797" w:rsidRPr="006254F8">
              <w:rPr>
                <w:color w:val="000000"/>
                <w:szCs w:val="19"/>
              </w:rPr>
              <w:t xml:space="preserve"> </w:t>
            </w:r>
            <w:r w:rsidR="00487797" w:rsidRPr="006254F8">
              <w:rPr>
                <w:color w:val="000000"/>
              </w:rPr>
              <w:t>&lt;</w:t>
            </w:r>
            <w:r w:rsidR="00487797" w:rsidRPr="00B9542A">
              <w:t>www.health.vic.gov.au/sustainability</w:t>
            </w:r>
            <w:r w:rsidR="00487797" w:rsidRPr="006254F8">
              <w:rPr>
                <w:color w:val="000000"/>
              </w:rPr>
              <w:t>&gt;</w:t>
            </w:r>
            <w:r w:rsidR="00487797">
              <w:rPr>
                <w:color w:val="000000"/>
              </w:rPr>
              <w:t>.</w:t>
            </w:r>
          </w:p>
        </w:tc>
      </w:tr>
    </w:tbl>
    <w:p w14:paraId="1E05C778" w14:textId="77777777" w:rsidR="008C5BC2" w:rsidRPr="008C5BC2" w:rsidRDefault="008C5BC2" w:rsidP="008C5BC2">
      <w:pPr>
        <w:pStyle w:val="DHHSbody"/>
      </w:pPr>
    </w:p>
    <w:sectPr w:rsidR="008C5BC2" w:rsidRPr="008C5BC2" w:rsidSect="00F01E5F">
      <w:headerReference w:type="default" r:id="rId13"/>
      <w:footerReference w:type="default" r:id="rId14"/>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EC8B6" w14:textId="77777777" w:rsidR="00636A45" w:rsidRDefault="00636A45">
      <w:r>
        <w:separator/>
      </w:r>
    </w:p>
  </w:endnote>
  <w:endnote w:type="continuationSeparator" w:id="0">
    <w:p w14:paraId="118DEA7F" w14:textId="77777777" w:rsidR="00636A45" w:rsidRDefault="0063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97C0" w14:textId="77777777" w:rsidR="009D70A4" w:rsidRPr="00F65AA9" w:rsidRDefault="002C4E84" w:rsidP="0051568D">
    <w:pPr>
      <w:pStyle w:val="DHHSfooter"/>
    </w:pPr>
    <w:r>
      <w:rPr>
        <w:noProof/>
      </w:rPr>
      <w:drawing>
        <wp:anchor distT="0" distB="0" distL="114300" distR="114300" simplePos="0" relativeHeight="251657728" behindDoc="0" locked="1" layoutInCell="0" allowOverlap="1" wp14:anchorId="0D6202F8" wp14:editId="041889B6">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E3C21" w14:textId="77777777" w:rsidR="009D70A4" w:rsidRPr="00A11421" w:rsidRDefault="008C5BC2" w:rsidP="0051568D">
    <w:pPr>
      <w:pStyle w:val="DHHSfooter"/>
    </w:pPr>
    <w:r w:rsidRPr="008C5BC2">
      <w:t>Fleet management: planning for electric vehicles in the health sector</w:t>
    </w:r>
    <w:r w:rsidR="009D70A4" w:rsidRPr="00A11421">
      <w:tab/>
    </w:r>
    <w:r w:rsidR="009D70A4" w:rsidRPr="00A11421">
      <w:fldChar w:fldCharType="begin"/>
    </w:r>
    <w:r w:rsidR="009D70A4" w:rsidRPr="00A11421">
      <w:instrText xml:space="preserve"> PAGE </w:instrText>
    </w:r>
    <w:r w:rsidR="009D70A4" w:rsidRPr="00A11421">
      <w:fldChar w:fldCharType="separate"/>
    </w:r>
    <w:r w:rsidR="000B23FD">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6F62C" w14:textId="77777777" w:rsidR="00636A45" w:rsidRDefault="00636A45" w:rsidP="002862F1">
      <w:pPr>
        <w:spacing w:before="120"/>
      </w:pPr>
      <w:r>
        <w:separator/>
      </w:r>
    </w:p>
  </w:footnote>
  <w:footnote w:type="continuationSeparator" w:id="0">
    <w:p w14:paraId="566E7287" w14:textId="77777777" w:rsidR="00636A45" w:rsidRDefault="00636A45">
      <w:r>
        <w:continuationSeparator/>
      </w:r>
    </w:p>
  </w:footnote>
  <w:footnote w:id="1">
    <w:p w14:paraId="6EDDCBF4" w14:textId="1E47E643" w:rsidR="00CD364D" w:rsidRDefault="00CD364D">
      <w:pPr>
        <w:pStyle w:val="FootnoteText"/>
      </w:pPr>
      <w:r>
        <w:rPr>
          <w:rStyle w:val="FootnoteReference"/>
        </w:rPr>
        <w:footnoteRef/>
      </w:r>
      <w:r>
        <w:t xml:space="preserve"> </w:t>
      </w:r>
      <w:r w:rsidRPr="00CD364D">
        <w:t>Ergon Energy 2019</w:t>
      </w:r>
      <w:r>
        <w:t>,</w:t>
      </w:r>
      <w:r w:rsidRPr="00CD364D">
        <w:t xml:space="preserve"> </w:t>
      </w:r>
      <w:hyperlink r:id="rId1" w:history="1">
        <w:r w:rsidRPr="00CD364D">
          <w:rPr>
            <w:rStyle w:val="Hyperlink"/>
            <w:i/>
            <w:iCs/>
          </w:rPr>
          <w:t>Benefits of electric vehicles</w:t>
        </w:r>
      </w:hyperlink>
      <w:r>
        <w:t xml:space="preserve"> &lt;</w:t>
      </w:r>
      <w:r w:rsidRPr="00CD364D">
        <w:t>https://www.ergon.com.au/network/smarter-energy/electric-vehicles/benefits-of-electric-vehicles</w:t>
      </w:r>
      <w:r>
        <w:t>&gt;</w:t>
      </w:r>
    </w:p>
  </w:footnote>
  <w:footnote w:id="2">
    <w:p w14:paraId="3C67C5A3" w14:textId="0C4B422D" w:rsidR="008C5BC2" w:rsidRDefault="008C5BC2" w:rsidP="008C5BC2">
      <w:pPr>
        <w:pStyle w:val="FootnoteText"/>
      </w:pPr>
      <w:r>
        <w:rPr>
          <w:rStyle w:val="FootnoteReference"/>
        </w:rPr>
        <w:footnoteRef/>
      </w:r>
      <w:r>
        <w:t xml:space="preserve"> Assuming an average cost of electricity of 16 c/kWh and an average cost of ULP of $1.35/</w:t>
      </w:r>
      <w:r w:rsidR="009A7E09">
        <w:t>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42B1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7B96CDA"/>
    <w:multiLevelType w:val="multilevel"/>
    <w:tmpl w:val="ACFE2276"/>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3"/>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C2"/>
    <w:rsid w:val="000072B6"/>
    <w:rsid w:val="0001021B"/>
    <w:rsid w:val="00011D89"/>
    <w:rsid w:val="00022B22"/>
    <w:rsid w:val="00024D89"/>
    <w:rsid w:val="000250B6"/>
    <w:rsid w:val="00027591"/>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1094"/>
    <w:rsid w:val="001A3ACE"/>
    <w:rsid w:val="001C277E"/>
    <w:rsid w:val="001C2A72"/>
    <w:rsid w:val="001C48D4"/>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806"/>
    <w:rsid w:val="002B4DD4"/>
    <w:rsid w:val="002B5277"/>
    <w:rsid w:val="002B5375"/>
    <w:rsid w:val="002B77C1"/>
    <w:rsid w:val="002C2728"/>
    <w:rsid w:val="002C4E84"/>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B6901"/>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87797"/>
    <w:rsid w:val="00490746"/>
    <w:rsid w:val="00490852"/>
    <w:rsid w:val="00492F30"/>
    <w:rsid w:val="004946F4"/>
    <w:rsid w:val="0049487E"/>
    <w:rsid w:val="004A160D"/>
    <w:rsid w:val="004A3E81"/>
    <w:rsid w:val="004A5C62"/>
    <w:rsid w:val="004A707D"/>
    <w:rsid w:val="004C24BB"/>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21B3"/>
    <w:rsid w:val="005C2974"/>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1361F"/>
    <w:rsid w:val="0062408D"/>
    <w:rsid w:val="006240CC"/>
    <w:rsid w:val="00627DA7"/>
    <w:rsid w:val="006358B4"/>
    <w:rsid w:val="00636A45"/>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47B01"/>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152A"/>
    <w:rsid w:val="008C2F92"/>
    <w:rsid w:val="008C5BC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A7E09"/>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4D39"/>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0C6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1A10"/>
    <w:rsid w:val="00C33388"/>
    <w:rsid w:val="00C341B9"/>
    <w:rsid w:val="00C35484"/>
    <w:rsid w:val="00C4173A"/>
    <w:rsid w:val="00C602FF"/>
    <w:rsid w:val="00C61174"/>
    <w:rsid w:val="00C6148F"/>
    <w:rsid w:val="00C62F7A"/>
    <w:rsid w:val="00C63B9C"/>
    <w:rsid w:val="00C6682F"/>
    <w:rsid w:val="00C7275E"/>
    <w:rsid w:val="00C74C5D"/>
    <w:rsid w:val="00C863C4"/>
    <w:rsid w:val="00C86ABB"/>
    <w:rsid w:val="00C93C3E"/>
    <w:rsid w:val="00C9466E"/>
    <w:rsid w:val="00C956A5"/>
    <w:rsid w:val="00CA12E3"/>
    <w:rsid w:val="00CA6611"/>
    <w:rsid w:val="00CA6AE6"/>
    <w:rsid w:val="00CA782F"/>
    <w:rsid w:val="00CC0C72"/>
    <w:rsid w:val="00CC2BFD"/>
    <w:rsid w:val="00CD3476"/>
    <w:rsid w:val="00CD364D"/>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B00E0"/>
    <w:rsid w:val="00EC059F"/>
    <w:rsid w:val="00EC1F24"/>
    <w:rsid w:val="00EC22F6"/>
    <w:rsid w:val="00ED5B9B"/>
    <w:rsid w:val="00ED66A4"/>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3B39"/>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6827B3"/>
  <w15:chartTrackingRefBased/>
  <w15:docId w15:val="{13BFD991-74A5-4F60-9D35-79654C00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8C5BC2"/>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DHHStablebullet2">
    <w:name w:val="DHHS table bullet 2"/>
    <w:basedOn w:val="DHHStabletext"/>
    <w:uiPriority w:val="11"/>
    <w:rsid w:val="008C5BC2"/>
    <w:pPr>
      <w:numPr>
        <w:ilvl w:val="1"/>
        <w:numId w:val="10"/>
      </w:numPr>
    </w:pPr>
  </w:style>
  <w:style w:type="paragraph" w:customStyle="1" w:styleId="DHHStablebullet1">
    <w:name w:val="DHHS table bullet 1"/>
    <w:basedOn w:val="DHHStabletext"/>
    <w:uiPriority w:val="3"/>
    <w:qFormat/>
    <w:rsid w:val="008C5BC2"/>
    <w:pPr>
      <w:numPr>
        <w:numId w:val="10"/>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numbering" w:customStyle="1" w:styleId="ZZTablebullets">
    <w:name w:val="ZZ Table bullets"/>
    <w:basedOn w:val="NoList"/>
    <w:rsid w:val="008C5BC2"/>
    <w:pPr>
      <w:numPr>
        <w:numId w:val="10"/>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613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61F"/>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9A7E09"/>
    <w:rPr>
      <w:color w:val="605E5C"/>
      <w:shd w:val="clear" w:color="auto" w:fill="E1DFDD"/>
    </w:rPr>
  </w:style>
  <w:style w:type="character" w:styleId="CommentReference">
    <w:name w:val="annotation reference"/>
    <w:basedOn w:val="DefaultParagraphFont"/>
    <w:uiPriority w:val="99"/>
    <w:semiHidden/>
    <w:unhideWhenUsed/>
    <w:rsid w:val="009A7E09"/>
    <w:rPr>
      <w:sz w:val="16"/>
      <w:szCs w:val="16"/>
    </w:rPr>
  </w:style>
  <w:style w:type="paragraph" w:styleId="CommentText">
    <w:name w:val="annotation text"/>
    <w:basedOn w:val="Normal"/>
    <w:link w:val="CommentTextChar"/>
    <w:uiPriority w:val="99"/>
    <w:semiHidden/>
    <w:unhideWhenUsed/>
    <w:rsid w:val="009A7E09"/>
  </w:style>
  <w:style w:type="character" w:customStyle="1" w:styleId="CommentTextChar">
    <w:name w:val="Comment Text Char"/>
    <w:basedOn w:val="DefaultParagraphFont"/>
    <w:link w:val="CommentText"/>
    <w:uiPriority w:val="99"/>
    <w:semiHidden/>
    <w:rsid w:val="009A7E0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A7E09"/>
    <w:rPr>
      <w:b/>
      <w:bCs/>
    </w:rPr>
  </w:style>
  <w:style w:type="character" w:customStyle="1" w:styleId="CommentSubjectChar">
    <w:name w:val="Comment Subject Char"/>
    <w:basedOn w:val="CommentTextChar"/>
    <w:link w:val="CommentSubject"/>
    <w:uiPriority w:val="99"/>
    <w:semiHidden/>
    <w:rsid w:val="009A7E09"/>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vic.gov.au/sustainabil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tainability@dhhs.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electriccar.com.au/charge-stations-in-austral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ergon.com.au/network/smarter-energy/electric-vehicles/benefits-of-electric-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0DAC7-9B24-4D65-B563-5D1427E9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1768</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Fleet management: planning for electric vehicles in the health sector</vt:lpstr>
    </vt:vector>
  </TitlesOfParts>
  <Company>Department of Health and Human Services</Company>
  <LinksUpToDate>false</LinksUpToDate>
  <CharactersWithSpaces>11786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 management: planning for electric vehicles in the health sector</dc:title>
  <dc:subject>Fleet management: planning for electric vehicles in the health sector</dc:subject>
  <dc:creator>Environmental Sustainability</dc:creator>
  <cp:keywords>Fleet management, electric vehicles, health sector</cp:keywords>
  <cp:lastModifiedBy>Tiernan Humphrys (DHHS)</cp:lastModifiedBy>
  <cp:revision>5</cp:revision>
  <cp:lastPrinted>2015-08-21T04:17:00Z</cp:lastPrinted>
  <dcterms:created xsi:type="dcterms:W3CDTF">2019-09-17T23:06:00Z</dcterms:created>
  <dcterms:modified xsi:type="dcterms:W3CDTF">2019-09-17T23:32:00Z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