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6A0A" w14:textId="2D24ABD8" w:rsidR="00485673" w:rsidRPr="00485673" w:rsidRDefault="003D5655" w:rsidP="00485673">
      <w:pPr>
        <w:rPr>
          <w:b/>
          <w:bCs/>
          <w:sz w:val="32"/>
          <w:szCs w:val="32"/>
        </w:rPr>
      </w:pPr>
      <w:r w:rsidRPr="00485673">
        <w:rPr>
          <w:b/>
          <w:bCs/>
          <w:sz w:val="32"/>
          <w:szCs w:val="32"/>
        </w:rPr>
        <w:t xml:space="preserve">Blood sampling </w:t>
      </w:r>
      <w:r w:rsidR="00485673" w:rsidRPr="00485673">
        <w:rPr>
          <w:b/>
          <w:bCs/>
          <w:sz w:val="32"/>
          <w:szCs w:val="32"/>
        </w:rPr>
        <w:t>volume audit 2019</w:t>
      </w:r>
    </w:p>
    <w:p w14:paraId="29C1EEBB" w14:textId="77777777" w:rsidR="00485673" w:rsidRDefault="00485673" w:rsidP="00485673">
      <w:pPr>
        <w:rPr>
          <w:b/>
          <w:bCs/>
        </w:rPr>
      </w:pPr>
    </w:p>
    <w:p w14:paraId="0FF04165" w14:textId="77777777" w:rsidR="00485673" w:rsidRPr="00485673" w:rsidRDefault="00485673" w:rsidP="00485673">
      <w:pPr>
        <w:rPr>
          <w:b/>
          <w:bCs/>
        </w:rPr>
      </w:pPr>
      <w:r w:rsidRPr="00485673">
        <w:rPr>
          <w:b/>
          <w:bCs/>
        </w:rPr>
        <w:t xml:space="preserve">Introduction </w:t>
      </w:r>
    </w:p>
    <w:p w14:paraId="6D31EAFB" w14:textId="102D7083" w:rsidR="0020524C" w:rsidRDefault="00485673" w:rsidP="00485673">
      <w:r w:rsidRPr="00485673">
        <w:t>Iatrogenic anaemia is a term applied to the anaemia that results from blood loss due to repeated blood sampling to obtain specimens for laboratory testing. Strategies to reduce iatrogenic blood loss include altering of test ordering behaviour (limiting the number of tests ordered), micro-sampling, reinfusion of blood drawn from indwelling devices and point of care microanalysis (</w:t>
      </w:r>
      <w:r w:rsidR="0020524C" w:rsidRPr="0020524C">
        <w:t xml:space="preserve">National Blood Authority </w:t>
      </w:r>
      <w:r w:rsidR="0020524C">
        <w:t>(</w:t>
      </w:r>
      <w:r w:rsidRPr="00485673">
        <w:t>NBA</w:t>
      </w:r>
      <w:r w:rsidR="0020524C">
        <w:t>)</w:t>
      </w:r>
      <w:r w:rsidRPr="00485673">
        <w:t xml:space="preserve"> 2014). </w:t>
      </w:r>
    </w:p>
    <w:p w14:paraId="0F0981C8" w14:textId="2AD59A36" w:rsidR="00485673" w:rsidRDefault="0020524C" w:rsidP="00485673">
      <w:r w:rsidRPr="0020524C">
        <w:t>For every 100 mL of blood withdrawn, there is a decrease of 7 g/L in haemoglobin.</w:t>
      </w:r>
      <w:bookmarkStart w:id="0" w:name="_GoBack"/>
      <w:bookmarkEnd w:id="0"/>
      <w:r w:rsidRPr="0020524C">
        <w:t xml:space="preserve"> A reduction in iatrogenic blood loss reduces the risk of anaemia and potentially the need for blood transfusion (</w:t>
      </w:r>
      <w:r>
        <w:t>NBA</w:t>
      </w:r>
      <w:r w:rsidRPr="0020524C">
        <w:t xml:space="preserve"> 2018).</w:t>
      </w:r>
      <w:r w:rsidR="00B8037E">
        <w:t xml:space="preserve"> </w:t>
      </w:r>
      <w:r w:rsidR="00485673" w:rsidRPr="00485673">
        <w:t>The use of micro-sampling has been shown to significantly reduce the volume of blood loss and has been associated with a significant reduction in blood transfusion (</w:t>
      </w:r>
      <w:proofErr w:type="spellStart"/>
      <w:r w:rsidR="00485673" w:rsidRPr="00485673">
        <w:t>Tinmouth</w:t>
      </w:r>
      <w:proofErr w:type="spellEnd"/>
      <w:r w:rsidR="00485673" w:rsidRPr="00485673">
        <w:t xml:space="preserve"> 2008). Implementing strategies to reduce iatrogenic blood loss in an organisation requires strategic planning, communication and implementation with relevant stakeholders such as medical staff, laboratory scientist and nursing staff. </w:t>
      </w:r>
    </w:p>
    <w:p w14:paraId="7AC49112" w14:textId="77777777" w:rsidR="00485673" w:rsidRPr="00485673" w:rsidRDefault="00485673" w:rsidP="00485673"/>
    <w:p w14:paraId="61FE6150" w14:textId="77777777" w:rsidR="00485673" w:rsidRDefault="00485673" w:rsidP="00485673">
      <w:r w:rsidRPr="00485673">
        <w:t>In 2017 Blood Matters undertook a snapshot audit of health service practices that could minimise iatrogenic anaemia associated with blood sampling.</w:t>
      </w:r>
    </w:p>
    <w:p w14:paraId="76E82AFA" w14:textId="77777777" w:rsidR="00485673" w:rsidRDefault="00485673" w:rsidP="00485673"/>
    <w:p w14:paraId="43C5AEC2" w14:textId="77777777" w:rsidR="00485673" w:rsidRPr="00485673" w:rsidRDefault="00485673" w:rsidP="00485673">
      <w:r>
        <w:t>This audit (2019):</w:t>
      </w:r>
    </w:p>
    <w:p w14:paraId="11CE1EB9" w14:textId="77777777" w:rsidR="00485673" w:rsidRPr="00485673" w:rsidRDefault="00485673" w:rsidP="00485673">
      <w:pPr>
        <w:rPr>
          <w:b/>
          <w:bCs/>
        </w:rPr>
      </w:pPr>
      <w:r w:rsidRPr="00485673">
        <w:rPr>
          <w:b/>
          <w:bCs/>
        </w:rPr>
        <w:t>Aims</w:t>
      </w:r>
    </w:p>
    <w:p w14:paraId="2B7D554F" w14:textId="77777777" w:rsidR="00485673" w:rsidRPr="00485673" w:rsidRDefault="00485673" w:rsidP="00485673">
      <w:pPr>
        <w:numPr>
          <w:ilvl w:val="0"/>
          <w:numId w:val="17"/>
        </w:numPr>
      </w:pPr>
      <w:r w:rsidRPr="00485673">
        <w:t>To identify policy and practice changes that have occurred since 2017 audit.</w:t>
      </w:r>
    </w:p>
    <w:p w14:paraId="023E70B9" w14:textId="147746DF" w:rsidR="00485673" w:rsidRPr="00485673" w:rsidRDefault="00485673" w:rsidP="00485673">
      <w:pPr>
        <w:numPr>
          <w:ilvl w:val="0"/>
          <w:numId w:val="17"/>
        </w:numPr>
      </w:pPr>
      <w:r w:rsidRPr="00485673">
        <w:t xml:space="preserve">To assess total blood volume taken from patients for samples (testing &amp; discard) in a designated clinical area for seven </w:t>
      </w:r>
      <w:r w:rsidR="004B4C45">
        <w:t xml:space="preserve">consecutive </w:t>
      </w:r>
      <w:r w:rsidRPr="00485673">
        <w:t>days.</w:t>
      </w:r>
    </w:p>
    <w:p w14:paraId="30772573" w14:textId="77777777" w:rsidR="00485673" w:rsidRPr="00485673" w:rsidRDefault="00485673" w:rsidP="00485673">
      <w:pPr>
        <w:rPr>
          <w:b/>
          <w:bCs/>
        </w:rPr>
      </w:pPr>
    </w:p>
    <w:p w14:paraId="65E4881E" w14:textId="77777777" w:rsidR="00485673" w:rsidRPr="00485673" w:rsidRDefault="00485673" w:rsidP="00485673">
      <w:pPr>
        <w:rPr>
          <w:b/>
          <w:bCs/>
        </w:rPr>
      </w:pPr>
      <w:r w:rsidRPr="00485673">
        <w:rPr>
          <w:b/>
          <w:bCs/>
        </w:rPr>
        <w:t>Method</w:t>
      </w:r>
    </w:p>
    <w:p w14:paraId="0B46C17E" w14:textId="77777777" w:rsidR="00485673" w:rsidRPr="00485673" w:rsidRDefault="00485673" w:rsidP="00485673">
      <w:pPr>
        <w:rPr>
          <w:bCs/>
        </w:rPr>
      </w:pPr>
      <w:r w:rsidRPr="00485673">
        <w:rPr>
          <w:bCs/>
        </w:rPr>
        <w:t>This audit comprises of two parts:</w:t>
      </w:r>
    </w:p>
    <w:p w14:paraId="3479A30A" w14:textId="77777777" w:rsidR="00485673" w:rsidRPr="00485673" w:rsidRDefault="00485673" w:rsidP="00485673">
      <w:pPr>
        <w:ind w:firstLine="720"/>
        <w:rPr>
          <w:bCs/>
        </w:rPr>
      </w:pPr>
      <w:r w:rsidRPr="00485673">
        <w:rPr>
          <w:bCs/>
        </w:rPr>
        <w:t>Part A: Desktop audit of policy and procedures</w:t>
      </w:r>
    </w:p>
    <w:p w14:paraId="39708D2D" w14:textId="77777777" w:rsidR="00485673" w:rsidRDefault="00485673" w:rsidP="00485673">
      <w:pPr>
        <w:ind w:left="720"/>
        <w:rPr>
          <w:bCs/>
        </w:rPr>
      </w:pPr>
      <w:r w:rsidRPr="00485673">
        <w:rPr>
          <w:bCs/>
        </w:rPr>
        <w:t>Part B: Bedside prospective audit of practice – of all patients in one selected clinical area for one week (7 days).</w:t>
      </w:r>
    </w:p>
    <w:p w14:paraId="2DE4C952" w14:textId="77777777" w:rsidR="00485673" w:rsidRPr="00485673" w:rsidRDefault="00485673" w:rsidP="00485673">
      <w:pPr>
        <w:ind w:left="720"/>
        <w:rPr>
          <w:bCs/>
        </w:rPr>
      </w:pPr>
    </w:p>
    <w:p w14:paraId="3D0C1DB0" w14:textId="77777777" w:rsidR="00485673" w:rsidRPr="00485673" w:rsidRDefault="00485673" w:rsidP="00485673">
      <w:pPr>
        <w:rPr>
          <w:bCs/>
        </w:rPr>
      </w:pPr>
      <w:r w:rsidRPr="00485673">
        <w:rPr>
          <w:bCs/>
        </w:rPr>
        <w:t>Audit open from 1 August 2019, with data entry to be completed by 20 September 2019.</w:t>
      </w:r>
    </w:p>
    <w:p w14:paraId="14DBCD0B" w14:textId="77777777" w:rsidR="00485673" w:rsidRPr="00485673" w:rsidRDefault="00485673" w:rsidP="00485673">
      <w:pPr>
        <w:rPr>
          <w:bCs/>
        </w:rPr>
      </w:pPr>
    </w:p>
    <w:p w14:paraId="4F55EC3F" w14:textId="77777777" w:rsidR="00485673" w:rsidRPr="00485673" w:rsidRDefault="00485673" w:rsidP="00485673">
      <w:r w:rsidRPr="00485673">
        <w:rPr>
          <w:b/>
          <w:u w:val="single"/>
        </w:rPr>
        <w:t>Please complete all health service data entry by Friday 20 September 2019</w:t>
      </w:r>
    </w:p>
    <w:p w14:paraId="2E551124" w14:textId="77777777" w:rsidR="00485673" w:rsidRPr="00485673" w:rsidRDefault="00485673" w:rsidP="00485673">
      <w:pPr>
        <w:rPr>
          <w:bCs/>
        </w:rPr>
      </w:pPr>
    </w:p>
    <w:p w14:paraId="107F6D45" w14:textId="77777777" w:rsidR="00485673" w:rsidRPr="00485673" w:rsidRDefault="00485673" w:rsidP="00485673">
      <w:pPr>
        <w:rPr>
          <w:bCs/>
        </w:rPr>
      </w:pPr>
      <w:r w:rsidRPr="00485673">
        <w:rPr>
          <w:bCs/>
        </w:rPr>
        <w:t>Links to audit tools:</w:t>
      </w:r>
    </w:p>
    <w:p w14:paraId="038FA5B8" w14:textId="12E2F3F2" w:rsidR="00485673" w:rsidRDefault="00485673" w:rsidP="00485673">
      <w:pPr>
        <w:rPr>
          <w:b/>
          <w:bCs/>
        </w:rPr>
      </w:pPr>
      <w:r w:rsidRPr="00485673">
        <w:rPr>
          <w:b/>
          <w:bCs/>
        </w:rPr>
        <w:t xml:space="preserve">Part A: </w:t>
      </w:r>
      <w:hyperlink r:id="rId7" w:history="1">
        <w:r w:rsidR="00F439B2" w:rsidRPr="00DB5493">
          <w:rPr>
            <w:rStyle w:val="Hyperlink"/>
            <w:b/>
            <w:bCs/>
          </w:rPr>
          <w:t>https://dhhsvic.limequery.com/318161?newtest=Y&amp;lang=en</w:t>
        </w:r>
      </w:hyperlink>
      <w:r w:rsidR="00F439B2">
        <w:rPr>
          <w:b/>
          <w:bCs/>
        </w:rPr>
        <w:t xml:space="preserve"> </w:t>
      </w:r>
    </w:p>
    <w:p w14:paraId="38D5396B" w14:textId="77777777" w:rsidR="00485673" w:rsidRPr="00485673" w:rsidRDefault="00485673" w:rsidP="00485673">
      <w:pPr>
        <w:rPr>
          <w:b/>
          <w:bCs/>
        </w:rPr>
      </w:pPr>
    </w:p>
    <w:p w14:paraId="670892D6" w14:textId="0E3EF72B" w:rsidR="00485673" w:rsidRPr="00485673" w:rsidRDefault="00485673" w:rsidP="00485673">
      <w:pPr>
        <w:rPr>
          <w:b/>
          <w:bCs/>
        </w:rPr>
      </w:pPr>
      <w:r w:rsidRPr="00485673">
        <w:rPr>
          <w:b/>
          <w:bCs/>
        </w:rPr>
        <w:t>Part B: bedside data collection sheets</w:t>
      </w:r>
    </w:p>
    <w:p w14:paraId="4EF61B32" w14:textId="5642598A" w:rsidR="00485673" w:rsidRPr="00485673" w:rsidRDefault="00485673" w:rsidP="00485673">
      <w:pPr>
        <w:ind w:firstLine="720"/>
        <w:rPr>
          <w:b/>
          <w:bCs/>
        </w:rPr>
      </w:pPr>
      <w:r>
        <w:rPr>
          <w:b/>
          <w:bCs/>
        </w:rPr>
        <w:t xml:space="preserve">  </w:t>
      </w:r>
      <w:r w:rsidRPr="00485673">
        <w:rPr>
          <w:b/>
          <w:bCs/>
        </w:rPr>
        <w:t xml:space="preserve">Data entry </w:t>
      </w:r>
      <w:r w:rsidR="004B4C45">
        <w:rPr>
          <w:b/>
          <w:bCs/>
        </w:rPr>
        <w:t xml:space="preserve">submission </w:t>
      </w:r>
      <w:r w:rsidRPr="00485673">
        <w:rPr>
          <w:b/>
          <w:bCs/>
        </w:rPr>
        <w:t>to Blood Matters</w:t>
      </w:r>
    </w:p>
    <w:p w14:paraId="527E25E1" w14:textId="146C269F" w:rsidR="00485673" w:rsidRPr="00485673" w:rsidRDefault="004B4C45" w:rsidP="00485673">
      <w:pPr>
        <w:rPr>
          <w:b/>
          <w:bCs/>
        </w:rPr>
      </w:pPr>
      <w:r>
        <w:rPr>
          <w:b/>
          <w:bCs/>
        </w:rPr>
        <w:t xml:space="preserve">These tools can be found </w:t>
      </w:r>
      <w:hyperlink r:id="rId8" w:history="1">
        <w:r w:rsidR="00F439B2" w:rsidRPr="00DB5493">
          <w:rPr>
            <w:rStyle w:val="Hyperlink"/>
            <w:b/>
            <w:bCs/>
          </w:rPr>
          <w:t>https://www2.health.vic.gov.au/hospitals-and-health-services/patient-care/speciality-diagnostics-therapeutics/blood-matters/transfusion-audits</w:t>
        </w:r>
      </w:hyperlink>
      <w:r w:rsidR="00F439B2">
        <w:rPr>
          <w:b/>
          <w:bCs/>
        </w:rPr>
        <w:t xml:space="preserve"> </w:t>
      </w:r>
    </w:p>
    <w:p w14:paraId="4C8004F9" w14:textId="77777777" w:rsidR="00485673" w:rsidRPr="00485673" w:rsidRDefault="00485673" w:rsidP="00485673">
      <w:pPr>
        <w:rPr>
          <w:b/>
          <w:bCs/>
        </w:rPr>
      </w:pPr>
      <w:r w:rsidRPr="00485673">
        <w:rPr>
          <w:b/>
          <w:bCs/>
        </w:rPr>
        <w:br w:type="page"/>
      </w:r>
    </w:p>
    <w:p w14:paraId="664BB54C" w14:textId="77777777" w:rsidR="00485673" w:rsidRPr="00485673" w:rsidRDefault="00485673" w:rsidP="00485673">
      <w:pPr>
        <w:rPr>
          <w:b/>
          <w:bCs/>
          <w:sz w:val="24"/>
          <w:szCs w:val="24"/>
        </w:rPr>
      </w:pPr>
      <w:r w:rsidRPr="00485673">
        <w:rPr>
          <w:b/>
          <w:bCs/>
          <w:sz w:val="24"/>
          <w:szCs w:val="24"/>
        </w:rPr>
        <w:lastRenderedPageBreak/>
        <w:t>Instructions</w:t>
      </w:r>
    </w:p>
    <w:p w14:paraId="01771395" w14:textId="77777777" w:rsidR="00485673" w:rsidRDefault="00485673" w:rsidP="00485673">
      <w:pPr>
        <w:rPr>
          <w:b/>
          <w:bCs/>
        </w:rPr>
      </w:pPr>
    </w:p>
    <w:p w14:paraId="5036EEFB" w14:textId="77777777" w:rsidR="00485673" w:rsidRPr="00485673" w:rsidRDefault="00485673" w:rsidP="00485673">
      <w:pPr>
        <w:rPr>
          <w:b/>
          <w:bCs/>
        </w:rPr>
      </w:pPr>
      <w:r w:rsidRPr="00485673">
        <w:rPr>
          <w:b/>
          <w:bCs/>
        </w:rPr>
        <w:t>Part A: Desktop audit of policy and procedures</w:t>
      </w:r>
    </w:p>
    <w:p w14:paraId="667AE155" w14:textId="77777777" w:rsidR="00485673" w:rsidRPr="00485673" w:rsidRDefault="00485673" w:rsidP="00485673">
      <w:pPr>
        <w:rPr>
          <w:bCs/>
        </w:rPr>
      </w:pPr>
      <w:r w:rsidRPr="00485673">
        <w:rPr>
          <w:bCs/>
        </w:rPr>
        <w:t>This part of the audit is to be completed by Blood Management, Transfusion, Laboratory or appropriate Risk management staff.</w:t>
      </w:r>
    </w:p>
    <w:p w14:paraId="1323707E" w14:textId="7C67AD52" w:rsidR="00485673" w:rsidRPr="004B4C45" w:rsidRDefault="00485673" w:rsidP="00485673">
      <w:pPr>
        <w:rPr>
          <w:bCs/>
        </w:rPr>
      </w:pPr>
      <w:r w:rsidRPr="004B4C45">
        <w:rPr>
          <w:bCs/>
        </w:rPr>
        <w:t xml:space="preserve">The audit is submitted online via </w:t>
      </w:r>
      <w:proofErr w:type="spellStart"/>
      <w:r w:rsidRPr="004B4C45">
        <w:rPr>
          <w:bCs/>
        </w:rPr>
        <w:t>LimeSurvey</w:t>
      </w:r>
      <w:proofErr w:type="spellEnd"/>
      <w:r w:rsidRPr="004B4C45">
        <w:rPr>
          <w:bCs/>
        </w:rPr>
        <w:t xml:space="preserve"> </w:t>
      </w:r>
      <w:hyperlink r:id="rId9" w:history="1">
        <w:r w:rsidR="00F439B2" w:rsidRPr="00DB5493">
          <w:rPr>
            <w:rStyle w:val="Hyperlink"/>
            <w:bCs/>
          </w:rPr>
          <w:t>https://dhhsvic.limequery.com/318161?newtest=Y&amp;lang=en</w:t>
        </w:r>
        <w:r w:rsidR="00F439B2" w:rsidRPr="00DB5493" w:rsidDel="004B4C45">
          <w:rPr>
            <w:rStyle w:val="Hyperlink"/>
            <w:bCs/>
          </w:rPr>
          <w:t xml:space="preserve"> </w:t>
        </w:r>
      </w:hyperlink>
      <w:r w:rsidR="00F439B2">
        <w:rPr>
          <w:bCs/>
        </w:rPr>
        <w:t xml:space="preserve"> </w:t>
      </w:r>
    </w:p>
    <w:p w14:paraId="519F59DB" w14:textId="77777777" w:rsidR="00485673" w:rsidRPr="004B4C45" w:rsidRDefault="00485673" w:rsidP="00485673">
      <w:pPr>
        <w:rPr>
          <w:bCs/>
        </w:rPr>
      </w:pPr>
    </w:p>
    <w:p w14:paraId="6946F65B" w14:textId="77777777" w:rsidR="00485673" w:rsidRPr="00485673" w:rsidRDefault="00485673" w:rsidP="00485673">
      <w:pPr>
        <w:rPr>
          <w:b/>
          <w:bCs/>
        </w:rPr>
      </w:pPr>
      <w:r w:rsidRPr="00485673">
        <w:rPr>
          <w:b/>
          <w:bCs/>
        </w:rPr>
        <w:t>Part B: Bedside prospective audit of practice</w:t>
      </w:r>
    </w:p>
    <w:p w14:paraId="6265EC0E" w14:textId="77777777" w:rsidR="00485673" w:rsidRDefault="00485673" w:rsidP="00485673">
      <w:pPr>
        <w:rPr>
          <w:bCs/>
        </w:rPr>
      </w:pPr>
      <w:r w:rsidRPr="00485673">
        <w:rPr>
          <w:bCs/>
        </w:rPr>
        <w:t xml:space="preserve">This part of the audit is to assess health services current blood sampling practices, and will record the volume of blood taken from patients for testing and discard. </w:t>
      </w:r>
    </w:p>
    <w:p w14:paraId="7B1DBD9C" w14:textId="77777777" w:rsidR="00485673" w:rsidRPr="00485673" w:rsidRDefault="00485673" w:rsidP="00485673">
      <w:pPr>
        <w:rPr>
          <w:bCs/>
        </w:rPr>
      </w:pPr>
      <w:r w:rsidRPr="00485673">
        <w:rPr>
          <w:bCs/>
        </w:rPr>
        <w:t>Clinical staff will be required to record volumes at the time of blood sample collection.</w:t>
      </w:r>
    </w:p>
    <w:p w14:paraId="3EFFF26C" w14:textId="77777777" w:rsidR="00485673" w:rsidRDefault="00485673" w:rsidP="00485673">
      <w:pPr>
        <w:rPr>
          <w:bCs/>
        </w:rPr>
      </w:pPr>
    </w:p>
    <w:p w14:paraId="7C03F0AC" w14:textId="0DEC25FC" w:rsidR="00485673" w:rsidRPr="00485673" w:rsidRDefault="00485673" w:rsidP="00485673">
      <w:pPr>
        <w:rPr>
          <w:bCs/>
        </w:rPr>
      </w:pPr>
      <w:r w:rsidRPr="00485673">
        <w:rPr>
          <w:bCs/>
        </w:rPr>
        <w:t>The health service is requested to select one clinical area, e.g. ICU, haematology, or other clinical area for auditing.  All patients in the selected clinical area to have a record of all blood sampling events documented for a 7</w:t>
      </w:r>
      <w:r w:rsidR="004B4C45">
        <w:rPr>
          <w:bCs/>
        </w:rPr>
        <w:t>-</w:t>
      </w:r>
      <w:r w:rsidRPr="00485673">
        <w:rPr>
          <w:bCs/>
        </w:rPr>
        <w:t>day period (within the audit timeframe 1 August to 6 September – Complete data entry by 20 September).</w:t>
      </w:r>
    </w:p>
    <w:p w14:paraId="3E34F5B7" w14:textId="77777777" w:rsidR="00485673" w:rsidRDefault="00485673" w:rsidP="00485673">
      <w:pPr>
        <w:rPr>
          <w:bCs/>
        </w:rPr>
      </w:pPr>
    </w:p>
    <w:p w14:paraId="10C33172" w14:textId="4C66E53B" w:rsidR="00485673" w:rsidRDefault="00655EB4" w:rsidP="00485673">
      <w:pPr>
        <w:rPr>
          <w:bCs/>
        </w:rPr>
      </w:pPr>
      <w:r>
        <w:rPr>
          <w:bCs/>
        </w:rPr>
        <w:t>P</w:t>
      </w:r>
      <w:r w:rsidR="00485673" w:rsidRPr="00485673">
        <w:rPr>
          <w:bCs/>
        </w:rPr>
        <w:t xml:space="preserve">rint out the attached audit tool for bedside documentation of blood sampling. </w:t>
      </w:r>
      <w:r w:rsidR="004B4C45">
        <w:rPr>
          <w:bCs/>
        </w:rPr>
        <w:t>Include o</w:t>
      </w:r>
      <w:r w:rsidR="00485673" w:rsidRPr="00485673">
        <w:rPr>
          <w:bCs/>
        </w:rPr>
        <w:t xml:space="preserve">nly one patient’s information per sheet, however one patient may need multiple sheets. </w:t>
      </w:r>
    </w:p>
    <w:p w14:paraId="2B4C8C3A" w14:textId="77777777" w:rsidR="00485673" w:rsidRPr="00485673" w:rsidRDefault="00485673" w:rsidP="00485673">
      <w:pPr>
        <w:rPr>
          <w:bCs/>
        </w:rPr>
      </w:pPr>
    </w:p>
    <w:p w14:paraId="32AC4E2F" w14:textId="77F4364A" w:rsidR="00485673" w:rsidRDefault="00485673" w:rsidP="00485673">
      <w:pPr>
        <w:rPr>
          <w:bCs/>
        </w:rPr>
      </w:pPr>
      <w:r w:rsidRPr="00485673">
        <w:rPr>
          <w:bCs/>
        </w:rPr>
        <w:t xml:space="preserve">Patient details for health service use only, are entered at the top.  </w:t>
      </w:r>
      <w:r w:rsidR="00655EB4">
        <w:rPr>
          <w:bCs/>
        </w:rPr>
        <w:t>D</w:t>
      </w:r>
      <w:r w:rsidRPr="00485673">
        <w:rPr>
          <w:bCs/>
        </w:rPr>
        <w:t xml:space="preserve">o not include patient identifiers, other than gender and age, when submitting data to Blood Matters. </w:t>
      </w:r>
    </w:p>
    <w:p w14:paraId="174034FF" w14:textId="77777777" w:rsidR="00485673" w:rsidRPr="00485673" w:rsidRDefault="00485673" w:rsidP="00485673">
      <w:pPr>
        <w:rPr>
          <w:bCs/>
        </w:rPr>
      </w:pPr>
    </w:p>
    <w:p w14:paraId="153DDEE6" w14:textId="53555224" w:rsidR="00485673" w:rsidRPr="00485673" w:rsidRDefault="00485673" w:rsidP="00485673">
      <w:pPr>
        <w:rPr>
          <w:b/>
          <w:bCs/>
        </w:rPr>
      </w:pPr>
      <w:r w:rsidRPr="00485673">
        <w:rPr>
          <w:b/>
          <w:bCs/>
        </w:rPr>
        <w:t>For clinical staff</w:t>
      </w:r>
      <w:r w:rsidR="00655EB4">
        <w:rPr>
          <w:b/>
          <w:bCs/>
        </w:rPr>
        <w:t xml:space="preserve"> at the bedside</w:t>
      </w:r>
      <w:r w:rsidRPr="00485673">
        <w:rPr>
          <w:b/>
          <w:bCs/>
        </w:rPr>
        <w:t>:</w:t>
      </w:r>
    </w:p>
    <w:p w14:paraId="019CE33E" w14:textId="77777777" w:rsidR="00485673" w:rsidRDefault="00485673" w:rsidP="00485673">
      <w:pPr>
        <w:rPr>
          <w:bCs/>
        </w:rPr>
      </w:pPr>
      <w:r w:rsidRPr="00485673">
        <w:rPr>
          <w:bCs/>
        </w:rPr>
        <w:t>A separate row needs to be completed for each sample draw. For example, if blood cultures are taken from a central line and other samples are taken from a peripheral IV at the same time, two separate rows would need to be completed.</w:t>
      </w:r>
    </w:p>
    <w:p w14:paraId="7AC67226" w14:textId="77777777" w:rsidR="00485673" w:rsidRPr="00485673" w:rsidRDefault="00485673" w:rsidP="00485673">
      <w:pPr>
        <w:rPr>
          <w:bCs/>
        </w:rPr>
      </w:pPr>
    </w:p>
    <w:p w14:paraId="2A161797" w14:textId="77777777" w:rsidR="00485673" w:rsidRPr="00485673" w:rsidRDefault="00485673" w:rsidP="00485673">
      <w:pPr>
        <w:numPr>
          <w:ilvl w:val="0"/>
          <w:numId w:val="16"/>
        </w:numPr>
      </w:pPr>
      <w:r w:rsidRPr="00485673">
        <w:t>Total volume withdrawn = the total volume of any blood taken for samples, to clear lines and discard</w:t>
      </w:r>
    </w:p>
    <w:p w14:paraId="2C93BD92" w14:textId="77777777" w:rsidR="00485673" w:rsidRPr="00485673" w:rsidRDefault="00485673" w:rsidP="00485673">
      <w:pPr>
        <w:numPr>
          <w:ilvl w:val="0"/>
          <w:numId w:val="16"/>
        </w:numPr>
      </w:pPr>
      <w:r w:rsidRPr="00485673">
        <w:t>Volume line clearance = any blood withdrawn to clear the line of other fluids before taking specimens for testing, whether discarded or returned</w:t>
      </w:r>
    </w:p>
    <w:p w14:paraId="3ADC48FB" w14:textId="77777777" w:rsidR="00485673" w:rsidRPr="00485673" w:rsidRDefault="00485673" w:rsidP="00485673">
      <w:pPr>
        <w:numPr>
          <w:ilvl w:val="0"/>
          <w:numId w:val="16"/>
        </w:numPr>
      </w:pPr>
      <w:r w:rsidRPr="00485673">
        <w:t xml:space="preserve">Reason for blood sampling </w:t>
      </w:r>
    </w:p>
    <w:p w14:paraId="2FE88ED7" w14:textId="77777777" w:rsidR="00485673" w:rsidRPr="00485673" w:rsidRDefault="00485673" w:rsidP="00485673">
      <w:pPr>
        <w:numPr>
          <w:ilvl w:val="1"/>
          <w:numId w:val="16"/>
        </w:numPr>
      </w:pPr>
      <w:r w:rsidRPr="00485673">
        <w:t>Routine – any routine testing that would regularly occur for that patient e.g. daily U&amp;E, FBE</w:t>
      </w:r>
    </w:p>
    <w:p w14:paraId="07BC96CA" w14:textId="77777777" w:rsidR="00485673" w:rsidRPr="00485673" w:rsidRDefault="00485673" w:rsidP="00485673">
      <w:pPr>
        <w:numPr>
          <w:ilvl w:val="1"/>
          <w:numId w:val="16"/>
        </w:numPr>
      </w:pPr>
      <w:r w:rsidRPr="00485673">
        <w:t xml:space="preserve">Medical request – any sampling that is in addition to usual routine testing requirements e.g. patient has melena and a FBE is requested to check </w:t>
      </w:r>
      <w:proofErr w:type="spellStart"/>
      <w:r w:rsidRPr="00485673">
        <w:t>Hb</w:t>
      </w:r>
      <w:proofErr w:type="spellEnd"/>
    </w:p>
    <w:p w14:paraId="68F17E33" w14:textId="77777777" w:rsidR="00485673" w:rsidRPr="00485673" w:rsidRDefault="00485673" w:rsidP="00485673">
      <w:pPr>
        <w:numPr>
          <w:ilvl w:val="1"/>
          <w:numId w:val="16"/>
        </w:numPr>
      </w:pPr>
      <w:r w:rsidRPr="00485673">
        <w:t>Laboratory request (zero tolerance) – where specimens have been rejected by the laboratory, for any reason, and a new specimen requested, or additional bloods required by the laboratory to complete testing.</w:t>
      </w:r>
    </w:p>
    <w:p w14:paraId="13835AEC" w14:textId="77777777" w:rsidR="00485673" w:rsidRPr="00485673" w:rsidRDefault="00485673" w:rsidP="00485673">
      <w:pPr>
        <w:numPr>
          <w:ilvl w:val="1"/>
          <w:numId w:val="16"/>
        </w:numPr>
      </w:pPr>
      <w:r w:rsidRPr="00485673">
        <w:t>Other – any other reason blood testing is taken</w:t>
      </w:r>
    </w:p>
    <w:p w14:paraId="3143D4E5" w14:textId="6ED3B2FC" w:rsidR="00485673" w:rsidRPr="00485673" w:rsidRDefault="00485673" w:rsidP="00485673">
      <w:pPr>
        <w:numPr>
          <w:ilvl w:val="0"/>
          <w:numId w:val="16"/>
        </w:numPr>
      </w:pPr>
      <w:r w:rsidRPr="00485673">
        <w:t>Sample collection method:</w:t>
      </w:r>
    </w:p>
    <w:p w14:paraId="3C711575" w14:textId="5D0EA2E4" w:rsidR="00655EB4" w:rsidRDefault="00655EB4" w:rsidP="00485673">
      <w:pPr>
        <w:numPr>
          <w:ilvl w:val="1"/>
          <w:numId w:val="16"/>
        </w:numPr>
      </w:pPr>
      <w:r w:rsidRPr="00485673">
        <w:t>Vacutainer</w:t>
      </w:r>
      <w:r>
        <w:t xml:space="preserve"> -</w:t>
      </w:r>
      <w:r w:rsidRPr="00485673">
        <w:t xml:space="preserve"> where specimens are collected directly into the sample tubes.</w:t>
      </w:r>
    </w:p>
    <w:p w14:paraId="124B21C5" w14:textId="6C49B0BA" w:rsidR="00485673" w:rsidRPr="00485673" w:rsidRDefault="00655EB4" w:rsidP="00485673">
      <w:pPr>
        <w:numPr>
          <w:ilvl w:val="1"/>
          <w:numId w:val="16"/>
        </w:numPr>
      </w:pPr>
      <w:r>
        <w:t xml:space="preserve">Syringe - </w:t>
      </w:r>
      <w:r w:rsidR="00485673" w:rsidRPr="00485673">
        <w:t xml:space="preserve">collection using a syringe to collect blood either from a line or for a peripheral stab </w:t>
      </w:r>
    </w:p>
    <w:p w14:paraId="675B4E77" w14:textId="20784428" w:rsidR="00485673" w:rsidRDefault="00485673" w:rsidP="00485673">
      <w:pPr>
        <w:numPr>
          <w:ilvl w:val="1"/>
          <w:numId w:val="16"/>
        </w:numPr>
      </w:pPr>
      <w:r w:rsidRPr="00485673">
        <w:t xml:space="preserve"> </w:t>
      </w:r>
    </w:p>
    <w:p w14:paraId="34DE2B82" w14:textId="77777777" w:rsidR="00485673" w:rsidRPr="00485673" w:rsidRDefault="00485673" w:rsidP="00485673">
      <w:pPr>
        <w:ind w:left="1440"/>
      </w:pPr>
    </w:p>
    <w:p w14:paraId="4A37F2DE" w14:textId="77777777" w:rsidR="00485673" w:rsidRPr="00485673" w:rsidRDefault="00485673" w:rsidP="00485673">
      <w:r w:rsidRPr="00485673">
        <w:t>Please ensure that if pathology collectors or medical staff are collecting blood samples from the patient, the required information is entered on the data collection tool.</w:t>
      </w:r>
    </w:p>
    <w:p w14:paraId="5F6D03EA" w14:textId="77777777" w:rsidR="00485673" w:rsidRDefault="00485673" w:rsidP="00485673"/>
    <w:p w14:paraId="743C1CF8" w14:textId="77777777" w:rsidR="00485673" w:rsidRDefault="00485673" w:rsidP="00485673"/>
    <w:p w14:paraId="413044B0" w14:textId="77777777" w:rsidR="00485673" w:rsidRDefault="00485673" w:rsidP="00485673"/>
    <w:p w14:paraId="73C7F1AC" w14:textId="77777777" w:rsidR="00485673" w:rsidRPr="00485673" w:rsidRDefault="00485673" w:rsidP="00485673"/>
    <w:p w14:paraId="588F363D" w14:textId="77777777" w:rsidR="00485673" w:rsidRPr="00485673" w:rsidRDefault="00485673" w:rsidP="00485673">
      <w:pPr>
        <w:rPr>
          <w:b/>
        </w:rPr>
      </w:pPr>
      <w:r w:rsidRPr="00485673">
        <w:rPr>
          <w:b/>
        </w:rPr>
        <w:t>For the data entry to Blood Matters:</w:t>
      </w:r>
    </w:p>
    <w:p w14:paraId="0920AB97" w14:textId="77777777" w:rsidR="00485673" w:rsidRPr="00485673" w:rsidRDefault="00485673" w:rsidP="00485673">
      <w:r w:rsidRPr="00485673">
        <w:t xml:space="preserve">On completion of the audit, data is to be entered into an excel file and emailed to </w:t>
      </w:r>
      <w:hyperlink r:id="rId10" w:history="1">
        <w:r w:rsidRPr="00D82377">
          <w:rPr>
            <w:rStyle w:val="Hyperlink"/>
          </w:rPr>
          <w:t>bloodmatters@redcrossblood.org.au</w:t>
        </w:r>
      </w:hyperlink>
      <w:r>
        <w:t xml:space="preserve"> </w:t>
      </w:r>
    </w:p>
    <w:p w14:paraId="456362C6" w14:textId="77777777" w:rsidR="00485673" w:rsidRDefault="00485673" w:rsidP="00485673"/>
    <w:p w14:paraId="10D11223" w14:textId="40DB791D" w:rsidR="00485673" w:rsidRPr="00485673" w:rsidRDefault="00485673" w:rsidP="00485673">
      <w:r w:rsidRPr="00485673">
        <w:t xml:space="preserve">The </w:t>
      </w:r>
      <w:r w:rsidR="00F439B2">
        <w:t>E</w:t>
      </w:r>
      <w:r w:rsidRPr="00485673">
        <w:t xml:space="preserve">xcel file contains multiple tabs. The first tab provides a summary page allowing entry of basic information about your health service. It also provides a summary of the data as it is entered into the individual patient tabs. </w:t>
      </w:r>
    </w:p>
    <w:p w14:paraId="3FB171C7" w14:textId="77777777" w:rsidR="00485673" w:rsidRPr="00485673" w:rsidRDefault="00485673" w:rsidP="00485673">
      <w:r w:rsidRPr="00485673">
        <w:t>The summary section cannot be directly edited, but allows easy navigating to patient data entry tabs and provides a quick overview of all data entered to check for accuracy.</w:t>
      </w:r>
    </w:p>
    <w:p w14:paraId="1566A774" w14:textId="3A089890" w:rsidR="00485673" w:rsidRPr="00485673" w:rsidRDefault="00485673" w:rsidP="00485673">
      <w:r w:rsidRPr="00485673">
        <w:t xml:space="preserve">The </w:t>
      </w:r>
      <w:r w:rsidR="00F439B2">
        <w:t>E</w:t>
      </w:r>
      <w:r w:rsidRPr="00485673">
        <w:t xml:space="preserve">xcel file allows data submission of up to 50 blood collections per patient, for up to </w:t>
      </w:r>
      <w:r w:rsidR="00F439B2">
        <w:t>50</w:t>
      </w:r>
      <w:r w:rsidR="00F439B2" w:rsidRPr="00485673">
        <w:t xml:space="preserve"> </w:t>
      </w:r>
      <w:r w:rsidRPr="00485673">
        <w:t>patients.</w:t>
      </w:r>
      <w:r w:rsidR="00F439B2">
        <w:t xml:space="preserve"> For sites with more than 50 patients a second Excel file will be needed.</w:t>
      </w:r>
    </w:p>
    <w:p w14:paraId="1E32BD8C" w14:textId="77777777" w:rsidR="00485673" w:rsidRPr="00485673" w:rsidRDefault="00485673" w:rsidP="00485673">
      <w:r w:rsidRPr="00485673">
        <w:t>Use one tab per patient for data entry. All blood collections for the patient, during the audit period go into the one tab.</w:t>
      </w:r>
    </w:p>
    <w:p w14:paraId="267D796A" w14:textId="77777777" w:rsidR="00485673" w:rsidRDefault="00485673" w:rsidP="00485673"/>
    <w:p w14:paraId="36A79660" w14:textId="77777777" w:rsidR="00485673" w:rsidRPr="00485673" w:rsidRDefault="00485673" w:rsidP="00485673"/>
    <w:p w14:paraId="5640A38F" w14:textId="77777777" w:rsidR="00485673" w:rsidRPr="00485673" w:rsidRDefault="00485673" w:rsidP="00485673">
      <w:pPr>
        <w:rPr>
          <w:b/>
        </w:rPr>
      </w:pPr>
      <w:r w:rsidRPr="00485673">
        <w:rPr>
          <w:b/>
        </w:rPr>
        <w:t>References:</w:t>
      </w:r>
    </w:p>
    <w:p w14:paraId="08CF981E" w14:textId="77777777" w:rsidR="00485673" w:rsidRDefault="00485673" w:rsidP="00485673">
      <w:proofErr w:type="spellStart"/>
      <w:r w:rsidRPr="00485673">
        <w:t>Tinmouth</w:t>
      </w:r>
      <w:proofErr w:type="spellEnd"/>
      <w:r w:rsidRPr="00485673">
        <w:t xml:space="preserve">, A, McIntyre, L, Fowler, R. Blood conservation strategies to reduce the need for red cell transfusion in critically ill patients, CMAJ 2008178:49-57. </w:t>
      </w:r>
    </w:p>
    <w:p w14:paraId="1F0B7158" w14:textId="77777777" w:rsidR="00485673" w:rsidRPr="00485673" w:rsidRDefault="00485673" w:rsidP="00485673"/>
    <w:p w14:paraId="15080A86" w14:textId="77777777" w:rsidR="00485673" w:rsidRDefault="00485673" w:rsidP="00485673">
      <w:r w:rsidRPr="00485673">
        <w:t xml:space="preserve">National Blood Authority Patient Blood Management Guidelines Companions No 17 Reduce iatrogenic blood loss (2014) </w:t>
      </w:r>
      <w:hyperlink r:id="rId11" w:history="1">
        <w:r w:rsidRPr="00485673">
          <w:rPr>
            <w:rStyle w:val="Hyperlink"/>
          </w:rPr>
          <w:t>https://www.blood.gov.au/patient-blood-management-guidelines-companions</w:t>
        </w:r>
      </w:hyperlink>
      <w:r w:rsidRPr="00485673">
        <w:t xml:space="preserve">  </w:t>
      </w:r>
    </w:p>
    <w:p w14:paraId="70886A14" w14:textId="35C3B31C" w:rsidR="00485673" w:rsidRDefault="00485673" w:rsidP="00485673"/>
    <w:p w14:paraId="2FBB0BAB" w14:textId="453242AB" w:rsidR="0020524C" w:rsidRDefault="0020524C" w:rsidP="0020524C">
      <w:r>
        <w:t xml:space="preserve">National Blood Authority ‘Use of small volume tubes to reduce blood loss case study: Flinders Medical Centre.’ (2018) </w:t>
      </w:r>
      <w:hyperlink r:id="rId12" w:history="1">
        <w:r w:rsidRPr="00EB1D52">
          <w:rPr>
            <w:rStyle w:val="Hyperlink"/>
          </w:rPr>
          <w:t>https://www.blood.gov.au/system/files/SVTs-at-FMC-case-study-v2-with-endnote-references.pdf</w:t>
        </w:r>
      </w:hyperlink>
      <w:r>
        <w:t xml:space="preserve"> </w:t>
      </w:r>
    </w:p>
    <w:p w14:paraId="54ABB17A" w14:textId="77777777" w:rsidR="0020524C" w:rsidRDefault="0020524C" w:rsidP="00485673"/>
    <w:p w14:paraId="3C5A7255" w14:textId="0DECE8CD" w:rsidR="00485673" w:rsidRPr="00485673" w:rsidRDefault="00485673" w:rsidP="00485673">
      <w:r w:rsidRPr="00485673">
        <w:t>'True Blood' The Critical Care Story: An audit of blood sampling practice across three adult, paediatric and neonatal intensive care settings, Australian Critical Care 29 (2016) 90-95.</w:t>
      </w:r>
    </w:p>
    <w:p w14:paraId="74E10476" w14:textId="77777777" w:rsidR="007228DE" w:rsidRPr="00485673" w:rsidRDefault="007228DE" w:rsidP="00485673"/>
    <w:sectPr w:rsidR="007228DE" w:rsidRPr="00485673" w:rsidSect="00824C69">
      <w:headerReference w:type="default" r:id="rId13"/>
      <w:footerReference w:type="even" r:id="rId14"/>
      <w:footerReference w:type="default" r:id="rId15"/>
      <w:pgSz w:w="11906" w:h="16838"/>
      <w:pgMar w:top="1440" w:right="2125"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B9FA9" w14:textId="77777777" w:rsidR="00824C69" w:rsidRDefault="00824C69" w:rsidP="00AD337A">
      <w:r>
        <w:separator/>
      </w:r>
    </w:p>
  </w:endnote>
  <w:endnote w:type="continuationSeparator" w:id="0">
    <w:p w14:paraId="393AE678" w14:textId="77777777" w:rsidR="00824C69" w:rsidRDefault="00824C69" w:rsidP="00A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F0E9" w14:textId="77777777" w:rsidR="00824C69" w:rsidRDefault="00824C69">
    <w:pPr>
      <w:pStyle w:val="Footer"/>
    </w:pPr>
    <w:r>
      <w:rPr>
        <w:noProof/>
        <w:lang w:eastAsia="en-AU"/>
      </w:rPr>
      <w:drawing>
        <wp:anchor distT="0" distB="0" distL="114300" distR="114300" simplePos="0" relativeHeight="251662336" behindDoc="1" locked="0" layoutInCell="1" allowOverlap="1" wp14:anchorId="420DDF8B" wp14:editId="2945B54F">
          <wp:simplePos x="0" y="0"/>
          <wp:positionH relativeFrom="column">
            <wp:posOffset>-648335</wp:posOffset>
          </wp:positionH>
          <wp:positionV relativeFrom="paragraph">
            <wp:posOffset>-277153</wp:posOffset>
          </wp:positionV>
          <wp:extent cx="7569835" cy="871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t="84644"/>
                  <a:stretch/>
                </pic:blipFill>
                <pic:spPr bwMode="auto">
                  <a:xfrm>
                    <a:off x="0" y="0"/>
                    <a:ext cx="7569835" cy="87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8F8B" w14:textId="77777777" w:rsidR="00AD337A" w:rsidRDefault="00AD337A">
    <w:pPr>
      <w:pStyle w:val="Footer"/>
    </w:pPr>
    <w:r>
      <w:rPr>
        <w:noProof/>
        <w:lang w:eastAsia="en-AU"/>
      </w:rPr>
      <w:drawing>
        <wp:anchor distT="0" distB="0" distL="114300" distR="114300" simplePos="0" relativeHeight="251660288" behindDoc="1" locked="0" layoutInCell="1" allowOverlap="1" wp14:anchorId="72495B0F" wp14:editId="0337339B">
          <wp:simplePos x="0" y="0"/>
          <wp:positionH relativeFrom="column">
            <wp:posOffset>-648335</wp:posOffset>
          </wp:positionH>
          <wp:positionV relativeFrom="paragraph">
            <wp:posOffset>-252730</wp:posOffset>
          </wp:positionV>
          <wp:extent cx="7569835" cy="8718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t="84644"/>
                  <a:stretch/>
                </pic:blipFill>
                <pic:spPr bwMode="auto">
                  <a:xfrm>
                    <a:off x="0" y="0"/>
                    <a:ext cx="7569835" cy="87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DF95E" w14:textId="77777777" w:rsidR="00824C69" w:rsidRDefault="00824C69" w:rsidP="00AD337A">
      <w:r>
        <w:separator/>
      </w:r>
    </w:p>
  </w:footnote>
  <w:footnote w:type="continuationSeparator" w:id="0">
    <w:p w14:paraId="21CB7508" w14:textId="77777777" w:rsidR="00824C69" w:rsidRDefault="00824C69" w:rsidP="00AD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CD75" w14:textId="77777777" w:rsidR="00AD337A" w:rsidRDefault="00AD337A">
    <w:pPr>
      <w:pStyle w:val="Header"/>
    </w:pPr>
    <w:r>
      <w:rPr>
        <w:noProof/>
        <w:lang w:eastAsia="en-AU"/>
      </w:rPr>
      <w:drawing>
        <wp:anchor distT="0" distB="0" distL="114300" distR="114300" simplePos="0" relativeHeight="251658240" behindDoc="1" locked="0" layoutInCell="1" allowOverlap="1" wp14:anchorId="228EA6E4" wp14:editId="55A5507E">
          <wp:simplePos x="0" y="0"/>
          <wp:positionH relativeFrom="column">
            <wp:posOffset>5505450</wp:posOffset>
          </wp:positionH>
          <wp:positionV relativeFrom="paragraph">
            <wp:posOffset>-459740</wp:posOffset>
          </wp:positionV>
          <wp:extent cx="1426435" cy="294322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l="75359" b="32204"/>
                  <a:stretch/>
                </pic:blipFill>
                <pic:spPr bwMode="auto">
                  <a:xfrm>
                    <a:off x="0" y="0"/>
                    <a:ext cx="1426435" cy="294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C3"/>
    <w:multiLevelType w:val="multilevel"/>
    <w:tmpl w:val="D122ADF8"/>
    <w:lvl w:ilvl="0">
      <w:start w:val="1"/>
      <w:numFmt w:val="decimal"/>
      <w:lvlText w:val="%1."/>
      <w:lvlJc w:val="left"/>
      <w:pPr>
        <w:tabs>
          <w:tab w:val="num" w:pos="993"/>
        </w:tabs>
        <w:ind w:left="993" w:hanging="851"/>
      </w:pPr>
      <w:rPr>
        <w:rFonts w:hint="default"/>
        <w:b/>
        <w:i w:val="0"/>
        <w:sz w:val="22"/>
        <w:u w:val="none"/>
      </w:rPr>
    </w:lvl>
    <w:lvl w:ilvl="1">
      <w:start w:val="2"/>
      <w:numFmt w:val="none"/>
      <w:lvlText w:val="8.1"/>
      <w:lvlJc w:val="left"/>
      <w:pPr>
        <w:tabs>
          <w:tab w:val="num" w:pos="360"/>
        </w:tabs>
        <w:ind w:left="360" w:hanging="360"/>
      </w:pPr>
      <w:rPr>
        <w:rFonts w:hint="default"/>
        <w:b/>
        <w:i w:val="0"/>
        <w:sz w:val="22"/>
        <w:u w:val="none"/>
      </w:rPr>
    </w:lvl>
    <w:lvl w:ilvl="2">
      <w:start w:val="1"/>
      <w:numFmt w:val="none"/>
      <w:lvlText w:val="8.2"/>
      <w:lvlJc w:val="left"/>
      <w:pPr>
        <w:tabs>
          <w:tab w:val="num" w:pos="1418"/>
        </w:tabs>
        <w:ind w:left="1418" w:hanging="567"/>
      </w:pPr>
      <w:rPr>
        <w:rFonts w:ascii="Times New Roman" w:hAnsi="Times New Roman" w:hint="default"/>
        <w:b w:val="0"/>
        <w:i w:val="0"/>
        <w:sz w:val="22"/>
        <w:szCs w:val="22"/>
        <w:u w:val="none"/>
      </w:rPr>
    </w:lvl>
    <w:lvl w:ilvl="3">
      <w:start w:val="1"/>
      <w:numFmt w:val="lowerRoman"/>
      <w:suff w:val="nothing"/>
      <w:lvlText w:val="(%4)"/>
      <w:lvlJc w:val="left"/>
      <w:pPr>
        <w:ind w:left="1985" w:hanging="567"/>
      </w:pPr>
      <w:rPr>
        <w:rFonts w:ascii="Times New Roman" w:hAnsi="Times New Roman" w:hint="default"/>
        <w:b w:val="0"/>
        <w:i w:val="0"/>
        <w:sz w:val="22"/>
        <w:szCs w:val="22"/>
        <w:u w:val="none"/>
      </w:rPr>
    </w:lvl>
    <w:lvl w:ilvl="4">
      <w:start w:val="1"/>
      <w:numFmt w:val="upperLetter"/>
      <w:lvlText w:val="(%5)"/>
      <w:lvlJc w:val="left"/>
      <w:pPr>
        <w:tabs>
          <w:tab w:val="num" w:pos="2912"/>
        </w:tabs>
        <w:ind w:left="851" w:firstLine="170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345D84"/>
    <w:multiLevelType w:val="hybridMultilevel"/>
    <w:tmpl w:val="B27A6402"/>
    <w:lvl w:ilvl="0" w:tplc="C92AE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5369A"/>
    <w:multiLevelType w:val="hybridMultilevel"/>
    <w:tmpl w:val="F266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00811"/>
    <w:multiLevelType w:val="hybridMultilevel"/>
    <w:tmpl w:val="56E28BCA"/>
    <w:lvl w:ilvl="0" w:tplc="D264C08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760C16"/>
    <w:multiLevelType w:val="hybridMultilevel"/>
    <w:tmpl w:val="EE445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D715E5A"/>
    <w:multiLevelType w:val="hybridMultilevel"/>
    <w:tmpl w:val="E1A6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99246B"/>
    <w:multiLevelType w:val="hybridMultilevel"/>
    <w:tmpl w:val="C1E2B15E"/>
    <w:lvl w:ilvl="0" w:tplc="CB2AB84A">
      <w:numFmt w:val="bullet"/>
      <w:lvlText w:val="•"/>
      <w:lvlJc w:val="left"/>
      <w:pPr>
        <w:ind w:left="1080" w:hanging="72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A1E5A"/>
    <w:multiLevelType w:val="multilevel"/>
    <w:tmpl w:val="82C2F15C"/>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9403308"/>
    <w:multiLevelType w:val="hybridMultilevel"/>
    <w:tmpl w:val="513031D2"/>
    <w:lvl w:ilvl="0" w:tplc="C92AE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7D252B"/>
    <w:multiLevelType w:val="hybridMultilevel"/>
    <w:tmpl w:val="1DA248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767504"/>
    <w:multiLevelType w:val="hybridMultilevel"/>
    <w:tmpl w:val="CA361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A4657E"/>
    <w:multiLevelType w:val="hybridMultilevel"/>
    <w:tmpl w:val="9ECEBCF4"/>
    <w:lvl w:ilvl="0" w:tplc="C92AE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210D67"/>
    <w:multiLevelType w:val="hybridMultilevel"/>
    <w:tmpl w:val="AAF0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7"/>
  </w:num>
  <w:num w:numId="6">
    <w:abstractNumId w:val="11"/>
  </w:num>
  <w:num w:numId="7">
    <w:abstractNumId w:val="6"/>
  </w:num>
  <w:num w:numId="8">
    <w:abstractNumId w:val="13"/>
  </w:num>
  <w:num w:numId="9">
    <w:abstractNumId w:val="9"/>
  </w:num>
  <w:num w:numId="10">
    <w:abstractNumId w:val="12"/>
  </w:num>
  <w:num w:numId="11">
    <w:abstractNumId w:val="1"/>
  </w:num>
  <w:num w:numId="12">
    <w:abstractNumId w:val="3"/>
  </w:num>
  <w:num w:numId="13">
    <w:abstractNumId w:val="8"/>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69"/>
    <w:rsid w:val="00071C92"/>
    <w:rsid w:val="00142DA9"/>
    <w:rsid w:val="001A58D3"/>
    <w:rsid w:val="0020524C"/>
    <w:rsid w:val="00206325"/>
    <w:rsid w:val="002775CA"/>
    <w:rsid w:val="0029676C"/>
    <w:rsid w:val="002B068A"/>
    <w:rsid w:val="002C3079"/>
    <w:rsid w:val="00381452"/>
    <w:rsid w:val="003D5655"/>
    <w:rsid w:val="00431439"/>
    <w:rsid w:val="004663B8"/>
    <w:rsid w:val="00477852"/>
    <w:rsid w:val="00485673"/>
    <w:rsid w:val="004A2AC3"/>
    <w:rsid w:val="004B4C45"/>
    <w:rsid w:val="004E0D69"/>
    <w:rsid w:val="004E3C51"/>
    <w:rsid w:val="005E6602"/>
    <w:rsid w:val="00630946"/>
    <w:rsid w:val="00655EB4"/>
    <w:rsid w:val="006955C6"/>
    <w:rsid w:val="006A0C73"/>
    <w:rsid w:val="007228DE"/>
    <w:rsid w:val="00760927"/>
    <w:rsid w:val="007735FA"/>
    <w:rsid w:val="007A1DF0"/>
    <w:rsid w:val="007B09F8"/>
    <w:rsid w:val="00820914"/>
    <w:rsid w:val="00824C69"/>
    <w:rsid w:val="008358DD"/>
    <w:rsid w:val="00A238CF"/>
    <w:rsid w:val="00A33949"/>
    <w:rsid w:val="00A4408B"/>
    <w:rsid w:val="00A754DA"/>
    <w:rsid w:val="00AB0747"/>
    <w:rsid w:val="00AC4CBC"/>
    <w:rsid w:val="00AC7A29"/>
    <w:rsid w:val="00AD337A"/>
    <w:rsid w:val="00AE4233"/>
    <w:rsid w:val="00AE6887"/>
    <w:rsid w:val="00AF6356"/>
    <w:rsid w:val="00B00AE2"/>
    <w:rsid w:val="00B34B9E"/>
    <w:rsid w:val="00B74F0D"/>
    <w:rsid w:val="00B8037E"/>
    <w:rsid w:val="00BE2726"/>
    <w:rsid w:val="00C84EE1"/>
    <w:rsid w:val="00CA6566"/>
    <w:rsid w:val="00CE644B"/>
    <w:rsid w:val="00D00075"/>
    <w:rsid w:val="00D22DF6"/>
    <w:rsid w:val="00D3653A"/>
    <w:rsid w:val="00D47D07"/>
    <w:rsid w:val="00DE77AE"/>
    <w:rsid w:val="00E35B17"/>
    <w:rsid w:val="00EC7E22"/>
    <w:rsid w:val="00EF4402"/>
    <w:rsid w:val="00F439B2"/>
    <w:rsid w:val="00F55FFB"/>
    <w:rsid w:val="00FF5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EFA68"/>
  <w15:docId w15:val="{377AF955-B906-4A84-AD88-A4ED4723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68A"/>
    <w:rPr>
      <w:rFonts w:ascii="Verdana" w:hAnsi="Verdana"/>
    </w:rPr>
  </w:style>
  <w:style w:type="paragraph" w:styleId="Heading1">
    <w:name w:val="heading 1"/>
    <w:aliases w:val="h1"/>
    <w:basedOn w:val="Normal"/>
    <w:link w:val="Heading1Char"/>
    <w:uiPriority w:val="1"/>
    <w:qFormat/>
    <w:rsid w:val="002B068A"/>
    <w:pPr>
      <w:keepNext/>
      <w:pBdr>
        <w:bottom w:val="single" w:sz="4" w:space="1" w:color="auto"/>
      </w:pBdr>
      <w:tabs>
        <w:tab w:val="left" w:pos="1701"/>
        <w:tab w:val="left" w:pos="2552"/>
        <w:tab w:val="left" w:pos="3402"/>
        <w:tab w:val="left" w:pos="4253"/>
      </w:tabs>
      <w:spacing w:before="120" w:after="240"/>
      <w:outlineLvl w:val="0"/>
    </w:pPr>
    <w:rPr>
      <w:rFonts w:ascii="Arial" w:hAnsi="Arial"/>
      <w:b/>
      <w:color w:val="0000FF"/>
      <w:sz w:val="22"/>
    </w:rPr>
  </w:style>
  <w:style w:type="paragraph" w:styleId="Heading2">
    <w:name w:val="heading 2"/>
    <w:basedOn w:val="Normal"/>
    <w:link w:val="Heading2Char"/>
    <w:uiPriority w:val="1"/>
    <w:qFormat/>
    <w:rsid w:val="002B068A"/>
    <w:pPr>
      <w:tabs>
        <w:tab w:val="left" w:pos="1701"/>
        <w:tab w:val="left" w:pos="2552"/>
        <w:tab w:val="left" w:pos="3402"/>
        <w:tab w:val="left" w:pos="4253"/>
      </w:tabs>
      <w:spacing w:after="240"/>
      <w:outlineLvl w:val="1"/>
    </w:pPr>
    <w:rPr>
      <w:rFonts w:ascii="Times New Roman" w:hAnsi="Times New Roman"/>
      <w:snapToGrid w:val="0"/>
      <w:sz w:val="22"/>
    </w:rPr>
  </w:style>
  <w:style w:type="paragraph" w:styleId="Heading3">
    <w:name w:val="heading 3"/>
    <w:aliases w:val="Heading 3 Char1,Heading 3 Char Char"/>
    <w:basedOn w:val="Normal"/>
    <w:link w:val="Heading3Char"/>
    <w:uiPriority w:val="1"/>
    <w:qFormat/>
    <w:rsid w:val="002B068A"/>
    <w:pPr>
      <w:tabs>
        <w:tab w:val="left" w:pos="4763"/>
        <w:tab w:val="left" w:pos="6407"/>
        <w:tab w:val="left" w:pos="8222"/>
        <w:tab w:val="right" w:pos="9639"/>
      </w:tabs>
      <w:spacing w:after="240"/>
      <w:outlineLvl w:val="2"/>
    </w:pPr>
    <w:rPr>
      <w:rFonts w:ascii="Times New Roman" w:hAnsi="Times New Roman"/>
      <w:sz w:val="22"/>
    </w:rPr>
  </w:style>
  <w:style w:type="paragraph" w:styleId="Heading4">
    <w:name w:val="heading 4"/>
    <w:basedOn w:val="Normal"/>
    <w:link w:val="Heading4Char"/>
    <w:uiPriority w:val="1"/>
    <w:qFormat/>
    <w:rsid w:val="002B068A"/>
    <w:pPr>
      <w:tabs>
        <w:tab w:val="left" w:pos="1701"/>
        <w:tab w:val="left" w:pos="3402"/>
        <w:tab w:val="left" w:pos="4253"/>
      </w:tabs>
      <w:spacing w:after="240"/>
      <w:outlineLvl w:val="3"/>
    </w:pPr>
    <w:rPr>
      <w:rFonts w:ascii="Times New Roman" w:hAnsi="Times New Roman"/>
      <w:sz w:val="22"/>
    </w:rPr>
  </w:style>
  <w:style w:type="paragraph" w:styleId="Heading5">
    <w:name w:val="heading 5"/>
    <w:basedOn w:val="Normal"/>
    <w:next w:val="Normal"/>
    <w:link w:val="Heading5Char"/>
    <w:uiPriority w:val="9"/>
    <w:unhideWhenUsed/>
    <w:qFormat/>
    <w:rsid w:val="004778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rsid w:val="002B068A"/>
    <w:rPr>
      <w:rFonts w:ascii="Arial" w:hAnsi="Arial"/>
      <w:b/>
      <w:color w:val="0000FF"/>
      <w:sz w:val="22"/>
    </w:rPr>
  </w:style>
  <w:style w:type="character" w:customStyle="1" w:styleId="Heading2Char">
    <w:name w:val="Heading 2 Char"/>
    <w:basedOn w:val="DefaultParagraphFont"/>
    <w:link w:val="Heading2"/>
    <w:uiPriority w:val="1"/>
    <w:rsid w:val="002B068A"/>
    <w:rPr>
      <w:snapToGrid w:val="0"/>
      <w:sz w:val="22"/>
    </w:rPr>
  </w:style>
  <w:style w:type="character" w:customStyle="1" w:styleId="Heading3Char">
    <w:name w:val="Heading 3 Char"/>
    <w:aliases w:val="Heading 3 Char1 Char,Heading 3 Char Char Char"/>
    <w:basedOn w:val="DefaultParagraphFont"/>
    <w:link w:val="Heading3"/>
    <w:uiPriority w:val="1"/>
    <w:rsid w:val="002B068A"/>
    <w:rPr>
      <w:sz w:val="22"/>
    </w:rPr>
  </w:style>
  <w:style w:type="character" w:customStyle="1" w:styleId="Heading4Char">
    <w:name w:val="Heading 4 Char"/>
    <w:basedOn w:val="DefaultParagraphFont"/>
    <w:link w:val="Heading4"/>
    <w:uiPriority w:val="1"/>
    <w:rsid w:val="002B068A"/>
    <w:rPr>
      <w:sz w:val="22"/>
    </w:rPr>
  </w:style>
  <w:style w:type="paragraph" w:styleId="ListParagraph">
    <w:name w:val="List Paragraph"/>
    <w:basedOn w:val="Normal"/>
    <w:uiPriority w:val="34"/>
    <w:qFormat/>
    <w:rsid w:val="002B068A"/>
    <w:pPr>
      <w:ind w:left="720"/>
    </w:pPr>
  </w:style>
  <w:style w:type="paragraph" w:styleId="BalloonText">
    <w:name w:val="Balloon Text"/>
    <w:basedOn w:val="Normal"/>
    <w:link w:val="BalloonTextChar"/>
    <w:uiPriority w:val="99"/>
    <w:semiHidden/>
    <w:unhideWhenUsed/>
    <w:rsid w:val="00A33949"/>
    <w:rPr>
      <w:rFonts w:ascii="Tahoma" w:hAnsi="Tahoma" w:cs="Tahoma"/>
      <w:sz w:val="16"/>
      <w:szCs w:val="16"/>
    </w:rPr>
  </w:style>
  <w:style w:type="character" w:customStyle="1" w:styleId="BalloonTextChar">
    <w:name w:val="Balloon Text Char"/>
    <w:basedOn w:val="DefaultParagraphFont"/>
    <w:link w:val="BalloonText"/>
    <w:uiPriority w:val="99"/>
    <w:semiHidden/>
    <w:rsid w:val="00A33949"/>
    <w:rPr>
      <w:rFonts w:ascii="Tahoma" w:hAnsi="Tahoma" w:cs="Tahoma"/>
      <w:sz w:val="16"/>
      <w:szCs w:val="16"/>
    </w:rPr>
  </w:style>
  <w:style w:type="paragraph" w:styleId="Header">
    <w:name w:val="header"/>
    <w:basedOn w:val="Normal"/>
    <w:link w:val="HeaderChar"/>
    <w:uiPriority w:val="99"/>
    <w:unhideWhenUsed/>
    <w:rsid w:val="00AD337A"/>
    <w:pPr>
      <w:tabs>
        <w:tab w:val="center" w:pos="4513"/>
        <w:tab w:val="right" w:pos="9026"/>
      </w:tabs>
    </w:pPr>
  </w:style>
  <w:style w:type="character" w:customStyle="1" w:styleId="HeaderChar">
    <w:name w:val="Header Char"/>
    <w:basedOn w:val="DefaultParagraphFont"/>
    <w:link w:val="Header"/>
    <w:uiPriority w:val="99"/>
    <w:rsid w:val="00AD337A"/>
    <w:rPr>
      <w:rFonts w:ascii="Verdana" w:hAnsi="Verdana"/>
    </w:rPr>
  </w:style>
  <w:style w:type="paragraph" w:styleId="Footer">
    <w:name w:val="footer"/>
    <w:basedOn w:val="Normal"/>
    <w:link w:val="FooterChar"/>
    <w:uiPriority w:val="99"/>
    <w:unhideWhenUsed/>
    <w:rsid w:val="00AD337A"/>
    <w:pPr>
      <w:tabs>
        <w:tab w:val="center" w:pos="4513"/>
        <w:tab w:val="right" w:pos="9026"/>
      </w:tabs>
    </w:pPr>
  </w:style>
  <w:style w:type="character" w:customStyle="1" w:styleId="FooterChar">
    <w:name w:val="Footer Char"/>
    <w:basedOn w:val="DefaultParagraphFont"/>
    <w:link w:val="Footer"/>
    <w:uiPriority w:val="99"/>
    <w:rsid w:val="00AD337A"/>
    <w:rPr>
      <w:rFonts w:ascii="Verdana" w:hAnsi="Verdana"/>
    </w:rPr>
  </w:style>
  <w:style w:type="character" w:customStyle="1" w:styleId="Heading5Char">
    <w:name w:val="Heading 5 Char"/>
    <w:basedOn w:val="DefaultParagraphFont"/>
    <w:link w:val="Heading5"/>
    <w:uiPriority w:val="9"/>
    <w:rsid w:val="00477852"/>
    <w:rPr>
      <w:rFonts w:asciiTheme="majorHAnsi" w:eastAsiaTheme="majorEastAsia" w:hAnsiTheme="majorHAnsi" w:cstheme="majorBidi"/>
      <w:color w:val="243F60" w:themeColor="accent1" w:themeShade="7F"/>
    </w:rPr>
  </w:style>
  <w:style w:type="paragraph" w:customStyle="1" w:styleId="DHHSbody">
    <w:name w:val="DHHS body"/>
    <w:qFormat/>
    <w:rsid w:val="00477852"/>
    <w:pPr>
      <w:spacing w:after="120" w:line="270" w:lineRule="atLeast"/>
    </w:pPr>
    <w:rPr>
      <w:rFonts w:ascii="Arial" w:eastAsia="Times" w:hAnsi="Arial"/>
    </w:rPr>
  </w:style>
  <w:style w:type="paragraph" w:customStyle="1" w:styleId="DHHSbullet1">
    <w:name w:val="DHHS bullet 1"/>
    <w:basedOn w:val="DHHSbody"/>
    <w:qFormat/>
    <w:rsid w:val="00477852"/>
    <w:pPr>
      <w:spacing w:after="40"/>
    </w:pPr>
  </w:style>
  <w:style w:type="paragraph" w:customStyle="1" w:styleId="DHHSnumberloweralpha">
    <w:name w:val="DHHS number lower alpha"/>
    <w:basedOn w:val="DHHSbody"/>
    <w:uiPriority w:val="3"/>
    <w:rsid w:val="00477852"/>
    <w:pPr>
      <w:numPr>
        <w:ilvl w:val="2"/>
        <w:numId w:val="14"/>
      </w:numPr>
    </w:pPr>
  </w:style>
  <w:style w:type="paragraph" w:customStyle="1" w:styleId="DHHSnumberloweralphaindent">
    <w:name w:val="DHHS number lower alpha indent"/>
    <w:basedOn w:val="DHHSbody"/>
    <w:uiPriority w:val="3"/>
    <w:rsid w:val="00477852"/>
    <w:pPr>
      <w:numPr>
        <w:ilvl w:val="3"/>
        <w:numId w:val="14"/>
      </w:numPr>
    </w:pPr>
  </w:style>
  <w:style w:type="paragraph" w:customStyle="1" w:styleId="DHHStablefigurenote">
    <w:name w:val="DHHS table/figure note"/>
    <w:uiPriority w:val="4"/>
    <w:rsid w:val="00477852"/>
    <w:pPr>
      <w:spacing w:before="60" w:after="60" w:line="240" w:lineRule="exact"/>
    </w:pPr>
    <w:rPr>
      <w:rFonts w:ascii="Arial" w:hAnsi="Arial"/>
      <w:i/>
      <w:sz w:val="18"/>
    </w:rPr>
  </w:style>
  <w:style w:type="paragraph" w:customStyle="1" w:styleId="DHHStabletext">
    <w:name w:val="DHHS table text"/>
    <w:uiPriority w:val="3"/>
    <w:qFormat/>
    <w:rsid w:val="00477852"/>
    <w:pPr>
      <w:spacing w:before="80" w:after="60"/>
    </w:pPr>
    <w:rPr>
      <w:rFonts w:ascii="Arial" w:hAnsi="Arial"/>
    </w:rPr>
  </w:style>
  <w:style w:type="paragraph" w:customStyle="1" w:styleId="DHHStablecaption">
    <w:name w:val="DHHS table caption"/>
    <w:next w:val="DHHSbody"/>
    <w:uiPriority w:val="3"/>
    <w:qFormat/>
    <w:rsid w:val="00477852"/>
    <w:pPr>
      <w:keepNext/>
      <w:keepLines/>
      <w:spacing w:before="240" w:after="120" w:line="270" w:lineRule="exact"/>
    </w:pPr>
    <w:rPr>
      <w:rFonts w:ascii="Arial" w:hAnsi="Arial"/>
      <w:b/>
    </w:rPr>
  </w:style>
  <w:style w:type="paragraph" w:customStyle="1" w:styleId="DHHSfigurecaption">
    <w:name w:val="DHHS figure caption"/>
    <w:next w:val="DHHSbody"/>
    <w:rsid w:val="00477852"/>
    <w:pPr>
      <w:keepNext/>
      <w:keepLines/>
      <w:spacing w:before="240" w:after="120"/>
    </w:pPr>
    <w:rPr>
      <w:rFonts w:ascii="Arial" w:hAnsi="Arial"/>
      <w:b/>
    </w:rPr>
  </w:style>
  <w:style w:type="paragraph" w:customStyle="1" w:styleId="DHHSbullet2">
    <w:name w:val="DHHS bullet 2"/>
    <w:basedOn w:val="DHHSbody"/>
    <w:uiPriority w:val="2"/>
    <w:qFormat/>
    <w:rsid w:val="00477852"/>
    <w:pPr>
      <w:spacing w:after="40"/>
    </w:pPr>
  </w:style>
  <w:style w:type="paragraph" w:customStyle="1" w:styleId="DHHSnumberdigit">
    <w:name w:val="DHHS number digit"/>
    <w:basedOn w:val="DHHSbody"/>
    <w:uiPriority w:val="2"/>
    <w:rsid w:val="00477852"/>
    <w:pPr>
      <w:numPr>
        <w:numId w:val="14"/>
      </w:numPr>
    </w:pPr>
  </w:style>
  <w:style w:type="paragraph" w:customStyle="1" w:styleId="DHHStablecolhead">
    <w:name w:val="DHHS table col head"/>
    <w:uiPriority w:val="3"/>
    <w:qFormat/>
    <w:rsid w:val="00477852"/>
    <w:pPr>
      <w:spacing w:before="80" w:after="60"/>
    </w:pPr>
    <w:rPr>
      <w:rFonts w:ascii="Arial" w:hAnsi="Arial"/>
      <w:b/>
      <w:color w:val="DA372E"/>
    </w:rPr>
  </w:style>
  <w:style w:type="paragraph" w:customStyle="1" w:styleId="DHHSbodyaftertablefigure">
    <w:name w:val="DHHS body after table/figure"/>
    <w:basedOn w:val="DHHSbody"/>
    <w:next w:val="DHHSbody"/>
    <w:rsid w:val="00477852"/>
    <w:pPr>
      <w:spacing w:before="240"/>
    </w:pPr>
  </w:style>
  <w:style w:type="paragraph" w:customStyle="1" w:styleId="DHHSbullet1lastline">
    <w:name w:val="DHHS bullet 1 last line"/>
    <w:basedOn w:val="DHHSbullet1"/>
    <w:qFormat/>
    <w:rsid w:val="00477852"/>
    <w:pPr>
      <w:spacing w:after="120"/>
    </w:pPr>
  </w:style>
  <w:style w:type="paragraph" w:customStyle="1" w:styleId="DHHSbullet2lastline">
    <w:name w:val="DHHS bullet 2 last line"/>
    <w:basedOn w:val="DHHSbullet2"/>
    <w:uiPriority w:val="2"/>
    <w:qFormat/>
    <w:rsid w:val="00477852"/>
    <w:pPr>
      <w:spacing w:after="120"/>
    </w:pPr>
  </w:style>
  <w:style w:type="paragraph" w:customStyle="1" w:styleId="DHHStablebullet">
    <w:name w:val="DHHS table bullet"/>
    <w:basedOn w:val="DHHStabletext"/>
    <w:uiPriority w:val="3"/>
    <w:qFormat/>
    <w:rsid w:val="00477852"/>
  </w:style>
  <w:style w:type="numbering" w:customStyle="1" w:styleId="ZZBullets">
    <w:name w:val="ZZ Bullets"/>
    <w:rsid w:val="00477852"/>
    <w:pPr>
      <w:numPr>
        <w:numId w:val="13"/>
      </w:numPr>
    </w:pPr>
  </w:style>
  <w:style w:type="paragraph" w:customStyle="1" w:styleId="DHHSbulletindent">
    <w:name w:val="DHHS bullet indent"/>
    <w:basedOn w:val="DHHSbody"/>
    <w:uiPriority w:val="4"/>
    <w:rsid w:val="00477852"/>
    <w:pPr>
      <w:spacing w:after="40"/>
    </w:pPr>
  </w:style>
  <w:style w:type="paragraph" w:customStyle="1" w:styleId="DHHSbulletindentlastline">
    <w:name w:val="DHHS bullet indent last line"/>
    <w:basedOn w:val="DHHSbody"/>
    <w:uiPriority w:val="4"/>
    <w:rsid w:val="00477852"/>
  </w:style>
  <w:style w:type="numbering" w:customStyle="1" w:styleId="ZZNumbers">
    <w:name w:val="ZZ Numbers"/>
    <w:rsid w:val="00477852"/>
    <w:pPr>
      <w:numPr>
        <w:numId w:val="14"/>
      </w:numPr>
    </w:pPr>
  </w:style>
  <w:style w:type="paragraph" w:customStyle="1" w:styleId="DHHSnumberlowerroman">
    <w:name w:val="DHHS number lower roman"/>
    <w:basedOn w:val="DHHSbody"/>
    <w:uiPriority w:val="3"/>
    <w:rsid w:val="00477852"/>
    <w:pPr>
      <w:numPr>
        <w:ilvl w:val="4"/>
        <w:numId w:val="14"/>
      </w:numPr>
    </w:pPr>
  </w:style>
  <w:style w:type="paragraph" w:customStyle="1" w:styleId="DHHSnumberlowerromanindent">
    <w:name w:val="DHHS number lower roman indent"/>
    <w:basedOn w:val="DHHSbody"/>
    <w:uiPriority w:val="3"/>
    <w:rsid w:val="00477852"/>
    <w:pPr>
      <w:numPr>
        <w:ilvl w:val="5"/>
        <w:numId w:val="14"/>
      </w:numPr>
    </w:pPr>
  </w:style>
  <w:style w:type="paragraph" w:customStyle="1" w:styleId="DHHSnumberdigitindent">
    <w:name w:val="DHHS number digit indent"/>
    <w:basedOn w:val="DHHSnumberloweralphaindent"/>
    <w:uiPriority w:val="3"/>
    <w:rsid w:val="00477852"/>
    <w:pPr>
      <w:numPr>
        <w:ilvl w:val="1"/>
      </w:numPr>
    </w:pPr>
  </w:style>
  <w:style w:type="paragraph" w:customStyle="1" w:styleId="DHHSreportsubtitle">
    <w:name w:val="DHHS report subtitle"/>
    <w:basedOn w:val="Normal"/>
    <w:uiPriority w:val="4"/>
    <w:rsid w:val="001A58D3"/>
    <w:pPr>
      <w:spacing w:after="120" w:line="380" w:lineRule="atLeast"/>
    </w:pPr>
    <w:rPr>
      <w:rFonts w:ascii="Arial" w:hAnsi="Arial"/>
      <w:color w:val="000000"/>
      <w:sz w:val="30"/>
      <w:szCs w:val="30"/>
    </w:rPr>
  </w:style>
  <w:style w:type="character" w:styleId="CommentReference">
    <w:name w:val="annotation reference"/>
    <w:basedOn w:val="DefaultParagraphFont"/>
    <w:uiPriority w:val="99"/>
    <w:semiHidden/>
    <w:unhideWhenUsed/>
    <w:rsid w:val="00485673"/>
    <w:rPr>
      <w:sz w:val="16"/>
      <w:szCs w:val="16"/>
    </w:rPr>
  </w:style>
  <w:style w:type="paragraph" w:styleId="CommentText">
    <w:name w:val="annotation text"/>
    <w:basedOn w:val="Normal"/>
    <w:link w:val="CommentTextChar"/>
    <w:uiPriority w:val="99"/>
    <w:semiHidden/>
    <w:unhideWhenUsed/>
    <w:rsid w:val="00485673"/>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85673"/>
    <w:rPr>
      <w:rFonts w:asciiTheme="minorHAnsi" w:eastAsiaTheme="minorHAnsi" w:hAnsiTheme="minorHAnsi" w:cstheme="minorBidi"/>
    </w:rPr>
  </w:style>
  <w:style w:type="character" w:styleId="Hyperlink">
    <w:name w:val="Hyperlink"/>
    <w:basedOn w:val="DefaultParagraphFont"/>
    <w:uiPriority w:val="99"/>
    <w:unhideWhenUsed/>
    <w:rsid w:val="0048567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0524C"/>
    <w:pPr>
      <w:spacing w:after="0"/>
    </w:pPr>
    <w:rPr>
      <w:rFonts w:ascii="Verdana" w:eastAsia="Times New Roman" w:hAnsi="Verdana" w:cs="Times New Roman"/>
      <w:b/>
      <w:bCs/>
    </w:rPr>
  </w:style>
  <w:style w:type="character" w:customStyle="1" w:styleId="CommentSubjectChar">
    <w:name w:val="Comment Subject Char"/>
    <w:basedOn w:val="CommentTextChar"/>
    <w:link w:val="CommentSubject"/>
    <w:uiPriority w:val="99"/>
    <w:semiHidden/>
    <w:rsid w:val="0020524C"/>
    <w:rPr>
      <w:rFonts w:ascii="Verdana" w:eastAsiaTheme="minorHAnsi" w:hAnsi="Verdana"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hospitals-and-health-services/patient-care/speciality-diagnostics-therapeutics/blood-matters/transfusion-audi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hhsvic.limequery.com/318161?newtest=Y&amp;lang=en" TargetMode="External"/><Relationship Id="rId12" Type="http://schemas.openxmlformats.org/officeDocument/2006/relationships/hyperlink" Target="https://www.blood.gov.au/system/files/SVTs-at-FMC-case-study-v2-with-endnote-referenc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d.gov.au/patient-blood-management-guidelines-compan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loodmatters@redcrossblood.org.au" TargetMode="External"/><Relationship Id="rId4" Type="http://schemas.openxmlformats.org/officeDocument/2006/relationships/webSettings" Target="webSettings.xml"/><Relationship Id="rId9" Type="http://schemas.openxmlformats.org/officeDocument/2006/relationships/hyperlink" Target="https://dhhsvic.limequery.com/318161?newtest=Y&amp;lang=en%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1003</Words>
  <Characters>6055</Characters>
  <Application>Microsoft Office Word</Application>
  <DocSecurity>0</DocSecurity>
  <Lines>288</Lines>
  <Paragraphs>201</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Linley (VIC)</dc:creator>
  <cp:lastModifiedBy>Linley Bielby</cp:lastModifiedBy>
  <cp:revision>3</cp:revision>
  <cp:lastPrinted>2016-06-30T05:36:00Z</cp:lastPrinted>
  <dcterms:created xsi:type="dcterms:W3CDTF">2019-07-23T03:40:00Z</dcterms:created>
  <dcterms:modified xsi:type="dcterms:W3CDTF">2019-08-08T01:46:00Z</dcterms:modified>
</cp:coreProperties>
</file>