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C61F2" w14:textId="77777777" w:rsidR="00056EC4" w:rsidRDefault="00E9042A" w:rsidP="00056EC4">
      <w:pPr>
        <w:pStyle w:val="Body"/>
      </w:pPr>
      <w:r>
        <w:rPr>
          <w:noProof/>
        </w:rPr>
        <w:drawing>
          <wp:anchor distT="0" distB="0" distL="114300" distR="114300" simplePos="0" relativeHeight="251658240" behindDoc="1" locked="1" layoutInCell="1" allowOverlap="0" wp14:anchorId="37DAC5F4" wp14:editId="5FFD9E21">
            <wp:simplePos x="0" y="0"/>
            <wp:positionH relativeFrom="page">
              <wp:posOffset>0</wp:posOffset>
            </wp:positionH>
            <wp:positionV relativeFrom="page">
              <wp:posOffset>0</wp:posOffset>
            </wp:positionV>
            <wp:extent cx="7555865" cy="10146665"/>
            <wp:effectExtent l="0" t="0" r="6985" b="698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a:stretch>
                      <a:fillRect/>
                    </a:stretch>
                  </pic:blipFill>
                  <pic:spPr>
                    <a:xfrm>
                      <a:off x="0" y="0"/>
                      <a:ext cx="7555865" cy="10146665"/>
                    </a:xfrm>
                    <a:prstGeom prst="rect">
                      <a:avLst/>
                    </a:prstGeom>
                  </pic:spPr>
                </pic:pic>
              </a:graphicData>
            </a:graphic>
            <wp14:sizeRelH relativeFrom="margin">
              <wp14:pctWidth>0</wp14:pctWidth>
            </wp14:sizeRelH>
            <wp14:sizeRelV relativeFrom="margin">
              <wp14:pctHeight>0</wp14:pctHeight>
            </wp14:sizeRelV>
          </wp:anchor>
        </w:drawing>
      </w:r>
    </w:p>
    <w:tbl>
      <w:tblPr>
        <w:tblW w:w="9299" w:type="dxa"/>
        <w:tblLook w:val="04A0" w:firstRow="1" w:lastRow="0" w:firstColumn="1" w:lastColumn="0" w:noHBand="0" w:noVBand="1"/>
      </w:tblPr>
      <w:tblGrid>
        <w:gridCol w:w="9299"/>
      </w:tblGrid>
      <w:tr w:rsidR="00AD784C" w14:paraId="7503DCB3" w14:textId="77777777" w:rsidTr="002B7F18">
        <w:tc>
          <w:tcPr>
            <w:tcW w:w="0" w:type="auto"/>
          </w:tcPr>
          <w:p w14:paraId="4CC67859" w14:textId="0CD9597F" w:rsidR="00AD784C" w:rsidRPr="00431F42" w:rsidRDefault="0088777D" w:rsidP="00CC3BB0">
            <w:pPr>
              <w:pStyle w:val="Documenttitle"/>
            </w:pPr>
            <w:r>
              <w:t>Victoria’s digital health vision and roadmap 2026–31</w:t>
            </w:r>
          </w:p>
        </w:tc>
      </w:tr>
      <w:tr w:rsidR="00AD784C" w14:paraId="3CC68977" w14:textId="77777777" w:rsidTr="002B7F18">
        <w:tc>
          <w:tcPr>
            <w:tcW w:w="0" w:type="auto"/>
          </w:tcPr>
          <w:p w14:paraId="3036AE39" w14:textId="31CEE643" w:rsidR="00386109" w:rsidRPr="00A1389F" w:rsidRDefault="00386109" w:rsidP="009315BE">
            <w:pPr>
              <w:pStyle w:val="Documentsubtitle"/>
            </w:pPr>
          </w:p>
        </w:tc>
      </w:tr>
      <w:tr w:rsidR="00430393" w14:paraId="019AF1BB" w14:textId="77777777" w:rsidTr="002B7F18">
        <w:tc>
          <w:tcPr>
            <w:tcW w:w="0" w:type="auto"/>
          </w:tcPr>
          <w:p w14:paraId="27945C05" w14:textId="6DE109C9" w:rsidR="00430393" w:rsidRDefault="006260B0" w:rsidP="00430393">
            <w:pPr>
              <w:pStyle w:val="Bannermarking"/>
            </w:pPr>
            <w:fldSimple w:instr=" FILLIN  &quot;Type the protective marking&quot; \d OFFICIAL \o  \* MERGEFORMAT ">
              <w:r>
                <w:t>OFFICIAL</w:t>
              </w:r>
            </w:fldSimple>
          </w:p>
        </w:tc>
      </w:tr>
    </w:tbl>
    <w:p w14:paraId="76E6FEDD" w14:textId="77777777" w:rsidR="00FE4081" w:rsidRPr="00FE4081" w:rsidRDefault="00FE4081" w:rsidP="00FE4081">
      <w:pPr>
        <w:pStyle w:val="Body"/>
        <w:sectPr w:rsidR="00FE4081" w:rsidRPr="00FE4081" w:rsidSect="002C5B7C">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3969" w:right="1304" w:bottom="1418" w:left="1304" w:header="680" w:footer="851" w:gutter="0"/>
          <w:cols w:space="340"/>
          <w:docGrid w:linePitch="360"/>
        </w:sectPr>
      </w:pPr>
    </w:p>
    <w:tbl>
      <w:tblPr>
        <w:tblW w:w="0" w:type="auto"/>
        <w:tblLook w:val="04A0" w:firstRow="1" w:lastRow="0" w:firstColumn="1" w:lastColumn="0" w:noHBand="0" w:noVBand="1"/>
      </w:tblPr>
      <w:tblGrid>
        <w:gridCol w:w="9288"/>
      </w:tblGrid>
      <w:tr w:rsidR="009F2182" w14:paraId="0461B075" w14:textId="77777777" w:rsidTr="008B1EA0">
        <w:trPr>
          <w:trHeight w:val="7088"/>
        </w:trPr>
        <w:tc>
          <w:tcPr>
            <w:tcW w:w="9288" w:type="dxa"/>
          </w:tcPr>
          <w:p w14:paraId="66CA9276" w14:textId="45AF97E9" w:rsidR="009F2182" w:rsidRPr="00BA26F6" w:rsidRDefault="000D2ABA" w:rsidP="00BA26F6">
            <w:pPr>
              <w:pStyle w:val="Body"/>
              <w:rPr>
                <w:rFonts w:eastAsia="Times New Roman"/>
                <w:color w:val="87189D"/>
                <w:sz w:val="24"/>
                <w:szCs w:val="24"/>
              </w:rPr>
            </w:pPr>
            <w:r>
              <w:lastRenderedPageBreak/>
              <w:br w:type="page"/>
            </w:r>
          </w:p>
        </w:tc>
      </w:tr>
      <w:tr w:rsidR="009F2182" w14:paraId="7F4187CA" w14:textId="77777777" w:rsidTr="008B1EA0">
        <w:trPr>
          <w:trHeight w:val="5103"/>
        </w:trPr>
        <w:tc>
          <w:tcPr>
            <w:tcW w:w="9288" w:type="dxa"/>
          </w:tcPr>
          <w:p w14:paraId="69348C62" w14:textId="77777777" w:rsidR="00271BF2" w:rsidRDefault="00271BF2" w:rsidP="00B164A3">
            <w:pPr>
              <w:pStyle w:val="Accessibilitypara"/>
            </w:pPr>
          </w:p>
          <w:p w14:paraId="6992F25A" w14:textId="77777777" w:rsidR="00271BF2" w:rsidRDefault="00271BF2" w:rsidP="00B164A3">
            <w:pPr>
              <w:pStyle w:val="Accessibilitypara"/>
            </w:pPr>
          </w:p>
          <w:p w14:paraId="4D86022A" w14:textId="77777777" w:rsidR="00271BF2" w:rsidRDefault="00271BF2" w:rsidP="00B164A3">
            <w:pPr>
              <w:pStyle w:val="Accessibilitypara"/>
            </w:pPr>
          </w:p>
          <w:p w14:paraId="738450AF" w14:textId="290DD1C3" w:rsidR="00B164A3" w:rsidRPr="0055119B" w:rsidRDefault="00B164A3" w:rsidP="00B164A3">
            <w:pPr>
              <w:pStyle w:val="Accessibilitypara"/>
            </w:pPr>
            <w:r w:rsidRPr="0055119B">
              <w:t>To receive this document in another format</w:t>
            </w:r>
            <w:r>
              <w:t>,</w:t>
            </w:r>
            <w:r w:rsidRPr="0055119B">
              <w:t xml:space="preserve"> email &lt;</w:t>
            </w:r>
            <w:r>
              <w:t>digitalhealth@health.vic.gov.au</w:t>
            </w:r>
            <w:r w:rsidRPr="0055119B">
              <w:t>&gt;.</w:t>
            </w:r>
          </w:p>
          <w:p w14:paraId="3618468E" w14:textId="77777777" w:rsidR="00B164A3" w:rsidRPr="0055119B" w:rsidRDefault="00B164A3" w:rsidP="00B164A3">
            <w:pPr>
              <w:pStyle w:val="Imprint"/>
            </w:pPr>
            <w:r w:rsidRPr="0055119B">
              <w:t>Authorised and published by the Victorian Government, 1 Treasury Place, Melbourne.</w:t>
            </w:r>
          </w:p>
          <w:p w14:paraId="5C578E86" w14:textId="77777777" w:rsidR="00B164A3" w:rsidRDefault="00B164A3" w:rsidP="00B164A3">
            <w:pPr>
              <w:pStyle w:val="Imprint"/>
              <w:rPr>
                <w:color w:val="004C97"/>
              </w:rPr>
            </w:pPr>
            <w:r w:rsidRPr="0055119B">
              <w:t xml:space="preserve">© State of Victoria, Australia, Department </w:t>
            </w:r>
            <w:r w:rsidRPr="001B058F">
              <w:t xml:space="preserve">of </w:t>
            </w:r>
            <w:r>
              <w:t>Health</w:t>
            </w:r>
            <w:r w:rsidRPr="0055119B">
              <w:t xml:space="preserve">, </w:t>
            </w:r>
            <w:r>
              <w:rPr>
                <w:color w:val="004C97"/>
              </w:rPr>
              <w:t xml:space="preserve">October 2026. </w:t>
            </w:r>
          </w:p>
          <w:p w14:paraId="26CB9B0E" w14:textId="069EEBF0" w:rsidR="00C94E76" w:rsidRDefault="00C94E76" w:rsidP="00B164A3">
            <w:pPr>
              <w:pStyle w:val="Imprint"/>
            </w:pPr>
            <w:r w:rsidRPr="00C94E76">
              <w:t>Except where otherwise indicated, the images in this document show models and illustrative settings only, and do not necessarily depict actual services, facilities or recipients of services. This document may contain images of deceased Aboriginal and Torres Strait Islander peoples.</w:t>
            </w:r>
          </w:p>
          <w:p w14:paraId="27F74B1F" w14:textId="6088372F" w:rsidR="00311D68" w:rsidRPr="0055119B" w:rsidRDefault="00311D68" w:rsidP="00B164A3">
            <w:pPr>
              <w:pStyle w:val="Imprint"/>
            </w:pPr>
            <w:r w:rsidRPr="00311D68">
              <w:t>In this document, ‘Aboriginal’ refers to both Aboriginal and Torres Strait Islander people. ‘Indigenous’ or ‘Koori/Koorie’ is retained when part of the title of a report, program or quotation.</w:t>
            </w:r>
          </w:p>
          <w:p w14:paraId="26039BD3" w14:textId="0EABC3A5" w:rsidR="00B164A3" w:rsidRPr="0055119B" w:rsidRDefault="00B164A3" w:rsidP="00B164A3">
            <w:pPr>
              <w:pStyle w:val="Imprint"/>
            </w:pPr>
            <w:bookmarkStart w:id="0" w:name="_Hlk62746129"/>
            <w:r w:rsidRPr="004C6B64">
              <w:t>ISBN</w:t>
            </w:r>
            <w:r w:rsidR="006C32CA" w:rsidRPr="004C6B64">
              <w:t>- 978-1-76195-075-9</w:t>
            </w:r>
          </w:p>
          <w:p w14:paraId="737DABC4" w14:textId="618D3639" w:rsidR="00B164A3" w:rsidRPr="0055119B" w:rsidRDefault="00B164A3" w:rsidP="00B164A3">
            <w:pPr>
              <w:pStyle w:val="Imprint"/>
            </w:pPr>
            <w:r w:rsidRPr="0055119B">
              <w:t xml:space="preserve">Available at </w:t>
            </w:r>
            <w:hyperlink r:id="rId18" w:history="1">
              <w:r w:rsidR="004C6B64" w:rsidRPr="004C6B64">
                <w:rPr>
                  <w:rStyle w:val="Hyperlink"/>
                </w:rPr>
                <w:t xml:space="preserve">Victoria's digital health roadmap | </w:t>
              </w:r>
            </w:hyperlink>
            <w:r w:rsidRPr="00DA2A0E">
              <w:t>&lt;</w:t>
            </w:r>
            <w:r w:rsidR="004C6B64" w:rsidRPr="00DA2A0E">
              <w:t>https</w:t>
            </w:r>
            <w:r w:rsidR="004C6B64" w:rsidRPr="004C6B64">
              <w:t>://www.health.vic.gov.au/publications/victorias-digital-health-roadmap</w:t>
            </w:r>
            <w:r w:rsidRPr="004C6B64">
              <w:t>&gt;</w:t>
            </w:r>
          </w:p>
          <w:bookmarkEnd w:id="0"/>
          <w:p w14:paraId="372E1DFF" w14:textId="2C77304A" w:rsidR="009F2182" w:rsidRDefault="009F2182" w:rsidP="009F2182">
            <w:pPr>
              <w:pStyle w:val="Body"/>
            </w:pPr>
          </w:p>
        </w:tc>
      </w:tr>
      <w:tr w:rsidR="0008204A" w14:paraId="69C1819D" w14:textId="77777777" w:rsidTr="008B1EA0">
        <w:tc>
          <w:tcPr>
            <w:tcW w:w="9288" w:type="dxa"/>
          </w:tcPr>
          <w:p w14:paraId="10034D84" w14:textId="77777777" w:rsidR="0008204A" w:rsidRPr="0055119B" w:rsidRDefault="0008204A" w:rsidP="0008204A">
            <w:pPr>
              <w:pStyle w:val="Body"/>
            </w:pPr>
          </w:p>
        </w:tc>
      </w:tr>
    </w:tbl>
    <w:p w14:paraId="3F965ADF" w14:textId="77777777" w:rsidR="0008204A" w:rsidRPr="0008204A" w:rsidRDefault="0008204A" w:rsidP="0008204A">
      <w:pPr>
        <w:pStyle w:val="Body"/>
      </w:pPr>
      <w:r w:rsidRPr="0008204A">
        <w:br w:type="page"/>
      </w:r>
    </w:p>
    <w:p w14:paraId="30BB5FB7" w14:textId="1FD73D82" w:rsidR="00BC5C36" w:rsidRPr="00593FA7" w:rsidRDefault="00C621BB" w:rsidP="00BC5C36">
      <w:pPr>
        <w:pStyle w:val="Heading1"/>
      </w:pPr>
      <w:bookmarkStart w:id="1" w:name="_Toc244166809"/>
      <w:r>
        <w:lastRenderedPageBreak/>
        <w:t>Minister’s foreword</w:t>
      </w:r>
      <w:bookmarkEnd w:id="1"/>
    </w:p>
    <w:p w14:paraId="4649C7F6" w14:textId="04033513" w:rsidR="00567918" w:rsidRDefault="00567918" w:rsidP="00567918">
      <w:pPr>
        <w:pStyle w:val="Body"/>
      </w:pPr>
      <w:r>
        <w:t>Every Victorian should be able to access safe, high-quality healthcare that is connected, responsive and centred on their needs.</w:t>
      </w:r>
    </w:p>
    <w:p w14:paraId="7EBED611" w14:textId="07688B50" w:rsidR="00567918" w:rsidRDefault="00567918" w:rsidP="00567918">
      <w:pPr>
        <w:pStyle w:val="Body"/>
      </w:pPr>
      <w:r>
        <w:t>As our population grows and people live longer with more complex health needs, we must continue to evolve how care is delivered. People should not have to repeat their story each time they move between services. Clinicians should be able to access the information they need, when they need it, and spend less time searching for records or completing administrative tasks and more time providing care.</w:t>
      </w:r>
    </w:p>
    <w:p w14:paraId="520F4988" w14:textId="4EBAB203" w:rsidR="00567918" w:rsidRDefault="00567918" w:rsidP="00567918">
      <w:pPr>
        <w:pStyle w:val="Body"/>
      </w:pPr>
      <w:r>
        <w:t>Digital health can help make this possible. Connected information, modern clinical systems and digital and virtual models of care can make services easier to navigate, support safer and better coordinated care, and enable more people to receive care closer to home.</w:t>
      </w:r>
    </w:p>
    <w:p w14:paraId="139379C4" w14:textId="4E16A6AA" w:rsidR="00567918" w:rsidRDefault="00567918" w:rsidP="00567918">
      <w:pPr>
        <w:pStyle w:val="Body"/>
      </w:pPr>
      <w:r>
        <w:t>Across Victoria, we are already seeing the benefits of digital investment. Electronic medical records are making important clinical information more accessible. Virtual care is helping services reach people beyond hospital walls. Health information sharing is improving continuity between services, and stronger cybersecurity controls are helping to protect the information and systems on which modern healthcare depends.</w:t>
      </w:r>
    </w:p>
    <w:p w14:paraId="4228829E" w14:textId="4C060907" w:rsidR="00567918" w:rsidRDefault="00C21F81" w:rsidP="00567918">
      <w:pPr>
        <w:pStyle w:val="Body"/>
      </w:pPr>
      <w:r>
        <w:t>T</w:t>
      </w:r>
      <w:r w:rsidR="00567918">
        <w:t>here is</w:t>
      </w:r>
      <w:r>
        <w:t>,</w:t>
      </w:r>
      <w:r w:rsidR="00567918">
        <w:t xml:space="preserve"> </w:t>
      </w:r>
      <w:r>
        <w:t>however,</w:t>
      </w:r>
      <w:r w:rsidR="00567918">
        <w:t xml:space="preserve"> more to do. Digital capability remains uneven across our health system, and too many clinicians and consumers still experience fragmented information, paper-based processes and disconnected services.</w:t>
      </w:r>
    </w:p>
    <w:p w14:paraId="3D6BF8F8" w14:textId="3EF2D496" w:rsidR="00567918" w:rsidRDefault="00567918" w:rsidP="00567918">
      <w:pPr>
        <w:pStyle w:val="Body"/>
      </w:pPr>
      <w:r>
        <w:t>Victoria’s digital health vision and roadmap 2026–31 sets the direction for the next phase of digital transformation. It provides a framework to guide investment in the connected systems, information and digital capabilities needed to deliver more integrated care, support our health workforce and build a more productive, sustainable and resilient health system. It will also help Victorians access their health information, understand their options and play a more active role in managing their health and wellbeing.</w:t>
      </w:r>
    </w:p>
    <w:p w14:paraId="5DD15258" w14:textId="20440E7A" w:rsidR="00567918" w:rsidRDefault="00567918" w:rsidP="00567918">
      <w:pPr>
        <w:pStyle w:val="Body"/>
      </w:pPr>
      <w:r>
        <w:t>The roadmap has been shaped through engagement with health services, clinicians, consumers, First Peoples representatives and delivery partners across Victoria. I thank everyone who has contributed their experience, expertise and ideas.</w:t>
      </w:r>
    </w:p>
    <w:p w14:paraId="464D4D2D" w14:textId="2E29B30A" w:rsidR="00C621BB" w:rsidRDefault="00567918" w:rsidP="00D61971">
      <w:pPr>
        <w:pStyle w:val="Body"/>
      </w:pPr>
      <w:r>
        <w:t>By working together, we can build a health system where information follows the person, care is better connected</w:t>
      </w:r>
      <w:r w:rsidR="00C21F81">
        <w:t>,</w:t>
      </w:r>
      <w:r>
        <w:t xml:space="preserve"> and our workforce has the tools and time to focus on what matters most: providing high-quality care to Victorians</w:t>
      </w:r>
    </w:p>
    <w:p w14:paraId="7457B877" w14:textId="77777777" w:rsidR="00C621BB" w:rsidRDefault="00C621BB" w:rsidP="00D61971">
      <w:pPr>
        <w:pStyle w:val="Body"/>
      </w:pPr>
    </w:p>
    <w:p w14:paraId="5520019E" w14:textId="77777777" w:rsidR="00C621BB" w:rsidRDefault="00C621BB" w:rsidP="00D61971">
      <w:pPr>
        <w:pStyle w:val="Body"/>
      </w:pPr>
    </w:p>
    <w:p w14:paraId="74211B4C" w14:textId="77777777" w:rsidR="00C621BB" w:rsidRPr="002C19F4" w:rsidRDefault="00C621BB" w:rsidP="00D61971">
      <w:pPr>
        <w:pStyle w:val="Body"/>
      </w:pPr>
    </w:p>
    <w:p w14:paraId="4ABFFE19" w14:textId="77777777" w:rsidR="00C621BB" w:rsidRPr="00C621BB" w:rsidRDefault="00C621BB" w:rsidP="00C621BB">
      <w:pPr>
        <w:spacing w:after="0"/>
      </w:pPr>
      <w:r w:rsidRPr="00C621BB">
        <w:rPr>
          <w:b/>
          <w:bCs/>
        </w:rPr>
        <w:t>Ingrid Stitt MP</w:t>
      </w:r>
      <w:r w:rsidRPr="00C621BB">
        <w:br/>
      </w:r>
      <w:r w:rsidRPr="00C621BB">
        <w:rPr>
          <w:rFonts w:eastAsia="Times"/>
        </w:rPr>
        <w:t>Minister for Health</w:t>
      </w:r>
      <w:r w:rsidRPr="00C621BB">
        <w:rPr>
          <w:rFonts w:eastAsia="Times"/>
        </w:rPr>
        <w:br/>
        <w:t>Minister for Mental Health</w:t>
      </w:r>
      <w:r w:rsidRPr="00C621BB">
        <w:rPr>
          <w:rFonts w:eastAsia="Times"/>
        </w:rPr>
        <w:br/>
        <w:t>Minister for Ambulance Services</w:t>
      </w:r>
      <w:r w:rsidRPr="00C621BB">
        <w:rPr>
          <w:rFonts w:eastAsia="Times"/>
        </w:rPr>
        <w:br/>
        <w:t>Special Minister of State</w:t>
      </w:r>
    </w:p>
    <w:p w14:paraId="5D1EAB45" w14:textId="77777777" w:rsidR="00C20C86" w:rsidRDefault="00C20C86">
      <w:pPr>
        <w:spacing w:after="0" w:line="240" w:lineRule="auto"/>
        <w:rPr>
          <w:rFonts w:eastAsia="MS Gothic" w:cs="Arial"/>
          <w:bCs/>
          <w:color w:val="201547"/>
          <w:kern w:val="32"/>
          <w:sz w:val="44"/>
          <w:szCs w:val="44"/>
        </w:rPr>
      </w:pPr>
      <w:r>
        <w:br w:type="page"/>
      </w:r>
    </w:p>
    <w:p w14:paraId="69F7E29F" w14:textId="7857D8A2" w:rsidR="00C20C86" w:rsidRDefault="00C20C86" w:rsidP="00C20C86">
      <w:pPr>
        <w:pStyle w:val="Heading1"/>
      </w:pPr>
      <w:bookmarkStart w:id="2" w:name="_Toc244166810"/>
      <w:r>
        <w:lastRenderedPageBreak/>
        <w:t>Commitment to First Peoples</w:t>
      </w:r>
      <w:bookmarkEnd w:id="2"/>
    </w:p>
    <w:p w14:paraId="097F365A" w14:textId="5FD74FF6" w:rsidR="001A3CD7" w:rsidRDefault="00EE7D36" w:rsidP="009D686F">
      <w:pPr>
        <w:pStyle w:val="Body"/>
      </w:pPr>
      <w:r w:rsidRPr="00EE7D36">
        <w:t>Victoria’s digital health vision and roadmap 2026–31 commits to improving health and wellbeing outcomes for First Peoples, embedding principles of self-determination, cultural safety and accountability across digital health governance, design and delivery.</w:t>
      </w:r>
      <w:r w:rsidR="001A3CD7">
        <w:rPr>
          <w:rStyle w:val="FootnoteReference"/>
        </w:rPr>
        <w:footnoteReference w:id="1"/>
      </w:r>
    </w:p>
    <w:p w14:paraId="7054CC72" w14:textId="31607425" w:rsidR="001A3CD7" w:rsidRDefault="001A3CD7" w:rsidP="009D686F">
      <w:pPr>
        <w:pStyle w:val="Body"/>
      </w:pPr>
      <w:r>
        <w:t xml:space="preserve">This commitment aligns with the </w:t>
      </w:r>
      <w:r w:rsidR="00B00D1D" w:rsidRPr="00585D8F">
        <w:rPr>
          <w:i/>
        </w:rPr>
        <w:t xml:space="preserve">Victorian </w:t>
      </w:r>
      <w:r w:rsidRPr="00DD313F">
        <w:rPr>
          <w:i/>
        </w:rPr>
        <w:t>Aboriginal Health and Wellbeing Partnership Agreement</w:t>
      </w:r>
      <w:r>
        <w:rPr>
          <w:rStyle w:val="FootnoteReference"/>
          <w:i/>
          <w:iCs/>
        </w:rPr>
        <w:footnoteReference w:id="2"/>
      </w:r>
      <w:r>
        <w:t xml:space="preserve"> </w:t>
      </w:r>
      <w:r w:rsidRPr="00C32D5B">
        <w:t xml:space="preserve">and national </w:t>
      </w:r>
      <w:r w:rsidRPr="00DD313F">
        <w:rPr>
          <w:i/>
        </w:rPr>
        <w:t>Closing the Gap</w:t>
      </w:r>
      <w:r>
        <w:rPr>
          <w:rStyle w:val="FootnoteReference"/>
          <w:i/>
          <w:iCs/>
        </w:rPr>
        <w:footnoteReference w:id="3"/>
      </w:r>
      <w:r w:rsidRPr="00C32D5B">
        <w:t xml:space="preserve"> priorities, recognising the importance of partnership and First </w:t>
      </w:r>
      <w:r w:rsidR="00BA1F2D">
        <w:t>Peoples</w:t>
      </w:r>
      <w:r w:rsidR="00BA1F2D" w:rsidRPr="00C32D5B">
        <w:t xml:space="preserve"> </w:t>
      </w:r>
      <w:r w:rsidRPr="00C32D5B">
        <w:t xml:space="preserve">leadership in shaping how digital health is implemented across the system. It also acknowledges the evolving context of </w:t>
      </w:r>
      <w:r w:rsidR="00892202">
        <w:t xml:space="preserve">the </w:t>
      </w:r>
      <w:r w:rsidR="00892202" w:rsidRPr="000B701C">
        <w:rPr>
          <w:i/>
          <w:iCs/>
        </w:rPr>
        <w:t>Statewide</w:t>
      </w:r>
      <w:r w:rsidR="00892202">
        <w:t xml:space="preserve"> </w:t>
      </w:r>
      <w:r w:rsidRPr="00DD313F">
        <w:rPr>
          <w:i/>
          <w:iCs/>
        </w:rPr>
        <w:t>Treaty</w:t>
      </w:r>
      <w:r>
        <w:rPr>
          <w:rStyle w:val="FootnoteReference"/>
          <w:i/>
          <w:iCs/>
        </w:rPr>
        <w:footnoteReference w:id="4"/>
      </w:r>
      <w:r w:rsidRPr="00C32D5B">
        <w:t xml:space="preserve"> and will adapt approaches to engagement, governance and delivery in line with Treaty principles.</w:t>
      </w:r>
    </w:p>
    <w:p w14:paraId="003422A3" w14:textId="07B6F63E" w:rsidR="001A3CD7" w:rsidRDefault="001A3CD7" w:rsidP="009D686F">
      <w:pPr>
        <w:pStyle w:val="Body"/>
      </w:pPr>
      <w:r w:rsidRPr="00200BD5">
        <w:t xml:space="preserve">Delivery of the roadmap will be undertaken in partnership with First </w:t>
      </w:r>
      <w:r w:rsidR="001F5767">
        <w:t>Peoples</w:t>
      </w:r>
      <w:r w:rsidRPr="00200BD5">
        <w:t>, ensuring that digital health initiatives are designed and implemented in ways that are culturally safe, accessible and responsive to community needs.</w:t>
      </w:r>
      <w:r w:rsidR="00711C0C">
        <w:t xml:space="preserve"> </w:t>
      </w:r>
      <w:r w:rsidR="00711C0C" w:rsidRPr="00711C0C">
        <w:t>This will enable self-determination through engaging Aboriginal Community Controlled Organisations and Aboriginal and Torres Strait Islander people who live and work in and around Victoria.</w:t>
      </w:r>
    </w:p>
    <w:p w14:paraId="6B216602" w14:textId="76CCA4DB" w:rsidR="001A3CD7" w:rsidRDefault="001A3CD7" w:rsidP="009D686F">
      <w:pPr>
        <w:pStyle w:val="Body"/>
      </w:pPr>
      <w:r w:rsidRPr="0010596E">
        <w:t xml:space="preserve">Indigenous data governance </w:t>
      </w:r>
      <w:r>
        <w:t xml:space="preserve">and sovereignty </w:t>
      </w:r>
      <w:r w:rsidRPr="0010596E">
        <w:t xml:space="preserve">are central to this approach. The roadmap commits to applying Indigenous data principles across the full data lifecycle, ensuring data is collected, managed and used in ways that respect First </w:t>
      </w:r>
      <w:r w:rsidR="00CE152E">
        <w:t>Peoples</w:t>
      </w:r>
      <w:r w:rsidR="00FF2E1B">
        <w:t>’</w:t>
      </w:r>
      <w:r w:rsidR="00CE152E" w:rsidRPr="0010596E">
        <w:t xml:space="preserve"> </w:t>
      </w:r>
      <w:r w:rsidRPr="0010596E">
        <w:t>perspectives and support community control, trust and appropriate oversight.</w:t>
      </w:r>
    </w:p>
    <w:p w14:paraId="755AA638" w14:textId="6A861F52" w:rsidR="001A3CD7" w:rsidRDefault="001A3CD7" w:rsidP="009D686F">
      <w:pPr>
        <w:pStyle w:val="Body"/>
        <w:rPr>
          <w:rFonts w:eastAsia="MS Gothic" w:cs="Arial"/>
          <w:bCs/>
          <w:color w:val="201547"/>
          <w:kern w:val="32"/>
          <w:sz w:val="44"/>
          <w:szCs w:val="44"/>
        </w:rPr>
      </w:pPr>
      <w:r w:rsidRPr="00D37FE2">
        <w:t>Outcomes will be monitored as part of the broader benefits framework to ensure digital investment contributes to reducing gaps in access, experience and outcomes</w:t>
      </w:r>
      <w:r>
        <w:t xml:space="preserve"> for First </w:t>
      </w:r>
      <w:r w:rsidR="00CE152E">
        <w:t>Peoples</w:t>
      </w:r>
      <w:r w:rsidRPr="00D37FE2">
        <w:t>.</w:t>
      </w:r>
      <w:r>
        <w:br w:type="page"/>
      </w:r>
    </w:p>
    <w:p w14:paraId="3DFB7145" w14:textId="77777777" w:rsidR="00C36C26" w:rsidRPr="00B57329" w:rsidRDefault="00C36C26" w:rsidP="00C36C26">
      <w:pPr>
        <w:pStyle w:val="TOCheadingreport"/>
      </w:pPr>
      <w:r w:rsidRPr="00B57329">
        <w:lastRenderedPageBreak/>
        <w:t>Contents</w:t>
      </w:r>
    </w:p>
    <w:p w14:paraId="2A3F76F6" w14:textId="04E32653" w:rsidR="00DD3031" w:rsidRDefault="00C36C26">
      <w:pPr>
        <w:pStyle w:val="TOC1"/>
        <w:rPr>
          <w:rFonts w:asciiTheme="minorHAnsi" w:eastAsiaTheme="minorEastAsia" w:hAnsiTheme="minorHAnsi" w:cstheme="minorBidi"/>
          <w:b w:val="0"/>
          <w:kern w:val="2"/>
          <w:sz w:val="24"/>
          <w:szCs w:val="24"/>
          <w:lang w:eastAsia="en-AU"/>
          <w14:ligatures w14:val="standardContextual"/>
        </w:rPr>
      </w:pPr>
      <w:r>
        <w:fldChar w:fldCharType="begin"/>
      </w:r>
      <w:r>
        <w:instrText xml:space="preserve"> TOC \h \z \t "Heading 1,1,Heading 2,2" </w:instrText>
      </w:r>
      <w:r>
        <w:fldChar w:fldCharType="separate"/>
      </w:r>
      <w:hyperlink w:anchor="_Toc244166809" w:history="1">
        <w:r w:rsidR="00DD3031" w:rsidRPr="00127028">
          <w:rPr>
            <w:rStyle w:val="Hyperlink"/>
          </w:rPr>
          <w:t>Minister’s foreword</w:t>
        </w:r>
        <w:r w:rsidR="00DD3031">
          <w:rPr>
            <w:webHidden/>
          </w:rPr>
          <w:tab/>
        </w:r>
        <w:r w:rsidR="00DD3031">
          <w:rPr>
            <w:webHidden/>
          </w:rPr>
          <w:fldChar w:fldCharType="begin"/>
        </w:r>
        <w:r w:rsidR="00DD3031">
          <w:rPr>
            <w:webHidden/>
          </w:rPr>
          <w:instrText xml:space="preserve"> PAGEREF _Toc244166809 \h </w:instrText>
        </w:r>
        <w:r w:rsidR="00DD3031">
          <w:rPr>
            <w:webHidden/>
          </w:rPr>
        </w:r>
        <w:r w:rsidR="00DD3031">
          <w:rPr>
            <w:webHidden/>
          </w:rPr>
          <w:fldChar w:fldCharType="separate"/>
        </w:r>
        <w:r w:rsidR="00DD3031">
          <w:rPr>
            <w:webHidden/>
          </w:rPr>
          <w:t>3</w:t>
        </w:r>
        <w:r w:rsidR="00DD3031">
          <w:rPr>
            <w:webHidden/>
          </w:rPr>
          <w:fldChar w:fldCharType="end"/>
        </w:r>
      </w:hyperlink>
    </w:p>
    <w:p w14:paraId="5FC39667" w14:textId="0F9239AD"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10" w:history="1">
        <w:r w:rsidRPr="00127028">
          <w:rPr>
            <w:rStyle w:val="Hyperlink"/>
          </w:rPr>
          <w:t>Commitment to First Peoples</w:t>
        </w:r>
        <w:r>
          <w:rPr>
            <w:webHidden/>
          </w:rPr>
          <w:tab/>
        </w:r>
        <w:r>
          <w:rPr>
            <w:webHidden/>
          </w:rPr>
          <w:fldChar w:fldCharType="begin"/>
        </w:r>
        <w:r>
          <w:rPr>
            <w:webHidden/>
          </w:rPr>
          <w:instrText xml:space="preserve"> PAGEREF _Toc244166810 \h </w:instrText>
        </w:r>
        <w:r>
          <w:rPr>
            <w:webHidden/>
          </w:rPr>
        </w:r>
        <w:r>
          <w:rPr>
            <w:webHidden/>
          </w:rPr>
          <w:fldChar w:fldCharType="separate"/>
        </w:r>
        <w:r>
          <w:rPr>
            <w:webHidden/>
          </w:rPr>
          <w:t>4</w:t>
        </w:r>
        <w:r>
          <w:rPr>
            <w:webHidden/>
          </w:rPr>
          <w:fldChar w:fldCharType="end"/>
        </w:r>
      </w:hyperlink>
    </w:p>
    <w:p w14:paraId="6D6DE1DB" w14:textId="68D3822D"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11" w:history="1">
        <w:r w:rsidRPr="00127028">
          <w:rPr>
            <w:rStyle w:val="Hyperlink"/>
          </w:rPr>
          <w:t>Executive summary</w:t>
        </w:r>
        <w:r>
          <w:rPr>
            <w:webHidden/>
          </w:rPr>
          <w:tab/>
        </w:r>
        <w:r>
          <w:rPr>
            <w:webHidden/>
          </w:rPr>
          <w:fldChar w:fldCharType="begin"/>
        </w:r>
        <w:r>
          <w:rPr>
            <w:webHidden/>
          </w:rPr>
          <w:instrText xml:space="preserve"> PAGEREF _Toc244166811 \h </w:instrText>
        </w:r>
        <w:r>
          <w:rPr>
            <w:webHidden/>
          </w:rPr>
        </w:r>
        <w:r>
          <w:rPr>
            <w:webHidden/>
          </w:rPr>
          <w:fldChar w:fldCharType="separate"/>
        </w:r>
        <w:r>
          <w:rPr>
            <w:webHidden/>
          </w:rPr>
          <w:t>7</w:t>
        </w:r>
        <w:r>
          <w:rPr>
            <w:webHidden/>
          </w:rPr>
          <w:fldChar w:fldCharType="end"/>
        </w:r>
      </w:hyperlink>
    </w:p>
    <w:p w14:paraId="2B7E72BD" w14:textId="4F682F1B"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12" w:history="1">
        <w:r w:rsidRPr="00127028">
          <w:rPr>
            <w:rStyle w:val="Hyperlink"/>
          </w:rPr>
          <w:t>The future of health in Victoria</w:t>
        </w:r>
        <w:r>
          <w:rPr>
            <w:webHidden/>
          </w:rPr>
          <w:tab/>
        </w:r>
        <w:r>
          <w:rPr>
            <w:webHidden/>
          </w:rPr>
          <w:fldChar w:fldCharType="begin"/>
        </w:r>
        <w:r>
          <w:rPr>
            <w:webHidden/>
          </w:rPr>
          <w:instrText xml:space="preserve"> PAGEREF _Toc244166812 \h </w:instrText>
        </w:r>
        <w:r>
          <w:rPr>
            <w:webHidden/>
          </w:rPr>
        </w:r>
        <w:r>
          <w:rPr>
            <w:webHidden/>
          </w:rPr>
          <w:fldChar w:fldCharType="separate"/>
        </w:r>
        <w:r>
          <w:rPr>
            <w:webHidden/>
          </w:rPr>
          <w:t>9</w:t>
        </w:r>
        <w:r>
          <w:rPr>
            <w:webHidden/>
          </w:rPr>
          <w:fldChar w:fldCharType="end"/>
        </w:r>
      </w:hyperlink>
    </w:p>
    <w:p w14:paraId="2D0490F5" w14:textId="47288594"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13" w:history="1">
        <w:r w:rsidRPr="00127028">
          <w:rPr>
            <w:rStyle w:val="Hyperlink"/>
          </w:rPr>
          <w:t>Establishing the signposts for delivery</w:t>
        </w:r>
        <w:r>
          <w:rPr>
            <w:webHidden/>
          </w:rPr>
          <w:tab/>
        </w:r>
        <w:r>
          <w:rPr>
            <w:webHidden/>
          </w:rPr>
          <w:fldChar w:fldCharType="begin"/>
        </w:r>
        <w:r>
          <w:rPr>
            <w:webHidden/>
          </w:rPr>
          <w:instrText xml:space="preserve"> PAGEREF _Toc244166813 \h </w:instrText>
        </w:r>
        <w:r>
          <w:rPr>
            <w:webHidden/>
          </w:rPr>
        </w:r>
        <w:r>
          <w:rPr>
            <w:webHidden/>
          </w:rPr>
          <w:fldChar w:fldCharType="separate"/>
        </w:r>
        <w:r>
          <w:rPr>
            <w:webHidden/>
          </w:rPr>
          <w:t>9</w:t>
        </w:r>
        <w:r>
          <w:rPr>
            <w:webHidden/>
          </w:rPr>
          <w:fldChar w:fldCharType="end"/>
        </w:r>
      </w:hyperlink>
    </w:p>
    <w:p w14:paraId="2339C7BE" w14:textId="2FD76DBD"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14" w:history="1">
        <w:r w:rsidRPr="00127028">
          <w:rPr>
            <w:rStyle w:val="Hyperlink"/>
          </w:rPr>
          <w:t>Our 10-year vision for digital health</w:t>
        </w:r>
        <w:r>
          <w:rPr>
            <w:webHidden/>
          </w:rPr>
          <w:tab/>
        </w:r>
        <w:r>
          <w:rPr>
            <w:webHidden/>
          </w:rPr>
          <w:fldChar w:fldCharType="begin"/>
        </w:r>
        <w:r>
          <w:rPr>
            <w:webHidden/>
          </w:rPr>
          <w:instrText xml:space="preserve"> PAGEREF _Toc244166814 \h </w:instrText>
        </w:r>
        <w:r>
          <w:rPr>
            <w:webHidden/>
          </w:rPr>
        </w:r>
        <w:r>
          <w:rPr>
            <w:webHidden/>
          </w:rPr>
          <w:fldChar w:fldCharType="separate"/>
        </w:r>
        <w:r>
          <w:rPr>
            <w:webHidden/>
          </w:rPr>
          <w:t>11</w:t>
        </w:r>
        <w:r>
          <w:rPr>
            <w:webHidden/>
          </w:rPr>
          <w:fldChar w:fldCharType="end"/>
        </w:r>
      </w:hyperlink>
    </w:p>
    <w:p w14:paraId="7AB09B76" w14:textId="0171B140"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15" w:history="1">
        <w:r w:rsidRPr="00127028">
          <w:rPr>
            <w:rStyle w:val="Hyperlink"/>
          </w:rPr>
          <w:t>Digital capability as a catalyst for change</w:t>
        </w:r>
        <w:r>
          <w:rPr>
            <w:webHidden/>
          </w:rPr>
          <w:tab/>
        </w:r>
        <w:r>
          <w:rPr>
            <w:webHidden/>
          </w:rPr>
          <w:fldChar w:fldCharType="begin"/>
        </w:r>
        <w:r>
          <w:rPr>
            <w:webHidden/>
          </w:rPr>
          <w:instrText xml:space="preserve"> PAGEREF _Toc244166815 \h </w:instrText>
        </w:r>
        <w:r>
          <w:rPr>
            <w:webHidden/>
          </w:rPr>
        </w:r>
        <w:r>
          <w:rPr>
            <w:webHidden/>
          </w:rPr>
          <w:fldChar w:fldCharType="separate"/>
        </w:r>
        <w:r>
          <w:rPr>
            <w:webHidden/>
          </w:rPr>
          <w:t>12</w:t>
        </w:r>
        <w:r>
          <w:rPr>
            <w:webHidden/>
          </w:rPr>
          <w:fldChar w:fldCharType="end"/>
        </w:r>
      </w:hyperlink>
    </w:p>
    <w:p w14:paraId="6448FD18" w14:textId="6012248E"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16" w:history="1">
        <w:r w:rsidRPr="00127028">
          <w:rPr>
            <w:rStyle w:val="Hyperlink"/>
          </w:rPr>
          <w:t>Our starting point</w:t>
        </w:r>
        <w:r>
          <w:rPr>
            <w:webHidden/>
          </w:rPr>
          <w:tab/>
        </w:r>
        <w:r>
          <w:rPr>
            <w:webHidden/>
          </w:rPr>
          <w:fldChar w:fldCharType="begin"/>
        </w:r>
        <w:r>
          <w:rPr>
            <w:webHidden/>
          </w:rPr>
          <w:instrText xml:space="preserve"> PAGEREF _Toc244166816 \h </w:instrText>
        </w:r>
        <w:r>
          <w:rPr>
            <w:webHidden/>
          </w:rPr>
        </w:r>
        <w:r>
          <w:rPr>
            <w:webHidden/>
          </w:rPr>
          <w:fldChar w:fldCharType="separate"/>
        </w:r>
        <w:r>
          <w:rPr>
            <w:webHidden/>
          </w:rPr>
          <w:t>12</w:t>
        </w:r>
        <w:r>
          <w:rPr>
            <w:webHidden/>
          </w:rPr>
          <w:fldChar w:fldCharType="end"/>
        </w:r>
      </w:hyperlink>
    </w:p>
    <w:p w14:paraId="5F226C0A" w14:textId="3902C14C"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17" w:history="1">
        <w:r w:rsidRPr="00127028">
          <w:rPr>
            <w:rStyle w:val="Hyperlink"/>
          </w:rPr>
          <w:t>Drivers of change</w:t>
        </w:r>
        <w:r>
          <w:rPr>
            <w:webHidden/>
          </w:rPr>
          <w:tab/>
        </w:r>
        <w:r>
          <w:rPr>
            <w:webHidden/>
          </w:rPr>
          <w:fldChar w:fldCharType="begin"/>
        </w:r>
        <w:r>
          <w:rPr>
            <w:webHidden/>
          </w:rPr>
          <w:instrText xml:space="preserve"> PAGEREF _Toc244166817 \h </w:instrText>
        </w:r>
        <w:r>
          <w:rPr>
            <w:webHidden/>
          </w:rPr>
        </w:r>
        <w:r>
          <w:rPr>
            <w:webHidden/>
          </w:rPr>
          <w:fldChar w:fldCharType="separate"/>
        </w:r>
        <w:r>
          <w:rPr>
            <w:webHidden/>
          </w:rPr>
          <w:t>13</w:t>
        </w:r>
        <w:r>
          <w:rPr>
            <w:webHidden/>
          </w:rPr>
          <w:fldChar w:fldCharType="end"/>
        </w:r>
      </w:hyperlink>
    </w:p>
    <w:p w14:paraId="4697B22B" w14:textId="5511316D"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18" w:history="1">
        <w:r w:rsidRPr="00127028">
          <w:rPr>
            <w:rStyle w:val="Hyperlink"/>
          </w:rPr>
          <w:t>Why action is needed now</w:t>
        </w:r>
        <w:r>
          <w:rPr>
            <w:webHidden/>
          </w:rPr>
          <w:tab/>
        </w:r>
        <w:r>
          <w:rPr>
            <w:webHidden/>
          </w:rPr>
          <w:fldChar w:fldCharType="begin"/>
        </w:r>
        <w:r>
          <w:rPr>
            <w:webHidden/>
          </w:rPr>
          <w:instrText xml:space="preserve"> PAGEREF _Toc244166818 \h </w:instrText>
        </w:r>
        <w:r>
          <w:rPr>
            <w:webHidden/>
          </w:rPr>
        </w:r>
        <w:r>
          <w:rPr>
            <w:webHidden/>
          </w:rPr>
          <w:fldChar w:fldCharType="separate"/>
        </w:r>
        <w:r>
          <w:rPr>
            <w:webHidden/>
          </w:rPr>
          <w:t>18</w:t>
        </w:r>
        <w:r>
          <w:rPr>
            <w:webHidden/>
          </w:rPr>
          <w:fldChar w:fldCharType="end"/>
        </w:r>
      </w:hyperlink>
    </w:p>
    <w:p w14:paraId="449B0319" w14:textId="53E84BA9"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19" w:history="1">
        <w:r w:rsidRPr="00127028">
          <w:rPr>
            <w:rStyle w:val="Hyperlink"/>
          </w:rPr>
          <w:t>Developing the roadmap</w:t>
        </w:r>
        <w:r>
          <w:rPr>
            <w:webHidden/>
          </w:rPr>
          <w:tab/>
        </w:r>
        <w:r>
          <w:rPr>
            <w:webHidden/>
          </w:rPr>
          <w:fldChar w:fldCharType="begin"/>
        </w:r>
        <w:r>
          <w:rPr>
            <w:webHidden/>
          </w:rPr>
          <w:instrText xml:space="preserve"> PAGEREF _Toc244166819 \h </w:instrText>
        </w:r>
        <w:r>
          <w:rPr>
            <w:webHidden/>
          </w:rPr>
        </w:r>
        <w:r>
          <w:rPr>
            <w:webHidden/>
          </w:rPr>
          <w:fldChar w:fldCharType="separate"/>
        </w:r>
        <w:r>
          <w:rPr>
            <w:webHidden/>
          </w:rPr>
          <w:t>19</w:t>
        </w:r>
        <w:r>
          <w:rPr>
            <w:webHidden/>
          </w:rPr>
          <w:fldChar w:fldCharType="end"/>
        </w:r>
      </w:hyperlink>
    </w:p>
    <w:p w14:paraId="09D2AA01" w14:textId="7AA5D179"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20" w:history="1">
        <w:r w:rsidRPr="00127028">
          <w:rPr>
            <w:rStyle w:val="Hyperlink"/>
          </w:rPr>
          <w:t>Engagement and co-design</w:t>
        </w:r>
        <w:r>
          <w:rPr>
            <w:webHidden/>
          </w:rPr>
          <w:tab/>
        </w:r>
        <w:r>
          <w:rPr>
            <w:webHidden/>
          </w:rPr>
          <w:fldChar w:fldCharType="begin"/>
        </w:r>
        <w:r>
          <w:rPr>
            <w:webHidden/>
          </w:rPr>
          <w:instrText xml:space="preserve"> PAGEREF _Toc244166820 \h </w:instrText>
        </w:r>
        <w:r>
          <w:rPr>
            <w:webHidden/>
          </w:rPr>
        </w:r>
        <w:r>
          <w:rPr>
            <w:webHidden/>
          </w:rPr>
          <w:fldChar w:fldCharType="separate"/>
        </w:r>
        <w:r>
          <w:rPr>
            <w:webHidden/>
          </w:rPr>
          <w:t>19</w:t>
        </w:r>
        <w:r>
          <w:rPr>
            <w:webHidden/>
          </w:rPr>
          <w:fldChar w:fldCharType="end"/>
        </w:r>
      </w:hyperlink>
    </w:p>
    <w:p w14:paraId="71D0AC9F" w14:textId="377431AE"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21" w:history="1">
        <w:r w:rsidRPr="00127028">
          <w:rPr>
            <w:rStyle w:val="Hyperlink"/>
          </w:rPr>
          <w:t>Aligned to strategic priorities and system reform</w:t>
        </w:r>
        <w:r>
          <w:rPr>
            <w:webHidden/>
          </w:rPr>
          <w:tab/>
        </w:r>
        <w:r>
          <w:rPr>
            <w:webHidden/>
          </w:rPr>
          <w:fldChar w:fldCharType="begin"/>
        </w:r>
        <w:r>
          <w:rPr>
            <w:webHidden/>
          </w:rPr>
          <w:instrText xml:space="preserve"> PAGEREF _Toc244166821 \h </w:instrText>
        </w:r>
        <w:r>
          <w:rPr>
            <w:webHidden/>
          </w:rPr>
        </w:r>
        <w:r>
          <w:rPr>
            <w:webHidden/>
          </w:rPr>
          <w:fldChar w:fldCharType="separate"/>
        </w:r>
        <w:r>
          <w:rPr>
            <w:webHidden/>
          </w:rPr>
          <w:t>19</w:t>
        </w:r>
        <w:r>
          <w:rPr>
            <w:webHidden/>
          </w:rPr>
          <w:fldChar w:fldCharType="end"/>
        </w:r>
      </w:hyperlink>
    </w:p>
    <w:p w14:paraId="6D7B3BCE" w14:textId="1E2A9488"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22" w:history="1">
        <w:r w:rsidRPr="00127028">
          <w:rPr>
            <w:rStyle w:val="Hyperlink"/>
          </w:rPr>
          <w:t>Approach to delivery</w:t>
        </w:r>
        <w:r>
          <w:rPr>
            <w:webHidden/>
          </w:rPr>
          <w:tab/>
        </w:r>
        <w:r>
          <w:rPr>
            <w:webHidden/>
          </w:rPr>
          <w:fldChar w:fldCharType="begin"/>
        </w:r>
        <w:r>
          <w:rPr>
            <w:webHidden/>
          </w:rPr>
          <w:instrText xml:space="preserve"> PAGEREF _Toc244166822 \h </w:instrText>
        </w:r>
        <w:r>
          <w:rPr>
            <w:webHidden/>
          </w:rPr>
        </w:r>
        <w:r>
          <w:rPr>
            <w:webHidden/>
          </w:rPr>
          <w:fldChar w:fldCharType="separate"/>
        </w:r>
        <w:r>
          <w:rPr>
            <w:webHidden/>
          </w:rPr>
          <w:t>21</w:t>
        </w:r>
        <w:r>
          <w:rPr>
            <w:webHidden/>
          </w:rPr>
          <w:fldChar w:fldCharType="end"/>
        </w:r>
      </w:hyperlink>
    </w:p>
    <w:p w14:paraId="2BB24B58" w14:textId="69F9E67A"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23" w:history="1">
        <w:r w:rsidRPr="00127028">
          <w:rPr>
            <w:rStyle w:val="Hyperlink"/>
          </w:rPr>
          <w:t>Digital Health Roadmap 2026–31</w:t>
        </w:r>
        <w:r>
          <w:rPr>
            <w:webHidden/>
          </w:rPr>
          <w:tab/>
        </w:r>
        <w:r>
          <w:rPr>
            <w:webHidden/>
          </w:rPr>
          <w:fldChar w:fldCharType="begin"/>
        </w:r>
        <w:r>
          <w:rPr>
            <w:webHidden/>
          </w:rPr>
          <w:instrText xml:space="preserve"> PAGEREF _Toc244166823 \h </w:instrText>
        </w:r>
        <w:r>
          <w:rPr>
            <w:webHidden/>
          </w:rPr>
        </w:r>
        <w:r>
          <w:rPr>
            <w:webHidden/>
          </w:rPr>
          <w:fldChar w:fldCharType="separate"/>
        </w:r>
        <w:r>
          <w:rPr>
            <w:webHidden/>
          </w:rPr>
          <w:t>23</w:t>
        </w:r>
        <w:r>
          <w:rPr>
            <w:webHidden/>
          </w:rPr>
          <w:fldChar w:fldCharType="end"/>
        </w:r>
      </w:hyperlink>
    </w:p>
    <w:p w14:paraId="72012C08" w14:textId="67B32A0A" w:rsidR="00DD3031" w:rsidRDefault="00DD3031">
      <w:pPr>
        <w:pStyle w:val="TOC1"/>
        <w:tabs>
          <w:tab w:val="left" w:pos="567"/>
        </w:tabs>
        <w:rPr>
          <w:rFonts w:asciiTheme="minorHAnsi" w:eastAsiaTheme="minorEastAsia" w:hAnsiTheme="minorHAnsi" w:cstheme="minorBidi"/>
          <w:b w:val="0"/>
          <w:kern w:val="2"/>
          <w:sz w:val="24"/>
          <w:szCs w:val="24"/>
          <w:lang w:eastAsia="en-AU"/>
          <w14:ligatures w14:val="standardContextual"/>
        </w:rPr>
      </w:pPr>
      <w:hyperlink w:anchor="_Toc244166824" w:history="1">
        <w:r w:rsidRPr="00127028">
          <w:rPr>
            <w:rStyle w:val="Hyperlink"/>
          </w:rPr>
          <w:t>1.</w:t>
        </w:r>
        <w:r>
          <w:rPr>
            <w:rFonts w:asciiTheme="minorHAnsi" w:eastAsiaTheme="minorEastAsia" w:hAnsiTheme="minorHAnsi" w:cstheme="minorBidi"/>
            <w:b w:val="0"/>
            <w:kern w:val="2"/>
            <w:sz w:val="24"/>
            <w:szCs w:val="24"/>
            <w:lang w:eastAsia="en-AU"/>
            <w14:ligatures w14:val="standardContextual"/>
          </w:rPr>
          <w:tab/>
        </w:r>
        <w:r w:rsidRPr="00127028">
          <w:rPr>
            <w:rStyle w:val="Hyperlink"/>
          </w:rPr>
          <w:t>Connecting Health</w:t>
        </w:r>
        <w:r>
          <w:rPr>
            <w:webHidden/>
          </w:rPr>
          <w:tab/>
        </w:r>
        <w:r>
          <w:rPr>
            <w:webHidden/>
          </w:rPr>
          <w:fldChar w:fldCharType="begin"/>
        </w:r>
        <w:r>
          <w:rPr>
            <w:webHidden/>
          </w:rPr>
          <w:instrText xml:space="preserve"> PAGEREF _Toc244166824 \h </w:instrText>
        </w:r>
        <w:r>
          <w:rPr>
            <w:webHidden/>
          </w:rPr>
        </w:r>
        <w:r>
          <w:rPr>
            <w:webHidden/>
          </w:rPr>
          <w:fldChar w:fldCharType="separate"/>
        </w:r>
        <w:r>
          <w:rPr>
            <w:webHidden/>
          </w:rPr>
          <w:t>24</w:t>
        </w:r>
        <w:r>
          <w:rPr>
            <w:webHidden/>
          </w:rPr>
          <w:fldChar w:fldCharType="end"/>
        </w:r>
      </w:hyperlink>
    </w:p>
    <w:p w14:paraId="32033089" w14:textId="1C55534C"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25" w:history="1">
        <w:r w:rsidRPr="00127028">
          <w:rPr>
            <w:rStyle w:val="Hyperlink"/>
          </w:rPr>
          <w:t>From paper to intelligence</w:t>
        </w:r>
        <w:r>
          <w:rPr>
            <w:webHidden/>
          </w:rPr>
          <w:tab/>
        </w:r>
        <w:r>
          <w:rPr>
            <w:webHidden/>
          </w:rPr>
          <w:fldChar w:fldCharType="begin"/>
        </w:r>
        <w:r>
          <w:rPr>
            <w:webHidden/>
          </w:rPr>
          <w:instrText xml:space="preserve"> PAGEREF _Toc244166825 \h </w:instrText>
        </w:r>
        <w:r>
          <w:rPr>
            <w:webHidden/>
          </w:rPr>
        </w:r>
        <w:r>
          <w:rPr>
            <w:webHidden/>
          </w:rPr>
          <w:fldChar w:fldCharType="separate"/>
        </w:r>
        <w:r>
          <w:rPr>
            <w:webHidden/>
          </w:rPr>
          <w:t>24</w:t>
        </w:r>
        <w:r>
          <w:rPr>
            <w:webHidden/>
          </w:rPr>
          <w:fldChar w:fldCharType="end"/>
        </w:r>
      </w:hyperlink>
    </w:p>
    <w:p w14:paraId="3F69B489" w14:textId="345C772D"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26" w:history="1">
        <w:r w:rsidRPr="00127028">
          <w:rPr>
            <w:rStyle w:val="Hyperlink"/>
          </w:rPr>
          <w:t>Design principles</w:t>
        </w:r>
        <w:r>
          <w:rPr>
            <w:webHidden/>
          </w:rPr>
          <w:tab/>
        </w:r>
        <w:r>
          <w:rPr>
            <w:webHidden/>
          </w:rPr>
          <w:fldChar w:fldCharType="begin"/>
        </w:r>
        <w:r>
          <w:rPr>
            <w:webHidden/>
          </w:rPr>
          <w:instrText xml:space="preserve"> PAGEREF _Toc244166826 \h </w:instrText>
        </w:r>
        <w:r>
          <w:rPr>
            <w:webHidden/>
          </w:rPr>
        </w:r>
        <w:r>
          <w:rPr>
            <w:webHidden/>
          </w:rPr>
          <w:fldChar w:fldCharType="separate"/>
        </w:r>
        <w:r>
          <w:rPr>
            <w:webHidden/>
          </w:rPr>
          <w:t>25</w:t>
        </w:r>
        <w:r>
          <w:rPr>
            <w:webHidden/>
          </w:rPr>
          <w:fldChar w:fldCharType="end"/>
        </w:r>
      </w:hyperlink>
    </w:p>
    <w:p w14:paraId="553FD185" w14:textId="036A67C9"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27" w:history="1">
        <w:r w:rsidRPr="00127028">
          <w:rPr>
            <w:rStyle w:val="Hyperlink"/>
          </w:rPr>
          <w:t>Programs of work</w:t>
        </w:r>
        <w:r>
          <w:rPr>
            <w:webHidden/>
          </w:rPr>
          <w:tab/>
        </w:r>
        <w:r>
          <w:rPr>
            <w:webHidden/>
          </w:rPr>
          <w:fldChar w:fldCharType="begin"/>
        </w:r>
        <w:r>
          <w:rPr>
            <w:webHidden/>
          </w:rPr>
          <w:instrText xml:space="preserve"> PAGEREF _Toc244166827 \h </w:instrText>
        </w:r>
        <w:r>
          <w:rPr>
            <w:webHidden/>
          </w:rPr>
        </w:r>
        <w:r>
          <w:rPr>
            <w:webHidden/>
          </w:rPr>
          <w:fldChar w:fldCharType="separate"/>
        </w:r>
        <w:r>
          <w:rPr>
            <w:webHidden/>
          </w:rPr>
          <w:t>26</w:t>
        </w:r>
        <w:r>
          <w:rPr>
            <w:webHidden/>
          </w:rPr>
          <w:fldChar w:fldCharType="end"/>
        </w:r>
      </w:hyperlink>
    </w:p>
    <w:p w14:paraId="0C55CEC9" w14:textId="6AC07F2F"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28" w:history="1">
        <w:r w:rsidRPr="00127028">
          <w:rPr>
            <w:rStyle w:val="Hyperlink"/>
            <w:rFonts w:eastAsia="MS Gothic"/>
            <w:bCs/>
          </w:rPr>
          <w:t>Connecting Health in 2031</w:t>
        </w:r>
        <w:r>
          <w:rPr>
            <w:webHidden/>
          </w:rPr>
          <w:tab/>
        </w:r>
        <w:r>
          <w:rPr>
            <w:webHidden/>
          </w:rPr>
          <w:fldChar w:fldCharType="begin"/>
        </w:r>
        <w:r>
          <w:rPr>
            <w:webHidden/>
          </w:rPr>
          <w:instrText xml:space="preserve"> PAGEREF _Toc244166828 \h </w:instrText>
        </w:r>
        <w:r>
          <w:rPr>
            <w:webHidden/>
          </w:rPr>
        </w:r>
        <w:r>
          <w:rPr>
            <w:webHidden/>
          </w:rPr>
          <w:fldChar w:fldCharType="separate"/>
        </w:r>
        <w:r>
          <w:rPr>
            <w:webHidden/>
          </w:rPr>
          <w:t>29</w:t>
        </w:r>
        <w:r>
          <w:rPr>
            <w:webHidden/>
          </w:rPr>
          <w:fldChar w:fldCharType="end"/>
        </w:r>
      </w:hyperlink>
    </w:p>
    <w:p w14:paraId="52EAA4F9" w14:textId="1ACB6CC3" w:rsidR="00DD3031" w:rsidRDefault="00DD3031">
      <w:pPr>
        <w:pStyle w:val="TOC1"/>
        <w:tabs>
          <w:tab w:val="left" w:pos="567"/>
        </w:tabs>
        <w:rPr>
          <w:rFonts w:asciiTheme="minorHAnsi" w:eastAsiaTheme="minorEastAsia" w:hAnsiTheme="minorHAnsi" w:cstheme="minorBidi"/>
          <w:b w:val="0"/>
          <w:kern w:val="2"/>
          <w:sz w:val="24"/>
          <w:szCs w:val="24"/>
          <w:lang w:eastAsia="en-AU"/>
          <w14:ligatures w14:val="standardContextual"/>
        </w:rPr>
      </w:pPr>
      <w:hyperlink w:anchor="_Toc244166829" w:history="1">
        <w:r w:rsidRPr="00127028">
          <w:rPr>
            <w:rStyle w:val="Hyperlink"/>
          </w:rPr>
          <w:t>2.</w:t>
        </w:r>
        <w:r>
          <w:rPr>
            <w:rFonts w:asciiTheme="minorHAnsi" w:eastAsiaTheme="minorEastAsia" w:hAnsiTheme="minorHAnsi" w:cstheme="minorBidi"/>
            <w:b w:val="0"/>
            <w:kern w:val="2"/>
            <w:sz w:val="24"/>
            <w:szCs w:val="24"/>
            <w:lang w:eastAsia="en-AU"/>
            <w14:ligatures w14:val="standardContextual"/>
          </w:rPr>
          <w:tab/>
        </w:r>
        <w:r w:rsidRPr="00127028">
          <w:rPr>
            <w:rStyle w:val="Hyperlink"/>
          </w:rPr>
          <w:t>Care Anywhere</w:t>
        </w:r>
        <w:r>
          <w:rPr>
            <w:webHidden/>
          </w:rPr>
          <w:tab/>
        </w:r>
        <w:r>
          <w:rPr>
            <w:webHidden/>
          </w:rPr>
          <w:fldChar w:fldCharType="begin"/>
        </w:r>
        <w:r>
          <w:rPr>
            <w:webHidden/>
          </w:rPr>
          <w:instrText xml:space="preserve"> PAGEREF _Toc244166829 \h </w:instrText>
        </w:r>
        <w:r>
          <w:rPr>
            <w:webHidden/>
          </w:rPr>
        </w:r>
        <w:r>
          <w:rPr>
            <w:webHidden/>
          </w:rPr>
          <w:fldChar w:fldCharType="separate"/>
        </w:r>
        <w:r>
          <w:rPr>
            <w:webHidden/>
          </w:rPr>
          <w:t>30</w:t>
        </w:r>
        <w:r>
          <w:rPr>
            <w:webHidden/>
          </w:rPr>
          <w:fldChar w:fldCharType="end"/>
        </w:r>
      </w:hyperlink>
    </w:p>
    <w:p w14:paraId="0EC7C7E4" w14:textId="7F2B78F5"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30" w:history="1">
        <w:r w:rsidRPr="00127028">
          <w:rPr>
            <w:rStyle w:val="Hyperlink"/>
          </w:rPr>
          <w:t>From episodic to continuous care</w:t>
        </w:r>
        <w:r>
          <w:rPr>
            <w:webHidden/>
          </w:rPr>
          <w:tab/>
        </w:r>
        <w:r>
          <w:rPr>
            <w:webHidden/>
          </w:rPr>
          <w:fldChar w:fldCharType="begin"/>
        </w:r>
        <w:r>
          <w:rPr>
            <w:webHidden/>
          </w:rPr>
          <w:instrText xml:space="preserve"> PAGEREF _Toc244166830 \h </w:instrText>
        </w:r>
        <w:r>
          <w:rPr>
            <w:webHidden/>
          </w:rPr>
        </w:r>
        <w:r>
          <w:rPr>
            <w:webHidden/>
          </w:rPr>
          <w:fldChar w:fldCharType="separate"/>
        </w:r>
        <w:r>
          <w:rPr>
            <w:webHidden/>
          </w:rPr>
          <w:t>30</w:t>
        </w:r>
        <w:r>
          <w:rPr>
            <w:webHidden/>
          </w:rPr>
          <w:fldChar w:fldCharType="end"/>
        </w:r>
      </w:hyperlink>
    </w:p>
    <w:p w14:paraId="214C2ABB" w14:textId="537253BF"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31" w:history="1">
        <w:r w:rsidRPr="00127028">
          <w:rPr>
            <w:rStyle w:val="Hyperlink"/>
          </w:rPr>
          <w:t>Design principles</w:t>
        </w:r>
        <w:r>
          <w:rPr>
            <w:webHidden/>
          </w:rPr>
          <w:tab/>
        </w:r>
        <w:r>
          <w:rPr>
            <w:webHidden/>
          </w:rPr>
          <w:fldChar w:fldCharType="begin"/>
        </w:r>
        <w:r>
          <w:rPr>
            <w:webHidden/>
          </w:rPr>
          <w:instrText xml:space="preserve"> PAGEREF _Toc244166831 \h </w:instrText>
        </w:r>
        <w:r>
          <w:rPr>
            <w:webHidden/>
          </w:rPr>
        </w:r>
        <w:r>
          <w:rPr>
            <w:webHidden/>
          </w:rPr>
          <w:fldChar w:fldCharType="separate"/>
        </w:r>
        <w:r>
          <w:rPr>
            <w:webHidden/>
          </w:rPr>
          <w:t>30</w:t>
        </w:r>
        <w:r>
          <w:rPr>
            <w:webHidden/>
          </w:rPr>
          <w:fldChar w:fldCharType="end"/>
        </w:r>
      </w:hyperlink>
    </w:p>
    <w:p w14:paraId="0210048E" w14:textId="79718AE3"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32" w:history="1">
        <w:r w:rsidRPr="00127028">
          <w:rPr>
            <w:rStyle w:val="Hyperlink"/>
          </w:rPr>
          <w:t>Programs of work</w:t>
        </w:r>
        <w:r>
          <w:rPr>
            <w:webHidden/>
          </w:rPr>
          <w:tab/>
        </w:r>
        <w:r>
          <w:rPr>
            <w:webHidden/>
          </w:rPr>
          <w:fldChar w:fldCharType="begin"/>
        </w:r>
        <w:r>
          <w:rPr>
            <w:webHidden/>
          </w:rPr>
          <w:instrText xml:space="preserve"> PAGEREF _Toc244166832 \h </w:instrText>
        </w:r>
        <w:r>
          <w:rPr>
            <w:webHidden/>
          </w:rPr>
        </w:r>
        <w:r>
          <w:rPr>
            <w:webHidden/>
          </w:rPr>
          <w:fldChar w:fldCharType="separate"/>
        </w:r>
        <w:r>
          <w:rPr>
            <w:webHidden/>
          </w:rPr>
          <w:t>31</w:t>
        </w:r>
        <w:r>
          <w:rPr>
            <w:webHidden/>
          </w:rPr>
          <w:fldChar w:fldCharType="end"/>
        </w:r>
      </w:hyperlink>
    </w:p>
    <w:p w14:paraId="3B8B6D0A" w14:textId="1772F01C"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33" w:history="1">
        <w:r w:rsidRPr="00127028">
          <w:rPr>
            <w:rStyle w:val="Hyperlink"/>
            <w:rFonts w:eastAsia="MS Gothic"/>
            <w:bCs/>
            <w:lang w:val="en-US"/>
          </w:rPr>
          <w:t>Care Anywhere in 2031</w:t>
        </w:r>
        <w:r>
          <w:rPr>
            <w:webHidden/>
          </w:rPr>
          <w:tab/>
        </w:r>
        <w:r>
          <w:rPr>
            <w:webHidden/>
          </w:rPr>
          <w:fldChar w:fldCharType="begin"/>
        </w:r>
        <w:r>
          <w:rPr>
            <w:webHidden/>
          </w:rPr>
          <w:instrText xml:space="preserve"> PAGEREF _Toc244166833 \h </w:instrText>
        </w:r>
        <w:r>
          <w:rPr>
            <w:webHidden/>
          </w:rPr>
        </w:r>
        <w:r>
          <w:rPr>
            <w:webHidden/>
          </w:rPr>
          <w:fldChar w:fldCharType="separate"/>
        </w:r>
        <w:r>
          <w:rPr>
            <w:webHidden/>
          </w:rPr>
          <w:t>34</w:t>
        </w:r>
        <w:r>
          <w:rPr>
            <w:webHidden/>
          </w:rPr>
          <w:fldChar w:fldCharType="end"/>
        </w:r>
      </w:hyperlink>
    </w:p>
    <w:p w14:paraId="6EE2EDFA" w14:textId="4B303F60" w:rsidR="00DD3031" w:rsidRDefault="00DD3031">
      <w:pPr>
        <w:pStyle w:val="TOC1"/>
        <w:tabs>
          <w:tab w:val="left" w:pos="567"/>
        </w:tabs>
        <w:rPr>
          <w:rFonts w:asciiTheme="minorHAnsi" w:eastAsiaTheme="minorEastAsia" w:hAnsiTheme="minorHAnsi" w:cstheme="minorBidi"/>
          <w:b w:val="0"/>
          <w:kern w:val="2"/>
          <w:sz w:val="24"/>
          <w:szCs w:val="24"/>
          <w:lang w:eastAsia="en-AU"/>
          <w14:ligatures w14:val="standardContextual"/>
        </w:rPr>
      </w:pPr>
      <w:hyperlink w:anchor="_Toc244166834" w:history="1">
        <w:r w:rsidRPr="00127028">
          <w:rPr>
            <w:rStyle w:val="Hyperlink"/>
          </w:rPr>
          <w:t>3.</w:t>
        </w:r>
        <w:r>
          <w:rPr>
            <w:rFonts w:asciiTheme="minorHAnsi" w:eastAsiaTheme="minorEastAsia" w:hAnsiTheme="minorHAnsi" w:cstheme="minorBidi"/>
            <w:b w:val="0"/>
            <w:kern w:val="2"/>
            <w:sz w:val="24"/>
            <w:szCs w:val="24"/>
            <w:lang w:eastAsia="en-AU"/>
            <w14:ligatures w14:val="standardContextual"/>
          </w:rPr>
          <w:tab/>
        </w:r>
        <w:r w:rsidRPr="00127028">
          <w:rPr>
            <w:rStyle w:val="Hyperlink"/>
          </w:rPr>
          <w:t>Engaged Consumers</w:t>
        </w:r>
        <w:r>
          <w:rPr>
            <w:webHidden/>
          </w:rPr>
          <w:tab/>
        </w:r>
        <w:r>
          <w:rPr>
            <w:webHidden/>
          </w:rPr>
          <w:fldChar w:fldCharType="begin"/>
        </w:r>
        <w:r>
          <w:rPr>
            <w:webHidden/>
          </w:rPr>
          <w:instrText xml:space="preserve"> PAGEREF _Toc244166834 \h </w:instrText>
        </w:r>
        <w:r>
          <w:rPr>
            <w:webHidden/>
          </w:rPr>
        </w:r>
        <w:r>
          <w:rPr>
            <w:webHidden/>
          </w:rPr>
          <w:fldChar w:fldCharType="separate"/>
        </w:r>
        <w:r>
          <w:rPr>
            <w:webHidden/>
          </w:rPr>
          <w:t>35</w:t>
        </w:r>
        <w:r>
          <w:rPr>
            <w:webHidden/>
          </w:rPr>
          <w:fldChar w:fldCharType="end"/>
        </w:r>
      </w:hyperlink>
    </w:p>
    <w:p w14:paraId="12D07C65" w14:textId="281458BF"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35" w:history="1">
        <w:r w:rsidRPr="00127028">
          <w:rPr>
            <w:rStyle w:val="Hyperlink"/>
          </w:rPr>
          <w:t>From fragmented to connected experiences</w:t>
        </w:r>
        <w:r>
          <w:rPr>
            <w:webHidden/>
          </w:rPr>
          <w:tab/>
        </w:r>
        <w:r>
          <w:rPr>
            <w:webHidden/>
          </w:rPr>
          <w:fldChar w:fldCharType="begin"/>
        </w:r>
        <w:r>
          <w:rPr>
            <w:webHidden/>
          </w:rPr>
          <w:instrText xml:space="preserve"> PAGEREF _Toc244166835 \h </w:instrText>
        </w:r>
        <w:r>
          <w:rPr>
            <w:webHidden/>
          </w:rPr>
        </w:r>
        <w:r>
          <w:rPr>
            <w:webHidden/>
          </w:rPr>
          <w:fldChar w:fldCharType="separate"/>
        </w:r>
        <w:r>
          <w:rPr>
            <w:webHidden/>
          </w:rPr>
          <w:t>35</w:t>
        </w:r>
        <w:r>
          <w:rPr>
            <w:webHidden/>
          </w:rPr>
          <w:fldChar w:fldCharType="end"/>
        </w:r>
      </w:hyperlink>
    </w:p>
    <w:p w14:paraId="6340E9CF" w14:textId="46162F5B"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36" w:history="1">
        <w:r w:rsidRPr="00127028">
          <w:rPr>
            <w:rStyle w:val="Hyperlink"/>
          </w:rPr>
          <w:t>Design principles</w:t>
        </w:r>
        <w:r>
          <w:rPr>
            <w:webHidden/>
          </w:rPr>
          <w:tab/>
        </w:r>
        <w:r>
          <w:rPr>
            <w:webHidden/>
          </w:rPr>
          <w:fldChar w:fldCharType="begin"/>
        </w:r>
        <w:r>
          <w:rPr>
            <w:webHidden/>
          </w:rPr>
          <w:instrText xml:space="preserve"> PAGEREF _Toc244166836 \h </w:instrText>
        </w:r>
        <w:r>
          <w:rPr>
            <w:webHidden/>
          </w:rPr>
        </w:r>
        <w:r>
          <w:rPr>
            <w:webHidden/>
          </w:rPr>
          <w:fldChar w:fldCharType="separate"/>
        </w:r>
        <w:r>
          <w:rPr>
            <w:webHidden/>
          </w:rPr>
          <w:t>35</w:t>
        </w:r>
        <w:r>
          <w:rPr>
            <w:webHidden/>
          </w:rPr>
          <w:fldChar w:fldCharType="end"/>
        </w:r>
      </w:hyperlink>
    </w:p>
    <w:p w14:paraId="4C56901A" w14:textId="5968B257"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37" w:history="1">
        <w:r w:rsidRPr="00127028">
          <w:rPr>
            <w:rStyle w:val="Hyperlink"/>
          </w:rPr>
          <w:t>Programs of work</w:t>
        </w:r>
        <w:r>
          <w:rPr>
            <w:webHidden/>
          </w:rPr>
          <w:tab/>
        </w:r>
        <w:r>
          <w:rPr>
            <w:webHidden/>
          </w:rPr>
          <w:fldChar w:fldCharType="begin"/>
        </w:r>
        <w:r>
          <w:rPr>
            <w:webHidden/>
          </w:rPr>
          <w:instrText xml:space="preserve"> PAGEREF _Toc244166837 \h </w:instrText>
        </w:r>
        <w:r>
          <w:rPr>
            <w:webHidden/>
          </w:rPr>
        </w:r>
        <w:r>
          <w:rPr>
            <w:webHidden/>
          </w:rPr>
          <w:fldChar w:fldCharType="separate"/>
        </w:r>
        <w:r>
          <w:rPr>
            <w:webHidden/>
          </w:rPr>
          <w:t>36</w:t>
        </w:r>
        <w:r>
          <w:rPr>
            <w:webHidden/>
          </w:rPr>
          <w:fldChar w:fldCharType="end"/>
        </w:r>
      </w:hyperlink>
    </w:p>
    <w:p w14:paraId="2FE3107C" w14:textId="19E3286C"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38" w:history="1">
        <w:r w:rsidRPr="00127028">
          <w:rPr>
            <w:rStyle w:val="Hyperlink"/>
            <w:lang w:val="en-US"/>
          </w:rPr>
          <w:t>Engaged Consumers in 2031</w:t>
        </w:r>
        <w:r>
          <w:rPr>
            <w:webHidden/>
          </w:rPr>
          <w:tab/>
        </w:r>
        <w:r>
          <w:rPr>
            <w:webHidden/>
          </w:rPr>
          <w:fldChar w:fldCharType="begin"/>
        </w:r>
        <w:r>
          <w:rPr>
            <w:webHidden/>
          </w:rPr>
          <w:instrText xml:space="preserve"> PAGEREF _Toc244166838 \h </w:instrText>
        </w:r>
        <w:r>
          <w:rPr>
            <w:webHidden/>
          </w:rPr>
        </w:r>
        <w:r>
          <w:rPr>
            <w:webHidden/>
          </w:rPr>
          <w:fldChar w:fldCharType="separate"/>
        </w:r>
        <w:r>
          <w:rPr>
            <w:webHidden/>
          </w:rPr>
          <w:t>38</w:t>
        </w:r>
        <w:r>
          <w:rPr>
            <w:webHidden/>
          </w:rPr>
          <w:fldChar w:fldCharType="end"/>
        </w:r>
      </w:hyperlink>
    </w:p>
    <w:p w14:paraId="34FC3320" w14:textId="1FFA63EF" w:rsidR="00DD3031" w:rsidRDefault="00DD3031">
      <w:pPr>
        <w:pStyle w:val="TOC1"/>
        <w:tabs>
          <w:tab w:val="left" w:pos="567"/>
        </w:tabs>
        <w:rPr>
          <w:rFonts w:asciiTheme="minorHAnsi" w:eastAsiaTheme="minorEastAsia" w:hAnsiTheme="minorHAnsi" w:cstheme="minorBidi"/>
          <w:b w:val="0"/>
          <w:kern w:val="2"/>
          <w:sz w:val="24"/>
          <w:szCs w:val="24"/>
          <w:lang w:eastAsia="en-AU"/>
          <w14:ligatures w14:val="standardContextual"/>
        </w:rPr>
      </w:pPr>
      <w:hyperlink w:anchor="_Toc244166839" w:history="1">
        <w:r w:rsidRPr="00127028">
          <w:rPr>
            <w:rStyle w:val="Hyperlink"/>
          </w:rPr>
          <w:t>4.</w:t>
        </w:r>
        <w:r>
          <w:rPr>
            <w:rFonts w:asciiTheme="minorHAnsi" w:eastAsiaTheme="minorEastAsia" w:hAnsiTheme="minorHAnsi" w:cstheme="minorBidi"/>
            <w:b w:val="0"/>
            <w:kern w:val="2"/>
            <w:sz w:val="24"/>
            <w:szCs w:val="24"/>
            <w:lang w:eastAsia="en-AU"/>
            <w14:ligatures w14:val="standardContextual"/>
          </w:rPr>
          <w:tab/>
        </w:r>
        <w:r w:rsidRPr="00127028">
          <w:rPr>
            <w:rStyle w:val="Hyperlink"/>
          </w:rPr>
          <w:t>Sustainable Operations</w:t>
        </w:r>
        <w:r>
          <w:rPr>
            <w:webHidden/>
          </w:rPr>
          <w:tab/>
        </w:r>
        <w:r>
          <w:rPr>
            <w:webHidden/>
          </w:rPr>
          <w:fldChar w:fldCharType="begin"/>
        </w:r>
        <w:r>
          <w:rPr>
            <w:webHidden/>
          </w:rPr>
          <w:instrText xml:space="preserve"> PAGEREF _Toc244166839 \h </w:instrText>
        </w:r>
        <w:r>
          <w:rPr>
            <w:webHidden/>
          </w:rPr>
        </w:r>
        <w:r>
          <w:rPr>
            <w:webHidden/>
          </w:rPr>
          <w:fldChar w:fldCharType="separate"/>
        </w:r>
        <w:r>
          <w:rPr>
            <w:webHidden/>
          </w:rPr>
          <w:t>39</w:t>
        </w:r>
        <w:r>
          <w:rPr>
            <w:webHidden/>
          </w:rPr>
          <w:fldChar w:fldCharType="end"/>
        </w:r>
      </w:hyperlink>
    </w:p>
    <w:p w14:paraId="4A421071" w14:textId="07CA736D"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40" w:history="1">
        <w:r w:rsidRPr="00127028">
          <w:rPr>
            <w:rStyle w:val="Hyperlink"/>
          </w:rPr>
          <w:t>From reactive to predictive and proactive</w:t>
        </w:r>
        <w:r>
          <w:rPr>
            <w:webHidden/>
          </w:rPr>
          <w:tab/>
        </w:r>
        <w:r>
          <w:rPr>
            <w:webHidden/>
          </w:rPr>
          <w:fldChar w:fldCharType="begin"/>
        </w:r>
        <w:r>
          <w:rPr>
            <w:webHidden/>
          </w:rPr>
          <w:instrText xml:space="preserve"> PAGEREF _Toc244166840 \h </w:instrText>
        </w:r>
        <w:r>
          <w:rPr>
            <w:webHidden/>
          </w:rPr>
        </w:r>
        <w:r>
          <w:rPr>
            <w:webHidden/>
          </w:rPr>
          <w:fldChar w:fldCharType="separate"/>
        </w:r>
        <w:r>
          <w:rPr>
            <w:webHidden/>
          </w:rPr>
          <w:t>39</w:t>
        </w:r>
        <w:r>
          <w:rPr>
            <w:webHidden/>
          </w:rPr>
          <w:fldChar w:fldCharType="end"/>
        </w:r>
      </w:hyperlink>
    </w:p>
    <w:p w14:paraId="637D9345" w14:textId="267C92B0"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41" w:history="1">
        <w:r w:rsidRPr="00127028">
          <w:rPr>
            <w:rStyle w:val="Hyperlink"/>
          </w:rPr>
          <w:t>Design principles</w:t>
        </w:r>
        <w:r>
          <w:rPr>
            <w:webHidden/>
          </w:rPr>
          <w:tab/>
        </w:r>
        <w:r>
          <w:rPr>
            <w:webHidden/>
          </w:rPr>
          <w:fldChar w:fldCharType="begin"/>
        </w:r>
        <w:r>
          <w:rPr>
            <w:webHidden/>
          </w:rPr>
          <w:instrText xml:space="preserve"> PAGEREF _Toc244166841 \h </w:instrText>
        </w:r>
        <w:r>
          <w:rPr>
            <w:webHidden/>
          </w:rPr>
        </w:r>
        <w:r>
          <w:rPr>
            <w:webHidden/>
          </w:rPr>
          <w:fldChar w:fldCharType="separate"/>
        </w:r>
        <w:r>
          <w:rPr>
            <w:webHidden/>
          </w:rPr>
          <w:t>40</w:t>
        </w:r>
        <w:r>
          <w:rPr>
            <w:webHidden/>
          </w:rPr>
          <w:fldChar w:fldCharType="end"/>
        </w:r>
      </w:hyperlink>
    </w:p>
    <w:p w14:paraId="63879E33" w14:textId="653D2035"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42" w:history="1">
        <w:r w:rsidRPr="00127028">
          <w:rPr>
            <w:rStyle w:val="Hyperlink"/>
          </w:rPr>
          <w:t>Programs of work</w:t>
        </w:r>
        <w:r>
          <w:rPr>
            <w:webHidden/>
          </w:rPr>
          <w:tab/>
        </w:r>
        <w:r>
          <w:rPr>
            <w:webHidden/>
          </w:rPr>
          <w:fldChar w:fldCharType="begin"/>
        </w:r>
        <w:r>
          <w:rPr>
            <w:webHidden/>
          </w:rPr>
          <w:instrText xml:space="preserve"> PAGEREF _Toc244166842 \h </w:instrText>
        </w:r>
        <w:r>
          <w:rPr>
            <w:webHidden/>
          </w:rPr>
        </w:r>
        <w:r>
          <w:rPr>
            <w:webHidden/>
          </w:rPr>
          <w:fldChar w:fldCharType="separate"/>
        </w:r>
        <w:r>
          <w:rPr>
            <w:webHidden/>
          </w:rPr>
          <w:t>40</w:t>
        </w:r>
        <w:r>
          <w:rPr>
            <w:webHidden/>
          </w:rPr>
          <w:fldChar w:fldCharType="end"/>
        </w:r>
      </w:hyperlink>
    </w:p>
    <w:p w14:paraId="64CCE616" w14:textId="0AB0CC18"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43" w:history="1">
        <w:r w:rsidRPr="00127028">
          <w:rPr>
            <w:rStyle w:val="Hyperlink"/>
            <w:rFonts w:eastAsia="MS Gothic"/>
            <w:bCs/>
          </w:rPr>
          <w:t>Sustainable Operations in 2031</w:t>
        </w:r>
        <w:r>
          <w:rPr>
            <w:webHidden/>
          </w:rPr>
          <w:tab/>
        </w:r>
        <w:r>
          <w:rPr>
            <w:webHidden/>
          </w:rPr>
          <w:fldChar w:fldCharType="begin"/>
        </w:r>
        <w:r>
          <w:rPr>
            <w:webHidden/>
          </w:rPr>
          <w:instrText xml:space="preserve"> PAGEREF _Toc244166843 \h </w:instrText>
        </w:r>
        <w:r>
          <w:rPr>
            <w:webHidden/>
          </w:rPr>
        </w:r>
        <w:r>
          <w:rPr>
            <w:webHidden/>
          </w:rPr>
          <w:fldChar w:fldCharType="separate"/>
        </w:r>
        <w:r>
          <w:rPr>
            <w:webHidden/>
          </w:rPr>
          <w:t>44</w:t>
        </w:r>
        <w:r>
          <w:rPr>
            <w:webHidden/>
          </w:rPr>
          <w:fldChar w:fldCharType="end"/>
        </w:r>
      </w:hyperlink>
    </w:p>
    <w:p w14:paraId="23A3D8D9" w14:textId="7B1B932D"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44" w:history="1">
        <w:r w:rsidRPr="00127028">
          <w:rPr>
            <w:rStyle w:val="Hyperlink"/>
          </w:rPr>
          <w:t>Accelerators</w:t>
        </w:r>
        <w:r>
          <w:rPr>
            <w:webHidden/>
          </w:rPr>
          <w:tab/>
        </w:r>
        <w:r>
          <w:rPr>
            <w:webHidden/>
          </w:rPr>
          <w:fldChar w:fldCharType="begin"/>
        </w:r>
        <w:r>
          <w:rPr>
            <w:webHidden/>
          </w:rPr>
          <w:instrText xml:space="preserve"> PAGEREF _Toc244166844 \h </w:instrText>
        </w:r>
        <w:r>
          <w:rPr>
            <w:webHidden/>
          </w:rPr>
        </w:r>
        <w:r>
          <w:rPr>
            <w:webHidden/>
          </w:rPr>
          <w:fldChar w:fldCharType="separate"/>
        </w:r>
        <w:r>
          <w:rPr>
            <w:webHidden/>
          </w:rPr>
          <w:t>45</w:t>
        </w:r>
        <w:r>
          <w:rPr>
            <w:webHidden/>
          </w:rPr>
          <w:fldChar w:fldCharType="end"/>
        </w:r>
      </w:hyperlink>
    </w:p>
    <w:p w14:paraId="5FC2C42A" w14:textId="11619BF4"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45" w:history="1">
        <w:r w:rsidRPr="00127028">
          <w:rPr>
            <w:rStyle w:val="Hyperlink"/>
          </w:rPr>
          <w:t>Measuring success</w:t>
        </w:r>
        <w:r>
          <w:rPr>
            <w:webHidden/>
          </w:rPr>
          <w:tab/>
        </w:r>
        <w:r>
          <w:rPr>
            <w:webHidden/>
          </w:rPr>
          <w:fldChar w:fldCharType="begin"/>
        </w:r>
        <w:r>
          <w:rPr>
            <w:webHidden/>
          </w:rPr>
          <w:instrText xml:space="preserve"> PAGEREF _Toc244166845 \h </w:instrText>
        </w:r>
        <w:r>
          <w:rPr>
            <w:webHidden/>
          </w:rPr>
        </w:r>
        <w:r>
          <w:rPr>
            <w:webHidden/>
          </w:rPr>
          <w:fldChar w:fldCharType="separate"/>
        </w:r>
        <w:r>
          <w:rPr>
            <w:webHidden/>
          </w:rPr>
          <w:t>46</w:t>
        </w:r>
        <w:r>
          <w:rPr>
            <w:webHidden/>
          </w:rPr>
          <w:fldChar w:fldCharType="end"/>
        </w:r>
      </w:hyperlink>
    </w:p>
    <w:p w14:paraId="4DEC5619" w14:textId="2911D5B0"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46" w:history="1">
        <w:r w:rsidRPr="00127028">
          <w:rPr>
            <w:rStyle w:val="Hyperlink"/>
          </w:rPr>
          <w:t>Embedding the roadmap</w:t>
        </w:r>
        <w:r>
          <w:rPr>
            <w:webHidden/>
          </w:rPr>
          <w:tab/>
        </w:r>
        <w:r>
          <w:rPr>
            <w:webHidden/>
          </w:rPr>
          <w:fldChar w:fldCharType="begin"/>
        </w:r>
        <w:r>
          <w:rPr>
            <w:webHidden/>
          </w:rPr>
          <w:instrText xml:space="preserve"> PAGEREF _Toc244166846 \h </w:instrText>
        </w:r>
        <w:r>
          <w:rPr>
            <w:webHidden/>
          </w:rPr>
        </w:r>
        <w:r>
          <w:rPr>
            <w:webHidden/>
          </w:rPr>
          <w:fldChar w:fldCharType="separate"/>
        </w:r>
        <w:r>
          <w:rPr>
            <w:webHidden/>
          </w:rPr>
          <w:t>49</w:t>
        </w:r>
        <w:r>
          <w:rPr>
            <w:webHidden/>
          </w:rPr>
          <w:fldChar w:fldCharType="end"/>
        </w:r>
      </w:hyperlink>
    </w:p>
    <w:p w14:paraId="7EAFEAEC" w14:textId="1E3BA050"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47" w:history="1">
        <w:r w:rsidRPr="00127028">
          <w:rPr>
            <w:rStyle w:val="Hyperlink"/>
          </w:rPr>
          <w:t>Governance</w:t>
        </w:r>
        <w:r>
          <w:rPr>
            <w:webHidden/>
          </w:rPr>
          <w:tab/>
        </w:r>
        <w:r>
          <w:rPr>
            <w:webHidden/>
          </w:rPr>
          <w:fldChar w:fldCharType="begin"/>
        </w:r>
        <w:r>
          <w:rPr>
            <w:webHidden/>
          </w:rPr>
          <w:instrText xml:space="preserve"> PAGEREF _Toc244166847 \h </w:instrText>
        </w:r>
        <w:r>
          <w:rPr>
            <w:webHidden/>
          </w:rPr>
        </w:r>
        <w:r>
          <w:rPr>
            <w:webHidden/>
          </w:rPr>
          <w:fldChar w:fldCharType="separate"/>
        </w:r>
        <w:r>
          <w:rPr>
            <w:webHidden/>
          </w:rPr>
          <w:t>49</w:t>
        </w:r>
        <w:r>
          <w:rPr>
            <w:webHidden/>
          </w:rPr>
          <w:fldChar w:fldCharType="end"/>
        </w:r>
      </w:hyperlink>
    </w:p>
    <w:p w14:paraId="3DD46AE0" w14:textId="4282A944"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48" w:history="1">
        <w:r w:rsidRPr="00127028">
          <w:rPr>
            <w:rStyle w:val="Hyperlink"/>
          </w:rPr>
          <w:t>Glossary</w:t>
        </w:r>
        <w:r>
          <w:rPr>
            <w:webHidden/>
          </w:rPr>
          <w:tab/>
        </w:r>
        <w:r>
          <w:rPr>
            <w:webHidden/>
          </w:rPr>
          <w:fldChar w:fldCharType="begin"/>
        </w:r>
        <w:r>
          <w:rPr>
            <w:webHidden/>
          </w:rPr>
          <w:instrText xml:space="preserve"> PAGEREF _Toc244166848 \h </w:instrText>
        </w:r>
        <w:r>
          <w:rPr>
            <w:webHidden/>
          </w:rPr>
        </w:r>
        <w:r>
          <w:rPr>
            <w:webHidden/>
          </w:rPr>
          <w:fldChar w:fldCharType="separate"/>
        </w:r>
        <w:r>
          <w:rPr>
            <w:webHidden/>
          </w:rPr>
          <w:t>51</w:t>
        </w:r>
        <w:r>
          <w:rPr>
            <w:webHidden/>
          </w:rPr>
          <w:fldChar w:fldCharType="end"/>
        </w:r>
      </w:hyperlink>
    </w:p>
    <w:p w14:paraId="1914F90E" w14:textId="24357AB9" w:rsidR="00DD3031" w:rsidRDefault="00DD3031">
      <w:pPr>
        <w:pStyle w:val="TOC1"/>
        <w:rPr>
          <w:rFonts w:asciiTheme="minorHAnsi" w:eastAsiaTheme="minorEastAsia" w:hAnsiTheme="minorHAnsi" w:cstheme="minorBidi"/>
          <w:b w:val="0"/>
          <w:kern w:val="2"/>
          <w:sz w:val="24"/>
          <w:szCs w:val="24"/>
          <w:lang w:eastAsia="en-AU"/>
          <w14:ligatures w14:val="standardContextual"/>
        </w:rPr>
      </w:pPr>
      <w:hyperlink w:anchor="_Toc244166849" w:history="1">
        <w:r w:rsidRPr="00127028">
          <w:rPr>
            <w:rStyle w:val="Hyperlink"/>
          </w:rPr>
          <w:t>Appendix A. Accessible text equivalents</w:t>
        </w:r>
        <w:r>
          <w:rPr>
            <w:webHidden/>
          </w:rPr>
          <w:tab/>
        </w:r>
        <w:r>
          <w:rPr>
            <w:webHidden/>
          </w:rPr>
          <w:fldChar w:fldCharType="begin"/>
        </w:r>
        <w:r>
          <w:rPr>
            <w:webHidden/>
          </w:rPr>
          <w:instrText xml:space="preserve"> PAGEREF _Toc244166849 \h </w:instrText>
        </w:r>
        <w:r>
          <w:rPr>
            <w:webHidden/>
          </w:rPr>
        </w:r>
        <w:r>
          <w:rPr>
            <w:webHidden/>
          </w:rPr>
          <w:fldChar w:fldCharType="separate"/>
        </w:r>
        <w:r>
          <w:rPr>
            <w:webHidden/>
          </w:rPr>
          <w:t>54</w:t>
        </w:r>
        <w:r>
          <w:rPr>
            <w:webHidden/>
          </w:rPr>
          <w:fldChar w:fldCharType="end"/>
        </w:r>
      </w:hyperlink>
    </w:p>
    <w:p w14:paraId="54A35438" w14:textId="69853EE1"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50" w:history="1">
        <w:r w:rsidRPr="00127028">
          <w:rPr>
            <w:rStyle w:val="Hyperlink"/>
          </w:rPr>
          <w:t>Figure 1. Victoria's digital health vision and roadmap 2026–31</w:t>
        </w:r>
        <w:r>
          <w:rPr>
            <w:webHidden/>
          </w:rPr>
          <w:tab/>
        </w:r>
        <w:r>
          <w:rPr>
            <w:webHidden/>
          </w:rPr>
          <w:fldChar w:fldCharType="begin"/>
        </w:r>
        <w:r>
          <w:rPr>
            <w:webHidden/>
          </w:rPr>
          <w:instrText xml:space="preserve"> PAGEREF _Toc244166850 \h </w:instrText>
        </w:r>
        <w:r>
          <w:rPr>
            <w:webHidden/>
          </w:rPr>
        </w:r>
        <w:r>
          <w:rPr>
            <w:webHidden/>
          </w:rPr>
          <w:fldChar w:fldCharType="separate"/>
        </w:r>
        <w:r>
          <w:rPr>
            <w:webHidden/>
          </w:rPr>
          <w:t>54</w:t>
        </w:r>
        <w:r>
          <w:rPr>
            <w:webHidden/>
          </w:rPr>
          <w:fldChar w:fldCharType="end"/>
        </w:r>
      </w:hyperlink>
    </w:p>
    <w:p w14:paraId="18E2C2C9" w14:textId="633029CF"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51" w:history="1">
        <w:r w:rsidRPr="00127028">
          <w:rPr>
            <w:rStyle w:val="Hyperlink"/>
          </w:rPr>
          <w:t>Figure 2. Priority outcomes for digital health in Victoria that underpin the roadmap</w:t>
        </w:r>
        <w:r>
          <w:rPr>
            <w:webHidden/>
          </w:rPr>
          <w:tab/>
        </w:r>
        <w:r>
          <w:rPr>
            <w:webHidden/>
          </w:rPr>
          <w:fldChar w:fldCharType="begin"/>
        </w:r>
        <w:r>
          <w:rPr>
            <w:webHidden/>
          </w:rPr>
          <w:instrText xml:space="preserve"> PAGEREF _Toc244166851 \h </w:instrText>
        </w:r>
        <w:r>
          <w:rPr>
            <w:webHidden/>
          </w:rPr>
        </w:r>
        <w:r>
          <w:rPr>
            <w:webHidden/>
          </w:rPr>
          <w:fldChar w:fldCharType="separate"/>
        </w:r>
        <w:r>
          <w:rPr>
            <w:webHidden/>
          </w:rPr>
          <w:t>55</w:t>
        </w:r>
        <w:r>
          <w:rPr>
            <w:webHidden/>
          </w:rPr>
          <w:fldChar w:fldCharType="end"/>
        </w:r>
      </w:hyperlink>
    </w:p>
    <w:p w14:paraId="4E5755B6" w14:textId="069D1DBC"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52" w:history="1">
        <w:r w:rsidRPr="00127028">
          <w:rPr>
            <w:rStyle w:val="Hyperlink"/>
          </w:rPr>
          <w:t>Figure 3. Impacts of limited digitisation and integration</w:t>
        </w:r>
        <w:r>
          <w:rPr>
            <w:webHidden/>
          </w:rPr>
          <w:tab/>
        </w:r>
        <w:r>
          <w:rPr>
            <w:webHidden/>
          </w:rPr>
          <w:fldChar w:fldCharType="begin"/>
        </w:r>
        <w:r>
          <w:rPr>
            <w:webHidden/>
          </w:rPr>
          <w:instrText xml:space="preserve"> PAGEREF _Toc244166852 \h </w:instrText>
        </w:r>
        <w:r>
          <w:rPr>
            <w:webHidden/>
          </w:rPr>
        </w:r>
        <w:r>
          <w:rPr>
            <w:webHidden/>
          </w:rPr>
          <w:fldChar w:fldCharType="separate"/>
        </w:r>
        <w:r>
          <w:rPr>
            <w:webHidden/>
          </w:rPr>
          <w:t>55</w:t>
        </w:r>
        <w:r>
          <w:rPr>
            <w:webHidden/>
          </w:rPr>
          <w:fldChar w:fldCharType="end"/>
        </w:r>
      </w:hyperlink>
    </w:p>
    <w:p w14:paraId="078005E8" w14:textId="5D8EBDD7"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53" w:history="1">
        <w:r w:rsidRPr="00127028">
          <w:rPr>
            <w:rStyle w:val="Hyperlink"/>
          </w:rPr>
          <w:t>Figure 4. Example benefits of digital investment in healthcare</w:t>
        </w:r>
        <w:r>
          <w:rPr>
            <w:webHidden/>
          </w:rPr>
          <w:tab/>
        </w:r>
        <w:r>
          <w:rPr>
            <w:webHidden/>
          </w:rPr>
          <w:fldChar w:fldCharType="begin"/>
        </w:r>
        <w:r>
          <w:rPr>
            <w:webHidden/>
          </w:rPr>
          <w:instrText xml:space="preserve"> PAGEREF _Toc244166853 \h </w:instrText>
        </w:r>
        <w:r>
          <w:rPr>
            <w:webHidden/>
          </w:rPr>
        </w:r>
        <w:r>
          <w:rPr>
            <w:webHidden/>
          </w:rPr>
          <w:fldChar w:fldCharType="separate"/>
        </w:r>
        <w:r>
          <w:rPr>
            <w:webHidden/>
          </w:rPr>
          <w:t>56</w:t>
        </w:r>
        <w:r>
          <w:rPr>
            <w:webHidden/>
          </w:rPr>
          <w:fldChar w:fldCharType="end"/>
        </w:r>
      </w:hyperlink>
    </w:p>
    <w:p w14:paraId="556F4024" w14:textId="07D0C3A3"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54" w:history="1">
        <w:r w:rsidRPr="00127028">
          <w:rPr>
            <w:rStyle w:val="Hyperlink"/>
          </w:rPr>
          <w:t>Figure 5. The rate of chronic disease in Australia</w:t>
        </w:r>
        <w:r>
          <w:rPr>
            <w:webHidden/>
          </w:rPr>
          <w:tab/>
        </w:r>
        <w:r>
          <w:rPr>
            <w:webHidden/>
          </w:rPr>
          <w:fldChar w:fldCharType="begin"/>
        </w:r>
        <w:r>
          <w:rPr>
            <w:webHidden/>
          </w:rPr>
          <w:instrText xml:space="preserve"> PAGEREF _Toc244166854 \h </w:instrText>
        </w:r>
        <w:r>
          <w:rPr>
            <w:webHidden/>
          </w:rPr>
        </w:r>
        <w:r>
          <w:rPr>
            <w:webHidden/>
          </w:rPr>
          <w:fldChar w:fldCharType="separate"/>
        </w:r>
        <w:r>
          <w:rPr>
            <w:webHidden/>
          </w:rPr>
          <w:t>56</w:t>
        </w:r>
        <w:r>
          <w:rPr>
            <w:webHidden/>
          </w:rPr>
          <w:fldChar w:fldCharType="end"/>
        </w:r>
      </w:hyperlink>
    </w:p>
    <w:p w14:paraId="27FC7B06" w14:textId="3AFC0AB2"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55" w:history="1">
        <w:r w:rsidRPr="00127028">
          <w:rPr>
            <w:rStyle w:val="Hyperlink"/>
          </w:rPr>
          <w:t>Figure 6. Healthcare consumers are open to AI being used to support care access and navigation</w:t>
        </w:r>
        <w:r>
          <w:rPr>
            <w:webHidden/>
          </w:rPr>
          <w:tab/>
        </w:r>
        <w:r>
          <w:rPr>
            <w:webHidden/>
          </w:rPr>
          <w:fldChar w:fldCharType="begin"/>
        </w:r>
        <w:r>
          <w:rPr>
            <w:webHidden/>
          </w:rPr>
          <w:instrText xml:space="preserve"> PAGEREF _Toc244166855 \h </w:instrText>
        </w:r>
        <w:r>
          <w:rPr>
            <w:webHidden/>
          </w:rPr>
        </w:r>
        <w:r>
          <w:rPr>
            <w:webHidden/>
          </w:rPr>
          <w:fldChar w:fldCharType="separate"/>
        </w:r>
        <w:r>
          <w:rPr>
            <w:webHidden/>
          </w:rPr>
          <w:t>56</w:t>
        </w:r>
        <w:r>
          <w:rPr>
            <w:webHidden/>
          </w:rPr>
          <w:fldChar w:fldCharType="end"/>
        </w:r>
      </w:hyperlink>
    </w:p>
    <w:p w14:paraId="1C0855C5" w14:textId="305226C7"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56" w:history="1">
        <w:r w:rsidRPr="00127028">
          <w:rPr>
            <w:rStyle w:val="Hyperlink"/>
          </w:rPr>
          <w:t>Figure 7. Advances in technology are enabling continuous patient monitoring</w:t>
        </w:r>
        <w:r>
          <w:rPr>
            <w:webHidden/>
          </w:rPr>
          <w:tab/>
        </w:r>
        <w:r>
          <w:rPr>
            <w:webHidden/>
          </w:rPr>
          <w:fldChar w:fldCharType="begin"/>
        </w:r>
        <w:r>
          <w:rPr>
            <w:webHidden/>
          </w:rPr>
          <w:instrText xml:space="preserve"> PAGEREF _Toc244166856 \h </w:instrText>
        </w:r>
        <w:r>
          <w:rPr>
            <w:webHidden/>
          </w:rPr>
        </w:r>
        <w:r>
          <w:rPr>
            <w:webHidden/>
          </w:rPr>
          <w:fldChar w:fldCharType="separate"/>
        </w:r>
        <w:r>
          <w:rPr>
            <w:webHidden/>
          </w:rPr>
          <w:t>57</w:t>
        </w:r>
        <w:r>
          <w:rPr>
            <w:webHidden/>
          </w:rPr>
          <w:fldChar w:fldCharType="end"/>
        </w:r>
      </w:hyperlink>
    </w:p>
    <w:p w14:paraId="06CF3013" w14:textId="3D0D5A07"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57" w:history="1">
        <w:r w:rsidRPr="00127028">
          <w:rPr>
            <w:rStyle w:val="Hyperlink"/>
          </w:rPr>
          <w:t>Figure 8. New large language models for disease management</w:t>
        </w:r>
        <w:r>
          <w:rPr>
            <w:webHidden/>
          </w:rPr>
          <w:tab/>
        </w:r>
        <w:r>
          <w:rPr>
            <w:webHidden/>
          </w:rPr>
          <w:fldChar w:fldCharType="begin"/>
        </w:r>
        <w:r>
          <w:rPr>
            <w:webHidden/>
          </w:rPr>
          <w:instrText xml:space="preserve"> PAGEREF _Toc244166857 \h </w:instrText>
        </w:r>
        <w:r>
          <w:rPr>
            <w:webHidden/>
          </w:rPr>
        </w:r>
        <w:r>
          <w:rPr>
            <w:webHidden/>
          </w:rPr>
          <w:fldChar w:fldCharType="separate"/>
        </w:r>
        <w:r>
          <w:rPr>
            <w:webHidden/>
          </w:rPr>
          <w:t>57</w:t>
        </w:r>
        <w:r>
          <w:rPr>
            <w:webHidden/>
          </w:rPr>
          <w:fldChar w:fldCharType="end"/>
        </w:r>
      </w:hyperlink>
    </w:p>
    <w:p w14:paraId="557403A5" w14:textId="6FB57F38"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58" w:history="1">
        <w:r w:rsidRPr="00127028">
          <w:rPr>
            <w:rStyle w:val="Hyperlink"/>
          </w:rPr>
          <w:t>Figure 9. Federated health data network enabled by the European Health Data Space</w:t>
        </w:r>
        <w:r>
          <w:rPr>
            <w:webHidden/>
          </w:rPr>
          <w:tab/>
        </w:r>
        <w:r>
          <w:rPr>
            <w:webHidden/>
          </w:rPr>
          <w:fldChar w:fldCharType="begin"/>
        </w:r>
        <w:r>
          <w:rPr>
            <w:webHidden/>
          </w:rPr>
          <w:instrText xml:space="preserve"> PAGEREF _Toc244166858 \h </w:instrText>
        </w:r>
        <w:r>
          <w:rPr>
            <w:webHidden/>
          </w:rPr>
        </w:r>
        <w:r>
          <w:rPr>
            <w:webHidden/>
          </w:rPr>
          <w:fldChar w:fldCharType="separate"/>
        </w:r>
        <w:r>
          <w:rPr>
            <w:webHidden/>
          </w:rPr>
          <w:t>57</w:t>
        </w:r>
        <w:r>
          <w:rPr>
            <w:webHidden/>
          </w:rPr>
          <w:fldChar w:fldCharType="end"/>
        </w:r>
      </w:hyperlink>
    </w:p>
    <w:p w14:paraId="5EBCBA5D" w14:textId="139B5C44"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59" w:history="1">
        <w:r w:rsidRPr="00127028">
          <w:rPr>
            <w:rStyle w:val="Hyperlink"/>
          </w:rPr>
          <w:t>Figure 10. Findings from the clinician and consumer surveys</w:t>
        </w:r>
        <w:r>
          <w:rPr>
            <w:webHidden/>
          </w:rPr>
          <w:tab/>
        </w:r>
        <w:r>
          <w:rPr>
            <w:webHidden/>
          </w:rPr>
          <w:fldChar w:fldCharType="begin"/>
        </w:r>
        <w:r>
          <w:rPr>
            <w:webHidden/>
          </w:rPr>
          <w:instrText xml:space="preserve"> PAGEREF _Toc244166859 \h </w:instrText>
        </w:r>
        <w:r>
          <w:rPr>
            <w:webHidden/>
          </w:rPr>
        </w:r>
        <w:r>
          <w:rPr>
            <w:webHidden/>
          </w:rPr>
          <w:fldChar w:fldCharType="separate"/>
        </w:r>
        <w:r>
          <w:rPr>
            <w:webHidden/>
          </w:rPr>
          <w:t>58</w:t>
        </w:r>
        <w:r>
          <w:rPr>
            <w:webHidden/>
          </w:rPr>
          <w:fldChar w:fldCharType="end"/>
        </w:r>
      </w:hyperlink>
    </w:p>
    <w:p w14:paraId="0946716F" w14:textId="145A63EE"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60" w:history="1">
        <w:r w:rsidRPr="00127028">
          <w:rPr>
            <w:rStyle w:val="Hyperlink"/>
          </w:rPr>
          <w:t>Figure 11. Specialist Care Reform Blueprint – pillars of change</w:t>
        </w:r>
        <w:r>
          <w:rPr>
            <w:webHidden/>
          </w:rPr>
          <w:tab/>
        </w:r>
        <w:r>
          <w:rPr>
            <w:webHidden/>
          </w:rPr>
          <w:fldChar w:fldCharType="begin"/>
        </w:r>
        <w:r>
          <w:rPr>
            <w:webHidden/>
          </w:rPr>
          <w:instrText xml:space="preserve"> PAGEREF _Toc244166860 \h </w:instrText>
        </w:r>
        <w:r>
          <w:rPr>
            <w:webHidden/>
          </w:rPr>
        </w:r>
        <w:r>
          <w:rPr>
            <w:webHidden/>
          </w:rPr>
          <w:fldChar w:fldCharType="separate"/>
        </w:r>
        <w:r>
          <w:rPr>
            <w:webHidden/>
          </w:rPr>
          <w:t>58</w:t>
        </w:r>
        <w:r>
          <w:rPr>
            <w:webHidden/>
          </w:rPr>
          <w:fldChar w:fldCharType="end"/>
        </w:r>
      </w:hyperlink>
    </w:p>
    <w:p w14:paraId="6E7A5529" w14:textId="3C51B05A"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61" w:history="1">
        <w:r w:rsidRPr="00127028">
          <w:rPr>
            <w:rStyle w:val="Hyperlink"/>
          </w:rPr>
          <w:t>Figure 12. Target state architecture for Victoria's connected health system</w:t>
        </w:r>
        <w:r>
          <w:rPr>
            <w:webHidden/>
          </w:rPr>
          <w:tab/>
        </w:r>
        <w:r>
          <w:rPr>
            <w:webHidden/>
          </w:rPr>
          <w:fldChar w:fldCharType="begin"/>
        </w:r>
        <w:r>
          <w:rPr>
            <w:webHidden/>
          </w:rPr>
          <w:instrText xml:space="preserve"> PAGEREF _Toc244166861 \h </w:instrText>
        </w:r>
        <w:r>
          <w:rPr>
            <w:webHidden/>
          </w:rPr>
        </w:r>
        <w:r>
          <w:rPr>
            <w:webHidden/>
          </w:rPr>
          <w:fldChar w:fldCharType="separate"/>
        </w:r>
        <w:r>
          <w:rPr>
            <w:webHidden/>
          </w:rPr>
          <w:t>59</w:t>
        </w:r>
        <w:r>
          <w:rPr>
            <w:webHidden/>
          </w:rPr>
          <w:fldChar w:fldCharType="end"/>
        </w:r>
      </w:hyperlink>
    </w:p>
    <w:p w14:paraId="6621FBAE" w14:textId="56E5EED0"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62" w:history="1">
        <w:r w:rsidRPr="00127028">
          <w:rPr>
            <w:rStyle w:val="Hyperlink"/>
          </w:rPr>
          <w:t>Figure 13. Integrated, personalised consumer application</w:t>
        </w:r>
        <w:r>
          <w:rPr>
            <w:webHidden/>
          </w:rPr>
          <w:tab/>
        </w:r>
        <w:r>
          <w:rPr>
            <w:webHidden/>
          </w:rPr>
          <w:fldChar w:fldCharType="begin"/>
        </w:r>
        <w:r>
          <w:rPr>
            <w:webHidden/>
          </w:rPr>
          <w:instrText xml:space="preserve"> PAGEREF _Toc244166862 \h </w:instrText>
        </w:r>
        <w:r>
          <w:rPr>
            <w:webHidden/>
          </w:rPr>
        </w:r>
        <w:r>
          <w:rPr>
            <w:webHidden/>
          </w:rPr>
          <w:fldChar w:fldCharType="separate"/>
        </w:r>
        <w:r>
          <w:rPr>
            <w:webHidden/>
          </w:rPr>
          <w:t>59</w:t>
        </w:r>
        <w:r>
          <w:rPr>
            <w:webHidden/>
          </w:rPr>
          <w:fldChar w:fldCharType="end"/>
        </w:r>
      </w:hyperlink>
    </w:p>
    <w:p w14:paraId="40C130BB" w14:textId="10B9C8B9"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63" w:history="1">
        <w:r w:rsidRPr="00127028">
          <w:rPr>
            <w:rStyle w:val="Hyperlink"/>
          </w:rPr>
          <w:t>Figure 14. Roadmap accelerators</w:t>
        </w:r>
        <w:r>
          <w:rPr>
            <w:webHidden/>
          </w:rPr>
          <w:tab/>
        </w:r>
        <w:r>
          <w:rPr>
            <w:webHidden/>
          </w:rPr>
          <w:fldChar w:fldCharType="begin"/>
        </w:r>
        <w:r>
          <w:rPr>
            <w:webHidden/>
          </w:rPr>
          <w:instrText xml:space="preserve"> PAGEREF _Toc244166863 \h </w:instrText>
        </w:r>
        <w:r>
          <w:rPr>
            <w:webHidden/>
          </w:rPr>
        </w:r>
        <w:r>
          <w:rPr>
            <w:webHidden/>
          </w:rPr>
          <w:fldChar w:fldCharType="separate"/>
        </w:r>
        <w:r>
          <w:rPr>
            <w:webHidden/>
          </w:rPr>
          <w:t>60</w:t>
        </w:r>
        <w:r>
          <w:rPr>
            <w:webHidden/>
          </w:rPr>
          <w:fldChar w:fldCharType="end"/>
        </w:r>
      </w:hyperlink>
    </w:p>
    <w:p w14:paraId="4E774CB3" w14:textId="7A9DF82B"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64" w:history="1">
        <w:r w:rsidRPr="00127028">
          <w:rPr>
            <w:rStyle w:val="Hyperlink"/>
          </w:rPr>
          <w:t>Figure 15. Benefit categories aligned to priority outcomes</w:t>
        </w:r>
        <w:r>
          <w:rPr>
            <w:webHidden/>
          </w:rPr>
          <w:tab/>
        </w:r>
        <w:r>
          <w:rPr>
            <w:webHidden/>
          </w:rPr>
          <w:fldChar w:fldCharType="begin"/>
        </w:r>
        <w:r>
          <w:rPr>
            <w:webHidden/>
          </w:rPr>
          <w:instrText xml:space="preserve"> PAGEREF _Toc244166864 \h </w:instrText>
        </w:r>
        <w:r>
          <w:rPr>
            <w:webHidden/>
          </w:rPr>
        </w:r>
        <w:r>
          <w:rPr>
            <w:webHidden/>
          </w:rPr>
          <w:fldChar w:fldCharType="separate"/>
        </w:r>
        <w:r>
          <w:rPr>
            <w:webHidden/>
          </w:rPr>
          <w:t>61</w:t>
        </w:r>
        <w:r>
          <w:rPr>
            <w:webHidden/>
          </w:rPr>
          <w:fldChar w:fldCharType="end"/>
        </w:r>
      </w:hyperlink>
    </w:p>
    <w:p w14:paraId="51C655E7" w14:textId="3EAFBD07"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65" w:history="1">
        <w:r w:rsidRPr="00127028">
          <w:rPr>
            <w:rStyle w:val="Hyperlink"/>
          </w:rPr>
          <w:t>Figure 16. Delineation of roles across national, state and the sector</w:t>
        </w:r>
        <w:r>
          <w:rPr>
            <w:webHidden/>
          </w:rPr>
          <w:tab/>
        </w:r>
        <w:r>
          <w:rPr>
            <w:webHidden/>
          </w:rPr>
          <w:fldChar w:fldCharType="begin"/>
        </w:r>
        <w:r>
          <w:rPr>
            <w:webHidden/>
          </w:rPr>
          <w:instrText xml:space="preserve"> PAGEREF _Toc244166865 \h </w:instrText>
        </w:r>
        <w:r>
          <w:rPr>
            <w:webHidden/>
          </w:rPr>
        </w:r>
        <w:r>
          <w:rPr>
            <w:webHidden/>
          </w:rPr>
          <w:fldChar w:fldCharType="separate"/>
        </w:r>
        <w:r>
          <w:rPr>
            <w:webHidden/>
          </w:rPr>
          <w:t>61</w:t>
        </w:r>
        <w:r>
          <w:rPr>
            <w:webHidden/>
          </w:rPr>
          <w:fldChar w:fldCharType="end"/>
        </w:r>
      </w:hyperlink>
    </w:p>
    <w:p w14:paraId="40DA67D1" w14:textId="789F9678"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66" w:history="1">
        <w:r w:rsidRPr="00127028">
          <w:rPr>
            <w:rStyle w:val="Hyperlink"/>
          </w:rPr>
          <w:t>Figure 17. Governance framework supporting delivery of the roadmap</w:t>
        </w:r>
        <w:r>
          <w:rPr>
            <w:webHidden/>
          </w:rPr>
          <w:tab/>
        </w:r>
        <w:r>
          <w:rPr>
            <w:webHidden/>
          </w:rPr>
          <w:fldChar w:fldCharType="begin"/>
        </w:r>
        <w:r>
          <w:rPr>
            <w:webHidden/>
          </w:rPr>
          <w:instrText xml:space="preserve"> PAGEREF _Toc244166866 \h </w:instrText>
        </w:r>
        <w:r>
          <w:rPr>
            <w:webHidden/>
          </w:rPr>
        </w:r>
        <w:r>
          <w:rPr>
            <w:webHidden/>
          </w:rPr>
          <w:fldChar w:fldCharType="separate"/>
        </w:r>
        <w:r>
          <w:rPr>
            <w:webHidden/>
          </w:rPr>
          <w:t>62</w:t>
        </w:r>
        <w:r>
          <w:rPr>
            <w:webHidden/>
          </w:rPr>
          <w:fldChar w:fldCharType="end"/>
        </w:r>
      </w:hyperlink>
    </w:p>
    <w:p w14:paraId="15CDA228" w14:textId="7EAB2502"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67" w:history="1">
        <w:r w:rsidRPr="00127028">
          <w:rPr>
            <w:rStyle w:val="Hyperlink"/>
            <w:bCs/>
          </w:rPr>
          <w:t xml:space="preserve">Table 1. </w:t>
        </w:r>
        <w:r w:rsidRPr="00127028">
          <w:rPr>
            <w:rStyle w:val="Hyperlink"/>
          </w:rPr>
          <w:t>Connecting health programs and initiatives</w:t>
        </w:r>
        <w:r>
          <w:rPr>
            <w:webHidden/>
          </w:rPr>
          <w:tab/>
        </w:r>
        <w:r>
          <w:rPr>
            <w:webHidden/>
          </w:rPr>
          <w:fldChar w:fldCharType="begin"/>
        </w:r>
        <w:r>
          <w:rPr>
            <w:webHidden/>
          </w:rPr>
          <w:instrText xml:space="preserve"> PAGEREF _Toc244166867 \h </w:instrText>
        </w:r>
        <w:r>
          <w:rPr>
            <w:webHidden/>
          </w:rPr>
        </w:r>
        <w:r>
          <w:rPr>
            <w:webHidden/>
          </w:rPr>
          <w:fldChar w:fldCharType="separate"/>
        </w:r>
        <w:r>
          <w:rPr>
            <w:webHidden/>
          </w:rPr>
          <w:t>63</w:t>
        </w:r>
        <w:r>
          <w:rPr>
            <w:webHidden/>
          </w:rPr>
          <w:fldChar w:fldCharType="end"/>
        </w:r>
      </w:hyperlink>
    </w:p>
    <w:p w14:paraId="0CD29B39" w14:textId="5387F36A"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68" w:history="1">
        <w:r w:rsidRPr="00127028">
          <w:rPr>
            <w:rStyle w:val="Hyperlink"/>
          </w:rPr>
          <w:t>Table 2. Care Anywhere programs and initiatives</w:t>
        </w:r>
        <w:r>
          <w:rPr>
            <w:webHidden/>
          </w:rPr>
          <w:tab/>
        </w:r>
        <w:r>
          <w:rPr>
            <w:webHidden/>
          </w:rPr>
          <w:fldChar w:fldCharType="begin"/>
        </w:r>
        <w:r>
          <w:rPr>
            <w:webHidden/>
          </w:rPr>
          <w:instrText xml:space="preserve"> PAGEREF _Toc244166868 \h </w:instrText>
        </w:r>
        <w:r>
          <w:rPr>
            <w:webHidden/>
          </w:rPr>
        </w:r>
        <w:r>
          <w:rPr>
            <w:webHidden/>
          </w:rPr>
          <w:fldChar w:fldCharType="separate"/>
        </w:r>
        <w:r>
          <w:rPr>
            <w:webHidden/>
          </w:rPr>
          <w:t>65</w:t>
        </w:r>
        <w:r>
          <w:rPr>
            <w:webHidden/>
          </w:rPr>
          <w:fldChar w:fldCharType="end"/>
        </w:r>
      </w:hyperlink>
    </w:p>
    <w:p w14:paraId="06998026" w14:textId="7B26CD06"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69" w:history="1">
        <w:r w:rsidRPr="00127028">
          <w:rPr>
            <w:rStyle w:val="Hyperlink"/>
          </w:rPr>
          <w:t>Table 3. Engaged Consumers programs and initiatives</w:t>
        </w:r>
        <w:r>
          <w:rPr>
            <w:webHidden/>
          </w:rPr>
          <w:tab/>
        </w:r>
        <w:r>
          <w:rPr>
            <w:webHidden/>
          </w:rPr>
          <w:fldChar w:fldCharType="begin"/>
        </w:r>
        <w:r>
          <w:rPr>
            <w:webHidden/>
          </w:rPr>
          <w:instrText xml:space="preserve"> PAGEREF _Toc244166869 \h </w:instrText>
        </w:r>
        <w:r>
          <w:rPr>
            <w:webHidden/>
          </w:rPr>
        </w:r>
        <w:r>
          <w:rPr>
            <w:webHidden/>
          </w:rPr>
          <w:fldChar w:fldCharType="separate"/>
        </w:r>
        <w:r>
          <w:rPr>
            <w:webHidden/>
          </w:rPr>
          <w:t>66</w:t>
        </w:r>
        <w:r>
          <w:rPr>
            <w:webHidden/>
          </w:rPr>
          <w:fldChar w:fldCharType="end"/>
        </w:r>
      </w:hyperlink>
    </w:p>
    <w:p w14:paraId="49D5EC40" w14:textId="496F6086" w:rsidR="00DD3031" w:rsidRDefault="00DD3031">
      <w:pPr>
        <w:pStyle w:val="TOC2"/>
        <w:rPr>
          <w:rFonts w:asciiTheme="minorHAnsi" w:eastAsiaTheme="minorEastAsia" w:hAnsiTheme="minorHAnsi" w:cstheme="minorBidi"/>
          <w:kern w:val="2"/>
          <w:sz w:val="24"/>
          <w:szCs w:val="24"/>
          <w:lang w:eastAsia="en-AU"/>
          <w14:ligatures w14:val="standardContextual"/>
        </w:rPr>
      </w:pPr>
      <w:hyperlink w:anchor="_Toc244166870" w:history="1">
        <w:r w:rsidRPr="00127028">
          <w:rPr>
            <w:rStyle w:val="Hyperlink"/>
          </w:rPr>
          <w:t>Table 4. Sustainable Operations programs and initiatives</w:t>
        </w:r>
        <w:r>
          <w:rPr>
            <w:webHidden/>
          </w:rPr>
          <w:tab/>
        </w:r>
        <w:r>
          <w:rPr>
            <w:webHidden/>
          </w:rPr>
          <w:fldChar w:fldCharType="begin"/>
        </w:r>
        <w:r>
          <w:rPr>
            <w:webHidden/>
          </w:rPr>
          <w:instrText xml:space="preserve"> PAGEREF _Toc244166870 \h </w:instrText>
        </w:r>
        <w:r>
          <w:rPr>
            <w:webHidden/>
          </w:rPr>
        </w:r>
        <w:r>
          <w:rPr>
            <w:webHidden/>
          </w:rPr>
          <w:fldChar w:fldCharType="separate"/>
        </w:r>
        <w:r>
          <w:rPr>
            <w:webHidden/>
          </w:rPr>
          <w:t>67</w:t>
        </w:r>
        <w:r>
          <w:rPr>
            <w:webHidden/>
          </w:rPr>
          <w:fldChar w:fldCharType="end"/>
        </w:r>
      </w:hyperlink>
    </w:p>
    <w:p w14:paraId="5890595C" w14:textId="2ED520CD" w:rsidR="00BC5C36" w:rsidRDefault="00C36C26" w:rsidP="00C36C26">
      <w:pPr>
        <w:pStyle w:val="Body"/>
      </w:pPr>
      <w:r>
        <w:fldChar w:fldCharType="end"/>
      </w:r>
    </w:p>
    <w:p w14:paraId="34C100F4" w14:textId="77777777" w:rsidR="00BC5C36" w:rsidRPr="00B519CD" w:rsidRDefault="00BC5C36" w:rsidP="00BC5C36">
      <w:pPr>
        <w:pStyle w:val="Body"/>
        <w:sectPr w:rsidR="00BC5C36" w:rsidRPr="00B519CD" w:rsidSect="00BC5C36">
          <w:footerReference w:type="default" r:id="rId19"/>
          <w:pgSz w:w="11906" w:h="16838" w:code="9"/>
          <w:pgMar w:top="1701" w:right="1304" w:bottom="1418" w:left="1304" w:header="680" w:footer="851" w:gutter="0"/>
          <w:cols w:space="340"/>
          <w:docGrid w:linePitch="360"/>
        </w:sectPr>
      </w:pPr>
    </w:p>
    <w:p w14:paraId="5E03B321" w14:textId="77777777" w:rsidR="0035589A" w:rsidRDefault="0035589A" w:rsidP="0035589A">
      <w:pPr>
        <w:pStyle w:val="Heading1"/>
      </w:pPr>
      <w:bookmarkStart w:id="3" w:name="_Toc235957310"/>
      <w:bookmarkStart w:id="4" w:name="_Toc244166811"/>
      <w:bookmarkStart w:id="5" w:name="_Toc76560798"/>
      <w:bookmarkStart w:id="6" w:name="_Toc76623671"/>
      <w:r>
        <w:lastRenderedPageBreak/>
        <w:t>Executive summary</w:t>
      </w:r>
      <w:bookmarkEnd w:id="3"/>
      <w:bookmarkEnd w:id="4"/>
    </w:p>
    <w:p w14:paraId="1DC37C17" w14:textId="3B66271B" w:rsidR="00625B31" w:rsidRPr="00625B31" w:rsidRDefault="00625B31" w:rsidP="00625B31">
      <w:pPr>
        <w:pStyle w:val="Body"/>
        <w:rPr>
          <w:lang w:eastAsia="en-AU"/>
        </w:rPr>
      </w:pPr>
      <w:r w:rsidRPr="00625B31">
        <w:rPr>
          <w:lang w:eastAsia="en-AU"/>
        </w:rPr>
        <w:t>Victoria's health system is facing growing demand, increasing complexity and rising expectations from consumers, clinicians and the community.</w:t>
      </w:r>
      <w:r w:rsidR="00E91D56" w:rsidRPr="00625B31">
        <w:rPr>
          <w:lang w:eastAsia="en-AU"/>
        </w:rPr>
        <w:t xml:space="preserve"> </w:t>
      </w:r>
      <w:r w:rsidR="00E91D56">
        <w:rPr>
          <w:lang w:eastAsia="en-AU"/>
        </w:rPr>
        <w:t>I</w:t>
      </w:r>
      <w:r w:rsidR="00E91D56" w:rsidRPr="00E91D56">
        <w:rPr>
          <w:lang w:eastAsia="en-AU"/>
        </w:rPr>
        <w:t xml:space="preserve">mproving health outcomes </w:t>
      </w:r>
      <w:r w:rsidR="00E91D56">
        <w:rPr>
          <w:lang w:eastAsia="en-AU"/>
        </w:rPr>
        <w:t xml:space="preserve">is </w:t>
      </w:r>
      <w:r w:rsidR="00E91D56" w:rsidRPr="00E91D56">
        <w:rPr>
          <w:lang w:eastAsia="en-AU"/>
        </w:rPr>
        <w:t>depend</w:t>
      </w:r>
      <w:r w:rsidR="002569D3">
        <w:rPr>
          <w:lang w:eastAsia="en-AU"/>
        </w:rPr>
        <w:t>e</w:t>
      </w:r>
      <w:r w:rsidR="00E91D56">
        <w:rPr>
          <w:lang w:eastAsia="en-AU"/>
        </w:rPr>
        <w:t>nt</w:t>
      </w:r>
      <w:r w:rsidR="00E91D56" w:rsidRPr="00E91D56">
        <w:rPr>
          <w:lang w:eastAsia="en-AU"/>
        </w:rPr>
        <w:t xml:space="preserve"> on the ability to prevent illness, intervene earlier and better support people to manage their health and wellbeing.</w:t>
      </w:r>
      <w:r w:rsidRPr="00625B31">
        <w:rPr>
          <w:lang w:eastAsia="en-AU"/>
        </w:rPr>
        <w:t xml:space="preserve"> At the same time, advances in digital technology, data, artificial intelligence </w:t>
      </w:r>
      <w:r w:rsidR="006134D7">
        <w:rPr>
          <w:lang w:eastAsia="en-AU"/>
        </w:rPr>
        <w:t xml:space="preserve">(AI) </w:t>
      </w:r>
      <w:r w:rsidRPr="00625B31">
        <w:rPr>
          <w:lang w:eastAsia="en-AU"/>
        </w:rPr>
        <w:t xml:space="preserve">and virtual care are creating new opportunities to </w:t>
      </w:r>
      <w:r w:rsidR="00EF6848" w:rsidRPr="00EF6848">
        <w:rPr>
          <w:lang w:eastAsia="en-AU"/>
        </w:rPr>
        <w:t>transform how health and wellbeing services are delivered, improving outcomes and supporting long-term</w:t>
      </w:r>
      <w:r w:rsidR="00F71230">
        <w:rPr>
          <w:lang w:eastAsia="en-AU"/>
        </w:rPr>
        <w:t xml:space="preserve"> system</w:t>
      </w:r>
      <w:r w:rsidR="00EF6848" w:rsidRPr="00EF6848">
        <w:rPr>
          <w:lang w:eastAsia="en-AU"/>
        </w:rPr>
        <w:t xml:space="preserve"> sustainability.</w:t>
      </w:r>
    </w:p>
    <w:p w14:paraId="6F7C4CCE" w14:textId="02A86FEB" w:rsidR="00625B31" w:rsidRPr="00625B31" w:rsidRDefault="00625B31" w:rsidP="00625B31">
      <w:pPr>
        <w:pStyle w:val="Body"/>
        <w:rPr>
          <w:lang w:eastAsia="en-AU"/>
        </w:rPr>
      </w:pPr>
      <w:r w:rsidRPr="00625B31">
        <w:rPr>
          <w:lang w:eastAsia="en-AU"/>
        </w:rPr>
        <w:t xml:space="preserve">While Victoria has made significant progress in digital health, progress has not been consistent across the sector. Digital maturity remains uneven, with variation in infrastructure, systems and adoption across services. In approximately half of Victorian health services, critical health information remains on paper, limiting the timeliness, accuracy and availability of information and contributing to duplication, delays and inefficiencies in care delivery. Continued reliance on paper-based and fragmented systems also constrains the ability to leverage emerging technologies such as </w:t>
      </w:r>
      <w:r w:rsidR="006134D7">
        <w:rPr>
          <w:lang w:eastAsia="en-AU"/>
        </w:rPr>
        <w:t>AI</w:t>
      </w:r>
      <w:r w:rsidRPr="00625B31">
        <w:rPr>
          <w:lang w:eastAsia="en-AU"/>
        </w:rPr>
        <w:t>, advanced analytics and automation at scale.</w:t>
      </w:r>
    </w:p>
    <w:p w14:paraId="0E9B5B7F" w14:textId="135ABC25" w:rsidR="00625B31" w:rsidRPr="00625B31" w:rsidRDefault="00EE7D36" w:rsidP="00625B31">
      <w:pPr>
        <w:pStyle w:val="Body"/>
        <w:rPr>
          <w:lang w:eastAsia="en-AU"/>
        </w:rPr>
      </w:pPr>
      <w:r w:rsidRPr="00EE7D36">
        <w:rPr>
          <w:lang w:eastAsia="en-AU"/>
        </w:rPr>
        <w:t>Victoria’s digital health vision and roadmap 2026–31 (the roadmap) sets the direction for digital health investment and transformation. It recognises that digital is no longer a supporting function operating alongside healthcare delivery. It is becoming an increasingly integral component of how health is promoted, illness is prevented, and care is accessed, coordinated, delivered and improved.</w:t>
      </w:r>
    </w:p>
    <w:p w14:paraId="4197576E" w14:textId="5CE6DD12" w:rsidR="00311171" w:rsidRPr="00625B31" w:rsidRDefault="00311171" w:rsidP="00311171">
      <w:pPr>
        <w:pStyle w:val="Body"/>
        <w:rPr>
          <w:lang w:eastAsia="en-AU"/>
        </w:rPr>
      </w:pPr>
      <w:r w:rsidRPr="00625B31">
        <w:rPr>
          <w:lang w:eastAsia="en-AU"/>
        </w:rPr>
        <w:t xml:space="preserve">The roadmap is also not a standalone digital strategy. </w:t>
      </w:r>
      <w:r w:rsidR="000D3137">
        <w:rPr>
          <w:lang w:eastAsia="en-AU"/>
        </w:rPr>
        <w:t xml:space="preserve">It aligns to </w:t>
      </w:r>
      <w:r w:rsidR="00D26F31">
        <w:rPr>
          <w:lang w:eastAsia="en-AU"/>
        </w:rPr>
        <w:t>state</w:t>
      </w:r>
      <w:r w:rsidR="00BE17BA">
        <w:rPr>
          <w:lang w:eastAsia="en-AU"/>
        </w:rPr>
        <w:t xml:space="preserve"> and national</w:t>
      </w:r>
      <w:r w:rsidR="00D26F31">
        <w:rPr>
          <w:lang w:eastAsia="en-AU"/>
        </w:rPr>
        <w:t xml:space="preserve"> strategic priorities and outcomes. </w:t>
      </w:r>
      <w:r w:rsidRPr="00625B31">
        <w:rPr>
          <w:lang w:eastAsia="en-AU"/>
        </w:rPr>
        <w:t>It is intended to support broader health system reform, including more integrated models of care, increased access to virtual services, improved care coordination, stronger consumer participation and more efficient use of resources.</w:t>
      </w:r>
    </w:p>
    <w:p w14:paraId="6F6916BF" w14:textId="3D4A20DA" w:rsidR="00FF2E1B" w:rsidRDefault="00625B31" w:rsidP="00625B31">
      <w:pPr>
        <w:pStyle w:val="Body"/>
        <w:rPr>
          <w:lang w:eastAsia="en-AU"/>
        </w:rPr>
      </w:pPr>
      <w:r w:rsidRPr="00625B31">
        <w:rPr>
          <w:lang w:eastAsia="en-AU"/>
        </w:rPr>
        <w:t>The roadmap establishes a vision for a connected, intelligent and resilient digital health system that improves outcomes for consumers, supports the workforce and enables a more sustainable health system.</w:t>
      </w:r>
    </w:p>
    <w:p w14:paraId="7911D6E6" w14:textId="704F5EA1" w:rsidR="00625B31" w:rsidRPr="00625B31" w:rsidRDefault="00625B31" w:rsidP="00625B31">
      <w:pPr>
        <w:pStyle w:val="Body"/>
        <w:rPr>
          <w:lang w:eastAsia="en-AU"/>
        </w:rPr>
      </w:pPr>
      <w:r w:rsidRPr="00625B31">
        <w:rPr>
          <w:lang w:eastAsia="en-AU"/>
        </w:rPr>
        <w:t>It is centred on five outcomes that describe the future state Victoria is seeking to achieve:</w:t>
      </w:r>
    </w:p>
    <w:p w14:paraId="3C6E2580" w14:textId="25AC81F1" w:rsidR="00625B31" w:rsidRPr="00625B31" w:rsidRDefault="00625B31" w:rsidP="00D63871">
      <w:pPr>
        <w:pStyle w:val="Bullet1"/>
        <w:rPr>
          <w:lang w:eastAsia="en-AU"/>
        </w:rPr>
      </w:pPr>
      <w:r w:rsidRPr="00625B31">
        <w:rPr>
          <w:b/>
          <w:bCs/>
          <w:lang w:eastAsia="en-AU"/>
        </w:rPr>
        <w:t>Healthy Victorians</w:t>
      </w:r>
      <w:r w:rsidRPr="00625B31">
        <w:rPr>
          <w:lang w:eastAsia="en-AU"/>
        </w:rPr>
        <w:t xml:space="preserve"> – </w:t>
      </w:r>
      <w:r w:rsidR="00873658">
        <w:rPr>
          <w:lang w:eastAsia="en-AU"/>
        </w:rPr>
        <w:t>p</w:t>
      </w:r>
      <w:r w:rsidR="0057779A">
        <w:rPr>
          <w:lang w:eastAsia="en-AU"/>
        </w:rPr>
        <w:t>eople</w:t>
      </w:r>
      <w:r w:rsidR="0057779A" w:rsidRPr="0057779A">
        <w:rPr>
          <w:lang w:eastAsia="en-AU"/>
        </w:rPr>
        <w:t xml:space="preserve"> have access to the digital tools and information required to maintain their health and wellbeing on their own terms. </w:t>
      </w:r>
    </w:p>
    <w:p w14:paraId="68A1615C" w14:textId="793A03B9" w:rsidR="00625B31" w:rsidRPr="00625B31" w:rsidRDefault="00625B31" w:rsidP="00D63871">
      <w:pPr>
        <w:pStyle w:val="Bullet1"/>
        <w:rPr>
          <w:lang w:eastAsia="en-AU"/>
        </w:rPr>
      </w:pPr>
      <w:r w:rsidRPr="00625B31">
        <w:rPr>
          <w:b/>
          <w:bCs/>
          <w:lang w:eastAsia="en-AU"/>
        </w:rPr>
        <w:t xml:space="preserve">Integrated </w:t>
      </w:r>
      <w:r w:rsidR="0023497A">
        <w:rPr>
          <w:b/>
          <w:bCs/>
          <w:lang w:eastAsia="en-AU"/>
        </w:rPr>
        <w:t>C</w:t>
      </w:r>
      <w:r w:rsidRPr="00625B31">
        <w:rPr>
          <w:b/>
          <w:bCs/>
          <w:lang w:eastAsia="en-AU"/>
        </w:rPr>
        <w:t xml:space="preserve">are </w:t>
      </w:r>
      <w:r w:rsidR="0023497A">
        <w:rPr>
          <w:b/>
          <w:bCs/>
          <w:lang w:eastAsia="en-AU"/>
        </w:rPr>
        <w:t>J</w:t>
      </w:r>
      <w:r w:rsidRPr="00625B31">
        <w:rPr>
          <w:b/>
          <w:bCs/>
          <w:lang w:eastAsia="en-AU"/>
        </w:rPr>
        <w:t>ourneys</w:t>
      </w:r>
      <w:r w:rsidRPr="00625B31">
        <w:rPr>
          <w:lang w:eastAsia="en-AU"/>
        </w:rPr>
        <w:t xml:space="preserve"> –</w:t>
      </w:r>
      <w:r w:rsidR="00892202">
        <w:rPr>
          <w:lang w:eastAsia="en-AU"/>
        </w:rPr>
        <w:t>a</w:t>
      </w:r>
      <w:r w:rsidR="00F130C3" w:rsidRPr="00F130C3">
        <w:rPr>
          <w:lang w:eastAsia="en-AU"/>
        </w:rPr>
        <w:t xml:space="preserve"> health system where information flows, services connect, and consumers experience seamless care across their health and wellbeing journey.</w:t>
      </w:r>
    </w:p>
    <w:p w14:paraId="1220F9AA" w14:textId="447DD9D2" w:rsidR="00625B31" w:rsidRPr="00625B31" w:rsidRDefault="00625B31" w:rsidP="00D63871">
      <w:pPr>
        <w:pStyle w:val="Bullet1"/>
        <w:rPr>
          <w:lang w:eastAsia="en-AU"/>
        </w:rPr>
      </w:pPr>
      <w:r w:rsidRPr="00625B31">
        <w:rPr>
          <w:b/>
          <w:bCs/>
          <w:lang w:eastAsia="en-AU"/>
        </w:rPr>
        <w:t xml:space="preserve">Equitable </w:t>
      </w:r>
      <w:r w:rsidR="0023497A">
        <w:rPr>
          <w:b/>
          <w:bCs/>
          <w:lang w:eastAsia="en-AU"/>
        </w:rPr>
        <w:t>H</w:t>
      </w:r>
      <w:r w:rsidRPr="00625B31">
        <w:rPr>
          <w:b/>
          <w:bCs/>
          <w:lang w:eastAsia="en-AU"/>
        </w:rPr>
        <w:t xml:space="preserve">ealth </w:t>
      </w:r>
      <w:r w:rsidR="0023497A">
        <w:rPr>
          <w:b/>
          <w:bCs/>
          <w:lang w:eastAsia="en-AU"/>
        </w:rPr>
        <w:t>O</w:t>
      </w:r>
      <w:r w:rsidRPr="00625B31">
        <w:rPr>
          <w:b/>
          <w:bCs/>
          <w:lang w:eastAsia="en-AU"/>
        </w:rPr>
        <w:t>utcomes</w:t>
      </w:r>
      <w:r w:rsidRPr="00625B31">
        <w:rPr>
          <w:lang w:eastAsia="en-AU"/>
        </w:rPr>
        <w:t xml:space="preserve"> – </w:t>
      </w:r>
      <w:r w:rsidR="00873658">
        <w:rPr>
          <w:lang w:eastAsia="en-AU"/>
        </w:rPr>
        <w:t>h</w:t>
      </w:r>
      <w:r w:rsidRPr="00625B31">
        <w:rPr>
          <w:lang w:eastAsia="en-AU"/>
        </w:rPr>
        <w:t>igh-quality data and insights support evidence-based decisions for individuals and populations.</w:t>
      </w:r>
    </w:p>
    <w:p w14:paraId="1616B02C" w14:textId="3A4EBBC3" w:rsidR="00625B31" w:rsidRPr="00625B31" w:rsidRDefault="00625B31" w:rsidP="00D63871">
      <w:pPr>
        <w:pStyle w:val="Bullet1"/>
        <w:rPr>
          <w:lang w:eastAsia="en-AU"/>
        </w:rPr>
      </w:pPr>
      <w:r w:rsidRPr="00625B31">
        <w:rPr>
          <w:b/>
          <w:bCs/>
          <w:lang w:eastAsia="en-AU"/>
        </w:rPr>
        <w:t>High</w:t>
      </w:r>
      <w:r w:rsidR="0023497A">
        <w:rPr>
          <w:b/>
          <w:bCs/>
          <w:lang w:eastAsia="en-AU"/>
        </w:rPr>
        <w:t xml:space="preserve"> P</w:t>
      </w:r>
      <w:r w:rsidRPr="00625B31">
        <w:rPr>
          <w:b/>
          <w:bCs/>
          <w:lang w:eastAsia="en-AU"/>
        </w:rPr>
        <w:t xml:space="preserve">erforming </w:t>
      </w:r>
      <w:r w:rsidR="0023497A">
        <w:rPr>
          <w:b/>
          <w:bCs/>
          <w:lang w:eastAsia="en-AU"/>
        </w:rPr>
        <w:t>H</w:t>
      </w:r>
      <w:r w:rsidRPr="00625B31">
        <w:rPr>
          <w:b/>
          <w:bCs/>
          <w:lang w:eastAsia="en-AU"/>
        </w:rPr>
        <w:t xml:space="preserve">ealth </w:t>
      </w:r>
      <w:r w:rsidR="0023497A">
        <w:rPr>
          <w:b/>
          <w:bCs/>
          <w:lang w:eastAsia="en-AU"/>
        </w:rPr>
        <w:t>S</w:t>
      </w:r>
      <w:r w:rsidRPr="00625B31">
        <w:rPr>
          <w:b/>
          <w:bCs/>
          <w:lang w:eastAsia="en-AU"/>
        </w:rPr>
        <w:t>ystem</w:t>
      </w:r>
      <w:r w:rsidRPr="00625B31">
        <w:rPr>
          <w:lang w:eastAsia="en-AU"/>
        </w:rPr>
        <w:t xml:space="preserve"> – </w:t>
      </w:r>
      <w:r w:rsidR="00873658">
        <w:rPr>
          <w:lang w:eastAsia="en-AU"/>
        </w:rPr>
        <w:t>d</w:t>
      </w:r>
      <w:r w:rsidRPr="00625B31">
        <w:rPr>
          <w:lang w:eastAsia="en-AU"/>
        </w:rPr>
        <w:t>igital capability streamlines operations, optimises resource use and enhances service delivery.</w:t>
      </w:r>
    </w:p>
    <w:p w14:paraId="7F715169" w14:textId="5DAAA542" w:rsidR="00625B31" w:rsidRPr="00625B31" w:rsidRDefault="00625B31" w:rsidP="00D63871">
      <w:pPr>
        <w:pStyle w:val="Bullet1"/>
        <w:rPr>
          <w:lang w:eastAsia="en-AU"/>
        </w:rPr>
      </w:pPr>
      <w:r w:rsidRPr="00625B31">
        <w:rPr>
          <w:b/>
          <w:bCs/>
          <w:lang w:eastAsia="en-AU"/>
        </w:rPr>
        <w:t xml:space="preserve">Supported </w:t>
      </w:r>
      <w:r w:rsidR="0023497A">
        <w:rPr>
          <w:b/>
        </w:rPr>
        <w:t>W</w:t>
      </w:r>
      <w:r w:rsidRPr="00D63871">
        <w:rPr>
          <w:b/>
        </w:rPr>
        <w:t>orkforce</w:t>
      </w:r>
      <w:r w:rsidRPr="00625B31">
        <w:rPr>
          <w:lang w:eastAsia="en-AU"/>
        </w:rPr>
        <w:t xml:space="preserve"> – </w:t>
      </w:r>
      <w:r w:rsidR="00873658">
        <w:rPr>
          <w:lang w:eastAsia="en-AU"/>
        </w:rPr>
        <w:t>a</w:t>
      </w:r>
      <w:r w:rsidR="00860BD4" w:rsidRPr="00860BD4">
        <w:rPr>
          <w:lang w:eastAsia="en-AU"/>
        </w:rPr>
        <w:t xml:space="preserve"> workforce with</w:t>
      </w:r>
      <w:r w:rsidR="00EE7D36">
        <w:rPr>
          <w:lang w:eastAsia="en-AU"/>
        </w:rPr>
        <w:t xml:space="preserve"> </w:t>
      </w:r>
      <w:r w:rsidR="00860BD4" w:rsidRPr="00860BD4">
        <w:rPr>
          <w:lang w:eastAsia="en-AU"/>
        </w:rPr>
        <w:t>the right</w:t>
      </w:r>
      <w:r w:rsidR="00EE7D36">
        <w:rPr>
          <w:lang w:eastAsia="en-AU"/>
        </w:rPr>
        <w:t xml:space="preserve"> </w:t>
      </w:r>
      <w:r w:rsidR="00860BD4" w:rsidRPr="00860BD4">
        <w:rPr>
          <w:lang w:eastAsia="en-AU"/>
        </w:rPr>
        <w:t xml:space="preserve">digital tools </w:t>
      </w:r>
      <w:r w:rsidR="00892202">
        <w:rPr>
          <w:lang w:eastAsia="en-AU"/>
        </w:rPr>
        <w:t xml:space="preserve">to </w:t>
      </w:r>
      <w:r w:rsidR="00860BD4" w:rsidRPr="00860BD4">
        <w:rPr>
          <w:lang w:eastAsia="en-AU"/>
        </w:rPr>
        <w:t>allow them to</w:t>
      </w:r>
      <w:r w:rsidR="00EE7D36">
        <w:rPr>
          <w:lang w:eastAsia="en-AU"/>
        </w:rPr>
        <w:t xml:space="preserve"> </w:t>
      </w:r>
      <w:r w:rsidR="00860BD4" w:rsidRPr="00860BD4">
        <w:rPr>
          <w:lang w:eastAsia="en-AU"/>
        </w:rPr>
        <w:t>focus on what matters most.</w:t>
      </w:r>
    </w:p>
    <w:p w14:paraId="394D29A6" w14:textId="3C69FCB2" w:rsidR="00625B31" w:rsidRDefault="00625B31" w:rsidP="00D63871">
      <w:pPr>
        <w:pStyle w:val="Bodyafterbullets"/>
        <w:rPr>
          <w:lang w:eastAsia="en-AU"/>
        </w:rPr>
      </w:pPr>
      <w:r w:rsidRPr="00625B31">
        <w:rPr>
          <w:lang w:eastAsia="en-AU"/>
        </w:rPr>
        <w:t>The roadmap is organised around four strategic pillars and three system-wide accelerators, providing a clear line of sight between long-term outcomes, programs of work and delivery priorities.</w:t>
      </w:r>
    </w:p>
    <w:p w14:paraId="73872D60" w14:textId="532F1B27" w:rsidR="00F914DE" w:rsidRDefault="00F914DE" w:rsidP="00D63871">
      <w:pPr>
        <w:pStyle w:val="Figurecaption"/>
      </w:pPr>
      <w:r w:rsidRPr="005020E9">
        <w:lastRenderedPageBreak/>
        <w:t>Figure 1. Victoria's digital health vision and roadmap 2026–31</w:t>
      </w:r>
    </w:p>
    <w:p w14:paraId="362F6531" w14:textId="192440E5" w:rsidR="00592206" w:rsidRPr="00592206" w:rsidRDefault="00865D64" w:rsidP="00592206">
      <w:pPr>
        <w:pStyle w:val="Body"/>
      </w:pPr>
      <w:r>
        <w:rPr>
          <w:noProof/>
        </w:rPr>
        <w:drawing>
          <wp:inline distT="0" distB="0" distL="0" distR="0" wp14:anchorId="1EDA5CCC" wp14:editId="5D2061B3">
            <wp:extent cx="5833110" cy="3556000"/>
            <wp:effectExtent l="0" t="0" r="0" b="6350"/>
            <wp:docPr id="945565403" name="Picture 69"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65403" name="Picture 69" descr="Accessible text equivalent provided in Appendix A."/>
                    <pic:cNvPicPr/>
                  </pic:nvPicPr>
                  <pic:blipFill>
                    <a:blip r:embed="rId20" cstate="screen">
                      <a:extLst>
                        <a:ext uri="{28A0092B-C50C-407E-A947-70E740481C1C}">
                          <a14:useLocalDpi xmlns:a14="http://schemas.microsoft.com/office/drawing/2010/main"/>
                        </a:ext>
                      </a:extLst>
                    </a:blip>
                    <a:stretch>
                      <a:fillRect/>
                    </a:stretch>
                  </pic:blipFill>
                  <pic:spPr>
                    <a:xfrm>
                      <a:off x="0" y="0"/>
                      <a:ext cx="5833110" cy="3556000"/>
                    </a:xfrm>
                    <a:prstGeom prst="rect">
                      <a:avLst/>
                    </a:prstGeom>
                  </pic:spPr>
                </pic:pic>
              </a:graphicData>
            </a:graphic>
          </wp:inline>
        </w:drawing>
      </w:r>
    </w:p>
    <w:p w14:paraId="1A744030" w14:textId="77777777" w:rsidR="00625B31" w:rsidRPr="00625B31" w:rsidRDefault="00625B31" w:rsidP="00313178">
      <w:pPr>
        <w:pStyle w:val="Bodyaftertablefigure"/>
        <w:rPr>
          <w:lang w:eastAsia="en-AU"/>
        </w:rPr>
      </w:pPr>
      <w:r w:rsidRPr="00625B31">
        <w:rPr>
          <w:lang w:eastAsia="en-AU"/>
        </w:rPr>
        <w:t>The roadmap adopts a horizon-based approach that balances immediate priorities with longer-term transformation. Horizon 1 focuses on initiatives that are sufficiently mature to support near-term planning, investment and delivery. Horizons 2 and 3 provide a longer-term direction of travel, identifying the capabilities required to support future models of care, emerging technologies and evolving health system priorities.</w:t>
      </w:r>
    </w:p>
    <w:p w14:paraId="3576044E" w14:textId="5DC4C838" w:rsidR="00ED3343" w:rsidRDefault="00625B31" w:rsidP="00625B31">
      <w:pPr>
        <w:pStyle w:val="Body"/>
        <w:rPr>
          <w:lang w:eastAsia="en-AU"/>
        </w:rPr>
      </w:pPr>
      <w:r w:rsidRPr="00625B31">
        <w:rPr>
          <w:lang w:eastAsia="en-AU"/>
        </w:rPr>
        <w:t>Importantly, the roadmap is not intended to represent a</w:t>
      </w:r>
      <w:r w:rsidR="00B170D5">
        <w:rPr>
          <w:lang w:eastAsia="en-AU"/>
        </w:rPr>
        <w:t>n</w:t>
      </w:r>
      <w:r w:rsidRPr="00625B31">
        <w:rPr>
          <w:lang w:eastAsia="en-AU"/>
        </w:rPr>
        <w:t xml:space="preserve"> implementation plan. </w:t>
      </w:r>
      <w:r w:rsidR="004914F1" w:rsidRPr="00625B31">
        <w:rPr>
          <w:lang w:eastAsia="en-AU"/>
        </w:rPr>
        <w:t xml:space="preserve">Through a combination of strategic investment, shared accountability, strong governance and continuous review, </w:t>
      </w:r>
      <w:r w:rsidRPr="00625B31">
        <w:rPr>
          <w:lang w:eastAsia="en-AU"/>
        </w:rPr>
        <w:t>it provides a strategic investment framework that identifies the capabilities required to deliver Victoria's long-term digital health vision.</w:t>
      </w:r>
    </w:p>
    <w:p w14:paraId="78CF3D09" w14:textId="794B98E8" w:rsidR="00625B31" w:rsidRPr="00625B31" w:rsidRDefault="00625B31" w:rsidP="00625B31">
      <w:pPr>
        <w:pStyle w:val="Body"/>
        <w:rPr>
          <w:lang w:eastAsia="en-AU"/>
        </w:rPr>
      </w:pPr>
      <w:r w:rsidRPr="00625B31">
        <w:rPr>
          <w:lang w:eastAsia="en-AU"/>
        </w:rPr>
        <w:t>While some initiatives are funded and ready for delivery, others represent priorities that will require further planning, business case development and investment consideration as the roadmap evolves.</w:t>
      </w:r>
    </w:p>
    <w:p w14:paraId="12612526" w14:textId="018F4BF5" w:rsidR="000727B4" w:rsidRDefault="00625B31" w:rsidP="000B701C">
      <w:pPr>
        <w:pStyle w:val="Body"/>
      </w:pPr>
      <w:r w:rsidRPr="00625B31">
        <w:rPr>
          <w:lang w:eastAsia="en-AU"/>
        </w:rPr>
        <w:t xml:space="preserve">Successful delivery will require sustained collaboration across government, health services, clinicians, consumers and delivery partners. The result will be a health system where </w:t>
      </w:r>
      <w:r w:rsidR="0010673D" w:rsidRPr="00625B31">
        <w:rPr>
          <w:lang w:eastAsia="en-AU"/>
        </w:rPr>
        <w:t>care is delivered in ways that better meet people's needs</w:t>
      </w:r>
      <w:r w:rsidR="0010673D">
        <w:rPr>
          <w:lang w:eastAsia="en-AU"/>
        </w:rPr>
        <w:t>,</w:t>
      </w:r>
      <w:r w:rsidR="0010673D" w:rsidRPr="00625B31">
        <w:rPr>
          <w:lang w:eastAsia="en-AU"/>
        </w:rPr>
        <w:t xml:space="preserve"> </w:t>
      </w:r>
      <w:r w:rsidRPr="00625B31">
        <w:rPr>
          <w:lang w:eastAsia="en-AU"/>
        </w:rPr>
        <w:t>information is easier to access and share, and digital technologies help improve outcomes for consumers, the workforce and the broader health system</w:t>
      </w:r>
      <w:r w:rsidR="004914F1">
        <w:rPr>
          <w:lang w:eastAsia="en-AU"/>
        </w:rPr>
        <w:t xml:space="preserve"> over the coming decade</w:t>
      </w:r>
      <w:r w:rsidRPr="00625B31">
        <w:rPr>
          <w:lang w:eastAsia="en-AU"/>
        </w:rPr>
        <w:t>.</w:t>
      </w:r>
    </w:p>
    <w:p w14:paraId="1587194D" w14:textId="00D04F6B" w:rsidR="0035589A" w:rsidRDefault="0035589A" w:rsidP="0035589A">
      <w:pPr>
        <w:pStyle w:val="Body"/>
      </w:pPr>
      <w:r>
        <w:br w:type="page"/>
      </w:r>
    </w:p>
    <w:p w14:paraId="66D02173" w14:textId="510800C7" w:rsidR="006537B0" w:rsidRPr="008B37E4" w:rsidRDefault="00C0139E" w:rsidP="006931AA">
      <w:pPr>
        <w:pStyle w:val="Heading1"/>
      </w:pPr>
      <w:bookmarkStart w:id="7" w:name="_Toc235957312"/>
      <w:bookmarkStart w:id="8" w:name="_Toc244166814"/>
      <w:r>
        <w:lastRenderedPageBreak/>
        <w:t xml:space="preserve">Our </w:t>
      </w:r>
      <w:r w:rsidR="006F784A">
        <w:t>10-year</w:t>
      </w:r>
      <w:r>
        <w:t xml:space="preserve"> vision for </w:t>
      </w:r>
      <w:r w:rsidR="00F80328">
        <w:t>d</w:t>
      </w:r>
      <w:r>
        <w:t xml:space="preserve">igital </w:t>
      </w:r>
      <w:r w:rsidR="00F80328">
        <w:t>h</w:t>
      </w:r>
      <w:r>
        <w:t>ealth</w:t>
      </w:r>
      <w:bookmarkEnd w:id="7"/>
      <w:bookmarkEnd w:id="8"/>
    </w:p>
    <w:p w14:paraId="4082DAD9" w14:textId="3B12A697" w:rsidR="006D0BF1" w:rsidRPr="00EB4380" w:rsidRDefault="00591FEB" w:rsidP="00D25453">
      <w:pPr>
        <w:rPr>
          <w:rStyle w:val="Emphasis"/>
        </w:rPr>
      </w:pPr>
      <w:r w:rsidRPr="00EB4380">
        <w:rPr>
          <w:rStyle w:val="Emphasis"/>
        </w:rPr>
        <w:t>By 203</w:t>
      </w:r>
      <w:r w:rsidR="006F784A" w:rsidRPr="00EB4380">
        <w:rPr>
          <w:rStyle w:val="Emphasis"/>
        </w:rPr>
        <w:t>6</w:t>
      </w:r>
      <w:r w:rsidRPr="00EB4380">
        <w:rPr>
          <w:rStyle w:val="Emphasis"/>
        </w:rPr>
        <w:t>, all Victorians will be supported to l</w:t>
      </w:r>
      <w:r w:rsidR="001E67BF" w:rsidRPr="00EB4380">
        <w:rPr>
          <w:rStyle w:val="Emphasis"/>
        </w:rPr>
        <w:t>ead</w:t>
      </w:r>
      <w:r w:rsidRPr="00EB4380">
        <w:rPr>
          <w:rStyle w:val="Emphasis"/>
        </w:rPr>
        <w:t xml:space="preserve"> healthier</w:t>
      </w:r>
      <w:r w:rsidR="00CE61DD" w:rsidRPr="00EB4380">
        <w:rPr>
          <w:rStyle w:val="Emphasis"/>
        </w:rPr>
        <w:t xml:space="preserve"> </w:t>
      </w:r>
      <w:r w:rsidRPr="00EB4380">
        <w:rPr>
          <w:rStyle w:val="Emphasis"/>
        </w:rPr>
        <w:t>lives through digitally enabled experiences that prioritise wellbeing, prevent illness</w:t>
      </w:r>
      <w:r w:rsidR="004E3CD0" w:rsidRPr="00EB4380">
        <w:rPr>
          <w:rStyle w:val="Emphasis"/>
        </w:rPr>
        <w:t>,</w:t>
      </w:r>
      <w:r w:rsidRPr="00EB4380">
        <w:rPr>
          <w:rStyle w:val="Emphasis"/>
        </w:rPr>
        <w:t xml:space="preserve"> and deliver care that is proactive, personalised and equitable. </w:t>
      </w:r>
    </w:p>
    <w:p w14:paraId="602DDDE9" w14:textId="6BA53746" w:rsidR="00D25453" w:rsidRPr="00D25453" w:rsidRDefault="00D25453" w:rsidP="00D25453">
      <w:pPr>
        <w:rPr>
          <w:rFonts w:eastAsia="Times"/>
        </w:rPr>
      </w:pPr>
      <w:r w:rsidRPr="00D25453">
        <w:rPr>
          <w:rFonts w:eastAsia="Times"/>
        </w:rPr>
        <w:t xml:space="preserve">In realising this vision, people will experience more connected, personalised and continuous healthcare that is easier to navigate and better aligned to their needs. Services will work together more effectively, enabling </w:t>
      </w:r>
      <w:r w:rsidR="004E3CD0">
        <w:rPr>
          <w:rFonts w:eastAsia="Times"/>
        </w:rPr>
        <w:t>consumers</w:t>
      </w:r>
      <w:r w:rsidR="004E3CD0" w:rsidRPr="00D25453">
        <w:rPr>
          <w:rFonts w:eastAsia="Times"/>
        </w:rPr>
        <w:t xml:space="preserve"> </w:t>
      </w:r>
      <w:r w:rsidRPr="00D25453">
        <w:rPr>
          <w:rFonts w:eastAsia="Times"/>
        </w:rPr>
        <w:t>to move more seamlessly between providers and settings</w:t>
      </w:r>
      <w:r w:rsidR="000468AD">
        <w:rPr>
          <w:rFonts w:eastAsia="Times"/>
        </w:rPr>
        <w:t>,</w:t>
      </w:r>
      <w:r w:rsidRPr="00D25453">
        <w:rPr>
          <w:rFonts w:eastAsia="Times"/>
        </w:rPr>
        <w:t xml:space="preserve"> while remaining active participants in their own health and wellbeing.</w:t>
      </w:r>
    </w:p>
    <w:p w14:paraId="595D31E2" w14:textId="66B03798" w:rsidR="00D25453" w:rsidRDefault="00D25453" w:rsidP="00D25453">
      <w:pPr>
        <w:pStyle w:val="Body"/>
      </w:pPr>
      <w:r w:rsidRPr="00D25453">
        <w:t>Information will flow across services and settings, supporting more coordinated experiences, better decisions and improved outcomes. Consumers, families and carers will have clearer access to information and services, while the workforce will be equipped with the information, tools and insights needed to spend less time on administration and more time delivering high-quality care.</w:t>
      </w:r>
    </w:p>
    <w:p w14:paraId="5C399CCF" w14:textId="62F3C56A" w:rsidR="00D029F9" w:rsidRDefault="00D029F9" w:rsidP="00171131">
      <w:pPr>
        <w:pStyle w:val="Body"/>
      </w:pPr>
      <w:r w:rsidRPr="00D029F9">
        <w:t>At a system level, this will support more sustainable models of care</w:t>
      </w:r>
      <w:r w:rsidR="004E3CD0">
        <w:t xml:space="preserve"> to</w:t>
      </w:r>
      <w:r w:rsidRPr="00D029F9">
        <w:t xml:space="preserve"> improv</w:t>
      </w:r>
      <w:r w:rsidR="004E3CD0">
        <w:t>e</w:t>
      </w:r>
      <w:r w:rsidRPr="00D029F9">
        <w:t xml:space="preserve"> productivity, reduc</w:t>
      </w:r>
      <w:r w:rsidR="004E3CD0">
        <w:t>e</w:t>
      </w:r>
      <w:r w:rsidRPr="00D029F9">
        <w:t xml:space="preserve"> duplication and enabl</w:t>
      </w:r>
      <w:r w:rsidR="004E3CD0">
        <w:t>e</w:t>
      </w:r>
      <w:r w:rsidRPr="00D029F9">
        <w:t xml:space="preserve"> more efficient use of resources to better manage demand over time. Enhanced access to data and insights will </w:t>
      </w:r>
      <w:r w:rsidR="00291ACC">
        <w:t>support more proactive evidence-based decision-making across the system. This will</w:t>
      </w:r>
      <w:r w:rsidR="00291ACC" w:rsidRPr="00D029F9">
        <w:t xml:space="preserve"> </w:t>
      </w:r>
      <w:r w:rsidRPr="00D029F9">
        <w:t xml:space="preserve">strengthen system stewardship, </w:t>
      </w:r>
      <w:r w:rsidR="00114ACF">
        <w:t xml:space="preserve">improve understanding of </w:t>
      </w:r>
      <w:r w:rsidRPr="00D029F9">
        <w:t>community need</w:t>
      </w:r>
      <w:r w:rsidR="00795C21">
        <w:t xml:space="preserve"> and future demand</w:t>
      </w:r>
      <w:r w:rsidRPr="00D029F9">
        <w:t xml:space="preserve">, </w:t>
      </w:r>
      <w:r w:rsidR="007E79FA">
        <w:t>support</w:t>
      </w:r>
      <w:r w:rsidR="00145A04">
        <w:t xml:space="preserve"> </w:t>
      </w:r>
      <w:r w:rsidR="00C64F0E">
        <w:t xml:space="preserve">prevention and earlier intervention, </w:t>
      </w:r>
      <w:r w:rsidRPr="00D029F9">
        <w:t xml:space="preserve">and </w:t>
      </w:r>
      <w:r w:rsidR="005A31B1">
        <w:t>enable</w:t>
      </w:r>
      <w:r w:rsidR="005A31B1" w:rsidRPr="00D029F9">
        <w:t xml:space="preserve"> </w:t>
      </w:r>
      <w:r w:rsidRPr="00D029F9">
        <w:t>more informed decisions about service delivery, workforce and long</w:t>
      </w:r>
      <w:r w:rsidRPr="00D029F9">
        <w:rPr>
          <w:rFonts w:ascii="Cambria Math" w:hAnsi="Cambria Math" w:cs="Cambria Math"/>
        </w:rPr>
        <w:t>‑</w:t>
      </w:r>
      <w:r w:rsidRPr="00D029F9">
        <w:t>term investment priorities.</w:t>
      </w:r>
    </w:p>
    <w:p w14:paraId="1AC1D5DA" w14:textId="05CDE5B8" w:rsidR="00171131" w:rsidRDefault="00171131" w:rsidP="00171131">
      <w:pPr>
        <w:pStyle w:val="Body"/>
      </w:pPr>
      <w:r>
        <w:t xml:space="preserve">This vision aligns with the broader transformation of the health system and establishes a clear set of </w:t>
      </w:r>
      <w:r w:rsidR="00550C9A">
        <w:t xml:space="preserve">five priority </w:t>
      </w:r>
      <w:r>
        <w:t>outcomes that define success</w:t>
      </w:r>
      <w:r w:rsidR="00550C9A">
        <w:t xml:space="preserve"> (see Figure 2)</w:t>
      </w:r>
      <w:r>
        <w:t xml:space="preserve">. These outcomes act as the </w:t>
      </w:r>
      <w:r w:rsidR="003E6213">
        <w:t xml:space="preserve">roadmap’s </w:t>
      </w:r>
      <w:r>
        <w:t>primary signposts</w:t>
      </w:r>
      <w:r w:rsidR="001A709A">
        <w:t xml:space="preserve">, </w:t>
      </w:r>
      <w:r>
        <w:t>providing a consistent reference point for prioritisation, investment and delivery.</w:t>
      </w:r>
    </w:p>
    <w:p w14:paraId="054D5604" w14:textId="3DEB31AC" w:rsidR="00550C9A" w:rsidRPr="00550C9A" w:rsidRDefault="00550C9A" w:rsidP="000B701C">
      <w:pPr>
        <w:pStyle w:val="Figurecaption"/>
      </w:pPr>
      <w:r w:rsidRPr="005020E9">
        <w:t xml:space="preserve">Figure </w:t>
      </w:r>
      <w:r w:rsidR="00F0426C">
        <w:t>2</w:t>
      </w:r>
      <w:r w:rsidRPr="00550C9A">
        <w:t>.</w:t>
      </w:r>
      <w:r w:rsidRPr="005020E9">
        <w:t xml:space="preserve"> Priority outcomes for digital health in Victoria </w:t>
      </w:r>
      <w:r w:rsidR="000468AD">
        <w:t xml:space="preserve">that </w:t>
      </w:r>
      <w:r w:rsidRPr="00550C9A">
        <w:t>underpin</w:t>
      </w:r>
      <w:r w:rsidRPr="005020E9">
        <w:t xml:space="preserve"> the </w:t>
      </w:r>
      <w:r w:rsidR="000468AD">
        <w:t>roadmap</w:t>
      </w:r>
    </w:p>
    <w:p w14:paraId="376C5586" w14:textId="125CC8F0" w:rsidR="005020E9" w:rsidRDefault="00865D64" w:rsidP="00171131">
      <w:pPr>
        <w:pStyle w:val="Body"/>
      </w:pPr>
      <w:r>
        <w:rPr>
          <w:noProof/>
        </w:rPr>
        <w:drawing>
          <wp:inline distT="0" distB="0" distL="0" distR="0" wp14:anchorId="7611C7AC" wp14:editId="698994C0">
            <wp:extent cx="3572539" cy="3839623"/>
            <wp:effectExtent l="0" t="0" r="8890" b="8890"/>
            <wp:docPr id="803584537" name="Picture 70"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84537" name="Picture 70" descr="Accessible text equivalent provided in Appendix A."/>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3591935" cy="3860469"/>
                    </a:xfrm>
                    <a:prstGeom prst="rect">
                      <a:avLst/>
                    </a:prstGeom>
                    <a:noFill/>
                    <a:ln>
                      <a:noFill/>
                    </a:ln>
                  </pic:spPr>
                </pic:pic>
              </a:graphicData>
            </a:graphic>
          </wp:inline>
        </w:drawing>
      </w:r>
    </w:p>
    <w:p w14:paraId="662F5706" w14:textId="77777777" w:rsidR="005020E9" w:rsidRDefault="005020E9">
      <w:pPr>
        <w:spacing w:after="0" w:line="240" w:lineRule="auto"/>
        <w:rPr>
          <w:rFonts w:eastAsia="Times"/>
        </w:rPr>
      </w:pPr>
      <w:r>
        <w:br w:type="page"/>
      </w:r>
    </w:p>
    <w:p w14:paraId="5F238A06" w14:textId="4D0A64C4" w:rsidR="00210F42" w:rsidRPr="00A40600" w:rsidRDefault="00B41883" w:rsidP="00210F42">
      <w:pPr>
        <w:pStyle w:val="Heading1"/>
        <w:pageBreakBefore/>
        <w:rPr>
          <w:i/>
          <w:iCs/>
        </w:rPr>
      </w:pPr>
      <w:bookmarkStart w:id="9" w:name="_Toc235957313"/>
      <w:bookmarkStart w:id="10" w:name="_Toc244166815"/>
      <w:bookmarkEnd w:id="5"/>
      <w:bookmarkEnd w:id="6"/>
      <w:r>
        <w:lastRenderedPageBreak/>
        <w:t xml:space="preserve">Digital </w:t>
      </w:r>
      <w:r w:rsidR="00E52721">
        <w:t xml:space="preserve">capability </w:t>
      </w:r>
      <w:r w:rsidR="004B6067">
        <w:t>as a catalyst for change</w:t>
      </w:r>
      <w:bookmarkEnd w:id="9"/>
      <w:bookmarkEnd w:id="10"/>
    </w:p>
    <w:p w14:paraId="4C107BF3" w14:textId="7F82F502" w:rsidR="00FB7D56" w:rsidRDefault="00703BEC" w:rsidP="00FB7D56">
      <w:pPr>
        <w:pStyle w:val="Body"/>
      </w:pPr>
      <w:r w:rsidRPr="00703BEC">
        <w:t>Digital</w:t>
      </w:r>
      <w:r w:rsidR="000468AD">
        <w:t xml:space="preserve"> capability</w:t>
      </w:r>
      <w:r w:rsidRPr="00703BEC">
        <w:t xml:space="preserve"> is </w:t>
      </w:r>
      <w:r w:rsidR="002E2888">
        <w:t>integral</w:t>
      </w:r>
      <w:r w:rsidRPr="00703BEC">
        <w:t xml:space="preserve"> to how the health system operates and evolves. It underpins the </w:t>
      </w:r>
      <w:r w:rsidR="00E97E15">
        <w:t xml:space="preserve">system-wide </w:t>
      </w:r>
      <w:r w:rsidRPr="00703BEC">
        <w:t xml:space="preserve">reforms </w:t>
      </w:r>
      <w:r w:rsidR="009032B1">
        <w:t xml:space="preserve">that are </w:t>
      </w:r>
      <w:r w:rsidRPr="00703BEC">
        <w:t xml:space="preserve">needed to deliver more connected, integrated and sustainable care. </w:t>
      </w:r>
      <w:r w:rsidR="00F23E03" w:rsidRPr="00F23E03">
        <w:t xml:space="preserve">In practice, this means that </w:t>
      </w:r>
      <w:r w:rsidR="00A9001E">
        <w:t xml:space="preserve">achieving the </w:t>
      </w:r>
      <w:r w:rsidR="00BC5858">
        <w:t xml:space="preserve">system’s </w:t>
      </w:r>
      <w:r w:rsidR="00521003">
        <w:t>transformation goals</w:t>
      </w:r>
      <w:r w:rsidR="00F23E03" w:rsidRPr="00F23E03">
        <w:t xml:space="preserve"> depend</w:t>
      </w:r>
      <w:r w:rsidR="00A64E34">
        <w:t>s</w:t>
      </w:r>
      <w:r w:rsidR="00F23E03" w:rsidRPr="00F23E03">
        <w:t xml:space="preserve"> on digital capability to be implemented effectively at scale.</w:t>
      </w:r>
    </w:p>
    <w:p w14:paraId="0E85E3F6" w14:textId="0ED5F8F2" w:rsidR="008B1FB9" w:rsidRDefault="001F0DB0" w:rsidP="00AC7480">
      <w:pPr>
        <w:pStyle w:val="Heading2"/>
      </w:pPr>
      <w:bookmarkStart w:id="11" w:name="_Toc235957314"/>
      <w:bookmarkStart w:id="12" w:name="_Toc244166816"/>
      <w:r>
        <w:t>Our starting point</w:t>
      </w:r>
      <w:bookmarkEnd w:id="11"/>
      <w:bookmarkEnd w:id="12"/>
    </w:p>
    <w:p w14:paraId="2A6CCD48" w14:textId="6AD5BA0B" w:rsidR="00AC7480" w:rsidRDefault="00DF3C43" w:rsidP="00AC7480">
      <w:pPr>
        <w:pStyle w:val="Heading3"/>
      </w:pPr>
      <w:r>
        <w:t>Victoria’s d</w:t>
      </w:r>
      <w:r w:rsidR="00AC7480">
        <w:t xml:space="preserve">igital </w:t>
      </w:r>
      <w:r>
        <w:t>h</w:t>
      </w:r>
      <w:r w:rsidR="00AC7480">
        <w:t xml:space="preserve">ealth </w:t>
      </w:r>
      <w:r>
        <w:t>r</w:t>
      </w:r>
      <w:r w:rsidR="00AC7480">
        <w:t>oadmap 2021–2025</w:t>
      </w:r>
    </w:p>
    <w:p w14:paraId="4BCF022A" w14:textId="4877A484" w:rsidR="00423AE6" w:rsidRDefault="00685BD4" w:rsidP="00685BD4">
      <w:pPr>
        <w:pStyle w:val="Body"/>
      </w:pPr>
      <w:r>
        <w:t>The</w:t>
      </w:r>
      <w:r w:rsidR="00DF3C43">
        <w:t xml:space="preserve"> 2021–2025 r</w:t>
      </w:r>
      <w:r>
        <w:t xml:space="preserve">oadmap delivered a </w:t>
      </w:r>
      <w:r w:rsidR="00476FFC">
        <w:t>significant</w:t>
      </w:r>
      <w:r>
        <w:t xml:space="preserve"> uplift in digital capability across Victoria’s public health system</w:t>
      </w:r>
      <w:r w:rsidR="00250DD3">
        <w:t xml:space="preserve"> and </w:t>
      </w:r>
      <w:r>
        <w:t>establish</w:t>
      </w:r>
      <w:r w:rsidR="00250DD3">
        <w:t>ed</w:t>
      </w:r>
      <w:r>
        <w:t xml:space="preserve"> </w:t>
      </w:r>
      <w:r w:rsidR="00250DD3">
        <w:t xml:space="preserve">the </w:t>
      </w:r>
      <w:r>
        <w:t xml:space="preserve">foundations for more connected, resilient and digitally </w:t>
      </w:r>
      <w:r w:rsidR="00475FD3">
        <w:t xml:space="preserve">supported </w:t>
      </w:r>
      <w:r>
        <w:t xml:space="preserve">care. </w:t>
      </w:r>
    </w:p>
    <w:p w14:paraId="77C80E69" w14:textId="16D7A4A5" w:rsidR="00685BD4" w:rsidRDefault="00685BD4" w:rsidP="00685BD4">
      <w:pPr>
        <w:pStyle w:val="Body"/>
      </w:pPr>
      <w:r>
        <w:t>Key investments strengthened cybersecurity</w:t>
      </w:r>
      <w:r w:rsidR="00475FD3">
        <w:t xml:space="preserve"> and system </w:t>
      </w:r>
      <w:r w:rsidR="009419F5">
        <w:t>resilience</w:t>
      </w:r>
      <w:r>
        <w:t xml:space="preserve">, progressed the rollout of </w:t>
      </w:r>
      <w:r w:rsidR="00316193">
        <w:t>EMR</w:t>
      </w:r>
      <w:r>
        <w:t xml:space="preserve"> and clinical systems, </w:t>
      </w:r>
      <w:r w:rsidR="00D71DCA">
        <w:t xml:space="preserve">supported the expansion of virtual care and delivered the foundation for </w:t>
      </w:r>
      <w:r>
        <w:t xml:space="preserve">statewide </w:t>
      </w:r>
      <w:r w:rsidR="00791FE9">
        <w:t xml:space="preserve">health </w:t>
      </w:r>
      <w:r>
        <w:t xml:space="preserve">information sharing. </w:t>
      </w:r>
      <w:r w:rsidR="008E5D34">
        <w:t>T</w:t>
      </w:r>
      <w:r>
        <w:t xml:space="preserve">hese </w:t>
      </w:r>
      <w:r w:rsidR="000C533B" w:rsidRPr="000C533B">
        <w:t xml:space="preserve">initiatives demonstrated the value of </w:t>
      </w:r>
      <w:r w:rsidR="00AE744E" w:rsidRPr="000C533B">
        <w:t>coordinated</w:t>
      </w:r>
      <w:r w:rsidR="000C533B" w:rsidRPr="000C533B">
        <w:t xml:space="preserve"> system-wide investment in digital capability.</w:t>
      </w:r>
    </w:p>
    <w:p w14:paraId="066CD322" w14:textId="3AADA257" w:rsidR="00F8386F" w:rsidRDefault="00B933FC" w:rsidP="00685BD4">
      <w:pPr>
        <w:pStyle w:val="Body"/>
      </w:pPr>
      <w:r>
        <w:t>However, p</w:t>
      </w:r>
      <w:r w:rsidR="00685BD4">
        <w:t xml:space="preserve">rogress </w:t>
      </w:r>
      <w:r>
        <w:t xml:space="preserve">has not been consistent across the </w:t>
      </w:r>
      <w:r w:rsidR="00665224">
        <w:t>system</w:t>
      </w:r>
      <w:r>
        <w:t>.</w:t>
      </w:r>
      <w:r w:rsidR="00685BD4">
        <w:t xml:space="preserve"> </w:t>
      </w:r>
      <w:r w:rsidR="00F8386F" w:rsidRPr="00F8386F">
        <w:t>Variation in governance, funding, digital maturity and delivery models has resulted in uneven adoption and outcomes across health services. In some areas, digital capability has become embedded in day-to-day operations, while in others, reliance on manual and fragmented processes remains.</w:t>
      </w:r>
    </w:p>
    <w:p w14:paraId="48A7F864" w14:textId="4A3357E9" w:rsidR="009057CD" w:rsidRDefault="001035AB" w:rsidP="00685BD4">
      <w:pPr>
        <w:pStyle w:val="Body"/>
      </w:pPr>
      <w:r w:rsidRPr="001035AB">
        <w:t xml:space="preserve">Experience from delivery highlights several </w:t>
      </w:r>
      <w:r w:rsidR="00BE1972">
        <w:t>important</w:t>
      </w:r>
      <w:r w:rsidR="00BE1972" w:rsidRPr="001035AB">
        <w:t xml:space="preserve"> </w:t>
      </w:r>
      <w:r w:rsidRPr="001035AB">
        <w:t>lessons.</w:t>
      </w:r>
      <w:r w:rsidR="0009557E">
        <w:t xml:space="preserve"> Outcomes </w:t>
      </w:r>
      <w:r w:rsidR="0069596C">
        <w:t>are</w:t>
      </w:r>
      <w:r w:rsidR="00685BD4">
        <w:t xml:space="preserve"> strongest where there </w:t>
      </w:r>
      <w:r w:rsidR="0069596C">
        <w:t xml:space="preserve">is </w:t>
      </w:r>
      <w:r w:rsidR="00685BD4">
        <w:t>clear</w:t>
      </w:r>
      <w:r w:rsidR="0069596C">
        <w:t xml:space="preserve"> accountability</w:t>
      </w:r>
      <w:r w:rsidR="00685BD4">
        <w:t>, aligned funding, well-defined scope and practical delivery models</w:t>
      </w:r>
      <w:r w:rsidR="00F95FEA">
        <w:t>.</w:t>
      </w:r>
      <w:r w:rsidR="006C7E8A" w:rsidRPr="006C7E8A">
        <w:t xml:space="preserve"> Conversely, fragmentation in decision-making and investment has limited scalability and system-wide impact.</w:t>
      </w:r>
    </w:p>
    <w:p w14:paraId="018711B9" w14:textId="6FE3230E" w:rsidR="0074423D" w:rsidRDefault="0074423D" w:rsidP="00685BD4">
      <w:pPr>
        <w:pStyle w:val="Body"/>
      </w:pPr>
      <w:r w:rsidRPr="0074423D">
        <w:t>These lessons shape the approach taken in this roadmap. The focus shifts from discrete initiatives toward</w:t>
      </w:r>
      <w:r w:rsidR="009032B1">
        <w:t>s</w:t>
      </w:r>
      <w:r w:rsidRPr="0074423D">
        <w:t xml:space="preserve"> a more structured, system-wide approach</w:t>
      </w:r>
      <w:r>
        <w:t>,</w:t>
      </w:r>
      <w:r w:rsidRPr="0074423D">
        <w:t xml:space="preserve"> with clearer direction, stronger alignment and a stronger emphasis on capability that can be scaled and sustained over time.</w:t>
      </w:r>
    </w:p>
    <w:p w14:paraId="030242D6" w14:textId="780C3A33" w:rsidR="00685BD4" w:rsidRDefault="008F661D" w:rsidP="004A2668">
      <w:pPr>
        <w:pStyle w:val="Heading3"/>
      </w:pPr>
      <w:r>
        <w:t>Victoria’s o</w:t>
      </w:r>
      <w:r w:rsidR="004D2644">
        <w:t>perating context</w:t>
      </w:r>
    </w:p>
    <w:p w14:paraId="482EB3EC" w14:textId="2662B77E" w:rsidR="004F05D2" w:rsidRDefault="004F05D2" w:rsidP="004F05D2">
      <w:pPr>
        <w:pStyle w:val="Body"/>
      </w:pPr>
      <w:r>
        <w:t xml:space="preserve">Victoria’s public health system operates </w:t>
      </w:r>
      <w:r w:rsidR="00FD7F1F">
        <w:t>under a devolved governance model</w:t>
      </w:r>
      <w:r w:rsidR="00690A1B">
        <w:t>.</w:t>
      </w:r>
      <w:r w:rsidR="00587CEB" w:rsidRPr="00587CEB">
        <w:t xml:space="preserve"> </w:t>
      </w:r>
      <w:r w:rsidR="00690A1B">
        <w:t>R</w:t>
      </w:r>
      <w:r w:rsidR="00587CEB" w:rsidRPr="00587CEB">
        <w:t xml:space="preserve">esponsibility for </w:t>
      </w:r>
      <w:r w:rsidR="003056BA">
        <w:t>healthcare</w:t>
      </w:r>
      <w:r w:rsidR="003056BA" w:rsidRPr="00587CEB">
        <w:t xml:space="preserve"> </w:t>
      </w:r>
      <w:r w:rsidR="00587CEB" w:rsidRPr="00587CEB">
        <w:t xml:space="preserve">delivery </w:t>
      </w:r>
      <w:r w:rsidR="00C550D7">
        <w:t xml:space="preserve">and public health functions </w:t>
      </w:r>
      <w:r w:rsidR="00DF3C43">
        <w:t xml:space="preserve">is </w:t>
      </w:r>
      <w:r w:rsidR="003056BA">
        <w:t>distributed across</w:t>
      </w:r>
      <w:r w:rsidR="00587CEB" w:rsidRPr="00587CEB">
        <w:t xml:space="preserve"> health services</w:t>
      </w:r>
      <w:r w:rsidR="00786A8F">
        <w:t xml:space="preserve"> </w:t>
      </w:r>
      <w:r w:rsidR="00C550D7">
        <w:t>and system partners,</w:t>
      </w:r>
      <w:r w:rsidR="00587CEB" w:rsidRPr="00587CEB">
        <w:t xml:space="preserve"> </w:t>
      </w:r>
      <w:r w:rsidR="000702D6">
        <w:t>while</w:t>
      </w:r>
      <w:r w:rsidR="00587CEB" w:rsidRPr="00587CEB">
        <w:t xml:space="preserve"> the Department of Health </w:t>
      </w:r>
      <w:r w:rsidR="00DF3C43">
        <w:t xml:space="preserve">(the department) </w:t>
      </w:r>
      <w:r w:rsidR="00587CEB" w:rsidRPr="00587CEB">
        <w:t>provid</w:t>
      </w:r>
      <w:r w:rsidR="000702D6">
        <w:t>es</w:t>
      </w:r>
      <w:r w:rsidR="00587CEB" w:rsidRPr="00587CEB">
        <w:t xml:space="preserve"> system stewardship, policy direction and oversight.</w:t>
      </w:r>
      <w:r>
        <w:t xml:space="preserve"> </w:t>
      </w:r>
      <w:r w:rsidR="004B0333" w:rsidRPr="004B0333">
        <w:t>This balances local decision-making and responsiveness with statewide coordination and accountability.</w:t>
      </w:r>
    </w:p>
    <w:p w14:paraId="4B1203D1" w14:textId="07278430" w:rsidR="00DF3C43" w:rsidRDefault="004F05D2" w:rsidP="004F05D2">
      <w:pPr>
        <w:pStyle w:val="Body"/>
      </w:pPr>
      <w:r>
        <w:t xml:space="preserve">In 2024, the </w:t>
      </w:r>
      <w:r w:rsidRPr="00AE744E">
        <w:rPr>
          <w:i/>
        </w:rPr>
        <w:t>Health Services Plan</w:t>
      </w:r>
      <w:r w:rsidR="002A6DA2">
        <w:rPr>
          <w:rStyle w:val="FootnoteReference"/>
          <w:i/>
        </w:rPr>
        <w:footnoteReference w:id="5"/>
      </w:r>
      <w:r>
        <w:t xml:space="preserve"> </w:t>
      </w:r>
      <w:r w:rsidR="0001771C">
        <w:t>introduced</w:t>
      </w:r>
      <w:r w:rsidR="006B62EF">
        <w:t xml:space="preserve"> </w:t>
      </w:r>
      <w:r>
        <w:t>Local Health Service Networks</w:t>
      </w:r>
      <w:r w:rsidR="00C3147A">
        <w:t>,</w:t>
      </w:r>
      <w:r>
        <w:t xml:space="preserve"> </w:t>
      </w:r>
      <w:r w:rsidR="00CE1F19">
        <w:t xml:space="preserve">bringing health services together to </w:t>
      </w:r>
      <w:r>
        <w:t>strengthen coordination, improv</w:t>
      </w:r>
      <w:r w:rsidR="00CE1F19">
        <w:t>e</w:t>
      </w:r>
      <w:r>
        <w:t xml:space="preserve"> access and support more integrated models of care. </w:t>
      </w:r>
      <w:r w:rsidR="00B507F2" w:rsidRPr="00B507F2">
        <w:t xml:space="preserve">This </w:t>
      </w:r>
      <w:r w:rsidR="00DF3C43">
        <w:t>supported</w:t>
      </w:r>
      <w:r w:rsidR="00DF3C43" w:rsidRPr="00B507F2">
        <w:t xml:space="preserve"> </w:t>
      </w:r>
      <w:r w:rsidR="00B507F2" w:rsidRPr="00B507F2">
        <w:t xml:space="preserve">a </w:t>
      </w:r>
      <w:r w:rsidR="006D2333">
        <w:t>greater</w:t>
      </w:r>
      <w:r w:rsidR="00B507F2" w:rsidRPr="00B507F2">
        <w:t xml:space="preserve"> focus on joint planning and shared responsibility for managing care across each region, </w:t>
      </w:r>
      <w:r w:rsidR="00016226">
        <w:t>with</w:t>
      </w:r>
      <w:r w:rsidR="00B507F2" w:rsidRPr="00B507F2">
        <w:t xml:space="preserve"> clearer </w:t>
      </w:r>
      <w:r w:rsidR="004D1F72">
        <w:t>care</w:t>
      </w:r>
      <w:r w:rsidR="00B507F2" w:rsidRPr="00B507F2">
        <w:t xml:space="preserve"> pathways </w:t>
      </w:r>
      <w:r w:rsidR="004D1F72">
        <w:t xml:space="preserve">for </w:t>
      </w:r>
      <w:r w:rsidR="00423ED3">
        <w:t>consumers</w:t>
      </w:r>
      <w:r w:rsidR="00B507F2" w:rsidRPr="00B507F2">
        <w:t>.</w:t>
      </w:r>
    </w:p>
    <w:p w14:paraId="32CB3118" w14:textId="7390F315" w:rsidR="00E9377D" w:rsidRDefault="000D606D" w:rsidP="004F05D2">
      <w:pPr>
        <w:pStyle w:val="Body"/>
      </w:pPr>
      <w:r w:rsidRPr="000D606D">
        <w:lastRenderedPageBreak/>
        <w:t>These arrangements also create opportunities for stronger collaboration across the broader health system, including organisations involved in prevention</w:t>
      </w:r>
      <w:r>
        <w:t xml:space="preserve"> </w:t>
      </w:r>
      <w:r w:rsidRPr="000D606D">
        <w:t>and population health.</w:t>
      </w:r>
    </w:p>
    <w:p w14:paraId="6647B609" w14:textId="619138C0" w:rsidR="00C761E1" w:rsidRDefault="00C761E1" w:rsidP="004F05D2">
      <w:pPr>
        <w:pStyle w:val="Body"/>
      </w:pPr>
      <w:r w:rsidRPr="00C761E1">
        <w:t>This operating model requires a clear and consistent approach to how digital capability is developed and applied across the system, ensuring that information can be shared, services can be coordinated and new models of care can operate effectively at scale.</w:t>
      </w:r>
    </w:p>
    <w:p w14:paraId="5C0C2426" w14:textId="778CB131" w:rsidR="00FB7D56" w:rsidRDefault="00593E88" w:rsidP="00593E88">
      <w:pPr>
        <w:pStyle w:val="Heading2"/>
      </w:pPr>
      <w:bookmarkStart w:id="13" w:name="_Toc235957315"/>
      <w:bookmarkStart w:id="14" w:name="_Toc244166817"/>
      <w:r>
        <w:t>Drivers of change</w:t>
      </w:r>
      <w:bookmarkEnd w:id="13"/>
      <w:bookmarkEnd w:id="14"/>
    </w:p>
    <w:p w14:paraId="28B78C8C" w14:textId="38F5362A" w:rsidR="00B43BFE" w:rsidRDefault="00B43BFE" w:rsidP="00D579C5">
      <w:pPr>
        <w:pStyle w:val="Body"/>
      </w:pPr>
      <w:r w:rsidRPr="00B43BFE">
        <w:t xml:space="preserve">Healthcare in Victoria is undergoing significant change. Growing demand for services, workforce constraints, evolving consumer expectations and rapid technological advancement are reshaping how care is delivered. As healthcare needs continue to grow faster than the system's capacity to expand through traditional models of care, digital transformation is becoming a critical enabler of </w:t>
      </w:r>
      <w:proofErr w:type="gramStart"/>
      <w:r w:rsidRPr="00B43BFE">
        <w:t>high quality</w:t>
      </w:r>
      <w:proofErr w:type="gramEnd"/>
      <w:r w:rsidRPr="00B43BFE">
        <w:t xml:space="preserve"> care and long-term system sustainability, productivity and value.</w:t>
      </w:r>
    </w:p>
    <w:p w14:paraId="50EBF084" w14:textId="6FA2D51B" w:rsidR="004524E5" w:rsidRDefault="00604708" w:rsidP="00FB7D56">
      <w:pPr>
        <w:pStyle w:val="Heading3"/>
      </w:pPr>
      <w:r>
        <w:t>Digital capability to address s</w:t>
      </w:r>
      <w:r w:rsidR="00942AA1">
        <w:t xml:space="preserve">ystem pressures </w:t>
      </w:r>
    </w:p>
    <w:p w14:paraId="0DA6E7BC" w14:textId="670488A5" w:rsidR="004C6FE8" w:rsidRPr="000B661D" w:rsidRDefault="004C6FE8" w:rsidP="00797B42">
      <w:pPr>
        <w:pStyle w:val="Bullet1"/>
        <w:numPr>
          <w:ilvl w:val="0"/>
          <w:numId w:val="0"/>
        </w:numPr>
        <w:spacing w:after="240"/>
      </w:pPr>
      <w:r w:rsidRPr="004C6FE8">
        <w:t>The health system is operating under increasing pressure, with structural constraints that limit its ability to respond to growing demand and deliver new models of care at scale.</w:t>
      </w:r>
      <w:r w:rsidR="00301372">
        <w:t xml:space="preserve"> </w:t>
      </w:r>
      <w:r w:rsidR="00A3088A" w:rsidRPr="00A3088A">
        <w:t xml:space="preserve">Continued reliance on paper-based and fragmented systems also limits the ability to leverage emerging technologies such as </w:t>
      </w:r>
      <w:r w:rsidR="00316193">
        <w:t>AI</w:t>
      </w:r>
      <w:r w:rsidR="00A3088A" w:rsidRPr="00A3088A">
        <w:t>, reducing opportunities to improve care, productivity and system performance</w:t>
      </w:r>
      <w:r w:rsidRPr="004C6FE8">
        <w:t>.</w:t>
      </w:r>
    </w:p>
    <w:p w14:paraId="789BEF5D" w14:textId="751DAD64" w:rsidR="00300811" w:rsidRPr="00300811" w:rsidRDefault="00316193" w:rsidP="00CE5283">
      <w:pPr>
        <w:pStyle w:val="Figurecaption"/>
      </w:pPr>
      <w:r w:rsidRPr="005020E9">
        <w:t xml:space="preserve">Figure </w:t>
      </w:r>
      <w:r w:rsidR="00A22F61">
        <w:t>3</w:t>
      </w:r>
      <w:r>
        <w:t>.</w:t>
      </w:r>
      <w:r w:rsidRPr="005020E9">
        <w:t xml:space="preserve"> Impacts of limited digitisation and integration</w:t>
      </w:r>
      <w:r w:rsidR="007F28EE">
        <w:rPr>
          <w:rStyle w:val="FootnoteReference"/>
        </w:rPr>
        <w:footnoteReference w:id="6"/>
      </w:r>
      <w:r w:rsidR="00E41299" w:rsidRPr="00E41299">
        <w:rPr>
          <w:vertAlign w:val="superscript"/>
        </w:rPr>
        <w:t>,</w:t>
      </w:r>
      <w:r w:rsidR="00E41299">
        <w:rPr>
          <w:rStyle w:val="FootnoteReference"/>
        </w:rPr>
        <w:footnoteReference w:id="7"/>
      </w:r>
    </w:p>
    <w:p w14:paraId="4C64A34F" w14:textId="77777777" w:rsidR="00292FF7" w:rsidRDefault="00865D64" w:rsidP="000B701C">
      <w:pPr>
        <w:pStyle w:val="Bodyaftertablefigure"/>
      </w:pPr>
      <w:r>
        <w:rPr>
          <w:noProof/>
        </w:rPr>
        <w:drawing>
          <wp:inline distT="0" distB="0" distL="0" distR="0" wp14:anchorId="60FBEBB0" wp14:editId="2CDE5C59">
            <wp:extent cx="5837555" cy="3955415"/>
            <wp:effectExtent l="0" t="0" r="0" b="6985"/>
            <wp:docPr id="1503449817" name="Picture 71"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49817" name="Picture 71" descr="Accessible text equivalent provided in Appendix A."/>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5837555" cy="3955415"/>
                    </a:xfrm>
                    <a:prstGeom prst="rect">
                      <a:avLst/>
                    </a:prstGeom>
                    <a:noFill/>
                    <a:ln>
                      <a:noFill/>
                    </a:ln>
                  </pic:spPr>
                </pic:pic>
              </a:graphicData>
            </a:graphic>
          </wp:inline>
        </w:drawing>
      </w:r>
    </w:p>
    <w:p w14:paraId="528937E1" w14:textId="16FB93E0" w:rsidR="0025118A" w:rsidRDefault="0025118A" w:rsidP="000B701C">
      <w:pPr>
        <w:pStyle w:val="Bodyaftertablefigure"/>
      </w:pPr>
      <w:r>
        <w:lastRenderedPageBreak/>
        <w:t>The i</w:t>
      </w:r>
      <w:r w:rsidRPr="001526E2">
        <w:t>mpacts of limited digitisation and integration</w:t>
      </w:r>
      <w:r>
        <w:t xml:space="preserve"> include that:</w:t>
      </w:r>
    </w:p>
    <w:p w14:paraId="02421029" w14:textId="18D1509C" w:rsidR="004524E5" w:rsidRPr="007A2DC0" w:rsidRDefault="0025118A" w:rsidP="003227B8">
      <w:pPr>
        <w:pStyle w:val="Bullet1"/>
      </w:pPr>
      <w:r>
        <w:rPr>
          <w:b/>
          <w:bCs/>
        </w:rPr>
        <w:t>d</w:t>
      </w:r>
      <w:r w:rsidR="004524E5" w:rsidRPr="007A2DC0">
        <w:rPr>
          <w:b/>
          <w:bCs/>
        </w:rPr>
        <w:t>igital maturity</w:t>
      </w:r>
      <w:r>
        <w:rPr>
          <w:b/>
          <w:bCs/>
        </w:rPr>
        <w:t xml:space="preserve"> </w:t>
      </w:r>
      <w:r w:rsidR="004524E5" w:rsidRPr="007A2DC0">
        <w:rPr>
          <w:b/>
          <w:bCs/>
        </w:rPr>
        <w:t>remains</w:t>
      </w:r>
      <w:r>
        <w:rPr>
          <w:b/>
          <w:bCs/>
        </w:rPr>
        <w:t xml:space="preserve"> </w:t>
      </w:r>
      <w:r w:rsidR="004524E5" w:rsidRPr="007A2DC0">
        <w:rPr>
          <w:b/>
          <w:bCs/>
        </w:rPr>
        <w:t>uneven across the sector</w:t>
      </w:r>
      <w:r>
        <w:t xml:space="preserve"> – m</w:t>
      </w:r>
      <w:r w:rsidR="006F4E2B" w:rsidRPr="000B661D">
        <w:t xml:space="preserve">any healthcare </w:t>
      </w:r>
      <w:r w:rsidR="006F4E2B">
        <w:t>services</w:t>
      </w:r>
      <w:r w:rsidR="006F4E2B" w:rsidRPr="000B661D">
        <w:t xml:space="preserve"> lack interoperable systems, secure infrastructure and the workforce capability required to adopt and scale digital solutions. In some services, foundational digital systems</w:t>
      </w:r>
      <w:r w:rsidR="00C83414">
        <w:t>,</w:t>
      </w:r>
      <w:r w:rsidR="006F4E2B">
        <w:t xml:space="preserve"> including </w:t>
      </w:r>
      <w:r w:rsidR="00316193">
        <w:t>EMR</w:t>
      </w:r>
      <w:r w:rsidR="00C83414">
        <w:t>,</w:t>
      </w:r>
      <w:r w:rsidR="006F4E2B" w:rsidRPr="000B661D">
        <w:t xml:space="preserve"> are not yet in place. This constrains information sharing, care coordination and the ability to deliver </w:t>
      </w:r>
      <w:r w:rsidR="003003D3">
        <w:t xml:space="preserve">care </w:t>
      </w:r>
      <w:r w:rsidR="0086207E">
        <w:t>effectively across services and settings</w:t>
      </w:r>
    </w:p>
    <w:p w14:paraId="38DBAFEB" w14:textId="190DA1D5" w:rsidR="00AD059B" w:rsidRPr="007A2DC0" w:rsidRDefault="0025118A">
      <w:pPr>
        <w:pStyle w:val="Bullet1"/>
      </w:pPr>
      <w:r>
        <w:rPr>
          <w:b/>
          <w:bCs/>
        </w:rPr>
        <w:t>s</w:t>
      </w:r>
      <w:r w:rsidR="00AD059B">
        <w:rPr>
          <w:b/>
          <w:bCs/>
        </w:rPr>
        <w:t>ystem settings are not aligned to integrated, digitally driven care</w:t>
      </w:r>
      <w:r>
        <w:t xml:space="preserve"> – c</w:t>
      </w:r>
      <w:r w:rsidR="003B7458" w:rsidRPr="003B7458">
        <w:t xml:space="preserve">urrent funding and governance arrangements </w:t>
      </w:r>
      <w:r w:rsidR="00C059A4" w:rsidRPr="00C059A4">
        <w:t xml:space="preserve">do not consistently support digital-first </w:t>
      </w:r>
      <w:r w:rsidR="00F35648">
        <w:t xml:space="preserve">or integrated </w:t>
      </w:r>
      <w:r w:rsidR="003B7458" w:rsidRPr="003B7458">
        <w:t xml:space="preserve">models of </w:t>
      </w:r>
      <w:r w:rsidR="00C059A4" w:rsidRPr="00C059A4">
        <w:t>care</w:t>
      </w:r>
      <w:r w:rsidR="003B7458" w:rsidRPr="003B7458">
        <w:t>.</w:t>
      </w:r>
      <w:r w:rsidR="00971069" w:rsidRPr="00971069">
        <w:t xml:space="preserve"> Key activities</w:t>
      </w:r>
      <w:r w:rsidR="001B3E12">
        <w:t>,</w:t>
      </w:r>
      <w:r w:rsidR="00971069" w:rsidRPr="00971069">
        <w:t xml:space="preserve"> such as remote patient monitoring, care navigation and virtual clinician support</w:t>
      </w:r>
      <w:r w:rsidR="001B3E12">
        <w:t>,</w:t>
      </w:r>
      <w:r w:rsidR="00971069" w:rsidRPr="00971069">
        <w:t xml:space="preserve"> are often </w:t>
      </w:r>
      <w:r w:rsidR="003B7458" w:rsidRPr="003B7458">
        <w:t>unfunded, reducing incentives for adoption and scale</w:t>
      </w:r>
      <w:r w:rsidR="00480553">
        <w:rPr>
          <w:rStyle w:val="FootnoteReference"/>
        </w:rPr>
        <w:footnoteReference w:id="8"/>
      </w:r>
    </w:p>
    <w:p w14:paraId="1D7A1D59" w14:textId="20767F45" w:rsidR="004524E5" w:rsidRPr="007A2DC0" w:rsidDel="0053425E" w:rsidRDefault="0025118A" w:rsidP="00E34FDA">
      <w:pPr>
        <w:pStyle w:val="Bullet1"/>
      </w:pPr>
      <w:r>
        <w:rPr>
          <w:b/>
          <w:bCs/>
        </w:rPr>
        <w:t>t</w:t>
      </w:r>
      <w:r w:rsidR="00AB1FA5">
        <w:rPr>
          <w:b/>
          <w:bCs/>
        </w:rPr>
        <w:t>he system is not configured for coordinated and preventative care</w:t>
      </w:r>
      <w:r>
        <w:t xml:space="preserve"> – d</w:t>
      </w:r>
      <w:r w:rsidR="0040102D" w:rsidRPr="000B661D">
        <w:t xml:space="preserve">elivering care across settings, managing population health and supporting earlier intervention </w:t>
      </w:r>
      <w:r w:rsidR="0040102D" w:rsidRPr="00C7140F">
        <w:t xml:space="preserve">requires </w:t>
      </w:r>
      <w:r w:rsidR="00C7140F" w:rsidRPr="00C7140F">
        <w:t>timely access to shared, high</w:t>
      </w:r>
      <w:r w:rsidR="00C7140F" w:rsidRPr="00C7140F">
        <w:rPr>
          <w:rFonts w:ascii="Cambria Math" w:hAnsi="Cambria Math" w:cs="Cambria Math"/>
        </w:rPr>
        <w:t>‑</w:t>
      </w:r>
      <w:r w:rsidR="00C7140F" w:rsidRPr="00C7140F">
        <w:t>quality data, which</w:t>
      </w:r>
      <w:r w:rsidR="0040102D" w:rsidRPr="00C7140F">
        <w:t xml:space="preserve"> is not yet </w:t>
      </w:r>
      <w:r w:rsidR="00C7140F" w:rsidRPr="00C7140F">
        <w:t>consistently available</w:t>
      </w:r>
      <w:r w:rsidR="0040102D" w:rsidRPr="00C7140F">
        <w:t xml:space="preserve"> across the system.</w:t>
      </w:r>
      <w:r w:rsidR="0040102D">
        <w:t xml:space="preserve"> </w:t>
      </w:r>
      <w:r w:rsidR="0040102D" w:rsidRPr="000B661D" w:rsidDel="0053425E">
        <w:t>This constrains the ability to move beyond episodic care and respond effectively to growing demand</w:t>
      </w:r>
    </w:p>
    <w:p w14:paraId="69E5EF3D" w14:textId="0FAB5228" w:rsidR="00A9413D" w:rsidRDefault="0025118A" w:rsidP="00E34FDA">
      <w:pPr>
        <w:pStyle w:val="Bullet1"/>
      </w:pPr>
      <w:r>
        <w:rPr>
          <w:b/>
          <w:bCs/>
        </w:rPr>
        <w:t>w</w:t>
      </w:r>
      <w:r w:rsidR="003D0A9D">
        <w:rPr>
          <w:b/>
          <w:bCs/>
        </w:rPr>
        <w:t>orkforce capa</w:t>
      </w:r>
      <w:r w:rsidR="00886B18">
        <w:rPr>
          <w:b/>
          <w:bCs/>
        </w:rPr>
        <w:t xml:space="preserve">city is </w:t>
      </w:r>
      <w:r w:rsidR="00EA2FC9">
        <w:rPr>
          <w:b/>
          <w:bCs/>
        </w:rPr>
        <w:t>increasingly constrained</w:t>
      </w:r>
      <w:r>
        <w:t xml:space="preserve"> – w</w:t>
      </w:r>
      <w:r w:rsidR="00455B93" w:rsidRPr="00455B93">
        <w:t xml:space="preserve">orkforce shortages and administrative burden limit the ability to deliver care efficiently. Variability in systems and processes adds complexity and reduces the time available for direct </w:t>
      </w:r>
      <w:r w:rsidR="00340D48">
        <w:t>clinical</w:t>
      </w:r>
      <w:r w:rsidR="00340D48" w:rsidRPr="00455B93">
        <w:t xml:space="preserve"> </w:t>
      </w:r>
      <w:r w:rsidR="00455B93" w:rsidRPr="00455B93">
        <w:t>care</w:t>
      </w:r>
      <w:r w:rsidR="002A29B6">
        <w:t xml:space="preserve"> </w:t>
      </w:r>
    </w:p>
    <w:p w14:paraId="794AE272" w14:textId="3C91779F" w:rsidR="00AB1FA5" w:rsidRPr="007A2DC0" w:rsidRDefault="0025118A" w:rsidP="008429F9">
      <w:pPr>
        <w:pStyle w:val="Bullet1"/>
        <w:spacing w:after="240"/>
      </w:pPr>
      <w:r>
        <w:rPr>
          <w:b/>
          <w:bCs/>
        </w:rPr>
        <w:t>o</w:t>
      </w:r>
      <w:r w:rsidR="00AB1FA5">
        <w:rPr>
          <w:b/>
          <w:bCs/>
        </w:rPr>
        <w:t>pportunities to improve productivity and sustainability are not being fully realised</w:t>
      </w:r>
      <w:r>
        <w:t xml:space="preserve"> – d</w:t>
      </w:r>
      <w:r w:rsidR="00CC3AA3" w:rsidRPr="00CC3AA3" w:rsidDel="00696AB1">
        <w:t>igital</w:t>
      </w:r>
      <w:r w:rsidR="006877D4" w:rsidRPr="00CC3AA3" w:rsidDel="00696AB1">
        <w:t xml:space="preserve"> capability can reduce duplication, improve workforce productivity and support more efficient use of resources</w:t>
      </w:r>
      <w:bookmarkStart w:id="15" w:name="_Ref244170377"/>
      <w:r w:rsidR="00FE2B06">
        <w:rPr>
          <w:rStyle w:val="FootnoteReference"/>
        </w:rPr>
        <w:footnoteReference w:id="9"/>
      </w:r>
      <w:bookmarkEnd w:id="15"/>
      <w:r w:rsidR="00FE2B06" w:rsidRPr="00FE2B06">
        <w:rPr>
          <w:vertAlign w:val="superscript"/>
        </w:rPr>
        <w:t>,</w:t>
      </w:r>
      <w:bookmarkStart w:id="16" w:name="_Ref244170384"/>
      <w:r w:rsidR="00C94FCC">
        <w:rPr>
          <w:rStyle w:val="FootnoteReference"/>
        </w:rPr>
        <w:footnoteReference w:id="10"/>
      </w:r>
      <w:bookmarkEnd w:id="16"/>
      <w:r w:rsidR="00A22F84">
        <w:t>.</w:t>
      </w:r>
      <w:r w:rsidR="00CC3AA3" w:rsidRPr="00CC3AA3">
        <w:t xml:space="preserve"> </w:t>
      </w:r>
      <w:r w:rsidR="00CC3AA3" w:rsidRPr="00CC3AA3" w:rsidDel="00696AB1">
        <w:t>Realising</w:t>
      </w:r>
      <w:r w:rsidR="006877D4" w:rsidRPr="00CC3AA3" w:rsidDel="00696AB1">
        <w:t xml:space="preserve"> these benefits </w:t>
      </w:r>
      <w:r w:rsidR="00CC3AA3" w:rsidRPr="00CC3AA3" w:rsidDel="00696AB1">
        <w:t xml:space="preserve">requires targeted </w:t>
      </w:r>
      <w:r w:rsidR="00AC59AD" w:rsidDel="00696AB1">
        <w:t xml:space="preserve">outcome-aligned </w:t>
      </w:r>
      <w:r w:rsidR="00CC3AA3" w:rsidRPr="00CC3AA3" w:rsidDel="00696AB1">
        <w:t>investment</w:t>
      </w:r>
      <w:r w:rsidR="006877D4" w:rsidRPr="00CC3AA3" w:rsidDel="00696AB1">
        <w:t>.</w:t>
      </w:r>
      <w:r w:rsidR="00696AB1">
        <w:t xml:space="preserve"> </w:t>
      </w:r>
    </w:p>
    <w:p w14:paraId="7C4F4592" w14:textId="58B2F758" w:rsidR="0025118A" w:rsidRDefault="0025118A" w:rsidP="00795013">
      <w:pPr>
        <w:pStyle w:val="Figurecaption"/>
        <w:rPr>
          <w:vertAlign w:val="superscript"/>
        </w:rPr>
      </w:pPr>
      <w:r w:rsidRPr="00D2560C">
        <w:t xml:space="preserve">Figure </w:t>
      </w:r>
      <w:r w:rsidR="00A22F61" w:rsidRPr="00D2560C">
        <w:t>4</w:t>
      </w:r>
      <w:r w:rsidRPr="00D2560C">
        <w:t>. Example benefits of digital investment in healthcare</w:t>
      </w:r>
      <w:r w:rsidR="00182D7E" w:rsidRPr="00D2560C">
        <w:rPr>
          <w:vertAlign w:val="superscript"/>
        </w:rPr>
        <w:fldChar w:fldCharType="begin"/>
      </w:r>
      <w:r w:rsidR="00182D7E" w:rsidRPr="00D2560C">
        <w:rPr>
          <w:vertAlign w:val="superscript"/>
        </w:rPr>
        <w:instrText xml:space="preserve"> NOTEREF _Ref244170377 \h  \* MERGEFORMAT </w:instrText>
      </w:r>
      <w:r w:rsidR="00182D7E" w:rsidRPr="00D2560C">
        <w:rPr>
          <w:vertAlign w:val="superscript"/>
        </w:rPr>
      </w:r>
      <w:r w:rsidR="00182D7E" w:rsidRPr="00D2560C">
        <w:rPr>
          <w:vertAlign w:val="superscript"/>
        </w:rPr>
        <w:fldChar w:fldCharType="separate"/>
      </w:r>
      <w:r w:rsidR="00182D7E" w:rsidRPr="00D2560C">
        <w:rPr>
          <w:vertAlign w:val="superscript"/>
        </w:rPr>
        <w:t>9</w:t>
      </w:r>
      <w:r w:rsidR="00182D7E" w:rsidRPr="00D2560C">
        <w:rPr>
          <w:vertAlign w:val="superscript"/>
        </w:rPr>
        <w:fldChar w:fldCharType="end"/>
      </w:r>
      <w:r w:rsidR="00182D7E" w:rsidRPr="00D2560C">
        <w:rPr>
          <w:vertAlign w:val="superscript"/>
        </w:rPr>
        <w:t xml:space="preserve">, </w:t>
      </w:r>
      <w:r w:rsidR="00182D7E" w:rsidRPr="00D2560C">
        <w:rPr>
          <w:vertAlign w:val="superscript"/>
        </w:rPr>
        <w:fldChar w:fldCharType="begin"/>
      </w:r>
      <w:r w:rsidR="00182D7E" w:rsidRPr="00D2560C">
        <w:rPr>
          <w:vertAlign w:val="superscript"/>
        </w:rPr>
        <w:instrText xml:space="preserve"> NOTEREF _Ref244170384 \h  \* MERGEFORMAT </w:instrText>
      </w:r>
      <w:r w:rsidR="00182D7E" w:rsidRPr="00D2560C">
        <w:rPr>
          <w:vertAlign w:val="superscript"/>
        </w:rPr>
      </w:r>
      <w:r w:rsidR="00182D7E" w:rsidRPr="00D2560C">
        <w:rPr>
          <w:vertAlign w:val="superscript"/>
        </w:rPr>
        <w:fldChar w:fldCharType="separate"/>
      </w:r>
      <w:r w:rsidR="00182D7E" w:rsidRPr="00D2560C">
        <w:rPr>
          <w:vertAlign w:val="superscript"/>
        </w:rPr>
        <w:t>10</w:t>
      </w:r>
      <w:r w:rsidR="00182D7E" w:rsidRPr="00D2560C">
        <w:rPr>
          <w:vertAlign w:val="superscript"/>
        </w:rPr>
        <w:fldChar w:fldCharType="end"/>
      </w:r>
      <w:r w:rsidR="00182D7E" w:rsidRPr="00D2560C">
        <w:rPr>
          <w:vertAlign w:val="superscript"/>
        </w:rPr>
        <w:t>,</w:t>
      </w:r>
      <w:bookmarkStart w:id="17" w:name="_Ref244170438"/>
      <w:r w:rsidR="004821E2" w:rsidRPr="00D2560C">
        <w:rPr>
          <w:vertAlign w:val="superscript"/>
        </w:rPr>
        <w:footnoteReference w:id="11"/>
      </w:r>
      <w:bookmarkEnd w:id="17"/>
    </w:p>
    <w:p w14:paraId="1B473CFE" w14:textId="77777777" w:rsidR="00292FF7" w:rsidRDefault="00292FF7" w:rsidP="00292FF7">
      <w:pPr>
        <w:pStyle w:val="Body"/>
      </w:pPr>
      <w:r>
        <w:rPr>
          <w:noProof/>
        </w:rPr>
        <w:drawing>
          <wp:inline distT="0" distB="0" distL="0" distR="0" wp14:anchorId="2B04093F" wp14:editId="251189C0">
            <wp:extent cx="5826760" cy="1913890"/>
            <wp:effectExtent l="0" t="0" r="2540" b="0"/>
            <wp:docPr id="500595172" name="Picture 72" descr="Infographic summarizes benefits of electronic medical record interventions and healthcare automation. Three panels report 28% reduction in 90-day readmissions, 22% reduction in emergency department length of stay, and 11 hours saved each week for healthcare workers through automated everyday ta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595172" name="Picture 72" descr="Infographic summarizes benefits of electronic medical record interventions and healthcare automation. Three panels report 28% reduction in 90-day readmissions, 22% reduction in emergency department length of stay, and 11 hours saved each week for healthcare workers through automated everyday tasks."/>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5826760" cy="1913890"/>
                    </a:xfrm>
                    <a:prstGeom prst="rect">
                      <a:avLst/>
                    </a:prstGeom>
                    <a:noFill/>
                    <a:ln>
                      <a:noFill/>
                    </a:ln>
                  </pic:spPr>
                </pic:pic>
              </a:graphicData>
            </a:graphic>
          </wp:inline>
        </w:drawing>
      </w:r>
    </w:p>
    <w:p w14:paraId="7E505C66" w14:textId="77777777" w:rsidR="009969B8" w:rsidRDefault="009969B8" w:rsidP="009E678E">
      <w:pPr>
        <w:pStyle w:val="Heading3"/>
        <w:sectPr w:rsidR="009969B8" w:rsidSect="00614670">
          <w:headerReference w:type="even" r:id="rId24"/>
          <w:headerReference w:type="default" r:id="rId25"/>
          <w:footerReference w:type="even" r:id="rId26"/>
          <w:footerReference w:type="default" r:id="rId27"/>
          <w:pgSz w:w="11906" w:h="16838" w:code="9"/>
          <w:pgMar w:top="1418" w:right="1416" w:bottom="1134" w:left="1304" w:header="680" w:footer="851" w:gutter="0"/>
          <w:cols w:space="340"/>
          <w:titlePg/>
          <w:docGrid w:linePitch="360"/>
        </w:sectPr>
      </w:pPr>
    </w:p>
    <w:p w14:paraId="7F51515E" w14:textId="1CBD0A77" w:rsidR="005D3CB0" w:rsidRDefault="005D3CB0" w:rsidP="009E678E">
      <w:pPr>
        <w:pStyle w:val="Heading3"/>
      </w:pPr>
      <w:r>
        <w:lastRenderedPageBreak/>
        <w:t xml:space="preserve">Evolving </w:t>
      </w:r>
      <w:r w:rsidR="00F43154">
        <w:t>expectations</w:t>
      </w:r>
    </w:p>
    <w:p w14:paraId="2A5049F5" w14:textId="2AE8B87C" w:rsidR="003F716D" w:rsidRDefault="003F716D" w:rsidP="00074FE0">
      <w:pPr>
        <w:pStyle w:val="Bullet1"/>
        <w:numPr>
          <w:ilvl w:val="0"/>
          <w:numId w:val="0"/>
        </w:numPr>
        <w:spacing w:after="120"/>
      </w:pPr>
      <w:r w:rsidRPr="003F716D">
        <w:t>Expectations of the health system are changing as health needs become more complex and consumer expectations continue to evolve. People increasingly expect health services to be accessible, connected and responsive, with digital interactions that match their experiences in other parts of their lives.</w:t>
      </w:r>
    </w:p>
    <w:p w14:paraId="4023147D" w14:textId="24E4B639" w:rsidR="001044F8" w:rsidRDefault="001044F8" w:rsidP="00044FE2">
      <w:pPr>
        <w:pStyle w:val="Body"/>
      </w:pPr>
      <w:r w:rsidRPr="00D04182">
        <w:rPr>
          <w:b/>
          <w:bCs/>
        </w:rPr>
        <w:t>Health needs are becoming more complex.</w:t>
      </w:r>
      <w:r>
        <w:t xml:space="preserve"> An ageing population, rising chronic disease and lower physical activity levels are increasing demand for ongoing, coordinated</w:t>
      </w:r>
      <w:r w:rsidR="00F91C0A">
        <w:t>, proactive</w:t>
      </w:r>
      <w:r>
        <w:t xml:space="preserve"> care and </w:t>
      </w:r>
      <w:r w:rsidR="000D74B7">
        <w:t>greater emphasis on prevention, population health and early intervention</w:t>
      </w:r>
      <w:r>
        <w:t>.</w:t>
      </w:r>
    </w:p>
    <w:p w14:paraId="3BE14E79" w14:textId="09532662" w:rsidR="008D0D9D" w:rsidRDefault="008D0D9D" w:rsidP="00044FE2">
      <w:pPr>
        <w:pStyle w:val="Figurecaption"/>
      </w:pPr>
      <w:r w:rsidRPr="005020E9">
        <w:t xml:space="preserve">Figure </w:t>
      </w:r>
      <w:r w:rsidR="00A22F61">
        <w:t>5</w:t>
      </w:r>
      <w:r>
        <w:t>.</w:t>
      </w:r>
      <w:r w:rsidRPr="005020E9">
        <w:t xml:space="preserve"> The rate of chronic disease in Australia</w:t>
      </w:r>
      <w:r w:rsidRPr="005020E9">
        <w:rPr>
          <w:rStyle w:val="FootnoteReference"/>
        </w:rPr>
        <w:footnoteReference w:id="12"/>
      </w:r>
    </w:p>
    <w:p w14:paraId="6E78AE19" w14:textId="77777777" w:rsidR="00292FF7" w:rsidRDefault="00292FF7" w:rsidP="009969B8">
      <w:pPr>
        <w:pStyle w:val="Bodyaftertablefigure"/>
        <w:rPr>
          <w:b/>
          <w:bCs/>
        </w:rPr>
      </w:pPr>
      <w:r>
        <w:rPr>
          <w:b/>
          <w:bCs/>
          <w:noProof/>
        </w:rPr>
        <w:drawing>
          <wp:inline distT="0" distB="0" distL="0" distR="0" wp14:anchorId="05C4367D" wp14:editId="25F78E0F">
            <wp:extent cx="4763068" cy="1266801"/>
            <wp:effectExtent l="0" t="0" r="0" b="0"/>
            <wp:docPr id="480461022" name="Picture 73" descr="Infographic summarizing chronic health conditions among Australians. Blue human icons highlight 61% living with at least one long-term health condition and 38% living with two or more chronic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461022" name="Picture 73" descr="Infographic summarizing chronic health conditions among Australians. Blue human icons highlight 61% living with at least one long-term health condition and 38% living with two or more chronic conditions."/>
                    <pic:cNvPicPr>
                      <a:picLocks noChangeAspect="1" noChangeArrowheads="1"/>
                    </pic:cNvPicPr>
                  </pic:nvPicPr>
                  <pic:blipFill>
                    <a:blip r:embed="rId28" cstate="screen">
                      <a:extLst>
                        <a:ext uri="{28A0092B-C50C-407E-A947-70E740481C1C}">
                          <a14:useLocalDpi xmlns:a14="http://schemas.microsoft.com/office/drawing/2010/main"/>
                        </a:ext>
                      </a:extLst>
                    </a:blip>
                    <a:srcRect/>
                    <a:stretch>
                      <a:fillRect/>
                    </a:stretch>
                  </pic:blipFill>
                  <pic:spPr bwMode="auto">
                    <a:xfrm>
                      <a:off x="0" y="0"/>
                      <a:ext cx="4769395" cy="1268484"/>
                    </a:xfrm>
                    <a:prstGeom prst="rect">
                      <a:avLst/>
                    </a:prstGeom>
                    <a:noFill/>
                    <a:ln>
                      <a:noFill/>
                    </a:ln>
                  </pic:spPr>
                </pic:pic>
              </a:graphicData>
            </a:graphic>
          </wp:inline>
        </w:drawing>
      </w:r>
    </w:p>
    <w:p w14:paraId="53D99B6E" w14:textId="12E17601" w:rsidR="001044F8" w:rsidRDefault="001044F8" w:rsidP="00044FE2">
      <w:pPr>
        <w:pStyle w:val="Bodyaftertablefigure"/>
      </w:pPr>
      <w:r w:rsidRPr="00D04182">
        <w:rPr>
          <w:b/>
          <w:bCs/>
        </w:rPr>
        <w:t>Equity in access and outcomes remains a priority.</w:t>
      </w:r>
      <w:r>
        <w:t xml:space="preserve"> People have diverse needs shaped by culture, geography, age, gender and lived experience. Persistent gaps for regional and remote communities, First Nations people and priority populations highlight the need for inclusive, culturally safe and accessible services.</w:t>
      </w:r>
      <w:r w:rsidRPr="00F15E19">
        <w:rPr>
          <w:rFonts w:ascii="Segoe UI" w:hAnsi="Segoe UI" w:cs="Segoe UI"/>
          <w:szCs w:val="21"/>
          <w:lang w:eastAsia="en-AU"/>
        </w:rPr>
        <w:t xml:space="preserve"> </w:t>
      </w:r>
    </w:p>
    <w:p w14:paraId="7EB2A016" w14:textId="6BDFD2D2" w:rsidR="00332B93" w:rsidRPr="009E5C70" w:rsidRDefault="001044F8" w:rsidP="00044FE2">
      <w:pPr>
        <w:pStyle w:val="Body"/>
      </w:pPr>
      <w:r w:rsidRPr="00D04182">
        <w:rPr>
          <w:b/>
          <w:bCs/>
        </w:rPr>
        <w:t>Exp</w:t>
      </w:r>
      <w:r>
        <w:rPr>
          <w:b/>
          <w:bCs/>
        </w:rPr>
        <w:t>erience expectations</w:t>
      </w:r>
      <w:r w:rsidRPr="00D04182">
        <w:rPr>
          <w:b/>
          <w:bCs/>
        </w:rPr>
        <w:t xml:space="preserve"> are shaped beyond the health system</w:t>
      </w:r>
      <w:r w:rsidRPr="004D00AE">
        <w:rPr>
          <w:b/>
        </w:rPr>
        <w:t>.</w:t>
      </w:r>
      <w:r>
        <w:t xml:space="preserve"> People increasingly expect seamless, intuitive and responsive </w:t>
      </w:r>
      <w:r w:rsidRPr="002E31BA">
        <w:t>interactions, with</w:t>
      </w:r>
      <w:r>
        <w:t xml:space="preserve"> access </w:t>
      </w:r>
      <w:r w:rsidRPr="002E31BA">
        <w:t xml:space="preserve">to guidance, next steps </w:t>
      </w:r>
      <w:r>
        <w:t xml:space="preserve">and </w:t>
      </w:r>
      <w:r w:rsidRPr="002E31BA">
        <w:t>support</w:t>
      </w:r>
      <w:r>
        <w:t xml:space="preserve"> across their care journey</w:t>
      </w:r>
      <w:r w:rsidR="008E16E0" w:rsidRPr="004D2589">
        <w:rPr>
          <w:vertAlign w:val="superscript"/>
        </w:rPr>
        <w:t>1</w:t>
      </w:r>
      <w:r w:rsidR="00CF6327">
        <w:rPr>
          <w:vertAlign w:val="superscript"/>
        </w:rPr>
        <w:t>3</w:t>
      </w:r>
      <w:r w:rsidR="008D0D9D">
        <w:t>.</w:t>
      </w:r>
    </w:p>
    <w:p w14:paraId="4B289418" w14:textId="13346543" w:rsidR="008D0D9D" w:rsidRDefault="008D0D9D" w:rsidP="00044FE2">
      <w:pPr>
        <w:pStyle w:val="Figurecaption"/>
      </w:pPr>
      <w:r w:rsidRPr="005020E9">
        <w:t xml:space="preserve">Figure </w:t>
      </w:r>
      <w:r w:rsidR="00A22F61">
        <w:t>6</w:t>
      </w:r>
      <w:r>
        <w:t>.</w:t>
      </w:r>
      <w:r w:rsidRPr="005020E9">
        <w:t xml:space="preserve"> Healthcare consumers are open to AI being used to support care access and navigation</w:t>
      </w:r>
      <w:r w:rsidR="00204EB2" w:rsidRPr="005020E9">
        <w:rPr>
          <w:rStyle w:val="FootnoteReference"/>
        </w:rPr>
        <w:footnoteReference w:id="13"/>
      </w:r>
    </w:p>
    <w:p w14:paraId="1288ED83" w14:textId="38221319" w:rsidR="00292FF7" w:rsidRPr="00292FF7" w:rsidRDefault="007C1678" w:rsidP="007C1678">
      <w:pPr>
        <w:pStyle w:val="Body"/>
      </w:pPr>
      <w:r>
        <w:rPr>
          <w:noProof/>
        </w:rPr>
        <w:drawing>
          <wp:inline distT="0" distB="0" distL="0" distR="0" wp14:anchorId="10E623E8" wp14:editId="4531E3A8">
            <wp:extent cx="3615069" cy="1932817"/>
            <wp:effectExtent l="0" t="0" r="4445" b="0"/>
            <wp:docPr id="1100884690" name="Picture 74"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84690" name="Picture 74" descr="Accessible text equivalent provided in Appendix A."/>
                    <pic:cNvPicPr>
                      <a:picLocks noChangeAspect="1" noChangeArrowheads="1"/>
                    </pic:cNvPicPr>
                  </pic:nvPicPr>
                  <pic:blipFill>
                    <a:blip r:embed="rId29" cstate="screen">
                      <a:extLst>
                        <a:ext uri="{28A0092B-C50C-407E-A947-70E740481C1C}">
                          <a14:useLocalDpi xmlns:a14="http://schemas.microsoft.com/office/drawing/2010/main"/>
                        </a:ext>
                      </a:extLst>
                    </a:blip>
                    <a:srcRect/>
                    <a:stretch>
                      <a:fillRect/>
                    </a:stretch>
                  </pic:blipFill>
                  <pic:spPr bwMode="auto">
                    <a:xfrm>
                      <a:off x="0" y="0"/>
                      <a:ext cx="3615069" cy="1932817"/>
                    </a:xfrm>
                    <a:prstGeom prst="rect">
                      <a:avLst/>
                    </a:prstGeom>
                    <a:noFill/>
                    <a:ln>
                      <a:noFill/>
                    </a:ln>
                  </pic:spPr>
                </pic:pic>
              </a:graphicData>
            </a:graphic>
          </wp:inline>
        </w:drawing>
      </w:r>
    </w:p>
    <w:p w14:paraId="5EFC68D4" w14:textId="5EAEB713" w:rsidR="00D519B7" w:rsidRDefault="00D519B7" w:rsidP="00BA238B">
      <w:pPr>
        <w:pStyle w:val="Bodyaftertablefigure"/>
      </w:pPr>
      <w:r>
        <w:rPr>
          <w:b/>
          <w:bCs/>
        </w:rPr>
        <w:lastRenderedPageBreak/>
        <w:t xml:space="preserve">Access to </w:t>
      </w:r>
      <w:r w:rsidR="0027192F">
        <w:rPr>
          <w:b/>
          <w:bCs/>
        </w:rPr>
        <w:t>information and insight is expanding.</w:t>
      </w:r>
      <w:r w:rsidR="0027192F">
        <w:t xml:space="preserve"> </w:t>
      </w:r>
      <w:r w:rsidR="00900F8B">
        <w:t>People</w:t>
      </w:r>
      <w:r w:rsidR="00374588" w:rsidRPr="00374588">
        <w:t xml:space="preserve"> are increasingly turning to online tools, social media and generative AI to understand symptoms, explore care options and make health decisions. As access to information becomes more widespread, clinical knowledge and expertise that has traditionally sat within health services will need to become more accessible, helping consumers distinguish trusted advice from misinformation and participate more actively in their care</w:t>
      </w:r>
      <w:r w:rsidR="00F576B1">
        <w:rPr>
          <w:rStyle w:val="FootnoteReference"/>
        </w:rPr>
        <w:footnoteReference w:id="14"/>
      </w:r>
      <w:r w:rsidR="00204EB2">
        <w:t>.</w:t>
      </w:r>
    </w:p>
    <w:p w14:paraId="1B2B1BA2" w14:textId="201697DB" w:rsidR="00D04182" w:rsidRDefault="00D04182" w:rsidP="00F072C1">
      <w:pPr>
        <w:pStyle w:val="Body"/>
      </w:pPr>
      <w:r w:rsidRPr="00D04182">
        <w:rPr>
          <w:b/>
          <w:bCs/>
        </w:rPr>
        <w:t xml:space="preserve">Trust, safety and privacy are </w:t>
      </w:r>
      <w:r w:rsidR="007E0205">
        <w:rPr>
          <w:b/>
          <w:bCs/>
        </w:rPr>
        <w:t>essential</w:t>
      </w:r>
      <w:r w:rsidRPr="00D04182">
        <w:rPr>
          <w:b/>
          <w:bCs/>
        </w:rPr>
        <w:t>.</w:t>
      </w:r>
      <w:r>
        <w:t xml:space="preserve"> </w:t>
      </w:r>
      <w:r w:rsidR="00900F8B">
        <w:t>People</w:t>
      </w:r>
      <w:r>
        <w:t xml:space="preserve"> expect their data to be secure, managed appropriately and used transparently. </w:t>
      </w:r>
      <w:r w:rsidR="00443C65" w:rsidRPr="00443C65">
        <w:t>Maintaining trust is essential to supporting the safe and effective use of data and digital services across the system.</w:t>
      </w:r>
      <w:r w:rsidR="008A08BD">
        <w:t xml:space="preserve"> </w:t>
      </w:r>
    </w:p>
    <w:p w14:paraId="672059C1" w14:textId="4D69F8FE" w:rsidR="002F2BD2" w:rsidRDefault="008121D0" w:rsidP="00FB7D56">
      <w:pPr>
        <w:pStyle w:val="Heading3"/>
      </w:pPr>
      <w:r>
        <w:t>Technology-enabled shifts</w:t>
      </w:r>
    </w:p>
    <w:p w14:paraId="1A851233" w14:textId="380E582C" w:rsidR="00202D1B" w:rsidRDefault="00E646E9" w:rsidP="00202D1B">
      <w:pPr>
        <w:pStyle w:val="Body"/>
      </w:pPr>
      <w:r w:rsidRPr="00E646E9">
        <w:t>Technology is evolving rapidly, changing what is possible across care delivery, system operations and how information is used. These changes are already evident across the system and are accelerating.</w:t>
      </w:r>
    </w:p>
    <w:p w14:paraId="79CE4DE8" w14:textId="19DDC066" w:rsidR="0095597D" w:rsidRDefault="0095597D" w:rsidP="00F072C1">
      <w:pPr>
        <w:pStyle w:val="Body"/>
      </w:pPr>
      <w:r w:rsidRPr="000B661D">
        <w:rPr>
          <w:b/>
        </w:rPr>
        <w:t>Care is moving from episodic to continuous</w:t>
      </w:r>
      <w:r w:rsidRPr="000B661D">
        <w:t>. Consumer</w:t>
      </w:r>
      <w:r w:rsidR="007F5F6B">
        <w:t>-</w:t>
      </w:r>
      <w:r w:rsidRPr="000B661D">
        <w:t>generated signals, remote monitoring and contextual data are enabling care to be managed over time, with earlier identification of need rather than reliance on presentation for care.</w:t>
      </w:r>
    </w:p>
    <w:p w14:paraId="32EA2E86" w14:textId="758A677B" w:rsidR="00364EBA" w:rsidRDefault="00364EBA" w:rsidP="00F072C1">
      <w:pPr>
        <w:pStyle w:val="Figurecaption"/>
      </w:pPr>
      <w:r w:rsidRPr="005020E9">
        <w:t xml:space="preserve">Figure </w:t>
      </w:r>
      <w:r w:rsidR="00A22F61">
        <w:t>7</w:t>
      </w:r>
      <w:r>
        <w:t>.</w:t>
      </w:r>
      <w:r w:rsidRPr="005020E9">
        <w:t xml:space="preserve"> Advances in technology are enabling continuous patient monitoring</w:t>
      </w:r>
      <w:r w:rsidRPr="005020E9">
        <w:rPr>
          <w:rStyle w:val="FootnoteReference"/>
        </w:rPr>
        <w:footnoteReference w:id="15"/>
      </w:r>
    </w:p>
    <w:p w14:paraId="183274E6" w14:textId="70B1F17E" w:rsidR="007C1678" w:rsidRPr="007C1678" w:rsidRDefault="007C1678" w:rsidP="007C1678">
      <w:pPr>
        <w:pStyle w:val="Body"/>
      </w:pPr>
      <w:r>
        <w:rPr>
          <w:noProof/>
        </w:rPr>
        <w:drawing>
          <wp:inline distT="0" distB="0" distL="0" distR="0" wp14:anchorId="7E09414D" wp14:editId="56DBB169">
            <wp:extent cx="4944139" cy="2192426"/>
            <wp:effectExtent l="0" t="0" r="0" b="0"/>
            <wp:docPr id="1200182328" name="Picture 75" descr="Blue-and-white informational graphic titled “24/7 monitoring” explains AuscultPatch, an experimental wearable sensor developed by UNSW researchers. Text highlights continuous capture of heart sounds, breathing patterns, pulse waves, and blood-flow vibrations, with potential for remote tracking and earlier alerts for chronic heart and respiratory conditions; smartwatch-style icon appears at upper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82328" name="Picture 75" descr="Blue-and-white informational graphic titled “24/7 monitoring” explains AuscultPatch, an experimental wearable sensor developed by UNSW researchers. Text highlights continuous capture of heart sounds, breathing patterns, pulse waves, and blood-flow vibrations, with potential for remote tracking and earlier alerts for chronic heart and respiratory conditions; smartwatch-style icon appears at upper right."/>
                    <pic:cNvPicPr>
                      <a:picLocks noChangeAspect="1" noChangeArrowheads="1"/>
                    </pic:cNvPicPr>
                  </pic:nvPicPr>
                  <pic:blipFill>
                    <a:blip r:embed="rId30" cstate="screen">
                      <a:extLst>
                        <a:ext uri="{28A0092B-C50C-407E-A947-70E740481C1C}">
                          <a14:useLocalDpi xmlns:a14="http://schemas.microsoft.com/office/drawing/2010/main"/>
                        </a:ext>
                      </a:extLst>
                    </a:blip>
                    <a:srcRect/>
                    <a:stretch>
                      <a:fillRect/>
                    </a:stretch>
                  </pic:blipFill>
                  <pic:spPr bwMode="auto">
                    <a:xfrm>
                      <a:off x="0" y="0"/>
                      <a:ext cx="4972484" cy="2204995"/>
                    </a:xfrm>
                    <a:prstGeom prst="rect">
                      <a:avLst/>
                    </a:prstGeom>
                    <a:noFill/>
                    <a:ln>
                      <a:noFill/>
                    </a:ln>
                  </pic:spPr>
                </pic:pic>
              </a:graphicData>
            </a:graphic>
          </wp:inline>
        </w:drawing>
      </w:r>
    </w:p>
    <w:p w14:paraId="13DEACE4" w14:textId="2A1F3AB8" w:rsidR="00254BC4" w:rsidRPr="000B661D" w:rsidRDefault="00601840" w:rsidP="00F072C1">
      <w:pPr>
        <w:pStyle w:val="Bodyaftertablefigure"/>
      </w:pPr>
      <w:r w:rsidRPr="00254BC4">
        <w:rPr>
          <w:b/>
        </w:rPr>
        <w:t>Care is becoming more personalised</w:t>
      </w:r>
      <w:r w:rsidR="0095597D" w:rsidRPr="00254BC4">
        <w:rPr>
          <w:b/>
        </w:rPr>
        <w:t>.</w:t>
      </w:r>
      <w:r w:rsidR="0095597D" w:rsidRPr="000B661D">
        <w:t xml:space="preserve"> </w:t>
      </w:r>
      <w:r w:rsidR="00254BC4" w:rsidRPr="00254BC4">
        <w:t>Advances in genomics, diagnostics and digital technologies are enabling treatment decisions to be informed by a deeper understanding of individual characteristics, risks and likely responses.</w:t>
      </w:r>
    </w:p>
    <w:p w14:paraId="3E89DF7F" w14:textId="75426444" w:rsidR="003071DA" w:rsidRDefault="003071DA" w:rsidP="003071DA">
      <w:pPr>
        <w:pStyle w:val="Figurecaption"/>
      </w:pPr>
      <w:r>
        <w:lastRenderedPageBreak/>
        <w:t xml:space="preserve">Figure </w:t>
      </w:r>
      <w:r w:rsidR="00951D49">
        <w:t>8</w:t>
      </w:r>
      <w:r>
        <w:t xml:space="preserve">. </w:t>
      </w:r>
      <w:r w:rsidRPr="00A41925">
        <w:t>New large</w:t>
      </w:r>
      <w:r w:rsidR="00DD69A5">
        <w:t xml:space="preserve"> </w:t>
      </w:r>
      <w:r w:rsidRPr="00A41925">
        <w:t>language models for disease management</w:t>
      </w:r>
      <w:r w:rsidRPr="003E3558">
        <w:rPr>
          <w:rStyle w:val="FootnoteReference"/>
        </w:rPr>
        <w:footnoteReference w:id="16"/>
      </w:r>
    </w:p>
    <w:p w14:paraId="01DD9D29" w14:textId="0D4921E8" w:rsidR="005C3C8B" w:rsidRPr="005C3C8B" w:rsidRDefault="005C3C8B" w:rsidP="005C3C8B">
      <w:pPr>
        <w:pStyle w:val="Body"/>
      </w:pPr>
      <w:r>
        <w:rPr>
          <w:noProof/>
        </w:rPr>
        <w:drawing>
          <wp:inline distT="0" distB="0" distL="0" distR="0" wp14:anchorId="5D5E10CB" wp14:editId="4FB466E1">
            <wp:extent cx="4774018" cy="2665875"/>
            <wp:effectExtent l="0" t="0" r="7620" b="1270"/>
            <wp:docPr id="228221643" name="Picture 77" descr="Infographic titled “Digital care coordinator” introduces AMIE, a conversational AI agent for healthcare, based on simulated clinical assessments. It reports AMIE tracked disease progress, adapted care plans, recommended follow-up actions over time, and may support routine care coordination with appropriate oversight and governance while remaining in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221643" name="Picture 77" descr="Infographic titled “Digital care coordinator” introduces AMIE, a conversational AI agent for healthcare, based on simulated clinical assessments. It reports AMIE tracked disease progress, adapted care plans, recommended follow-up actions over time, and may support routine care coordination with appropriate oversight and governance while remaining in research."/>
                    <pic:cNvPicPr>
                      <a:picLocks noChangeAspect="1" noChangeArrowheads="1"/>
                    </pic:cNvPicPr>
                  </pic:nvPicPr>
                  <pic:blipFill>
                    <a:blip r:embed="rId31">
                      <a:extLst>
                        <a:ext uri="{28A0092B-C50C-407E-A947-70E740481C1C}">
                          <a14:useLocalDpi xmlns:a14="http://schemas.microsoft.com/office/drawing/2010/main"/>
                        </a:ext>
                      </a:extLst>
                    </a:blip>
                    <a:srcRect/>
                    <a:stretch>
                      <a:fillRect/>
                    </a:stretch>
                  </pic:blipFill>
                  <pic:spPr bwMode="auto">
                    <a:xfrm>
                      <a:off x="0" y="0"/>
                      <a:ext cx="4794513" cy="2677320"/>
                    </a:xfrm>
                    <a:prstGeom prst="rect">
                      <a:avLst/>
                    </a:prstGeom>
                    <a:noFill/>
                    <a:ln>
                      <a:noFill/>
                    </a:ln>
                  </pic:spPr>
                </pic:pic>
              </a:graphicData>
            </a:graphic>
          </wp:inline>
        </w:drawing>
      </w:r>
    </w:p>
    <w:p w14:paraId="759364BE" w14:textId="52015F65" w:rsidR="0095597D" w:rsidRDefault="009E678E" w:rsidP="00F072C1">
      <w:pPr>
        <w:pStyle w:val="Bodyaftertablefigure"/>
      </w:pPr>
      <w:r>
        <w:rPr>
          <w:b/>
        </w:rPr>
        <w:t>C</w:t>
      </w:r>
      <w:r w:rsidR="0095597D" w:rsidRPr="00254BC4">
        <w:rPr>
          <w:b/>
        </w:rPr>
        <w:t xml:space="preserve">oordination is </w:t>
      </w:r>
      <w:r w:rsidR="00990082">
        <w:rPr>
          <w:b/>
        </w:rPr>
        <w:t xml:space="preserve">increasingly supported by </w:t>
      </w:r>
      <w:r w:rsidR="003F1E0D">
        <w:rPr>
          <w:b/>
        </w:rPr>
        <w:t>automation</w:t>
      </w:r>
      <w:r w:rsidR="0095597D" w:rsidRPr="00254BC4">
        <w:rPr>
          <w:b/>
        </w:rPr>
        <w:t>.</w:t>
      </w:r>
      <w:r w:rsidR="0095597D" w:rsidRPr="000B661D">
        <w:t xml:space="preserve"> </w:t>
      </w:r>
      <w:r w:rsidR="00AD3F96" w:rsidRPr="00AD3F96">
        <w:t>Workflow automation, digital assistants and emerging AI capabilities are creating new opportunities to support coordination, follow-up and escalation activities</w:t>
      </w:r>
      <w:r w:rsidR="008C0282" w:rsidRPr="008C0282">
        <w:t>, enabling care and operations to be managed more proactively, consistently and at scale.</w:t>
      </w:r>
    </w:p>
    <w:p w14:paraId="56705511" w14:textId="4F7A559A" w:rsidR="00FC6B3B" w:rsidRPr="00286EAF" w:rsidRDefault="00FC6B3B" w:rsidP="00F072C1">
      <w:pPr>
        <w:pStyle w:val="Bodyaftertablefigure"/>
      </w:pPr>
      <w:r w:rsidRPr="00286EAF">
        <w:rPr>
          <w:b/>
        </w:rPr>
        <w:t xml:space="preserve">Systems are becoming </w:t>
      </w:r>
      <w:r w:rsidR="00475617">
        <w:rPr>
          <w:b/>
        </w:rPr>
        <w:t xml:space="preserve">more </w:t>
      </w:r>
      <w:r w:rsidRPr="00286EAF">
        <w:rPr>
          <w:b/>
        </w:rPr>
        <w:t xml:space="preserve">adaptive </w:t>
      </w:r>
      <w:r w:rsidR="00475617">
        <w:rPr>
          <w:b/>
        </w:rPr>
        <w:t>and proactive</w:t>
      </w:r>
      <w:r w:rsidRPr="00286EAF">
        <w:rPr>
          <w:b/>
        </w:rPr>
        <w:t>.</w:t>
      </w:r>
      <w:r w:rsidRPr="00FC6B3B">
        <w:t xml:space="preserve"> Advances in sensing, prediction and automation </w:t>
      </w:r>
      <w:r w:rsidR="004400B5" w:rsidRPr="004400B5">
        <w:t>are creating opportunities to better</w:t>
      </w:r>
      <w:r w:rsidR="004400B5">
        <w:t xml:space="preserve"> </w:t>
      </w:r>
      <w:r w:rsidRPr="00FC6B3B">
        <w:t xml:space="preserve">anticipate demand, </w:t>
      </w:r>
      <w:r w:rsidR="00CB4447" w:rsidRPr="00CB4447">
        <w:t>identify emerging risks</w:t>
      </w:r>
      <w:r w:rsidR="006E3334">
        <w:t>,</w:t>
      </w:r>
      <w:r w:rsidR="00CB4447" w:rsidRPr="00CB4447">
        <w:t xml:space="preserve"> and dynamically adjust capacity, resources and services</w:t>
      </w:r>
      <w:r w:rsidR="00C21F81">
        <w:t>,</w:t>
      </w:r>
      <w:r w:rsidR="00CB4447" w:rsidRPr="00CB4447">
        <w:t xml:space="preserve"> before </w:t>
      </w:r>
      <w:r w:rsidR="002417EA">
        <w:t xml:space="preserve">demand </w:t>
      </w:r>
      <w:r w:rsidR="00CB4447" w:rsidRPr="00CB4447">
        <w:t>pressure</w:t>
      </w:r>
      <w:r w:rsidR="002417EA">
        <w:t>s</w:t>
      </w:r>
      <w:r w:rsidR="00CB4447" w:rsidRPr="00CB4447">
        <w:t xml:space="preserve"> translate into delays or poorer outcomes.</w:t>
      </w:r>
    </w:p>
    <w:p w14:paraId="328CBCE4" w14:textId="6F67845C" w:rsidR="0095597D" w:rsidRPr="000B661D" w:rsidRDefault="00CA7CD5" w:rsidP="00F072C1">
      <w:pPr>
        <w:pStyle w:val="Body"/>
      </w:pPr>
      <w:r>
        <w:rPr>
          <w:b/>
          <w:bCs/>
        </w:rPr>
        <w:t>M</w:t>
      </w:r>
      <w:r w:rsidR="0095597D" w:rsidRPr="000B661D">
        <w:rPr>
          <w:b/>
        </w:rPr>
        <w:t xml:space="preserve">onolithic </w:t>
      </w:r>
      <w:r>
        <w:rPr>
          <w:b/>
          <w:bCs/>
        </w:rPr>
        <w:t xml:space="preserve">systems are giving way </w:t>
      </w:r>
      <w:r w:rsidR="0095597D" w:rsidRPr="000B661D">
        <w:rPr>
          <w:b/>
        </w:rPr>
        <w:t>to modular</w:t>
      </w:r>
      <w:r w:rsidR="00D437FC">
        <w:rPr>
          <w:b/>
          <w:bCs/>
        </w:rPr>
        <w:t xml:space="preserve"> platform architectures</w:t>
      </w:r>
      <w:r w:rsidR="0095597D" w:rsidRPr="000B661D">
        <w:rPr>
          <w:b/>
        </w:rPr>
        <w:t>.</w:t>
      </w:r>
      <w:r w:rsidR="0095597D" w:rsidRPr="000B661D">
        <w:t xml:space="preserve"> Traditional, tightly coupled systems are being replaced by </w:t>
      </w:r>
      <w:r w:rsidR="00C21F81">
        <w:t>a</w:t>
      </w:r>
      <w:r w:rsidR="00C21F81" w:rsidRPr="00C21F81">
        <w:t xml:space="preserve">pplication </w:t>
      </w:r>
      <w:r w:rsidR="00C21F81">
        <w:t>p</w:t>
      </w:r>
      <w:r w:rsidR="00C21F81" w:rsidRPr="00C21F81">
        <w:t xml:space="preserve">rogramming </w:t>
      </w:r>
      <w:r w:rsidR="00C21F81">
        <w:t>i</w:t>
      </w:r>
      <w:r w:rsidR="00C21F81" w:rsidRPr="00C21F81">
        <w:t>nterface</w:t>
      </w:r>
      <w:r w:rsidR="00631AA2">
        <w:t>-</w:t>
      </w:r>
      <w:r w:rsidR="0095597D" w:rsidRPr="000B661D">
        <w:t>driven platforms that enable integration, flexibility and faster adoption of new capability over time.</w:t>
      </w:r>
    </w:p>
    <w:p w14:paraId="5C375802" w14:textId="5E58FF2A" w:rsidR="0095597D" w:rsidRDefault="0095597D" w:rsidP="00F072C1">
      <w:pPr>
        <w:pStyle w:val="Body"/>
      </w:pPr>
      <w:r w:rsidRPr="000B661D">
        <w:rPr>
          <w:b/>
        </w:rPr>
        <w:t xml:space="preserve">Data </w:t>
      </w:r>
      <w:r w:rsidR="00DB745D">
        <w:rPr>
          <w:b/>
        </w:rPr>
        <w:t>are becoming more connected and accessible</w:t>
      </w:r>
      <w:r w:rsidRPr="000B661D">
        <w:rPr>
          <w:b/>
        </w:rPr>
        <w:t>.</w:t>
      </w:r>
      <w:r w:rsidRPr="000B661D">
        <w:t xml:space="preserve"> </w:t>
      </w:r>
      <w:r w:rsidR="0081500F" w:rsidRPr="0081500F">
        <w:t>Modern approaches to data sharing enable information to be securely accessed and used across organisational boundaries</w:t>
      </w:r>
      <w:r w:rsidR="008763E6">
        <w:t>,</w:t>
      </w:r>
      <w:r w:rsidR="0081500F" w:rsidRPr="0081500F">
        <w:t xml:space="preserve"> while maintaining appropriate stewardship, privacy protections and local control. This supports more coordinated care, better decision</w:t>
      </w:r>
      <w:r w:rsidR="008763E6">
        <w:t>-</w:t>
      </w:r>
      <w:r w:rsidR="0081500F" w:rsidRPr="0081500F">
        <w:t>making and improved system-wide insight.</w:t>
      </w:r>
    </w:p>
    <w:p w14:paraId="63038852" w14:textId="06BA7150" w:rsidR="00DB7E8D" w:rsidRDefault="00DB7E8D" w:rsidP="00F072C1">
      <w:pPr>
        <w:pStyle w:val="Figurecaption"/>
      </w:pPr>
      <w:r w:rsidRPr="005020E9">
        <w:lastRenderedPageBreak/>
        <w:t xml:space="preserve">Figure </w:t>
      </w:r>
      <w:r w:rsidR="00951D49">
        <w:t>9</w:t>
      </w:r>
      <w:r>
        <w:t>.</w:t>
      </w:r>
      <w:r w:rsidRPr="005020E9">
        <w:t xml:space="preserve"> Federated health data network enabled by the European Health Data Space</w:t>
      </w:r>
      <w:r w:rsidRPr="005020E9">
        <w:rPr>
          <w:rStyle w:val="FootnoteReference"/>
        </w:rPr>
        <w:footnoteReference w:id="17"/>
      </w:r>
    </w:p>
    <w:p w14:paraId="70237D80" w14:textId="649553A8" w:rsidR="005C3C8B" w:rsidRPr="005C3C8B" w:rsidRDefault="007D4022" w:rsidP="005C3C8B">
      <w:pPr>
        <w:pStyle w:val="Body"/>
      </w:pPr>
      <w:r>
        <w:rPr>
          <w:noProof/>
        </w:rPr>
        <w:drawing>
          <wp:inline distT="0" distB="0" distL="0" distR="0" wp14:anchorId="240B5A7A" wp14:editId="66BF307F">
            <wp:extent cx="5826760" cy="2902585"/>
            <wp:effectExtent l="0" t="0" r="2540" b="0"/>
            <wp:docPr id="1346430493" name="Picture 78" descr="Text-based infographic titled “Shared intelligence, local control” explains European Health Data Space support for federated health-data networks. Blue-highlighted text emphasizes discovery, access, and analysis across organizations and countries, with interoperability, federated query models, system-wide intelligence, coordinated decision-making, stronger privacy protections, and local control of sensitive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430493" name="Picture 78" descr="Text-based infographic titled “Shared intelligence, local control” explains European Health Data Space support for federated health-data networks. Blue-highlighted text emphasizes discovery, access, and analysis across organizations and countries, with interoperability, federated query models, system-wide intelligence, coordinated decision-making, stronger privacy protections, and local control of sensitive information."/>
                    <pic:cNvPicPr>
                      <a:picLocks noChangeAspect="1" noChangeArrowheads="1"/>
                    </pic:cNvPicPr>
                  </pic:nvPicPr>
                  <pic:blipFill>
                    <a:blip r:embed="rId32">
                      <a:extLst>
                        <a:ext uri="{28A0092B-C50C-407E-A947-70E740481C1C}">
                          <a14:useLocalDpi xmlns:a14="http://schemas.microsoft.com/office/drawing/2010/main"/>
                        </a:ext>
                      </a:extLst>
                    </a:blip>
                    <a:srcRect/>
                    <a:stretch>
                      <a:fillRect/>
                    </a:stretch>
                  </pic:blipFill>
                  <pic:spPr bwMode="auto">
                    <a:xfrm>
                      <a:off x="0" y="0"/>
                      <a:ext cx="5826760" cy="2902585"/>
                    </a:xfrm>
                    <a:prstGeom prst="rect">
                      <a:avLst/>
                    </a:prstGeom>
                    <a:noFill/>
                    <a:ln>
                      <a:noFill/>
                    </a:ln>
                  </pic:spPr>
                </pic:pic>
              </a:graphicData>
            </a:graphic>
          </wp:inline>
        </w:drawing>
      </w:r>
    </w:p>
    <w:p w14:paraId="4E61D54F" w14:textId="1B0F1B0F" w:rsidR="00081137" w:rsidRPr="00202D1B" w:rsidRDefault="0095597D" w:rsidP="00F072C1">
      <w:pPr>
        <w:pStyle w:val="Bodyaftertablefigure"/>
      </w:pPr>
      <w:r w:rsidRPr="000B661D">
        <w:rPr>
          <w:b/>
        </w:rPr>
        <w:t>Trust and security are becoming dynamic capabilities.</w:t>
      </w:r>
      <w:r w:rsidRPr="000B661D">
        <w:t xml:space="preserve"> As digital capability expands, privacy, cybersecurity and resilience must continuously adapt to support safe, trusted and reliable system operation.</w:t>
      </w:r>
    </w:p>
    <w:p w14:paraId="2D72FD5E" w14:textId="3EE85DDC" w:rsidR="00217F68" w:rsidRDefault="00F004C9" w:rsidP="00F004C9">
      <w:pPr>
        <w:pStyle w:val="Heading2"/>
      </w:pPr>
      <w:bookmarkStart w:id="18" w:name="_Toc235957316"/>
      <w:bookmarkStart w:id="19" w:name="_Toc244166818"/>
      <w:r>
        <w:t xml:space="preserve">Why </w:t>
      </w:r>
      <w:r w:rsidR="00A42FD9">
        <w:t>action is needed</w:t>
      </w:r>
      <w:r w:rsidR="00040133">
        <w:t xml:space="preserve"> now</w:t>
      </w:r>
      <w:bookmarkEnd w:id="18"/>
      <w:bookmarkEnd w:id="19"/>
    </w:p>
    <w:p w14:paraId="3247A8E1" w14:textId="4923F31E" w:rsidR="000538F2" w:rsidRPr="000538F2" w:rsidRDefault="000538F2" w:rsidP="0006426A">
      <w:pPr>
        <w:pStyle w:val="Body"/>
      </w:pPr>
      <w:r w:rsidRPr="000538F2">
        <w:t xml:space="preserve">Victoria has already demonstrated what connected digital capability can deliver. </w:t>
      </w:r>
      <w:r w:rsidR="00DB7E8D">
        <w:t>It</w:t>
      </w:r>
      <w:r w:rsidRPr="000538F2">
        <w:t xml:space="preserve"> is no longer </w:t>
      </w:r>
      <w:r w:rsidR="00DB7E8D">
        <w:t xml:space="preserve">a matter of </w:t>
      </w:r>
      <w:r w:rsidRPr="000538F2">
        <w:t>whether digital health creates value, but whether the system will apply that capability consistently to deliver impact at scale.</w:t>
      </w:r>
    </w:p>
    <w:p w14:paraId="02268C3F" w14:textId="7972D3D8" w:rsidR="000538F2" w:rsidRPr="000538F2" w:rsidRDefault="000538F2" w:rsidP="0006426A">
      <w:pPr>
        <w:pStyle w:val="Body"/>
      </w:pPr>
      <w:r w:rsidRPr="000538F2">
        <w:t>The current approach</w:t>
      </w:r>
      <w:r w:rsidR="00CF1F9F">
        <w:t>,</w:t>
      </w:r>
      <w:r w:rsidRPr="000538F2">
        <w:t xml:space="preserve"> where investment, data and systems continue to develop unevenly across services</w:t>
      </w:r>
      <w:r w:rsidR="004E0723">
        <w:t>,</w:t>
      </w:r>
      <w:r w:rsidRPr="000538F2">
        <w:t xml:space="preserve"> limits the ability to deliver reform and realise system</w:t>
      </w:r>
      <w:r w:rsidRPr="000538F2">
        <w:rPr>
          <w:rFonts w:ascii="Cambria Math" w:hAnsi="Cambria Math" w:cs="Cambria Math"/>
        </w:rPr>
        <w:t>‑</w:t>
      </w:r>
      <w:r w:rsidRPr="000538F2">
        <w:t xml:space="preserve">wide benefit. </w:t>
      </w:r>
      <w:r w:rsidR="00FB4E13" w:rsidRPr="009F22CF">
        <w:t>It contributes to variation in access, experience and outcomes, creating a risk that the quality and availability of health services depend on where a person receives care.</w:t>
      </w:r>
      <w:r w:rsidR="00FB4E13">
        <w:t xml:space="preserve"> </w:t>
      </w:r>
      <w:r w:rsidRPr="000538F2">
        <w:t xml:space="preserve">It </w:t>
      </w:r>
      <w:r w:rsidR="00FB4E13">
        <w:t xml:space="preserve">also </w:t>
      </w:r>
      <w:r w:rsidRPr="000538F2">
        <w:t>reinforces fragmentation, constrains coordination and embeds inefficiency into how the system operates.</w:t>
      </w:r>
      <w:r w:rsidR="009F22CF" w:rsidRPr="009F22CF">
        <w:t xml:space="preserve"> </w:t>
      </w:r>
    </w:p>
    <w:p w14:paraId="1BDEEB76" w14:textId="2E80A5BE" w:rsidR="000538F2" w:rsidRPr="000538F2" w:rsidRDefault="000538F2" w:rsidP="0006426A">
      <w:pPr>
        <w:pStyle w:val="Body"/>
      </w:pPr>
      <w:r w:rsidRPr="000538F2">
        <w:t>At the same time, the conditions for change are accelerating. Advances in data, interoperability and AI are rapidly shifting what is possible, but these capabilities depend on the same foundational requirement</w:t>
      </w:r>
      <w:r w:rsidR="00066136">
        <w:t xml:space="preserve"> </w:t>
      </w:r>
      <w:r w:rsidR="00DB7E8D">
        <w:t>–</w:t>
      </w:r>
      <w:r w:rsidRPr="000538F2">
        <w:t xml:space="preserve"> connected, consistent and trusted health information across the system.</w:t>
      </w:r>
    </w:p>
    <w:p w14:paraId="1241B873" w14:textId="77777777" w:rsidR="009E678E" w:rsidRDefault="000538F2" w:rsidP="00217F68">
      <w:pPr>
        <w:pStyle w:val="Body"/>
      </w:pPr>
      <w:r w:rsidRPr="000538F2">
        <w:t>The roadmap provides a clear mechanism to act</w:t>
      </w:r>
      <w:r w:rsidR="00556CE5">
        <w:t>,</w:t>
      </w:r>
      <w:r w:rsidRPr="000538F2">
        <w:t xml:space="preserve"> aligning investment, scaling what works and directing effort toward</w:t>
      </w:r>
      <w:r w:rsidR="00B35D5C">
        <w:t>s</w:t>
      </w:r>
      <w:r w:rsidRPr="000538F2">
        <w:t xml:space="preserve"> initiatives that deliver measurable value. It enables the system to move from fragmented improvement to coordinated transformation.</w:t>
      </w:r>
    </w:p>
    <w:p w14:paraId="5D278445" w14:textId="523AA2D7" w:rsidR="00AC6BC1" w:rsidRDefault="00AC6BC1" w:rsidP="00217F68">
      <w:pPr>
        <w:pStyle w:val="Body"/>
      </w:pPr>
      <w:r w:rsidRPr="00AC6BC1">
        <w:t>The question is whether investment is applied deliberately to deliver system-wide impact now or deferred until the cost of inaction is greater and the opportunity to lead has passed.</w:t>
      </w:r>
    </w:p>
    <w:p w14:paraId="46D7E79F" w14:textId="19DB6F18" w:rsidR="00C67F22" w:rsidRDefault="00C67F22" w:rsidP="00217F68">
      <w:pPr>
        <w:pStyle w:val="Body"/>
      </w:pPr>
      <w:r>
        <w:br w:type="page"/>
      </w:r>
    </w:p>
    <w:p w14:paraId="0D147E6D" w14:textId="787C0C4B" w:rsidR="008973C1" w:rsidRDefault="008973C1" w:rsidP="0053357E">
      <w:pPr>
        <w:pStyle w:val="Heading1"/>
      </w:pPr>
      <w:bookmarkStart w:id="20" w:name="_Toc235957317"/>
      <w:bookmarkStart w:id="21" w:name="_Toc244166819"/>
      <w:r>
        <w:lastRenderedPageBreak/>
        <w:t xml:space="preserve">Developing the </w:t>
      </w:r>
      <w:bookmarkEnd w:id="20"/>
      <w:r w:rsidR="00DB7E8D">
        <w:t>r</w:t>
      </w:r>
      <w:r>
        <w:t>oadmap</w:t>
      </w:r>
      <w:bookmarkEnd w:id="21"/>
    </w:p>
    <w:p w14:paraId="7E8607A2" w14:textId="2CAC146D" w:rsidR="007B69FA" w:rsidDel="00F5151D" w:rsidRDefault="007B69FA" w:rsidP="0053357E">
      <w:pPr>
        <w:pStyle w:val="Body"/>
      </w:pPr>
      <w:r>
        <w:t xml:space="preserve">The </w:t>
      </w:r>
      <w:r w:rsidR="008C6FBB">
        <w:t>roadmap</w:t>
      </w:r>
      <w:r w:rsidR="005056EE">
        <w:t xml:space="preserve"> </w:t>
      </w:r>
      <w:r w:rsidR="00387672" w:rsidDel="005056EE">
        <w:t>was</w:t>
      </w:r>
      <w:r w:rsidDel="005056EE">
        <w:t xml:space="preserve"> </w:t>
      </w:r>
      <w:r>
        <w:t>developed through a structured, evidence</w:t>
      </w:r>
      <w:r>
        <w:rPr>
          <w:rFonts w:ascii="Cambria Math" w:hAnsi="Cambria Math" w:cs="Cambria Math"/>
        </w:rPr>
        <w:t>‑</w:t>
      </w:r>
      <w:r>
        <w:t>based process, combining system</w:t>
      </w:r>
      <w:r>
        <w:rPr>
          <w:rFonts w:ascii="Cambria Math" w:hAnsi="Cambria Math" w:cs="Cambria Math"/>
        </w:rPr>
        <w:t>‑</w:t>
      </w:r>
      <w:r>
        <w:t>wide engagement, alignment to reform priorities and a clear focus on delivery.</w:t>
      </w:r>
    </w:p>
    <w:p w14:paraId="21D3BD62" w14:textId="512E7687" w:rsidR="007B69FA" w:rsidRDefault="007B69FA" w:rsidP="0053357E">
      <w:pPr>
        <w:pStyle w:val="Body"/>
      </w:pPr>
      <w:r>
        <w:t>It reflects a shared direction for digital health transformation across Victoria, shaped by the input of clinicians, consumers, health services and delivery partners.</w:t>
      </w:r>
    </w:p>
    <w:p w14:paraId="55563E0B" w14:textId="06195170" w:rsidR="007B69FA" w:rsidRDefault="0039389A" w:rsidP="001577B5">
      <w:pPr>
        <w:pStyle w:val="Heading2"/>
      </w:pPr>
      <w:bookmarkStart w:id="22" w:name="_Toc244166820"/>
      <w:r>
        <w:t>Engagement and c</w:t>
      </w:r>
      <w:r w:rsidR="003826F3">
        <w:t>o-design</w:t>
      </w:r>
      <w:bookmarkEnd w:id="22"/>
      <w:r w:rsidR="003826F3">
        <w:t xml:space="preserve"> </w:t>
      </w:r>
    </w:p>
    <w:p w14:paraId="57AE0D9A" w14:textId="77777777" w:rsidR="00F97BDD" w:rsidRDefault="00F97BDD" w:rsidP="004479A4">
      <w:pPr>
        <w:pStyle w:val="Body"/>
      </w:pPr>
      <w:r w:rsidRPr="00F97BDD">
        <w:t>Extensive engagement and co-design across the Victorian health system informed development of the roadmap including metropolitan, regional and rural services, clinicians, consumers, First Nations representatives and delivery partners.</w:t>
      </w:r>
    </w:p>
    <w:p w14:paraId="522A0B24" w14:textId="5BF4C172" w:rsidR="004479A4" w:rsidRDefault="004479A4" w:rsidP="004479A4">
      <w:pPr>
        <w:pStyle w:val="Body"/>
      </w:pPr>
      <w:r>
        <w:t xml:space="preserve">This </w:t>
      </w:r>
      <w:r w:rsidR="0039389A">
        <w:t>was</w:t>
      </w:r>
      <w:r>
        <w:t xml:space="preserve"> complemented by targeted consultation, advisory forums, working groups and surveys to identify the outcomes and capabilities that matter most to consumers, the workforce and services.</w:t>
      </w:r>
    </w:p>
    <w:p w14:paraId="38912EBF" w14:textId="31FA397F" w:rsidR="004479A4" w:rsidRDefault="004479A4" w:rsidP="004479A4">
      <w:pPr>
        <w:pStyle w:val="Body"/>
      </w:pPr>
      <w:r>
        <w:t>This approach ensures the roadmap reflects real</w:t>
      </w:r>
      <w:r>
        <w:rPr>
          <w:rFonts w:ascii="Cambria Math" w:hAnsi="Cambria Math" w:cs="Cambria Math"/>
        </w:rPr>
        <w:t>‑</w:t>
      </w:r>
      <w:r>
        <w:t>world challenges, service needs and consumer expectations, while building shared ownership for delivery across the sector.</w:t>
      </w:r>
    </w:p>
    <w:p w14:paraId="77BB8A09" w14:textId="6EAB4280" w:rsidR="00E81D15" w:rsidRDefault="00E81D15" w:rsidP="00EE0CCE">
      <w:pPr>
        <w:pStyle w:val="Figurecaption"/>
      </w:pPr>
      <w:r w:rsidRPr="005020E9">
        <w:t xml:space="preserve">Figure </w:t>
      </w:r>
      <w:r w:rsidR="00951D49">
        <w:t>10</w:t>
      </w:r>
      <w:r>
        <w:t>.</w:t>
      </w:r>
      <w:r w:rsidRPr="005020E9">
        <w:t xml:space="preserve"> Findings from the clinician and consumer surveys</w:t>
      </w:r>
    </w:p>
    <w:p w14:paraId="2BFA53CF" w14:textId="0F4F2545" w:rsidR="00103F04" w:rsidRPr="00103F04" w:rsidRDefault="00103F04" w:rsidP="00103F04">
      <w:pPr>
        <w:pStyle w:val="Body"/>
      </w:pPr>
      <w:r>
        <w:rPr>
          <w:noProof/>
        </w:rPr>
        <w:drawing>
          <wp:inline distT="0" distB="0" distL="0" distR="0" wp14:anchorId="4C4E4958" wp14:editId="53B520FB">
            <wp:extent cx="5826760" cy="4316730"/>
            <wp:effectExtent l="0" t="0" r="2540" b="7620"/>
            <wp:docPr id="252773068" name="Picture 79"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73068" name="Picture 79" descr="Accessible text equivalent provided in Appendix A."/>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5826760" cy="4316730"/>
                    </a:xfrm>
                    <a:prstGeom prst="rect">
                      <a:avLst/>
                    </a:prstGeom>
                    <a:noFill/>
                    <a:ln>
                      <a:noFill/>
                    </a:ln>
                  </pic:spPr>
                </pic:pic>
              </a:graphicData>
            </a:graphic>
          </wp:inline>
        </w:drawing>
      </w:r>
    </w:p>
    <w:p w14:paraId="6E2F0297" w14:textId="5074268C" w:rsidR="00501EEA" w:rsidRPr="00E81D15" w:rsidRDefault="00501EEA" w:rsidP="00E81D15">
      <w:pPr>
        <w:pStyle w:val="Heading2"/>
      </w:pPr>
      <w:bookmarkStart w:id="23" w:name="_Toc235957319"/>
      <w:bookmarkStart w:id="24" w:name="_Toc244166821"/>
      <w:r w:rsidRPr="00E81D15">
        <w:t>Aligned to strategic priorities and system reform</w:t>
      </w:r>
      <w:bookmarkEnd w:id="23"/>
      <w:bookmarkEnd w:id="24"/>
    </w:p>
    <w:p w14:paraId="7E7A4C09" w14:textId="18515EEC" w:rsidR="00B81349" w:rsidRDefault="00B81349" w:rsidP="00B81349">
      <w:pPr>
        <w:pStyle w:val="Body"/>
      </w:pPr>
      <w:r>
        <w:t xml:space="preserve">The roadmap is not a standalone digital strategy. It is intended to support delivery of broader health system objectives </w:t>
      </w:r>
      <w:r w:rsidR="00666762">
        <w:t>and</w:t>
      </w:r>
      <w:r w:rsidR="004E1D4A">
        <w:t xml:space="preserve"> </w:t>
      </w:r>
      <w:r>
        <w:t>priority reform</w:t>
      </w:r>
      <w:r w:rsidR="004E1D4A">
        <w:t>s</w:t>
      </w:r>
      <w:r>
        <w:t xml:space="preserve"> across the Victorian health system.</w:t>
      </w:r>
    </w:p>
    <w:p w14:paraId="542D7E31" w14:textId="1C232A46" w:rsidR="00E81D15" w:rsidRDefault="00B81349" w:rsidP="00B81349">
      <w:pPr>
        <w:pStyle w:val="Body"/>
      </w:pPr>
      <w:r>
        <w:lastRenderedPageBreak/>
        <w:t xml:space="preserve">At a national level, Australia is progressing a more connected and digitally enabled health system through </w:t>
      </w:r>
      <w:r w:rsidR="004E1D4A">
        <w:t xml:space="preserve">delivery of </w:t>
      </w:r>
      <w:r>
        <w:t xml:space="preserve">initiatives </w:t>
      </w:r>
      <w:r w:rsidR="004E1D4A">
        <w:t xml:space="preserve">outlined in the </w:t>
      </w:r>
      <w:r w:rsidRPr="0034599A">
        <w:rPr>
          <w:i/>
          <w:iCs/>
        </w:rPr>
        <w:t>National Digital Health Strategy</w:t>
      </w:r>
      <w:r w:rsidR="00C50D12" w:rsidRPr="0034599A">
        <w:rPr>
          <w:i/>
          <w:iCs/>
        </w:rPr>
        <w:t xml:space="preserve"> 2023</w:t>
      </w:r>
      <w:r w:rsidR="00E81D15">
        <w:rPr>
          <w:i/>
          <w:iCs/>
        </w:rPr>
        <w:t>–</w:t>
      </w:r>
      <w:r w:rsidR="00C50D12" w:rsidRPr="0034599A">
        <w:rPr>
          <w:i/>
          <w:iCs/>
        </w:rPr>
        <w:t>2028</w:t>
      </w:r>
      <w:r w:rsidR="004C16E2">
        <w:rPr>
          <w:rStyle w:val="FootnoteReference"/>
          <w:i/>
          <w:iCs/>
        </w:rPr>
        <w:footnoteReference w:id="18"/>
      </w:r>
      <w:r>
        <w:t>,</w:t>
      </w:r>
      <w:r w:rsidR="004E1D4A">
        <w:t xml:space="preserve"> including</w:t>
      </w:r>
      <w:r>
        <w:t xml:space="preserve"> My Health Record</w:t>
      </w:r>
      <w:r w:rsidR="008D154E">
        <w:t xml:space="preserve"> modernisation</w:t>
      </w:r>
      <w:r>
        <w:t>, interoperability reforms and national data sharing frameworks.</w:t>
      </w:r>
      <w:r w:rsidR="00E81D15">
        <w:t xml:space="preserve"> </w:t>
      </w:r>
      <w:r w:rsidR="00DF1B17">
        <w:t xml:space="preserve">These </w:t>
      </w:r>
      <w:r>
        <w:t>initiatives are creating the foundations for greater information sharing, consumer participation and connected care across jurisdictions.</w:t>
      </w:r>
    </w:p>
    <w:p w14:paraId="54598A03" w14:textId="19620AAC" w:rsidR="00D16987" w:rsidRDefault="00CA6AD7" w:rsidP="00B81349">
      <w:pPr>
        <w:pStyle w:val="Body"/>
      </w:pPr>
      <w:r w:rsidRPr="00CA6AD7">
        <w:t xml:space="preserve">The roadmap builds on this direction, enabling Victoria to adopt and scale emerging national capabilities while translating them into </w:t>
      </w:r>
      <w:r>
        <w:t>v</w:t>
      </w:r>
      <w:r w:rsidR="00426497">
        <w:t>alue</w:t>
      </w:r>
      <w:r w:rsidR="0052260D">
        <w:t>-</w:t>
      </w:r>
      <w:r w:rsidR="00426497">
        <w:t xml:space="preserve">adding </w:t>
      </w:r>
      <w:r w:rsidRPr="00CA6AD7">
        <w:t>outcomes across Victorian health services and care settings.</w:t>
      </w:r>
    </w:p>
    <w:p w14:paraId="5E98B5C8" w14:textId="4DBF18FE" w:rsidR="007800B5" w:rsidRDefault="007800B5" w:rsidP="00B81349">
      <w:pPr>
        <w:pStyle w:val="Body"/>
      </w:pPr>
      <w:r w:rsidRPr="007800B5">
        <w:t xml:space="preserve">At a Victorian Government level, </w:t>
      </w:r>
      <w:r>
        <w:t>strategic outcomes are</w:t>
      </w:r>
      <w:r w:rsidRPr="007800B5">
        <w:t xml:space="preserve"> increasingly focused on improving</w:t>
      </w:r>
      <w:r w:rsidR="00883BEA">
        <w:t xml:space="preserve"> service</w:t>
      </w:r>
      <w:r w:rsidR="002B443A">
        <w:t xml:space="preserve"> quality and</w:t>
      </w:r>
      <w:r w:rsidRPr="007800B5">
        <w:t xml:space="preserve"> </w:t>
      </w:r>
      <w:r w:rsidR="002B443A" w:rsidRPr="007800B5">
        <w:t>access</w:t>
      </w:r>
      <w:r w:rsidR="00883BEA">
        <w:t xml:space="preserve">, </w:t>
      </w:r>
      <w:r w:rsidRPr="007800B5">
        <w:t>productivity</w:t>
      </w:r>
      <w:r w:rsidR="00883BEA">
        <w:t>, and</w:t>
      </w:r>
      <w:r w:rsidRPr="007800B5">
        <w:t xml:space="preserve"> sustainability.</w:t>
      </w:r>
      <w:r w:rsidR="001A7BED">
        <w:t xml:space="preserve"> Through implementation of initiatives</w:t>
      </w:r>
      <w:r w:rsidR="00DF1B17">
        <w:t>,</w:t>
      </w:r>
      <w:r w:rsidR="001A7BED">
        <w:t xml:space="preserve"> such</w:t>
      </w:r>
      <w:r w:rsidR="00A10A57">
        <w:t xml:space="preserve"> </w:t>
      </w:r>
      <w:r w:rsidR="001A7BED">
        <w:t xml:space="preserve">as </w:t>
      </w:r>
      <w:r w:rsidR="00316193">
        <w:t>EMR</w:t>
      </w:r>
      <w:r w:rsidR="001A7BED">
        <w:t xml:space="preserve">, statewide medical image sharing and </w:t>
      </w:r>
      <w:r w:rsidR="00D172B9">
        <w:t>virtual hospital care,</w:t>
      </w:r>
      <w:r w:rsidRPr="007800B5">
        <w:t xml:space="preserve"> </w:t>
      </w:r>
      <w:r w:rsidRPr="00426497">
        <w:rPr>
          <w:i/>
          <w:iCs/>
        </w:rPr>
        <w:t>Victoria's</w:t>
      </w:r>
      <w:r w:rsidR="00426497" w:rsidRPr="00426497">
        <w:rPr>
          <w:i/>
          <w:iCs/>
        </w:rPr>
        <w:t xml:space="preserve"> </w:t>
      </w:r>
      <w:r w:rsidRPr="00426497">
        <w:rPr>
          <w:i/>
          <w:iCs/>
        </w:rPr>
        <w:t>Infrastructure Strategy 2025–2055</w:t>
      </w:r>
      <w:r w:rsidR="00A84BC1">
        <w:rPr>
          <w:rStyle w:val="FootnoteReference"/>
          <w:i/>
          <w:iCs/>
        </w:rPr>
        <w:footnoteReference w:id="19"/>
      </w:r>
      <w:r w:rsidRPr="007800B5">
        <w:t xml:space="preserve"> identifies digital health as an important c</w:t>
      </w:r>
      <w:r w:rsidR="00317047">
        <w:t>ontributor</w:t>
      </w:r>
      <w:r w:rsidR="001A7BED">
        <w:t xml:space="preserve"> to</w:t>
      </w:r>
      <w:r w:rsidRPr="007800B5">
        <w:t xml:space="preserve"> improving access to care, increasing system capacity and supporting more sustainable models of healthcare delivery.</w:t>
      </w:r>
    </w:p>
    <w:p w14:paraId="4E116D01" w14:textId="1C85C958" w:rsidR="00DF1B17" w:rsidRDefault="00D172B9" w:rsidP="00A10A57">
      <w:pPr>
        <w:pStyle w:val="Body"/>
      </w:pPr>
      <w:r>
        <w:t>Within the health system</w:t>
      </w:r>
      <w:r w:rsidR="00916DE6" w:rsidRPr="00916DE6">
        <w:t xml:space="preserve">, </w:t>
      </w:r>
      <w:r w:rsidR="0033392B">
        <w:t>t</w:t>
      </w:r>
      <w:r w:rsidR="00696859" w:rsidRPr="00452823">
        <w:t xml:space="preserve">he roadmap is </w:t>
      </w:r>
      <w:r w:rsidR="00696859">
        <w:t>designed</w:t>
      </w:r>
      <w:r w:rsidR="00C44E32">
        <w:t xml:space="preserve"> to</w:t>
      </w:r>
      <w:r w:rsidR="00696859" w:rsidRPr="00452823">
        <w:t xml:space="preserve"> </w:t>
      </w:r>
      <w:r w:rsidR="00696859">
        <w:t>accelerate delivery of the</w:t>
      </w:r>
      <w:r w:rsidR="00696859" w:rsidRPr="00452823">
        <w:t xml:space="preserve"> </w:t>
      </w:r>
      <w:r w:rsidR="00DF1B17">
        <w:t>d</w:t>
      </w:r>
      <w:r w:rsidR="00696859" w:rsidRPr="00452823">
        <w:t>epartment</w:t>
      </w:r>
      <w:r w:rsidR="00DF1B17">
        <w:t>’s</w:t>
      </w:r>
      <w:r w:rsidR="00696859" w:rsidRPr="00452823">
        <w:t xml:space="preserve"> strategic objectives</w:t>
      </w:r>
      <w:r w:rsidR="005A47F6">
        <w:t xml:space="preserve"> by </w:t>
      </w:r>
      <w:r w:rsidR="00696859" w:rsidRPr="00452823">
        <w:t>embedding digital capability as a core component of system reform.</w:t>
      </w:r>
      <w:r w:rsidR="00A577B6">
        <w:t xml:space="preserve"> </w:t>
      </w:r>
      <w:r w:rsidR="008E36A6">
        <w:t>K</w:t>
      </w:r>
      <w:r w:rsidR="00474DE5">
        <w:t>ey reforms</w:t>
      </w:r>
      <w:r w:rsidR="00DF1B17">
        <w:t>,</w:t>
      </w:r>
      <w:r w:rsidR="00474DE5">
        <w:t xml:space="preserve"> </w:t>
      </w:r>
      <w:r w:rsidR="005A47F6">
        <w:t>including</w:t>
      </w:r>
      <w:r w:rsidR="00474DE5">
        <w:t xml:space="preserve"> those outlined in the </w:t>
      </w:r>
      <w:r w:rsidR="00474DE5" w:rsidRPr="005A47F6">
        <w:rPr>
          <w:i/>
          <w:iCs/>
        </w:rPr>
        <w:t>Health Services Plan</w:t>
      </w:r>
      <w:r w:rsidR="00B52B0B">
        <w:rPr>
          <w:rStyle w:val="FootnoteReference"/>
          <w:i/>
          <w:iCs/>
        </w:rPr>
        <w:footnoteReference w:id="20"/>
      </w:r>
      <w:r w:rsidR="00474DE5">
        <w:t xml:space="preserve">, </w:t>
      </w:r>
      <w:r w:rsidR="005872C4">
        <w:t xml:space="preserve">the </w:t>
      </w:r>
      <w:r w:rsidR="005872C4" w:rsidRPr="005872C4">
        <w:rPr>
          <w:i/>
          <w:iCs/>
        </w:rPr>
        <w:t>Victorian Maternity Taskforce report</w:t>
      </w:r>
      <w:r w:rsidR="000D487A">
        <w:rPr>
          <w:rStyle w:val="FootnoteReference"/>
          <w:i/>
          <w:iCs/>
        </w:rPr>
        <w:footnoteReference w:id="21"/>
      </w:r>
      <w:r w:rsidR="001A1EC2">
        <w:rPr>
          <w:i/>
          <w:iCs/>
        </w:rPr>
        <w:t xml:space="preserve">, </w:t>
      </w:r>
      <w:r w:rsidR="001A1EC2" w:rsidRPr="001A1EC2">
        <w:t>the</w:t>
      </w:r>
      <w:r w:rsidR="001A1EC2">
        <w:rPr>
          <w:i/>
          <w:iCs/>
        </w:rPr>
        <w:t xml:space="preserve"> </w:t>
      </w:r>
      <w:r w:rsidR="00E26FA3" w:rsidRPr="001A1EC2">
        <w:rPr>
          <w:i/>
          <w:iCs/>
        </w:rPr>
        <w:t>Specialist Care Reform Blueprint</w:t>
      </w:r>
      <w:r w:rsidR="003C60B5">
        <w:rPr>
          <w:rStyle w:val="FootnoteReference"/>
          <w:i/>
          <w:iCs/>
        </w:rPr>
        <w:footnoteReference w:id="22"/>
      </w:r>
      <w:r w:rsidR="001A1EC2">
        <w:t xml:space="preserve"> and</w:t>
      </w:r>
      <w:r w:rsidR="009A6F2C">
        <w:t xml:space="preserve"> </w:t>
      </w:r>
      <w:r w:rsidR="00474DE5">
        <w:t xml:space="preserve">the </w:t>
      </w:r>
      <w:r w:rsidR="00474DE5" w:rsidRPr="005A47F6">
        <w:rPr>
          <w:i/>
          <w:iCs/>
        </w:rPr>
        <w:t>Planned Care Reform Blueprint</w:t>
      </w:r>
      <w:r w:rsidR="003C60B5">
        <w:rPr>
          <w:rStyle w:val="FootnoteReference"/>
          <w:i/>
          <w:iCs/>
        </w:rPr>
        <w:footnoteReference w:id="23"/>
      </w:r>
      <w:r w:rsidR="00474DE5">
        <w:t xml:space="preserve"> </w:t>
      </w:r>
      <w:r w:rsidR="00916DE6" w:rsidRPr="00916DE6">
        <w:t>focus</w:t>
      </w:r>
      <w:r w:rsidR="0015484A">
        <w:t>ed</w:t>
      </w:r>
      <w:r w:rsidR="00916DE6" w:rsidRPr="00916DE6">
        <w:t xml:space="preserve"> on improving access, coordination and sustainability through more integrated models of care. </w:t>
      </w:r>
    </w:p>
    <w:p w14:paraId="28259E93" w14:textId="77777777" w:rsidR="00EC2867" w:rsidRDefault="00916DE6" w:rsidP="00EC2867">
      <w:pPr>
        <w:pStyle w:val="Body"/>
      </w:pPr>
      <w:r w:rsidRPr="00916DE6">
        <w:t xml:space="preserve">Delivering </w:t>
      </w:r>
      <w:r w:rsidR="0015484A">
        <w:t>this</w:t>
      </w:r>
      <w:r w:rsidRPr="00916DE6">
        <w:t xml:space="preserve"> requires shared information, system-wide visibility of demand and capacity, access to virtual models of care and coordinated delivery across services – capabilities that are inherently digital.</w:t>
      </w:r>
    </w:p>
    <w:p w14:paraId="1FC95B75" w14:textId="6DA27733" w:rsidR="00E103C0" w:rsidRDefault="00E103C0" w:rsidP="00E103C0">
      <w:pPr>
        <w:pStyle w:val="Heading3"/>
      </w:pPr>
      <w:r w:rsidRPr="009F1104">
        <w:t>Spotlight: Specialist Care Reform Blueprint</w:t>
      </w:r>
    </w:p>
    <w:p w14:paraId="56339CA2" w14:textId="77777777" w:rsidR="00FD30E2" w:rsidRPr="00FD30E2" w:rsidRDefault="00FD30E2" w:rsidP="00FD30E2">
      <w:pPr>
        <w:pStyle w:val="Body"/>
      </w:pPr>
      <w:r w:rsidRPr="00FD30E2">
        <w:t>The Specialist Care Reform Blueprint sets a statewide direction for more responsive, integrated and sustainable specialist care. It depends on digital capabilities that improve coordination, increase visibility of demand and capacity, support new models of care and enable consumers to play a more active role in their care journey.</w:t>
      </w:r>
    </w:p>
    <w:p w14:paraId="28ACECEC" w14:textId="03FBF78C" w:rsidR="00EC2867" w:rsidRDefault="00EC2867" w:rsidP="00EC2867">
      <w:pPr>
        <w:pStyle w:val="Figurecaption"/>
      </w:pPr>
      <w:r>
        <w:lastRenderedPageBreak/>
        <w:t xml:space="preserve">Figure </w:t>
      </w:r>
      <w:fldSimple w:instr=" SEQ Figure \* ARABIC ">
        <w:r w:rsidR="00FB09FD">
          <w:rPr>
            <w:noProof/>
          </w:rPr>
          <w:t>1</w:t>
        </w:r>
      </w:fldSimple>
      <w:r w:rsidR="00951D49">
        <w:rPr>
          <w:noProof/>
        </w:rPr>
        <w:t>1</w:t>
      </w:r>
      <w:r>
        <w:t>.</w:t>
      </w:r>
      <w:r w:rsidR="00A67AAB">
        <w:t xml:space="preserve"> </w:t>
      </w:r>
      <w:r w:rsidR="00DC53A2">
        <w:t>Digital capabilities enabling the Specialist Care Reform</w:t>
      </w:r>
      <w:r w:rsidR="008872FA">
        <w:t xml:space="preserve"> Blueprint. </w:t>
      </w:r>
    </w:p>
    <w:p w14:paraId="478A924C" w14:textId="2313F95D" w:rsidR="005407C6" w:rsidRPr="005407C6" w:rsidRDefault="005407C6" w:rsidP="005407C6">
      <w:pPr>
        <w:pStyle w:val="Body"/>
      </w:pPr>
      <w:r>
        <w:rPr>
          <w:noProof/>
        </w:rPr>
        <w:drawing>
          <wp:inline distT="0" distB="0" distL="0" distR="0" wp14:anchorId="09806BD0" wp14:editId="5DA9BC99">
            <wp:extent cx="5826760" cy="3944620"/>
            <wp:effectExtent l="0" t="0" r="2540" b="0"/>
            <wp:docPr id="713580370" name="Picture 80"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580370" name="Picture 80" descr="Accessible text equivalent provided in Appendix A."/>
                    <pic:cNvPicPr>
                      <a:picLocks noChangeAspect="1" noChangeArrowheads="1"/>
                    </pic:cNvPicPr>
                  </pic:nvPicPr>
                  <pic:blipFill>
                    <a:blip r:embed="rId34" cstate="screen">
                      <a:extLst>
                        <a:ext uri="{28A0092B-C50C-407E-A947-70E740481C1C}">
                          <a14:useLocalDpi xmlns:a14="http://schemas.microsoft.com/office/drawing/2010/main"/>
                        </a:ext>
                      </a:extLst>
                    </a:blip>
                    <a:srcRect/>
                    <a:stretch>
                      <a:fillRect/>
                    </a:stretch>
                  </pic:blipFill>
                  <pic:spPr bwMode="auto">
                    <a:xfrm>
                      <a:off x="0" y="0"/>
                      <a:ext cx="5826760" cy="3944620"/>
                    </a:xfrm>
                    <a:prstGeom prst="rect">
                      <a:avLst/>
                    </a:prstGeom>
                    <a:noFill/>
                    <a:ln>
                      <a:noFill/>
                    </a:ln>
                  </pic:spPr>
                </pic:pic>
              </a:graphicData>
            </a:graphic>
          </wp:inline>
        </w:drawing>
      </w:r>
    </w:p>
    <w:p w14:paraId="054C3E45" w14:textId="562ACAEA" w:rsidR="00BF6BCB" w:rsidRDefault="00AD27E8" w:rsidP="0037028C">
      <w:pPr>
        <w:pStyle w:val="Heading2"/>
      </w:pPr>
      <w:bookmarkStart w:id="25" w:name="_Toc235957320"/>
      <w:bookmarkStart w:id="26" w:name="_Toc244166822"/>
      <w:r>
        <w:t>Approach to</w:t>
      </w:r>
      <w:r w:rsidR="0037028C">
        <w:t xml:space="preserve"> delivery</w:t>
      </w:r>
      <w:bookmarkEnd w:id="25"/>
      <w:bookmarkEnd w:id="26"/>
    </w:p>
    <w:p w14:paraId="16A6E8B0" w14:textId="3B01F0F0" w:rsidR="0037028C" w:rsidRDefault="00425535" w:rsidP="0037028C">
      <w:pPr>
        <w:pStyle w:val="Body"/>
      </w:pPr>
      <w:r w:rsidRPr="00425535">
        <w:t>The roadmap translates strategic intent</w:t>
      </w:r>
      <w:r>
        <w:t xml:space="preserve"> and </w:t>
      </w:r>
      <w:r w:rsidR="00813E62">
        <w:t>outcomes</w:t>
      </w:r>
      <w:r w:rsidRPr="00425535">
        <w:t xml:space="preserve"> into a clear delivery model, supported by defined programs of work, sequencing and investment over time.</w:t>
      </w:r>
    </w:p>
    <w:p w14:paraId="68AF5F83" w14:textId="1E9C3B34" w:rsidR="00813E62" w:rsidRDefault="00813E62" w:rsidP="00813E62">
      <w:pPr>
        <w:pStyle w:val="Heading3"/>
      </w:pPr>
      <w:r>
        <w:t>Balancing foundational capability and transformation</w:t>
      </w:r>
    </w:p>
    <w:p w14:paraId="3F0461EC" w14:textId="23405189" w:rsidR="00611647" w:rsidRDefault="00611647" w:rsidP="00611647">
      <w:pPr>
        <w:pStyle w:val="Body"/>
      </w:pPr>
      <w:r>
        <w:t xml:space="preserve">The roadmap balances investment between foundational capability that creates consistent, statewide </w:t>
      </w:r>
      <w:r w:rsidR="00FE3615">
        <w:t>digital maturity</w:t>
      </w:r>
      <w:r>
        <w:t>, and transformation that delivers immediate improvements in care, access and system performance.</w:t>
      </w:r>
    </w:p>
    <w:p w14:paraId="262D8030" w14:textId="3FF97FB3" w:rsidR="00611647" w:rsidRDefault="00611647" w:rsidP="00611647">
      <w:pPr>
        <w:pStyle w:val="Body"/>
      </w:pPr>
      <w:r>
        <w:t xml:space="preserve">This is not a sequential </w:t>
      </w:r>
      <w:r w:rsidR="00420CF8">
        <w:t>‘</w:t>
      </w:r>
      <w:r>
        <w:t>foundations first, benefits later</w:t>
      </w:r>
      <w:r w:rsidR="00420CF8">
        <w:t>’</w:t>
      </w:r>
      <w:r>
        <w:t xml:space="preserve"> approach. It recognises that transformation can be progressed now where readiness exists, while continuing to build the shared platforms, standards and capabilities required to deliver consistent and scalable change across the system over time.</w:t>
      </w:r>
    </w:p>
    <w:p w14:paraId="3A9B8908" w14:textId="7A9D6F72" w:rsidR="00611647" w:rsidRDefault="00611647" w:rsidP="00611647">
      <w:pPr>
        <w:pStyle w:val="Body"/>
      </w:pPr>
      <w:r>
        <w:t>Foundational investment focuses on establishing the core enabling capability for the system</w:t>
      </w:r>
      <w:r w:rsidR="00E103C0">
        <w:t>,</w:t>
      </w:r>
      <w:r w:rsidR="00C644FC">
        <w:t xml:space="preserve"> </w:t>
      </w:r>
      <w:r>
        <w:t xml:space="preserve">including </w:t>
      </w:r>
      <w:r w:rsidR="00316193">
        <w:t>EMR</w:t>
      </w:r>
      <w:r>
        <w:t>, data and integration, reusable digital services and secure infrastructure</w:t>
      </w:r>
      <w:r w:rsidR="00C644FC">
        <w:t xml:space="preserve">, </w:t>
      </w:r>
      <w:r>
        <w:t>creating a consistent and adaptable base for future growth.</w:t>
      </w:r>
    </w:p>
    <w:p w14:paraId="7BE4B857" w14:textId="77777777" w:rsidR="00611647" w:rsidRDefault="00611647" w:rsidP="00611647">
      <w:pPr>
        <w:pStyle w:val="Body"/>
      </w:pPr>
      <w:r>
        <w:t>At the same time, transformation is delivered in priority areas where services are ready, supporting the adoption of new models of care, improved coordination and more efficient service delivery.</w:t>
      </w:r>
    </w:p>
    <w:p w14:paraId="53EED1E1" w14:textId="1080E9E7" w:rsidR="00813E62" w:rsidRDefault="00611647" w:rsidP="00611647">
      <w:pPr>
        <w:pStyle w:val="Body"/>
      </w:pPr>
      <w:r>
        <w:t>This approach delivers early value while reducing duplication and enabling innovation to be scaled, ensuring that benefits can be realised now and sustained across the system over the longer term.</w:t>
      </w:r>
    </w:p>
    <w:p w14:paraId="4F942B78" w14:textId="77777777" w:rsidR="00E01F1E" w:rsidRDefault="00E01F1E">
      <w:pPr>
        <w:spacing w:after="0" w:line="240" w:lineRule="auto"/>
        <w:rPr>
          <w:rFonts w:eastAsia="MS Gothic"/>
          <w:bCs/>
          <w:color w:val="53565A"/>
          <w:sz w:val="30"/>
          <w:szCs w:val="26"/>
        </w:rPr>
      </w:pPr>
      <w:r>
        <w:br w:type="page"/>
      </w:r>
    </w:p>
    <w:p w14:paraId="5209B5D3" w14:textId="2F6EFAB1" w:rsidR="00813E62" w:rsidRDefault="00485BD6" w:rsidP="00485BD6">
      <w:pPr>
        <w:pStyle w:val="Heading3"/>
      </w:pPr>
      <w:r>
        <w:lastRenderedPageBreak/>
        <w:t>Accelerators of delivery</w:t>
      </w:r>
    </w:p>
    <w:p w14:paraId="7F055C59" w14:textId="6BABC213" w:rsidR="009D23D3" w:rsidRDefault="009D23D3" w:rsidP="009D23D3">
      <w:pPr>
        <w:pStyle w:val="Body"/>
      </w:pPr>
      <w:r>
        <w:t xml:space="preserve">The roadmap is supported by a small number of </w:t>
      </w:r>
      <w:proofErr w:type="gramStart"/>
      <w:r>
        <w:t>system</w:t>
      </w:r>
      <w:proofErr w:type="gramEnd"/>
      <w:r>
        <w:rPr>
          <w:rFonts w:ascii="Cambria Math" w:hAnsi="Cambria Math" w:cs="Cambria Math"/>
        </w:rPr>
        <w:t>‑</w:t>
      </w:r>
      <w:r>
        <w:t>wide accelerators that strengthen delivery capability across all pillars and programs.</w:t>
      </w:r>
      <w:r w:rsidR="00EE016B">
        <w:t xml:space="preserve"> </w:t>
      </w:r>
      <w:r>
        <w:t>They ensure that key enablers</w:t>
      </w:r>
      <w:r w:rsidR="00EE016B">
        <w:t>,</w:t>
      </w:r>
      <w:r>
        <w:t xml:space="preserve"> such as workforce capability, innovation and the safe use of AI</w:t>
      </w:r>
      <w:r w:rsidR="00EE016B">
        <w:t>,</w:t>
      </w:r>
      <w:r>
        <w:t xml:space="preserve"> are built into delivery from the outset, enabling consistent implementation, reducing duplication and supporting scale across the system.</w:t>
      </w:r>
    </w:p>
    <w:p w14:paraId="376DD2BB" w14:textId="0BB4B341" w:rsidR="00485BD6" w:rsidRDefault="009D23D3" w:rsidP="009D23D3">
      <w:pPr>
        <w:pStyle w:val="Body"/>
      </w:pPr>
      <w:r>
        <w:t>Rather than standalone initiatives, these accelerators are embedded in how programs are designed and delivered, ensuring that new capability can be adopted, sustained and extended over time.</w:t>
      </w:r>
    </w:p>
    <w:p w14:paraId="208CFC17" w14:textId="6A6D2F85" w:rsidR="00485BD6" w:rsidRDefault="00485BD6" w:rsidP="00485BD6">
      <w:pPr>
        <w:pStyle w:val="Heading3"/>
      </w:pPr>
      <w:r>
        <w:t>Iterative and adaptive delivery</w:t>
      </w:r>
    </w:p>
    <w:p w14:paraId="40CD937D" w14:textId="2A6840E8" w:rsidR="00F35790" w:rsidRDefault="00F35790" w:rsidP="00F35790">
      <w:pPr>
        <w:pStyle w:val="Body"/>
      </w:pPr>
      <w:r>
        <w:t>The roadmap is designed to be iterative, recognising that system needs, technologies and priorities will continue to evolve.</w:t>
      </w:r>
    </w:p>
    <w:p w14:paraId="299FEE64" w14:textId="5A4B7449" w:rsidR="00F35790" w:rsidRDefault="006C56EF" w:rsidP="00F35790">
      <w:pPr>
        <w:pStyle w:val="Body"/>
      </w:pPr>
      <w:r>
        <w:t>D</w:t>
      </w:r>
      <w:r w:rsidR="00F35790">
        <w:t>elivery will be regularly reviewed and refined to remain aligned to system priorities and continue to deliver value. This includes ongoing assessment of progress against expected outcomes and benefits, ensuring that investment remains focused on initiatives that deliver measurable impact.</w:t>
      </w:r>
    </w:p>
    <w:p w14:paraId="77892CD8" w14:textId="77777777" w:rsidR="00F35790" w:rsidRDefault="00F35790" w:rsidP="00F35790">
      <w:pPr>
        <w:pStyle w:val="Body"/>
      </w:pPr>
      <w:r>
        <w:t>Where benefits are not being realised, investment will be re</w:t>
      </w:r>
      <w:r>
        <w:rPr>
          <w:rFonts w:ascii="Cambria Math" w:hAnsi="Cambria Math" w:cs="Cambria Math"/>
        </w:rPr>
        <w:t>‑</w:t>
      </w:r>
      <w:r>
        <w:t>evaluated and adjusted. This enables resources to be redirected to higher</w:t>
      </w:r>
      <w:r>
        <w:rPr>
          <w:rFonts w:ascii="Cambria Math" w:hAnsi="Cambria Math" w:cs="Cambria Math"/>
        </w:rPr>
        <w:t>‑</w:t>
      </w:r>
      <w:r>
        <w:t>value opportunities, while incorporating new capability and emerging priorities as they mature.</w:t>
      </w:r>
    </w:p>
    <w:p w14:paraId="2E9005CB" w14:textId="48F47A27" w:rsidR="00470B7B" w:rsidRPr="009E16E1" w:rsidRDefault="00F35790" w:rsidP="009E16E1">
      <w:pPr>
        <w:pStyle w:val="Body"/>
      </w:pPr>
      <w:r>
        <w:t>This approach supports a disciplined and responsive model of delivery, ensuring the roadmap can adapt over time without losing focus on outcomes, value and system impact.</w:t>
      </w:r>
      <w:bookmarkStart w:id="27" w:name="_Toc67160425"/>
      <w:bookmarkStart w:id="28" w:name="_Toc76623680"/>
      <w:r w:rsidR="00470B7B">
        <w:br w:type="page"/>
      </w:r>
    </w:p>
    <w:p w14:paraId="45C864AD" w14:textId="7460D163" w:rsidR="00C84D4E" w:rsidRDefault="00E020EE" w:rsidP="00C84D4E">
      <w:pPr>
        <w:pStyle w:val="Heading1"/>
      </w:pPr>
      <w:bookmarkStart w:id="29" w:name="_Toc244166823"/>
      <w:bookmarkStart w:id="30" w:name="_Toc235957321"/>
      <w:bookmarkStart w:id="31" w:name="_Toc240086190"/>
      <w:r>
        <w:lastRenderedPageBreak/>
        <w:t>Digital Health Roadmap 2026–31</w:t>
      </w:r>
      <w:bookmarkEnd w:id="29"/>
      <w:r>
        <w:t xml:space="preserve"> </w:t>
      </w:r>
      <w:bookmarkEnd w:id="30"/>
      <w:bookmarkEnd w:id="31"/>
    </w:p>
    <w:p w14:paraId="45F7DCFA" w14:textId="77777777" w:rsidR="008B5F6D" w:rsidRDefault="008B5F6D" w:rsidP="005563C4">
      <w:pPr>
        <w:pStyle w:val="Body"/>
      </w:pPr>
      <w:r w:rsidRPr="008B5F6D">
        <w:t>The roadmap provides a clear line of sight between the outcomes Victoria is seeking to achieve and the investments required to realise them.</w:t>
      </w:r>
    </w:p>
    <w:p w14:paraId="531C496E" w14:textId="2C7650BE" w:rsidR="00A1560D" w:rsidRDefault="005563C4" w:rsidP="005563C4">
      <w:pPr>
        <w:pStyle w:val="Body"/>
      </w:pPr>
      <w:r>
        <w:t xml:space="preserve">Four </w:t>
      </w:r>
      <w:r w:rsidR="006E251C">
        <w:t>strategic</w:t>
      </w:r>
      <w:r>
        <w:t xml:space="preserve"> pillars provide the organising structure for the roadmap, with each pillar comprising a series of programs of work that group related initiatives and investments around shared objectives. </w:t>
      </w:r>
      <w:r w:rsidR="00A1560D" w:rsidRPr="00A5524D">
        <w:t>Each pillar is supported by a set of design principles that guide investment, architecture and delivery decisions. Together, these principles help ensure initiatives are implemented consistently across the health system</w:t>
      </w:r>
      <w:r w:rsidR="00EE016B">
        <w:t>,</w:t>
      </w:r>
      <w:r w:rsidR="00A1560D" w:rsidRPr="00A5524D">
        <w:t xml:space="preserve"> while maintaining alignment to the roadmap's long</w:t>
      </w:r>
      <w:r w:rsidR="00A1560D" w:rsidRPr="00A5524D">
        <w:rPr>
          <w:rFonts w:ascii="Cambria Math" w:hAnsi="Cambria Math" w:cs="Cambria Math"/>
        </w:rPr>
        <w:t>‑</w:t>
      </w:r>
      <w:r w:rsidR="00A1560D" w:rsidRPr="00A5524D">
        <w:t>term outcomes.</w:t>
      </w:r>
      <w:r w:rsidR="00C340DB">
        <w:t xml:space="preserve"> </w:t>
      </w:r>
    </w:p>
    <w:p w14:paraId="03311AE9" w14:textId="07B01E8E" w:rsidR="00EE016B" w:rsidRDefault="00EE2285" w:rsidP="005563C4">
      <w:pPr>
        <w:pStyle w:val="Body"/>
      </w:pPr>
      <w:r w:rsidRPr="006653F6">
        <w:t>Three system-wide accelerators</w:t>
      </w:r>
      <w:r w:rsidR="00EE016B">
        <w:t xml:space="preserve"> </w:t>
      </w:r>
      <w:r w:rsidR="00E64159">
        <w:t xml:space="preserve">extend </w:t>
      </w:r>
      <w:r w:rsidR="00EE016B" w:rsidRPr="006653F6">
        <w:t xml:space="preserve">across all </w:t>
      </w:r>
      <w:r w:rsidR="00E64159">
        <w:t xml:space="preserve">four </w:t>
      </w:r>
      <w:r w:rsidR="00EE016B" w:rsidRPr="006653F6">
        <w:t>pillars, strengthening the system's ability to adopt, scale and sustain change.</w:t>
      </w:r>
    </w:p>
    <w:p w14:paraId="61D19671" w14:textId="1E24CC58" w:rsidR="00EE016B" w:rsidRDefault="00EE016B" w:rsidP="005563C4">
      <w:pPr>
        <w:pStyle w:val="Body"/>
      </w:pPr>
      <w:r>
        <w:t>The</w:t>
      </w:r>
      <w:r w:rsidR="00E64159">
        <w:t xml:space="preserve"> accelerators</w:t>
      </w:r>
      <w:r>
        <w:t xml:space="preserve"> are:</w:t>
      </w:r>
    </w:p>
    <w:p w14:paraId="3C720DB3" w14:textId="569A0B58" w:rsidR="00EE016B" w:rsidRDefault="00A67AAB" w:rsidP="00EE016B">
      <w:pPr>
        <w:pStyle w:val="Bullet1"/>
      </w:pPr>
      <w:r>
        <w:t>w</w:t>
      </w:r>
      <w:r w:rsidR="00EE2285" w:rsidRPr="006653F6">
        <w:t xml:space="preserve">orkforce </w:t>
      </w:r>
      <w:r w:rsidR="00E64159">
        <w:t>e</w:t>
      </w:r>
      <w:r w:rsidR="00EE2285" w:rsidRPr="006653F6">
        <w:t>nablement</w:t>
      </w:r>
    </w:p>
    <w:p w14:paraId="36CEBF75" w14:textId="4241B9C1" w:rsidR="00EE016B" w:rsidRDefault="00A67AAB" w:rsidP="00EE016B">
      <w:pPr>
        <w:pStyle w:val="Bullet1"/>
      </w:pPr>
      <w:r>
        <w:t>s</w:t>
      </w:r>
      <w:r w:rsidR="00EE2285" w:rsidRPr="006653F6">
        <w:t xml:space="preserve">caling </w:t>
      </w:r>
      <w:r w:rsidR="00E64159">
        <w:t>i</w:t>
      </w:r>
      <w:r w:rsidR="00EE2285" w:rsidRPr="006653F6">
        <w:t>nnovation</w:t>
      </w:r>
    </w:p>
    <w:p w14:paraId="617907FF" w14:textId="3FB6E9B5" w:rsidR="00EE016B" w:rsidRDefault="00A67AAB" w:rsidP="00EE016B">
      <w:pPr>
        <w:pStyle w:val="Bullet1"/>
      </w:pPr>
      <w:r>
        <w:t>s</w:t>
      </w:r>
      <w:r w:rsidR="00EE2285" w:rsidRPr="006653F6">
        <w:t xml:space="preserve">afe and </w:t>
      </w:r>
      <w:r w:rsidR="00E64159">
        <w:t>r</w:t>
      </w:r>
      <w:r w:rsidR="00EE2285" w:rsidRPr="006653F6">
        <w:t>esponsible AI</w:t>
      </w:r>
      <w:r w:rsidR="00EE016B">
        <w:t>.</w:t>
      </w:r>
    </w:p>
    <w:p w14:paraId="5BCC2606" w14:textId="13BB85B1" w:rsidR="00C75DA0" w:rsidRPr="00B033E2" w:rsidRDefault="00EE2285" w:rsidP="0074517F">
      <w:pPr>
        <w:pStyle w:val="Bodyafterbullets"/>
      </w:pPr>
      <w:r w:rsidRPr="006653F6">
        <w:t xml:space="preserve">Together, they ensure that </w:t>
      </w:r>
      <w:r>
        <w:t>key</w:t>
      </w:r>
      <w:r w:rsidRPr="006653F6">
        <w:t xml:space="preserve"> capabilities are embedded consistently across the roadmap</w:t>
      </w:r>
      <w:r w:rsidR="00E64159">
        <w:t>,</w:t>
      </w:r>
      <w:r w:rsidRPr="006653F6">
        <w:t xml:space="preserve"> rather than delivered in isolation</w:t>
      </w:r>
      <w:r w:rsidR="00E64159">
        <w:t xml:space="preserve"> (see Figure 1)</w:t>
      </w:r>
      <w:r w:rsidRPr="006653F6">
        <w:t>.</w:t>
      </w:r>
    </w:p>
    <w:p w14:paraId="0D40D452" w14:textId="485F4A44" w:rsidR="00E64159" w:rsidRDefault="005563C4" w:rsidP="005563C4">
      <w:pPr>
        <w:pStyle w:val="Body"/>
      </w:pPr>
      <w:r>
        <w:t>The roadmap adopts a horizon-base</w:t>
      </w:r>
      <w:r w:rsidR="007C3804">
        <w:t>d</w:t>
      </w:r>
      <w:r>
        <w:t xml:space="preserve"> approach to balance certainty with flexibility. Horizon 1 focuses on the next 12–24 months and includes defined initiatives that are sufficiently mature to support immediate planning, investment and delivery.</w:t>
      </w:r>
    </w:p>
    <w:p w14:paraId="3AA2CA11" w14:textId="6E4FA6C3" w:rsidR="005563C4" w:rsidRDefault="005563C4" w:rsidP="005563C4">
      <w:pPr>
        <w:pStyle w:val="Body"/>
      </w:pPr>
      <w:r>
        <w:t>Horizons 2 and 3 provide a longer-term direction of travel, identifying the capabilities and outcomes required to achieve the roadmap vision</w:t>
      </w:r>
      <w:r w:rsidR="00E64159">
        <w:t>,</w:t>
      </w:r>
      <w:r>
        <w:t xml:space="preserve"> while allowing future initiatives to evolve in response to changing priorities, emerging technologies, funding decisions and lessons learned through implementation.</w:t>
      </w:r>
    </w:p>
    <w:p w14:paraId="45D28DD3" w14:textId="04DB9578" w:rsidR="00666EA5" w:rsidRDefault="00F216ED" w:rsidP="005563C4">
      <w:pPr>
        <w:pStyle w:val="Body"/>
      </w:pPr>
      <w:r w:rsidRPr="00F216ED">
        <w:t>The roadmap provides a strategic investment framework that identifies the capabilities required to deliver Victoria's long-term digital health vision. While some initiatives are funded and ready for delivery, others will require further planning, business case development and future investment consideration.</w:t>
      </w:r>
    </w:p>
    <w:p w14:paraId="70C9F605" w14:textId="23C30B81" w:rsidR="00CB1285" w:rsidRPr="00C75DA0" w:rsidRDefault="00E266D9" w:rsidP="006B1456">
      <w:pPr>
        <w:pStyle w:val="Body"/>
        <w:spacing w:after="240"/>
      </w:pPr>
      <w:r w:rsidRPr="00E266D9">
        <w:t>To maintain flexibility while providing a clear long-term direction, delivery will be sequenced according to strategic priorities, dependencies, readiness and available funding. Annual roadmap reviews will assess progress, benefits realisation, emerging opportunities and system needs, enabling priorities, initiatives and investment pathways to be refined over time</w:t>
      </w:r>
      <w:r w:rsidR="006C58B7">
        <w:t>,</w:t>
      </w:r>
      <w:r w:rsidRPr="00E266D9">
        <w:t xml:space="preserve"> while maintaining alignment to the roadmap's long-term outcomes.</w:t>
      </w:r>
      <w:r w:rsidR="00C75DA0">
        <w:br w:type="page"/>
      </w:r>
    </w:p>
    <w:p w14:paraId="306B1AEE" w14:textId="7DC86EF8" w:rsidR="00A82593" w:rsidRPr="000111EC" w:rsidRDefault="00B91248" w:rsidP="00B2372C">
      <w:pPr>
        <w:pStyle w:val="Heading1"/>
        <w:numPr>
          <w:ilvl w:val="0"/>
          <w:numId w:val="8"/>
        </w:numPr>
        <w:rPr>
          <w:color w:val="315FAA"/>
        </w:rPr>
      </w:pPr>
      <w:bookmarkStart w:id="32" w:name="_Toc235957322"/>
      <w:bookmarkStart w:id="33" w:name="_Toc244166824"/>
      <w:r w:rsidRPr="000111EC">
        <w:rPr>
          <w:color w:val="315FAA"/>
        </w:rPr>
        <w:lastRenderedPageBreak/>
        <w:t xml:space="preserve">Connecting </w:t>
      </w:r>
      <w:r w:rsidR="0085473C">
        <w:rPr>
          <w:color w:val="315FAA"/>
        </w:rPr>
        <w:t>H</w:t>
      </w:r>
      <w:r w:rsidR="0085473C" w:rsidRPr="000111EC">
        <w:rPr>
          <w:color w:val="315FAA"/>
        </w:rPr>
        <w:t>ealth</w:t>
      </w:r>
      <w:bookmarkEnd w:id="32"/>
      <w:bookmarkEnd w:id="33"/>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64"/>
        <w:gridCol w:w="7912"/>
      </w:tblGrid>
      <w:tr w:rsidR="00A82593" w:rsidRPr="000111EC" w14:paraId="3532E030" w14:textId="77777777" w:rsidTr="00E17BDE">
        <w:trPr>
          <w:trHeight w:val="952"/>
        </w:trPr>
        <w:tc>
          <w:tcPr>
            <w:tcW w:w="1271" w:type="dxa"/>
            <w:vAlign w:val="center"/>
          </w:tcPr>
          <w:p w14:paraId="76D8C3B3" w14:textId="4E016E4B" w:rsidR="00A82593" w:rsidRPr="0074517F" w:rsidRDefault="00A82593" w:rsidP="0074517F">
            <w:pPr>
              <w:pStyle w:val="Body"/>
              <w:rPr>
                <w:sz w:val="28"/>
              </w:rPr>
            </w:pPr>
            <w:bookmarkStart w:id="34" w:name="_Toc235957323"/>
            <w:r w:rsidRPr="0074517F">
              <w:rPr>
                <w:sz w:val="28"/>
              </w:rPr>
              <w:t>Goal</w:t>
            </w:r>
            <w:bookmarkEnd w:id="34"/>
          </w:p>
        </w:tc>
        <w:tc>
          <w:tcPr>
            <w:tcW w:w="8017" w:type="dxa"/>
            <w:vAlign w:val="center"/>
          </w:tcPr>
          <w:p w14:paraId="74D89E03" w14:textId="6B80E1B1" w:rsidR="00A82593" w:rsidRPr="000111EC" w:rsidRDefault="00A82593" w:rsidP="00103E49">
            <w:pPr>
              <w:pStyle w:val="Body"/>
              <w:jc w:val="both"/>
              <w:rPr>
                <w:b/>
                <w:bCs/>
                <w:sz w:val="24"/>
                <w:szCs w:val="22"/>
              </w:rPr>
            </w:pPr>
            <w:r w:rsidRPr="00D45BA2">
              <w:rPr>
                <w:color w:val="595959" w:themeColor="text1" w:themeTint="A6"/>
              </w:rPr>
              <w:t>Seamless, secure and interoperable digital health infrastructure with real</w:t>
            </w:r>
            <w:r w:rsidR="006C58B7">
              <w:rPr>
                <w:color w:val="595959" w:themeColor="text1" w:themeTint="A6"/>
              </w:rPr>
              <w:t>-</w:t>
            </w:r>
            <w:r w:rsidRPr="00D45BA2">
              <w:rPr>
                <w:color w:val="595959" w:themeColor="text1" w:themeTint="A6"/>
              </w:rPr>
              <w:t xml:space="preserve">time access to </w:t>
            </w:r>
            <w:r w:rsidR="00431ADF" w:rsidRPr="00D45BA2">
              <w:rPr>
                <w:color w:val="595959" w:themeColor="text1" w:themeTint="A6"/>
              </w:rPr>
              <w:t>consumer health</w:t>
            </w:r>
            <w:r w:rsidRPr="00D45BA2">
              <w:rPr>
                <w:color w:val="595959" w:themeColor="text1" w:themeTint="A6"/>
              </w:rPr>
              <w:t xml:space="preserve"> information across the system</w:t>
            </w:r>
          </w:p>
        </w:tc>
      </w:tr>
    </w:tbl>
    <w:p w14:paraId="232C6CB2" w14:textId="120885DF" w:rsidR="00F73396" w:rsidRPr="0074517F" w:rsidRDefault="00894158" w:rsidP="00DC4B42">
      <w:pPr>
        <w:pStyle w:val="Heading2"/>
      </w:pPr>
      <w:bookmarkStart w:id="35" w:name="_Toc235957324"/>
      <w:bookmarkStart w:id="36" w:name="_Toc244166825"/>
      <w:r w:rsidRPr="0074517F">
        <w:t xml:space="preserve">From </w:t>
      </w:r>
      <w:r w:rsidR="00540E93" w:rsidRPr="0074517F">
        <w:t xml:space="preserve">paper to </w:t>
      </w:r>
      <w:r w:rsidR="00EE44A0" w:rsidRPr="0074517F">
        <w:t>intelligence</w:t>
      </w:r>
      <w:bookmarkEnd w:id="35"/>
      <w:bookmarkEnd w:id="36"/>
      <w:r w:rsidRPr="0074517F">
        <w:t xml:space="preserve"> </w:t>
      </w:r>
    </w:p>
    <w:p w14:paraId="120EC98D" w14:textId="3B6F5537" w:rsidR="00012746" w:rsidRDefault="00012746" w:rsidP="00CB6D3C">
      <w:pPr>
        <w:pStyle w:val="Body"/>
      </w:pPr>
      <w:r w:rsidRPr="00012746">
        <w:t>Victoria has established many of the building blocks of a modern digital health system. However, many</w:t>
      </w:r>
      <w:r w:rsidR="00586733">
        <w:t xml:space="preserve"> healthcare providers </w:t>
      </w:r>
      <w:r w:rsidRPr="00012746">
        <w:t xml:space="preserve">still rely on paper records, manual processes and information spread across multiple systems. </w:t>
      </w:r>
      <w:r w:rsidR="00383882" w:rsidRPr="00383882">
        <w:t xml:space="preserve">As care becomes increasingly connected and distributed, enabling information to move securely and seamlessly with the </w:t>
      </w:r>
      <w:r w:rsidR="00D652F2">
        <w:t>consumer</w:t>
      </w:r>
      <w:r w:rsidR="00383882" w:rsidRPr="00383882">
        <w:t xml:space="preserve"> is becoming essential to delivering safe, coordinated and efficient care.</w:t>
      </w:r>
    </w:p>
    <w:p w14:paraId="65C32FA6" w14:textId="7E8B65CE" w:rsidR="006C58B7" w:rsidRDefault="00CB6D3C" w:rsidP="000111EC">
      <w:pPr>
        <w:pStyle w:val="Body"/>
      </w:pPr>
      <w:r>
        <w:t xml:space="preserve">Connecting </w:t>
      </w:r>
      <w:r w:rsidR="0085473C">
        <w:t>H</w:t>
      </w:r>
      <w:r>
        <w:t xml:space="preserve">ealth addresses this challenge by creating the </w:t>
      </w:r>
      <w:r w:rsidR="00E55822">
        <w:t>digital health infrastructure</w:t>
      </w:r>
      <w:r w:rsidR="00DD2A8B">
        <w:t xml:space="preserve"> required</w:t>
      </w:r>
      <w:r>
        <w:t xml:space="preserve"> for a connected, interoperable and intelligence</w:t>
      </w:r>
      <w:r>
        <w:rPr>
          <w:rFonts w:ascii="Cambria Math" w:hAnsi="Cambria Math" w:cs="Cambria Math"/>
        </w:rPr>
        <w:t>‑</w:t>
      </w:r>
      <w:r>
        <w:t>enabled health system</w:t>
      </w:r>
      <w:r w:rsidR="008B62E6">
        <w:t>, supporting</w:t>
      </w:r>
      <w:r w:rsidR="00B74889">
        <w:t xml:space="preserve"> prevention,</w:t>
      </w:r>
      <w:r w:rsidR="008B62E6">
        <w:t xml:space="preserve"> earlier intervention and </w:t>
      </w:r>
      <w:r w:rsidR="00350EDE">
        <w:t>more effective</w:t>
      </w:r>
      <w:r w:rsidR="007E4D27">
        <w:t xml:space="preserve"> care</w:t>
      </w:r>
      <w:r>
        <w:t xml:space="preserve">. Through investment in </w:t>
      </w:r>
      <w:r w:rsidR="00316193">
        <w:t>EMR</w:t>
      </w:r>
      <w:r>
        <w:t xml:space="preserve">, information sharing and data foundations, </w:t>
      </w:r>
      <w:r w:rsidR="009F3432">
        <w:t xml:space="preserve">necessary health </w:t>
      </w:r>
      <w:r>
        <w:t xml:space="preserve">information can move securely and seamlessly with the </w:t>
      </w:r>
      <w:r w:rsidR="00EB0D24">
        <w:t>consumer</w:t>
      </w:r>
      <w:r>
        <w:t>, regardless of where care is delivered.</w:t>
      </w:r>
    </w:p>
    <w:p w14:paraId="2E014FCC" w14:textId="7A07C60E" w:rsidR="00CB6D3C" w:rsidRDefault="00C5072B" w:rsidP="000111EC">
      <w:pPr>
        <w:pStyle w:val="Body"/>
      </w:pPr>
      <w:r>
        <w:t xml:space="preserve">Data are </w:t>
      </w:r>
      <w:r w:rsidR="00C155BF">
        <w:t xml:space="preserve">digitised and liberated from systems of record </w:t>
      </w:r>
      <w:r w:rsidR="00140781">
        <w:t xml:space="preserve">and </w:t>
      </w:r>
      <w:r w:rsidR="00721D90">
        <w:t xml:space="preserve">securely </w:t>
      </w:r>
      <w:r w:rsidR="00140781">
        <w:t>made</w:t>
      </w:r>
      <w:r w:rsidR="00E077C7">
        <w:t xml:space="preserve"> </w:t>
      </w:r>
      <w:r w:rsidR="00140781">
        <w:t>available</w:t>
      </w:r>
      <w:r w:rsidR="00E077C7">
        <w:t xml:space="preserve"> wherever</w:t>
      </w:r>
      <w:r w:rsidR="00BF1F1E">
        <w:t xml:space="preserve"> needed</w:t>
      </w:r>
      <w:r w:rsidR="006C58B7">
        <w:t>,</w:t>
      </w:r>
      <w:r w:rsidR="00326C0D">
        <w:t xml:space="preserve"> </w:t>
      </w:r>
      <w:r w:rsidR="00751FDE">
        <w:t>enabling</w:t>
      </w:r>
      <w:r w:rsidR="00F56DEE" w:rsidRPr="0040782C">
        <w:t xml:space="preserve"> </w:t>
      </w:r>
      <w:r w:rsidR="00BB265F">
        <w:t>more infor</w:t>
      </w:r>
      <w:r w:rsidR="00F81AF6">
        <w:t xml:space="preserve">med </w:t>
      </w:r>
      <w:r w:rsidR="0040782C" w:rsidRPr="0040782C">
        <w:t>decision</w:t>
      </w:r>
      <w:r w:rsidR="0040782C" w:rsidRPr="0040782C">
        <w:rPr>
          <w:rFonts w:ascii="Cambria Math" w:hAnsi="Cambria Math" w:cs="Cambria Math"/>
        </w:rPr>
        <w:t>‑</w:t>
      </w:r>
      <w:r w:rsidR="0040782C" w:rsidRPr="0040782C">
        <w:t xml:space="preserve">making, </w:t>
      </w:r>
      <w:r w:rsidR="00C15DA0">
        <w:t xml:space="preserve">supporting </w:t>
      </w:r>
      <w:r w:rsidR="0040782C" w:rsidRPr="0040782C">
        <w:t xml:space="preserve">automation and </w:t>
      </w:r>
      <w:r w:rsidR="0077653F">
        <w:t xml:space="preserve">creating new opportunities for </w:t>
      </w:r>
      <w:r w:rsidR="0040782C" w:rsidRPr="0040782C">
        <w:t>innovation</w:t>
      </w:r>
      <w:r w:rsidR="0040782C">
        <w:t>.</w:t>
      </w:r>
    </w:p>
    <w:p w14:paraId="60FDF817" w14:textId="5ED48BF8" w:rsidR="006C58B7" w:rsidRDefault="00CB6D3C" w:rsidP="000111EC">
      <w:pPr>
        <w:pStyle w:val="Body"/>
      </w:pPr>
      <w:r>
        <w:t xml:space="preserve">The </w:t>
      </w:r>
      <w:r w:rsidR="002669CB">
        <w:t>target state architecture</w:t>
      </w:r>
      <w:r>
        <w:t xml:space="preserve"> represents a deliberate shift away from paper-based processes, isolated systems and monolithic technology platforms towards a modern, modular </w:t>
      </w:r>
      <w:r w:rsidR="00DD2A8B">
        <w:t>infrastructure</w:t>
      </w:r>
      <w:r>
        <w:t xml:space="preserve"> built on interoperability, shared data and open standards.</w:t>
      </w:r>
    </w:p>
    <w:p w14:paraId="035F12AA" w14:textId="61129DE3" w:rsidR="00CB6D3C" w:rsidRDefault="00A94E48" w:rsidP="000111EC">
      <w:pPr>
        <w:pStyle w:val="Body"/>
      </w:pPr>
      <w:r>
        <w:t>A</w:t>
      </w:r>
      <w:r w:rsidRPr="00A94E48">
        <w:t xml:space="preserve"> digital marketplace provides </w:t>
      </w:r>
      <w:r w:rsidR="00855AA6">
        <w:t>the</w:t>
      </w:r>
      <w:r w:rsidRPr="00A94E48">
        <w:t xml:space="preserve"> vehicle for new solutions to be adopted, integrated and scaled more efficiently across the health system, accelerating innovation</w:t>
      </w:r>
      <w:r w:rsidR="006C58B7">
        <w:t>,</w:t>
      </w:r>
      <w:r w:rsidRPr="00A94E48">
        <w:t xml:space="preserve"> while reducing duplication and integration complexity.</w:t>
      </w:r>
      <w:r w:rsidR="00855AA6">
        <w:t xml:space="preserve"> </w:t>
      </w:r>
      <w:r w:rsidR="00E313D3" w:rsidRPr="00E313D3">
        <w:t>Underpinning this approach is a strong commitment to privacy, security and trust, ensuring information is protected and used appropriately.</w:t>
      </w:r>
    </w:p>
    <w:p w14:paraId="5413F3BB" w14:textId="02EBAAE9" w:rsidR="006C58B7" w:rsidRDefault="002677DD" w:rsidP="00774F67">
      <w:pPr>
        <w:pStyle w:val="Body"/>
        <w:jc w:val="center"/>
      </w:pPr>
      <w:r>
        <w:t xml:space="preserve"> </w:t>
      </w:r>
    </w:p>
    <w:p w14:paraId="1C7A39A8" w14:textId="0280E927" w:rsidR="006C58B7" w:rsidRPr="005020E9" w:rsidRDefault="006C58B7" w:rsidP="0074517F">
      <w:pPr>
        <w:pStyle w:val="Figurecaption"/>
      </w:pPr>
      <w:r w:rsidRPr="005020E9">
        <w:lastRenderedPageBreak/>
        <w:t xml:space="preserve">Figure </w:t>
      </w:r>
      <w:r w:rsidR="0026320F">
        <w:t>1</w:t>
      </w:r>
      <w:r w:rsidR="00B97D44">
        <w:t>2</w:t>
      </w:r>
      <w:r>
        <w:t>.</w:t>
      </w:r>
      <w:r w:rsidRPr="005020E9">
        <w:t xml:space="preserve"> Target state architecture for Victoria’s connected health system</w:t>
      </w:r>
    </w:p>
    <w:p w14:paraId="6C67C347" w14:textId="7CF0C025" w:rsidR="003B5DE8" w:rsidRDefault="005407C6" w:rsidP="00774F67">
      <w:pPr>
        <w:pStyle w:val="Body"/>
        <w:jc w:val="center"/>
      </w:pPr>
      <w:r>
        <w:rPr>
          <w:noProof/>
        </w:rPr>
        <w:drawing>
          <wp:inline distT="0" distB="0" distL="0" distR="0" wp14:anchorId="43BF4BBD" wp14:editId="37EB6C62">
            <wp:extent cx="5826760" cy="3561715"/>
            <wp:effectExtent l="0" t="0" r="2540" b="635"/>
            <wp:docPr id="1602684071" name="Picture 81"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684071" name="Picture 81" descr="Accessible text equivalent provided in Appendix A."/>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5826760" cy="3561715"/>
                    </a:xfrm>
                    <a:prstGeom prst="rect">
                      <a:avLst/>
                    </a:prstGeom>
                    <a:noFill/>
                    <a:ln>
                      <a:noFill/>
                    </a:ln>
                  </pic:spPr>
                </pic:pic>
              </a:graphicData>
            </a:graphic>
          </wp:inline>
        </w:drawing>
      </w:r>
    </w:p>
    <w:p w14:paraId="49B9965F" w14:textId="6AD1145D" w:rsidR="00CB6D3C" w:rsidRPr="003E24B3" w:rsidRDefault="00CB6D3C" w:rsidP="00EC0D08">
      <w:pPr>
        <w:pStyle w:val="Bodyaftertablefigure"/>
      </w:pPr>
      <w:r>
        <w:t>By building on existing investments and investing in the capabilities emerging across the global health technology landscape, Victoria can improve care today</w:t>
      </w:r>
      <w:r w:rsidR="00C06B8F">
        <w:t>,</w:t>
      </w:r>
      <w:r>
        <w:t xml:space="preserve"> while creating the conditions for future transformation. </w:t>
      </w:r>
    </w:p>
    <w:p w14:paraId="070738DD" w14:textId="32AF0BCA" w:rsidR="006201A7" w:rsidRPr="00EC0D08" w:rsidRDefault="006201A7" w:rsidP="00DC4B42">
      <w:pPr>
        <w:pStyle w:val="Heading2"/>
      </w:pPr>
      <w:bookmarkStart w:id="37" w:name="_Toc235957325"/>
      <w:bookmarkStart w:id="38" w:name="_Toc244166826"/>
      <w:r w:rsidRPr="00EC0D08">
        <w:t>Design principles</w:t>
      </w:r>
      <w:bookmarkEnd w:id="37"/>
      <w:bookmarkEnd w:id="38"/>
    </w:p>
    <w:p w14:paraId="660F9060" w14:textId="77777777" w:rsidR="008D11B1" w:rsidRPr="000111EC" w:rsidRDefault="008D11B1" w:rsidP="00EC0D08">
      <w:pPr>
        <w:pStyle w:val="Heading3"/>
      </w:pPr>
      <w:r w:rsidRPr="000111EC">
        <w:t>Digital by default</w:t>
      </w:r>
    </w:p>
    <w:p w14:paraId="7E22AF7A" w14:textId="77777777" w:rsidR="008D11B1" w:rsidRPr="000111EC" w:rsidRDefault="008D11B1" w:rsidP="000111EC">
      <w:pPr>
        <w:rPr>
          <w:rFonts w:eastAsia="Times"/>
        </w:rPr>
      </w:pPr>
      <w:r w:rsidRPr="000111EC">
        <w:rPr>
          <w:rFonts w:eastAsia="Times"/>
        </w:rPr>
        <w:t>Information should be captured digitally at the source, reducing reliance on paper records, manual processes and duplicate data entry.</w:t>
      </w:r>
    </w:p>
    <w:p w14:paraId="13B2DE26" w14:textId="77777777" w:rsidR="008D11B1" w:rsidRPr="00C407A1" w:rsidRDefault="008D11B1" w:rsidP="00EC0D08">
      <w:pPr>
        <w:pStyle w:val="Heading3"/>
      </w:pPr>
      <w:r w:rsidRPr="00C407A1">
        <w:t>Interoperability by design</w:t>
      </w:r>
    </w:p>
    <w:p w14:paraId="500110F9" w14:textId="77777777" w:rsidR="008D11B1" w:rsidRPr="000111EC" w:rsidRDefault="008D11B1" w:rsidP="000111EC">
      <w:pPr>
        <w:rPr>
          <w:rFonts w:eastAsia="Times"/>
        </w:rPr>
      </w:pPr>
      <w:r w:rsidRPr="000111EC">
        <w:rPr>
          <w:rFonts w:eastAsia="Times"/>
        </w:rPr>
        <w:t>Information should flow securely and seamlessly across systems, organisations and care settings using open standards and shared approaches to data exchange.</w:t>
      </w:r>
    </w:p>
    <w:p w14:paraId="4CBDC18E" w14:textId="77777777" w:rsidR="006079B9" w:rsidRPr="006079B9" w:rsidRDefault="006079B9" w:rsidP="00EC0D08">
      <w:pPr>
        <w:pStyle w:val="Heading3"/>
      </w:pPr>
      <w:r w:rsidRPr="006079B9">
        <w:t>Data liberated, not replicated</w:t>
      </w:r>
    </w:p>
    <w:p w14:paraId="0219A0C1" w14:textId="1F14E1FB" w:rsidR="006079B9" w:rsidRDefault="006079B9" w:rsidP="006079B9">
      <w:pPr>
        <w:rPr>
          <w:rFonts w:eastAsia="Times"/>
        </w:rPr>
      </w:pPr>
      <w:r w:rsidRPr="006079B9">
        <w:rPr>
          <w:rFonts w:eastAsia="Times"/>
        </w:rPr>
        <w:t>Data should be accessible where it is needed without creating unnecessary duplication, supporting a single, trusted source of information</w:t>
      </w:r>
      <w:r w:rsidR="00C06B8F">
        <w:rPr>
          <w:rFonts w:eastAsia="Times"/>
        </w:rPr>
        <w:t>,</w:t>
      </w:r>
      <w:r w:rsidRPr="006079B9">
        <w:rPr>
          <w:rFonts w:eastAsia="Times"/>
        </w:rPr>
        <w:t xml:space="preserve"> while enabling broader use across the health system.</w:t>
      </w:r>
    </w:p>
    <w:p w14:paraId="5E02836A" w14:textId="77777777" w:rsidR="008D11B1" w:rsidRPr="006079B9" w:rsidRDefault="008D11B1" w:rsidP="00EC0D08">
      <w:pPr>
        <w:pStyle w:val="Heading3"/>
      </w:pPr>
      <w:r w:rsidRPr="006079B9">
        <w:t>Privacy, security and trust built in</w:t>
      </w:r>
    </w:p>
    <w:p w14:paraId="21786C86" w14:textId="77777777" w:rsidR="008D11B1" w:rsidRPr="000111EC" w:rsidRDefault="008D11B1" w:rsidP="000111EC">
      <w:pPr>
        <w:rPr>
          <w:rFonts w:eastAsia="Times"/>
        </w:rPr>
      </w:pPr>
      <w:r w:rsidRPr="000111EC">
        <w:rPr>
          <w:rFonts w:eastAsia="Times"/>
        </w:rPr>
        <w:t>Privacy, security and appropriate use of information must be embedded into the design of systems, platforms and data sharing arrangements from the outset.</w:t>
      </w:r>
    </w:p>
    <w:p w14:paraId="23E8238D" w14:textId="77777777" w:rsidR="008D11B1" w:rsidRPr="00E938EC" w:rsidRDefault="008D11B1" w:rsidP="00EC0D08">
      <w:pPr>
        <w:pStyle w:val="Heading3"/>
      </w:pPr>
      <w:r w:rsidRPr="00E938EC">
        <w:lastRenderedPageBreak/>
        <w:t>Shared and scalable</w:t>
      </w:r>
    </w:p>
    <w:p w14:paraId="70C10489" w14:textId="77777777" w:rsidR="00CC0211" w:rsidRDefault="0013315D" w:rsidP="00956017">
      <w:pPr>
        <w:rPr>
          <w:rFonts w:eastAsia="Times"/>
        </w:rPr>
      </w:pPr>
      <w:r w:rsidRPr="0013315D">
        <w:rPr>
          <w:rFonts w:eastAsia="Times"/>
        </w:rPr>
        <w:t>Digital capabilities should be delivered through shared platforms, reusable services and modular architectures that build on existing investments, reduce duplication and enable innovation to be adopted and scaled across the system.</w:t>
      </w:r>
    </w:p>
    <w:p w14:paraId="09760637" w14:textId="408AAC4E" w:rsidR="0066306E" w:rsidRPr="00EC0D08" w:rsidRDefault="00CC0211" w:rsidP="00DC4B42">
      <w:pPr>
        <w:pStyle w:val="Heading2"/>
      </w:pPr>
      <w:bookmarkStart w:id="39" w:name="_Toc235957326"/>
      <w:bookmarkStart w:id="40" w:name="_Toc244166827"/>
      <w:r w:rsidRPr="00EC0D08">
        <w:t>Programs of work</w:t>
      </w:r>
      <w:bookmarkEnd w:id="39"/>
      <w:bookmarkEnd w:id="40"/>
    </w:p>
    <w:p w14:paraId="12625244" w14:textId="1C966B59" w:rsidR="0066306E" w:rsidRPr="0066306E" w:rsidRDefault="008E3702" w:rsidP="00B2372C">
      <w:pPr>
        <w:pStyle w:val="Heading3"/>
        <w:numPr>
          <w:ilvl w:val="1"/>
          <w:numId w:val="7"/>
        </w:numPr>
        <w:spacing w:after="360"/>
      </w:pPr>
      <w:r w:rsidRPr="00C90C63">
        <w:rPr>
          <w:color w:val="315FAA"/>
        </w:rPr>
        <w:t xml:space="preserve">Digitised </w:t>
      </w:r>
      <w:r w:rsidR="00821D17">
        <w:rPr>
          <w:color w:val="315FAA"/>
        </w:rPr>
        <w:t>C</w:t>
      </w:r>
      <w:r w:rsidRPr="00C90C63">
        <w:rPr>
          <w:color w:val="315FAA"/>
        </w:rPr>
        <w:t xml:space="preserve">linical </w:t>
      </w:r>
      <w:r w:rsidR="00821D17">
        <w:rPr>
          <w:color w:val="315FAA"/>
        </w:rPr>
        <w:t>R</w:t>
      </w:r>
      <w:r w:rsidRPr="00C90C63">
        <w:rPr>
          <w:color w:val="315FAA"/>
        </w:rPr>
        <w:t>ecords</w:t>
      </w:r>
    </w:p>
    <w:tbl>
      <w:tblPr>
        <w:tblStyle w:val="TableGrid"/>
        <w:tblW w:w="0" w:type="auto"/>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1297"/>
        <w:gridCol w:w="7869"/>
      </w:tblGrid>
      <w:tr w:rsidR="00B102C5" w:rsidRPr="00DF194B" w14:paraId="58104840" w14:textId="77777777" w:rsidTr="00E45458">
        <w:trPr>
          <w:trHeight w:val="952"/>
        </w:trPr>
        <w:tc>
          <w:tcPr>
            <w:tcW w:w="1297" w:type="dxa"/>
            <w:vAlign w:val="center"/>
          </w:tcPr>
          <w:p w14:paraId="2B6FC181" w14:textId="12D1178C" w:rsidR="00B102C5" w:rsidRPr="00F34761" w:rsidRDefault="00B102C5" w:rsidP="00F34761">
            <w:pPr>
              <w:pStyle w:val="Body"/>
              <w:rPr>
                <w:b/>
              </w:rPr>
            </w:pPr>
            <w:r w:rsidRPr="00F34761">
              <w:rPr>
                <w:b/>
                <w:color w:val="595959" w:themeColor="text1" w:themeTint="A6"/>
                <w:sz w:val="24"/>
                <w:szCs w:val="24"/>
              </w:rPr>
              <w:t>Objective</w:t>
            </w:r>
          </w:p>
        </w:tc>
        <w:tc>
          <w:tcPr>
            <w:tcW w:w="7971" w:type="dxa"/>
            <w:vAlign w:val="center"/>
          </w:tcPr>
          <w:p w14:paraId="795F4CC0" w14:textId="04432806" w:rsidR="00B102C5" w:rsidRPr="000111EC" w:rsidRDefault="00A957C8" w:rsidP="00103E49">
            <w:pPr>
              <w:pStyle w:val="Body"/>
              <w:jc w:val="both"/>
              <w:rPr>
                <w:b/>
                <w:bCs/>
                <w:szCs w:val="21"/>
              </w:rPr>
            </w:pPr>
            <w:r w:rsidRPr="00B264F2">
              <w:rPr>
                <w:color w:val="595959" w:themeColor="text1" w:themeTint="A6"/>
              </w:rPr>
              <w:t xml:space="preserve">Expanding and modernising digitised </w:t>
            </w:r>
            <w:r w:rsidR="00B06ED9" w:rsidRPr="00D45BA2">
              <w:rPr>
                <w:color w:val="595959" w:themeColor="text1" w:themeTint="A6"/>
              </w:rPr>
              <w:t xml:space="preserve">clinical </w:t>
            </w:r>
            <w:r w:rsidRPr="00D45BA2">
              <w:rPr>
                <w:color w:val="595959" w:themeColor="text1" w:themeTint="A6"/>
              </w:rPr>
              <w:t>records across all health services to reduce reliance on paper</w:t>
            </w:r>
            <w:r w:rsidRPr="00D45BA2">
              <w:rPr>
                <w:rFonts w:ascii="Cambria Math" w:hAnsi="Cambria Math" w:cs="Cambria Math"/>
                <w:color w:val="595959" w:themeColor="text1" w:themeTint="A6"/>
              </w:rPr>
              <w:t>‑</w:t>
            </w:r>
            <w:r w:rsidRPr="00D45BA2">
              <w:rPr>
                <w:color w:val="595959" w:themeColor="text1" w:themeTint="A6"/>
              </w:rPr>
              <w:t>based processes</w:t>
            </w:r>
            <w:r w:rsidR="00C06B8F">
              <w:rPr>
                <w:color w:val="595959" w:themeColor="text1" w:themeTint="A6"/>
              </w:rPr>
              <w:t>,</w:t>
            </w:r>
            <w:r w:rsidRPr="00D45BA2">
              <w:rPr>
                <w:color w:val="595959" w:themeColor="text1" w:themeTint="A6"/>
              </w:rPr>
              <w:t xml:space="preserve"> and improve safety and quality of care</w:t>
            </w:r>
          </w:p>
        </w:tc>
      </w:tr>
    </w:tbl>
    <w:p w14:paraId="696AA01E" w14:textId="04AF842F" w:rsidR="00B102C5" w:rsidRPr="004E7851" w:rsidRDefault="00E927E1" w:rsidP="000111EC">
      <w:pPr>
        <w:pStyle w:val="Body"/>
        <w:spacing w:before="120"/>
      </w:pPr>
      <w:r w:rsidRPr="004E7851">
        <w:t>Th</w:t>
      </w:r>
      <w:r w:rsidR="00FB368A">
        <w:t>e</w:t>
      </w:r>
      <w:r w:rsidR="00FB368A" w:rsidRPr="00FB368A">
        <w:t xml:space="preserve"> Digitised </w:t>
      </w:r>
      <w:r w:rsidR="00821D17">
        <w:t>C</w:t>
      </w:r>
      <w:r w:rsidR="00FB368A" w:rsidRPr="00FB368A">
        <w:t xml:space="preserve">linical </w:t>
      </w:r>
      <w:r w:rsidR="00821D17">
        <w:t>R</w:t>
      </w:r>
      <w:r w:rsidR="00FB368A" w:rsidRPr="00FB368A">
        <w:t xml:space="preserve">ecords </w:t>
      </w:r>
      <w:r w:rsidRPr="004E7851">
        <w:t xml:space="preserve">program </w:t>
      </w:r>
      <w:r w:rsidR="00FB368A">
        <w:t xml:space="preserve">of work </w:t>
      </w:r>
      <w:r w:rsidRPr="004E7851">
        <w:t xml:space="preserve">builds on Victoria’s existing investments in </w:t>
      </w:r>
      <w:r w:rsidR="00316193">
        <w:t>EMR</w:t>
      </w:r>
      <w:r w:rsidR="00C06B8F">
        <w:t>,</w:t>
      </w:r>
      <w:r w:rsidRPr="004E7851">
        <w:t xml:space="preserve"> while addressing ongoing reliance on paper records, fragmented information</w:t>
      </w:r>
      <w:r w:rsidR="00C06B8F">
        <w:t>,</w:t>
      </w:r>
      <w:r w:rsidRPr="004E7851">
        <w:t xml:space="preserve"> and ageing clinical and administrative systems. </w:t>
      </w:r>
    </w:p>
    <w:p w14:paraId="68BD7CE5" w14:textId="7701DBD5" w:rsidR="004E7851" w:rsidRPr="000111EC" w:rsidRDefault="004E7851" w:rsidP="000111EC">
      <w:pPr>
        <w:pStyle w:val="Body"/>
      </w:pPr>
      <w:r w:rsidRPr="000111EC">
        <w:t xml:space="preserve">In Horizon 1, the focus is on </w:t>
      </w:r>
      <w:r w:rsidR="005F091C">
        <w:t xml:space="preserve">progressing </w:t>
      </w:r>
      <w:r w:rsidRPr="000111EC">
        <w:t xml:space="preserve">delivery of key statewide capabilities, including </w:t>
      </w:r>
      <w:r w:rsidR="005848DA">
        <w:t>EMR</w:t>
      </w:r>
      <w:r w:rsidRPr="000111EC">
        <w:t xml:space="preserve"> and </w:t>
      </w:r>
      <w:r w:rsidR="00B700C3">
        <w:t>contemporary</w:t>
      </w:r>
      <w:r w:rsidRPr="000111EC">
        <w:t xml:space="preserve"> </w:t>
      </w:r>
      <w:r w:rsidR="00D431FA">
        <w:t>p</w:t>
      </w:r>
      <w:r w:rsidRPr="000111EC">
        <w:t xml:space="preserve">atient </w:t>
      </w:r>
      <w:r w:rsidR="00D431FA">
        <w:t>a</w:t>
      </w:r>
      <w:r w:rsidRPr="000111EC">
        <w:t xml:space="preserve">dministration </w:t>
      </w:r>
      <w:r w:rsidR="00D431FA">
        <w:t>s</w:t>
      </w:r>
      <w:r w:rsidRPr="000111EC">
        <w:t xml:space="preserve">ystems, </w:t>
      </w:r>
      <w:r w:rsidR="00043ECF">
        <w:t>as well as</w:t>
      </w:r>
      <w:r w:rsidRPr="000111EC">
        <w:t xml:space="preserve"> completing delivery of the Mental Health and Wellbeing Client Management System. </w:t>
      </w:r>
    </w:p>
    <w:p w14:paraId="4136C420" w14:textId="4CA254DF" w:rsidR="00043ECF" w:rsidRDefault="004E7851" w:rsidP="000111EC">
      <w:pPr>
        <w:pStyle w:val="Body"/>
      </w:pPr>
      <w:r w:rsidRPr="000111EC">
        <w:t>Across Horizons 2 and 3, the focus shifts to scaling, embedding and optimising these foundational capabilities across the health system. This includes</w:t>
      </w:r>
      <w:r w:rsidR="00043ECF">
        <w:t>:</w:t>
      </w:r>
    </w:p>
    <w:p w14:paraId="5BB18FDB" w14:textId="1A3FFE3D" w:rsidR="00043ECF" w:rsidRDefault="004E7851" w:rsidP="00043ECF">
      <w:pPr>
        <w:pStyle w:val="Bullet1"/>
      </w:pPr>
      <w:r w:rsidRPr="000111EC">
        <w:t xml:space="preserve">continued delivery of </w:t>
      </w:r>
      <w:r w:rsidR="005848DA">
        <w:t>EMR</w:t>
      </w:r>
      <w:r w:rsidRPr="000111EC">
        <w:t xml:space="preserve"> and </w:t>
      </w:r>
      <w:r w:rsidR="00384D5C">
        <w:t>p</w:t>
      </w:r>
      <w:r w:rsidRPr="000111EC">
        <w:t xml:space="preserve">atient </w:t>
      </w:r>
      <w:r w:rsidR="00384D5C">
        <w:t>a</w:t>
      </w:r>
      <w:r w:rsidRPr="000111EC">
        <w:t xml:space="preserve">dministration </w:t>
      </w:r>
      <w:r w:rsidR="00384D5C">
        <w:t>s</w:t>
      </w:r>
      <w:r w:rsidRPr="000111EC">
        <w:t>ystem modernisation</w:t>
      </w:r>
    </w:p>
    <w:p w14:paraId="70F38333" w14:textId="4F1249C7" w:rsidR="00043ECF" w:rsidRDefault="00F0093F" w:rsidP="00043ECF">
      <w:pPr>
        <w:pStyle w:val="Bullet1"/>
      </w:pPr>
      <w:r w:rsidRPr="00F0093F">
        <w:t xml:space="preserve">expanding access to core </w:t>
      </w:r>
      <w:r w:rsidR="005848DA">
        <w:t>EMR</w:t>
      </w:r>
      <w:r w:rsidRPr="00F0093F">
        <w:t xml:space="preserve"> functionality where gaps remain</w:t>
      </w:r>
    </w:p>
    <w:p w14:paraId="16A6CB68" w14:textId="116651EB" w:rsidR="00043ECF" w:rsidRDefault="004E7851" w:rsidP="00043ECF">
      <w:pPr>
        <w:pStyle w:val="Bullet1"/>
      </w:pPr>
      <w:r w:rsidRPr="000111EC">
        <w:t>optimising the value realised from the Mental Health and Wellbeing Client Management System</w:t>
      </w:r>
    </w:p>
    <w:p w14:paraId="2C38E779" w14:textId="5F3C0C13" w:rsidR="00043ECF" w:rsidRDefault="004E7851" w:rsidP="00043ECF">
      <w:pPr>
        <w:pStyle w:val="Bullet1"/>
      </w:pPr>
      <w:r w:rsidRPr="000111EC">
        <w:t>addressing priority areas where ageing clinical systems constrain care delivery.</w:t>
      </w:r>
    </w:p>
    <w:p w14:paraId="486D3AED" w14:textId="399502D1" w:rsidR="004E7851" w:rsidRPr="000111EC" w:rsidRDefault="004E7851" w:rsidP="00EC0D08">
      <w:pPr>
        <w:pStyle w:val="Bodyafterbullets"/>
      </w:pPr>
      <w:r w:rsidRPr="000111EC">
        <w:t>Over time, the program expands digital clinical record capability to support emerging models of care and key reform priorities, including areas such as maternity care and other specialised clinical domains.</w:t>
      </w:r>
    </w:p>
    <w:p w14:paraId="7125DDFD" w14:textId="51A0E463" w:rsidR="00FB3E99" w:rsidRPr="00E54D46" w:rsidRDefault="00353392" w:rsidP="00B2372C">
      <w:pPr>
        <w:pStyle w:val="Heading3"/>
        <w:numPr>
          <w:ilvl w:val="1"/>
          <w:numId w:val="7"/>
        </w:numPr>
        <w:spacing w:after="360"/>
        <w:rPr>
          <w:color w:val="315FAA"/>
        </w:rPr>
      </w:pPr>
      <w:r w:rsidRPr="00C90C63">
        <w:rPr>
          <w:color w:val="315FAA"/>
        </w:rPr>
        <w:t xml:space="preserve">Seamless </w:t>
      </w:r>
      <w:r w:rsidR="00821D17" w:rsidRPr="00C90C63">
        <w:rPr>
          <w:color w:val="315FAA"/>
        </w:rPr>
        <w:t>Health Information Sharing</w:t>
      </w:r>
      <w:r w:rsidR="00821D17" w:rsidRPr="00C90C63">
        <w:rPr>
          <w:noProof/>
          <w:color w:val="315FAA"/>
        </w:rPr>
        <w:t xml:space="preserve"> </w:t>
      </w:r>
    </w:p>
    <w:tbl>
      <w:tblPr>
        <w:tblStyle w:val="TableGrid"/>
        <w:tblW w:w="0" w:type="auto"/>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1297"/>
        <w:gridCol w:w="7869"/>
      </w:tblGrid>
      <w:tr w:rsidR="00353392" w:rsidRPr="00DF194B" w14:paraId="5701B7EA" w14:textId="77777777" w:rsidTr="00E45458">
        <w:trPr>
          <w:trHeight w:val="952"/>
        </w:trPr>
        <w:tc>
          <w:tcPr>
            <w:tcW w:w="1297" w:type="dxa"/>
            <w:vAlign w:val="center"/>
          </w:tcPr>
          <w:p w14:paraId="6017AD00" w14:textId="77777777" w:rsidR="00353392" w:rsidRPr="0075673F" w:rsidRDefault="00353392" w:rsidP="006F5FCE">
            <w:pPr>
              <w:pStyle w:val="Body"/>
            </w:pPr>
            <w:r w:rsidRPr="006F5FCE">
              <w:rPr>
                <w:b/>
                <w:color w:val="595959" w:themeColor="text1" w:themeTint="A6"/>
                <w:sz w:val="24"/>
                <w:szCs w:val="24"/>
              </w:rPr>
              <w:t>Objective</w:t>
            </w:r>
          </w:p>
        </w:tc>
        <w:tc>
          <w:tcPr>
            <w:tcW w:w="7971" w:type="dxa"/>
            <w:vAlign w:val="center"/>
          </w:tcPr>
          <w:p w14:paraId="0754B072" w14:textId="032235FD" w:rsidR="00353392" w:rsidRPr="00DF194B" w:rsidRDefault="00442271" w:rsidP="00103E49">
            <w:pPr>
              <w:pStyle w:val="Body"/>
              <w:jc w:val="both"/>
              <w:rPr>
                <w:b/>
                <w:bCs/>
                <w:szCs w:val="21"/>
              </w:rPr>
            </w:pPr>
            <w:r w:rsidRPr="00B264F2">
              <w:rPr>
                <w:color w:val="595959" w:themeColor="text1" w:themeTint="A6"/>
              </w:rPr>
              <w:t>Enabling clinical information to be securely accessed and shared across the health system to support continuity and coordination of care</w:t>
            </w:r>
          </w:p>
        </w:tc>
      </w:tr>
    </w:tbl>
    <w:p w14:paraId="02B1E134" w14:textId="20703CA6" w:rsidR="00442271" w:rsidRDefault="00C230B9" w:rsidP="00C230B9">
      <w:pPr>
        <w:pStyle w:val="Body"/>
        <w:spacing w:before="120"/>
      </w:pPr>
      <w:r w:rsidRPr="00C230B9">
        <w:t>Building on foundational capabilities</w:t>
      </w:r>
      <w:r w:rsidR="00043ECF">
        <w:t>,</w:t>
      </w:r>
      <w:r w:rsidRPr="00C230B9">
        <w:t xml:space="preserve"> such as </w:t>
      </w:r>
      <w:proofErr w:type="spellStart"/>
      <w:r w:rsidRPr="00C230B9">
        <w:t>CareSync</w:t>
      </w:r>
      <w:proofErr w:type="spellEnd"/>
      <w:r w:rsidRPr="00C230B9">
        <w:t xml:space="preserve"> Exchange</w:t>
      </w:r>
      <w:r>
        <w:t xml:space="preserve"> and Unique Patient </w:t>
      </w:r>
      <w:r w:rsidR="00AE4769">
        <w:t>Identification</w:t>
      </w:r>
      <w:r w:rsidRPr="00C230B9">
        <w:t xml:space="preserve">, </w:t>
      </w:r>
      <w:r w:rsidR="00AE4769">
        <w:t>th</w:t>
      </w:r>
      <w:r w:rsidR="00817BE7">
        <w:t xml:space="preserve">e </w:t>
      </w:r>
      <w:r w:rsidR="00817BE7" w:rsidRPr="00817BE7">
        <w:t xml:space="preserve">Seamless </w:t>
      </w:r>
      <w:r w:rsidR="00821D17" w:rsidRPr="00817BE7">
        <w:t>Health Information</w:t>
      </w:r>
      <w:r w:rsidR="00821D17">
        <w:t xml:space="preserve"> Sharing</w:t>
      </w:r>
      <w:r w:rsidR="00821D17" w:rsidRPr="00817BE7" w:rsidDel="00817BE7">
        <w:t xml:space="preserve"> </w:t>
      </w:r>
      <w:r w:rsidR="00AE4769">
        <w:t>program</w:t>
      </w:r>
      <w:r w:rsidRPr="00C230B9">
        <w:t xml:space="preserve"> </w:t>
      </w:r>
      <w:r w:rsidR="00FB368A">
        <w:t xml:space="preserve">of work </w:t>
      </w:r>
      <w:r w:rsidRPr="00C230B9">
        <w:t xml:space="preserve">creates the pathways, standards and governance required for information to flow across organisations, care settings and jurisdictions. </w:t>
      </w:r>
    </w:p>
    <w:p w14:paraId="31568658" w14:textId="13BEE7DE" w:rsidR="00EE687D" w:rsidRDefault="00EE687D" w:rsidP="00EE687D">
      <w:pPr>
        <w:pStyle w:val="Body"/>
        <w:spacing w:before="120"/>
      </w:pPr>
      <w:r>
        <w:t xml:space="preserve">In Horizon 1, the focus is on completing delivery of the current </w:t>
      </w:r>
      <w:proofErr w:type="spellStart"/>
      <w:r>
        <w:t>CareSync</w:t>
      </w:r>
      <w:proofErr w:type="spellEnd"/>
      <w:r>
        <w:t xml:space="preserve"> Exchange scope, implementing </w:t>
      </w:r>
      <w:r w:rsidR="00B614AD">
        <w:t xml:space="preserve">Program </w:t>
      </w:r>
      <w:proofErr w:type="spellStart"/>
      <w:r>
        <w:t>Wominjeka</w:t>
      </w:r>
      <w:proofErr w:type="spellEnd"/>
      <w:r>
        <w:t xml:space="preserve"> across Aboriginal Community Controlled Organisations</w:t>
      </w:r>
      <w:r w:rsidR="001C0194">
        <w:t xml:space="preserve"> (ACCOs)</w:t>
      </w:r>
      <w:r>
        <w:t xml:space="preserve">, progressing statewide adoption of Healthcare Identifiers, and expanding digital referral and referral management capability. </w:t>
      </w:r>
      <w:r w:rsidR="00557967">
        <w:t xml:space="preserve">Delivery </w:t>
      </w:r>
      <w:r>
        <w:t xml:space="preserve">will also focus on securing the legislative, policy and </w:t>
      </w:r>
      <w:r>
        <w:lastRenderedPageBreak/>
        <w:t>funding foundations required to support broader information sharing</w:t>
      </w:r>
      <w:r w:rsidR="000F7886">
        <w:t xml:space="preserve"> </w:t>
      </w:r>
      <w:r>
        <w:t>and priority expansion use cases</w:t>
      </w:r>
      <w:r w:rsidR="00043ECF">
        <w:t>,</w:t>
      </w:r>
      <w:r>
        <w:t xml:space="preserve"> such as diagnostic imag</w:t>
      </w:r>
      <w:r w:rsidR="003B4D2A">
        <w:t>e sharing</w:t>
      </w:r>
      <w:r>
        <w:t>.</w:t>
      </w:r>
    </w:p>
    <w:p w14:paraId="417921E0" w14:textId="529E9F02" w:rsidR="00EE687D" w:rsidRDefault="00EE687D" w:rsidP="00EE687D">
      <w:pPr>
        <w:pStyle w:val="Body"/>
        <w:spacing w:before="120"/>
      </w:pPr>
      <w:r>
        <w:t xml:space="preserve">Across Horizons 2 and 3, the program progressively expands information sharing across </w:t>
      </w:r>
      <w:r w:rsidR="00043ECF">
        <w:t>other</w:t>
      </w:r>
      <w:r>
        <w:t xml:space="preserve"> </w:t>
      </w:r>
      <w:r w:rsidR="00114037">
        <w:t>clinical</w:t>
      </w:r>
      <w:r>
        <w:t xml:space="preserve"> domains, providers and care settings. This includes scaling priority information</w:t>
      </w:r>
      <w:r w:rsidR="00017823">
        <w:t xml:space="preserve"> </w:t>
      </w:r>
      <w:r>
        <w:t>sharing use cases, strengthening participation in national information</w:t>
      </w:r>
      <w:r w:rsidR="00017823">
        <w:t xml:space="preserve"> </w:t>
      </w:r>
      <w:r>
        <w:t>sharing initiatives and increasing access to connected clinical information wherever care is delivered.</w:t>
      </w:r>
    </w:p>
    <w:p w14:paraId="28061F51" w14:textId="24668681" w:rsidR="009A17DA" w:rsidRPr="0080037B" w:rsidRDefault="00442271" w:rsidP="00B2372C">
      <w:pPr>
        <w:pStyle w:val="Heading3"/>
        <w:numPr>
          <w:ilvl w:val="1"/>
          <w:numId w:val="7"/>
        </w:numPr>
        <w:spacing w:after="360"/>
        <w:rPr>
          <w:color w:val="315FAA"/>
        </w:rPr>
      </w:pPr>
      <w:r w:rsidRPr="00C90C63">
        <w:rPr>
          <w:color w:val="315FAA"/>
        </w:rPr>
        <w:t xml:space="preserve">Trusted </w:t>
      </w:r>
      <w:r w:rsidR="00821D17">
        <w:rPr>
          <w:color w:val="315FAA"/>
        </w:rPr>
        <w:t>D</w:t>
      </w:r>
      <w:r w:rsidRPr="00C90C63">
        <w:rPr>
          <w:color w:val="315FAA"/>
        </w:rPr>
        <w:t xml:space="preserve">ata </w:t>
      </w:r>
      <w:r w:rsidR="00821D17">
        <w:rPr>
          <w:color w:val="315FAA"/>
        </w:rPr>
        <w:t>F</w:t>
      </w:r>
      <w:r w:rsidRPr="00C90C63">
        <w:rPr>
          <w:color w:val="315FAA"/>
        </w:rPr>
        <w:t>oundations</w:t>
      </w:r>
    </w:p>
    <w:tbl>
      <w:tblPr>
        <w:tblStyle w:val="TableGrid"/>
        <w:tblW w:w="0" w:type="auto"/>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1297"/>
        <w:gridCol w:w="7869"/>
      </w:tblGrid>
      <w:tr w:rsidR="00B40603" w:rsidRPr="00DF194B" w14:paraId="67759783" w14:textId="77777777" w:rsidTr="00E45458">
        <w:trPr>
          <w:trHeight w:val="952"/>
        </w:trPr>
        <w:tc>
          <w:tcPr>
            <w:tcW w:w="1297" w:type="dxa"/>
            <w:vAlign w:val="center"/>
          </w:tcPr>
          <w:p w14:paraId="53DCEFD5" w14:textId="77777777" w:rsidR="00B40603" w:rsidRPr="0075673F" w:rsidRDefault="00B40603" w:rsidP="006F5FCE">
            <w:pPr>
              <w:pStyle w:val="Body"/>
            </w:pPr>
            <w:r w:rsidRPr="006F5FCE">
              <w:rPr>
                <w:b/>
                <w:color w:val="595959" w:themeColor="text1" w:themeTint="A6"/>
                <w:sz w:val="24"/>
                <w:szCs w:val="24"/>
              </w:rPr>
              <w:t>Objective</w:t>
            </w:r>
          </w:p>
        </w:tc>
        <w:tc>
          <w:tcPr>
            <w:tcW w:w="7971" w:type="dxa"/>
            <w:vAlign w:val="center"/>
          </w:tcPr>
          <w:p w14:paraId="5DE9A541" w14:textId="4D4DEBC8" w:rsidR="00B40603" w:rsidRPr="00DF194B" w:rsidRDefault="00E15881" w:rsidP="00103E49">
            <w:pPr>
              <w:pStyle w:val="Body"/>
              <w:jc w:val="both"/>
              <w:rPr>
                <w:b/>
                <w:bCs/>
                <w:szCs w:val="21"/>
              </w:rPr>
            </w:pPr>
            <w:r w:rsidRPr="00B264F2">
              <w:rPr>
                <w:color w:val="595959" w:themeColor="text1" w:themeTint="A6"/>
              </w:rPr>
              <w:t>Establishing trusted statewide data foundations that enable insight, planning, innovation</w:t>
            </w:r>
            <w:r w:rsidR="00E749CF" w:rsidRPr="003F6134">
              <w:rPr>
                <w:color w:val="595959" w:themeColor="text1" w:themeTint="A6"/>
              </w:rPr>
              <w:t>,</w:t>
            </w:r>
            <w:r w:rsidRPr="003F6134">
              <w:rPr>
                <w:color w:val="595959" w:themeColor="text1" w:themeTint="A6"/>
              </w:rPr>
              <w:t xml:space="preserve"> intelligence </w:t>
            </w:r>
            <w:r w:rsidR="007F5DE7" w:rsidRPr="003F6134">
              <w:rPr>
                <w:color w:val="595959" w:themeColor="text1" w:themeTint="A6"/>
              </w:rPr>
              <w:t>and system-wide improvement</w:t>
            </w:r>
          </w:p>
        </w:tc>
      </w:tr>
    </w:tbl>
    <w:p w14:paraId="13F07DF8" w14:textId="01ACB57E" w:rsidR="007120F5" w:rsidRDefault="00140311" w:rsidP="009A17DA">
      <w:pPr>
        <w:pStyle w:val="Body"/>
        <w:spacing w:before="120"/>
      </w:pPr>
      <w:r w:rsidRPr="00140311">
        <w:t>T</w:t>
      </w:r>
      <w:r w:rsidR="00055A3B">
        <w:t xml:space="preserve">he </w:t>
      </w:r>
      <w:r w:rsidR="00817BE7">
        <w:t>T</w:t>
      </w:r>
      <w:r w:rsidRPr="00140311">
        <w:t xml:space="preserve">rusted </w:t>
      </w:r>
      <w:r w:rsidR="00821D17">
        <w:t>D</w:t>
      </w:r>
      <w:r w:rsidRPr="00140311">
        <w:t xml:space="preserve">ata </w:t>
      </w:r>
      <w:r w:rsidR="00821D17">
        <w:t>F</w:t>
      </w:r>
      <w:r w:rsidRPr="00140311">
        <w:t xml:space="preserve">oundations </w:t>
      </w:r>
      <w:r w:rsidR="00055A3B">
        <w:t xml:space="preserve">program of work </w:t>
      </w:r>
      <w:r w:rsidRPr="00140311">
        <w:t xml:space="preserve">establishes the data platforms, standards, governance and capabilities required </w:t>
      </w:r>
      <w:r w:rsidR="00322E1E">
        <w:t xml:space="preserve">to support </w:t>
      </w:r>
      <w:r w:rsidR="00322E1E" w:rsidRPr="00322E1E">
        <w:t xml:space="preserve">clinical care, </w:t>
      </w:r>
      <w:r w:rsidR="007778E5">
        <w:t xml:space="preserve">population health, </w:t>
      </w:r>
      <w:r w:rsidR="006E7B12">
        <w:t xml:space="preserve">disease surveillance, </w:t>
      </w:r>
      <w:r w:rsidR="00322E1E" w:rsidRPr="00322E1E">
        <w:t>operational decision-making, system planning, research and innovation</w:t>
      </w:r>
      <w:r w:rsidR="00043ECF">
        <w:t>,</w:t>
      </w:r>
      <w:r w:rsidR="00322E1E" w:rsidRPr="00322E1E">
        <w:t xml:space="preserve"> while ensuring information is managed securely and used responsibly.</w:t>
      </w:r>
    </w:p>
    <w:p w14:paraId="50ADF49A" w14:textId="2FA84050" w:rsidR="00043ECF" w:rsidRDefault="007120F5" w:rsidP="007120F5">
      <w:pPr>
        <w:pStyle w:val="Body"/>
        <w:spacing w:before="120"/>
      </w:pPr>
      <w:r>
        <w:t>In Horizon 1, the focus is on establishing core statewide data capabilities, including</w:t>
      </w:r>
      <w:r w:rsidR="00043ECF">
        <w:t>:</w:t>
      </w:r>
    </w:p>
    <w:p w14:paraId="22133842" w14:textId="40E3DB9C" w:rsidR="00043ECF" w:rsidRDefault="007120F5" w:rsidP="00CA0855">
      <w:pPr>
        <w:pStyle w:val="Bullet1"/>
      </w:pPr>
      <w:r>
        <w:t>the Connected Health Data Platform</w:t>
      </w:r>
    </w:p>
    <w:p w14:paraId="29394BE3" w14:textId="47C08D09" w:rsidR="00043ECF" w:rsidRDefault="007120F5" w:rsidP="00CA0855">
      <w:pPr>
        <w:pStyle w:val="Bullet1"/>
      </w:pPr>
      <w:r>
        <w:t>modernising mandatory reporting</w:t>
      </w:r>
    </w:p>
    <w:p w14:paraId="54F1E829" w14:textId="169ABC8D" w:rsidR="00CA0855" w:rsidRDefault="007120F5" w:rsidP="00CA0855">
      <w:pPr>
        <w:pStyle w:val="Bullet1"/>
      </w:pPr>
      <w:r>
        <w:t>implementing priority statewide digital platforms</w:t>
      </w:r>
      <w:r w:rsidR="00043ECF">
        <w:t>,</w:t>
      </w:r>
      <w:r>
        <w:t xml:space="preserve"> such as the </w:t>
      </w:r>
      <w:r w:rsidR="00856740">
        <w:t>medicine’s</w:t>
      </w:r>
      <w:r>
        <w:t xml:space="preserve"> formulary and genomics platform</w:t>
      </w:r>
    </w:p>
    <w:p w14:paraId="6A56838D" w14:textId="0891D52C" w:rsidR="00CA0855" w:rsidRDefault="007120F5" w:rsidP="00CA0855">
      <w:pPr>
        <w:pStyle w:val="Bullet1"/>
      </w:pPr>
      <w:r>
        <w:t>strengthening Indigenous data sovereignty and governance.</w:t>
      </w:r>
    </w:p>
    <w:p w14:paraId="173FF154" w14:textId="049885ED" w:rsidR="007120F5" w:rsidRDefault="007120F5" w:rsidP="00906ACE">
      <w:pPr>
        <w:pStyle w:val="Bodyafterbullets"/>
      </w:pPr>
      <w:r>
        <w:t>These investments create the foundations for more consistent, trusted and accessible health information across the Victorian health system.</w:t>
      </w:r>
    </w:p>
    <w:p w14:paraId="0B19D280" w14:textId="309BFFB3" w:rsidR="007120F5" w:rsidRDefault="007120F5" w:rsidP="007120F5">
      <w:pPr>
        <w:pStyle w:val="Body"/>
        <w:spacing w:before="120"/>
      </w:pPr>
      <w:r>
        <w:t xml:space="preserve">Across Horizons 2 and 3, the focus shifts to increasing the value realised from these investments through greater standardisation, integration and reuse of data. The program progressively enables advanced analytics, decision support, automation and </w:t>
      </w:r>
      <w:r w:rsidR="00CA0855">
        <w:t>AI</w:t>
      </w:r>
      <w:r>
        <w:t xml:space="preserve">, while establishing a digital health marketplace that allows innovative solutions to be evaluated, adopted and scaled across the system. </w:t>
      </w:r>
    </w:p>
    <w:p w14:paraId="691D8269" w14:textId="21109352" w:rsidR="00E652B4" w:rsidRDefault="00A83575" w:rsidP="000111EC">
      <w:pPr>
        <w:pStyle w:val="Body"/>
        <w:spacing w:before="120"/>
      </w:pPr>
      <w:r>
        <w:br w:type="page"/>
      </w:r>
    </w:p>
    <w:p w14:paraId="47A7FE88" w14:textId="1D076359" w:rsidR="00055A3B" w:rsidRPr="00AC707E" w:rsidRDefault="00055A3B" w:rsidP="00614670">
      <w:pPr>
        <w:pStyle w:val="Tablecaption"/>
      </w:pPr>
      <w:r>
        <w:lastRenderedPageBreak/>
        <w:t xml:space="preserve">Table </w:t>
      </w:r>
      <w:fldSimple w:instr=" SEQ Table \* ARABIC ">
        <w:r w:rsidR="003E7FE1">
          <w:rPr>
            <w:noProof/>
          </w:rPr>
          <w:t>1</w:t>
        </w:r>
      </w:fldSimple>
      <w:r>
        <w:t xml:space="preserve">. Connecting </w:t>
      </w:r>
      <w:r w:rsidR="002861A5">
        <w:t>h</w:t>
      </w:r>
      <w:r>
        <w:t>ealth p</w:t>
      </w:r>
      <w:r w:rsidRPr="00491DC5">
        <w:t>rograms</w:t>
      </w:r>
      <w:r w:rsidRPr="00AC707E">
        <w:t xml:space="preserve"> and initiatives</w:t>
      </w:r>
    </w:p>
    <w:p w14:paraId="41B7A9CA" w14:textId="3B32DAD5" w:rsidR="00501CB5" w:rsidRDefault="00501CB5" w:rsidP="00773ABE">
      <w:pPr>
        <w:pStyle w:val="Body"/>
        <w:rPr>
          <w:bCs/>
        </w:rPr>
      </w:pPr>
      <w:r>
        <w:rPr>
          <w:bCs/>
          <w:noProof/>
        </w:rPr>
        <w:drawing>
          <wp:inline distT="0" distB="0" distL="0" distR="0" wp14:anchorId="7FEA40DE" wp14:editId="6635C5A0">
            <wp:extent cx="5827395" cy="3725545"/>
            <wp:effectExtent l="0" t="0" r="1905" b="8255"/>
            <wp:docPr id="256156540" name="Picture 85"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156540" name="Picture 85" descr="Accessible text equivalent provided in Appendix A."/>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5827395" cy="3725545"/>
                    </a:xfrm>
                    <a:prstGeom prst="rect">
                      <a:avLst/>
                    </a:prstGeom>
                    <a:noFill/>
                    <a:ln>
                      <a:noFill/>
                    </a:ln>
                  </pic:spPr>
                </pic:pic>
              </a:graphicData>
            </a:graphic>
          </wp:inline>
        </w:drawing>
      </w:r>
    </w:p>
    <w:p w14:paraId="2BD8734A" w14:textId="3DF98EB6" w:rsidR="00773ABE" w:rsidRPr="00914813" w:rsidRDefault="00773ABE" w:rsidP="00773ABE">
      <w:pPr>
        <w:pStyle w:val="Body"/>
        <w:rPr>
          <w:bCs/>
        </w:rPr>
      </w:pPr>
      <w:r w:rsidRPr="00914813">
        <w:rPr>
          <w:bCs/>
        </w:rPr>
        <w:t>This table outlines the initiatives within the Connecting Health pillar and their progression across three planning horizons:</w:t>
      </w:r>
    </w:p>
    <w:p w14:paraId="29CBB553" w14:textId="77777777" w:rsidR="00773ABE" w:rsidRPr="00914813" w:rsidRDefault="00773ABE" w:rsidP="00773ABE">
      <w:pPr>
        <w:pStyle w:val="Body"/>
        <w:numPr>
          <w:ilvl w:val="0"/>
          <w:numId w:val="12"/>
        </w:numPr>
        <w:rPr>
          <w:bCs/>
        </w:rPr>
      </w:pPr>
      <w:r w:rsidRPr="00914813">
        <w:rPr>
          <w:bCs/>
        </w:rPr>
        <w:t>Defined initiatives (2026–2028): Initiatives that are sufficiently mature to support immediate planning, investment and delivery.</w:t>
      </w:r>
    </w:p>
    <w:p w14:paraId="06F80A05" w14:textId="77777777" w:rsidR="00773ABE" w:rsidRPr="00914813" w:rsidRDefault="00773ABE" w:rsidP="00773ABE">
      <w:pPr>
        <w:pStyle w:val="Body"/>
        <w:numPr>
          <w:ilvl w:val="0"/>
          <w:numId w:val="12"/>
        </w:numPr>
        <w:rPr>
          <w:bCs/>
        </w:rPr>
      </w:pPr>
      <w:r w:rsidRPr="00914813">
        <w:rPr>
          <w:bCs/>
        </w:rPr>
        <w:t>Emerging priorities (2028–2030): Initiatives expected to expand or mature over the medium term.</w:t>
      </w:r>
    </w:p>
    <w:p w14:paraId="74A525A0" w14:textId="77777777" w:rsidR="00773ABE" w:rsidRPr="00914813" w:rsidRDefault="00773ABE" w:rsidP="00773ABE">
      <w:pPr>
        <w:pStyle w:val="Body"/>
        <w:numPr>
          <w:ilvl w:val="0"/>
          <w:numId w:val="12"/>
        </w:numPr>
        <w:rPr>
          <w:bCs/>
        </w:rPr>
      </w:pPr>
      <w:r w:rsidRPr="00914813">
        <w:rPr>
          <w:bCs/>
        </w:rPr>
        <w:t>Future direction (2030 onwards): Longer-term areas of focus that support the roadmap vision.</w:t>
      </w:r>
    </w:p>
    <w:p w14:paraId="55B48C69" w14:textId="4805C0AA" w:rsidR="00773ABE" w:rsidRPr="00914813" w:rsidRDefault="00773ABE" w:rsidP="00773ABE">
      <w:pPr>
        <w:pStyle w:val="Body"/>
        <w:rPr>
          <w:bCs/>
        </w:rPr>
      </w:pPr>
      <w:r w:rsidRPr="00914813">
        <w:rPr>
          <w:bCs/>
        </w:rPr>
        <w:t>Further detail about this table can be found in the appendix.</w:t>
      </w:r>
    </w:p>
    <w:p w14:paraId="64486A88" w14:textId="6759E2CF" w:rsidR="00F25FBA" w:rsidRPr="00DA6498" w:rsidRDefault="00CB4193" w:rsidP="00DA6498">
      <w:pPr>
        <w:pStyle w:val="Heading2"/>
        <w:rPr>
          <w:rFonts w:eastAsia="MS Gothic"/>
          <w:b w:val="0"/>
          <w:bCs/>
          <w:color w:val="315FAA"/>
          <w:sz w:val="30"/>
          <w:szCs w:val="26"/>
        </w:rPr>
      </w:pPr>
      <w:bookmarkStart w:id="41" w:name="_Toc244166828"/>
      <w:bookmarkStart w:id="42" w:name="_Toc67160477"/>
      <w:bookmarkStart w:id="43" w:name="_Toc76623732"/>
      <w:bookmarkEnd w:id="27"/>
      <w:bookmarkEnd w:id="28"/>
      <w:r w:rsidRPr="00DA6498">
        <w:rPr>
          <w:rFonts w:eastAsia="MS Gothic"/>
          <w:b w:val="0"/>
          <w:bCs/>
          <w:color w:val="315FAA"/>
          <w:sz w:val="30"/>
          <w:szCs w:val="26"/>
        </w:rPr>
        <w:t>Connecting Health in 2031</w:t>
      </w:r>
      <w:bookmarkEnd w:id="41"/>
    </w:p>
    <w:p w14:paraId="40898C01" w14:textId="60A75E24" w:rsidR="00055A3B" w:rsidRDefault="0031134E" w:rsidP="0031134E">
      <w:pPr>
        <w:pStyle w:val="Body"/>
      </w:pPr>
      <w:r w:rsidRPr="0031134E">
        <w:t>By 2031, health information will no longer be constrained by organisational boundaries</w:t>
      </w:r>
      <w:r w:rsidR="0014423D">
        <w:t>,</w:t>
      </w:r>
      <w:r w:rsidRPr="0031134E">
        <w:t xml:space="preserve"> disconnected systems</w:t>
      </w:r>
      <w:r w:rsidR="0014423D">
        <w:t>, paper records or fax-based processes</w:t>
      </w:r>
      <w:r w:rsidRPr="0031134E">
        <w:t>. Victoria’s health system will be supported by seamless, secure and interoperable digital infrastructure that enables real-time access to information wherever care is delivered.</w:t>
      </w:r>
    </w:p>
    <w:p w14:paraId="7795623F" w14:textId="41ED1D4B" w:rsidR="0031134E" w:rsidRPr="0031134E" w:rsidRDefault="0031134E" w:rsidP="0031134E">
      <w:pPr>
        <w:pStyle w:val="Body"/>
      </w:pPr>
      <w:r w:rsidRPr="0031134E">
        <w:t xml:space="preserve">As information moves securely with people throughout their care journey, </w:t>
      </w:r>
      <w:r w:rsidR="00A14FE0" w:rsidRPr="00A14FE0">
        <w:t>clinicians</w:t>
      </w:r>
      <w:r w:rsidRPr="0031134E">
        <w:t xml:space="preserve"> will </w:t>
      </w:r>
      <w:r w:rsidR="00A14FE0" w:rsidRPr="00A14FE0">
        <w:t>have access to</w:t>
      </w:r>
      <w:r w:rsidRPr="0031134E">
        <w:t xml:space="preserve"> a more complete </w:t>
      </w:r>
      <w:r w:rsidR="00A14FE0" w:rsidRPr="00A14FE0">
        <w:t>view</w:t>
      </w:r>
      <w:r w:rsidRPr="0031134E">
        <w:t xml:space="preserve"> of a person's health needs</w:t>
      </w:r>
      <w:r w:rsidR="00A14FE0" w:rsidRPr="00A14FE0">
        <w:t>, supporting safer decisions, smoother transitions between services and more coordinated care</w:t>
      </w:r>
      <w:r w:rsidRPr="0031134E">
        <w:t>.</w:t>
      </w:r>
    </w:p>
    <w:p w14:paraId="07D32BE4" w14:textId="587E4CD8" w:rsidR="00402AB6" w:rsidRDefault="00402AB6" w:rsidP="00402AB6">
      <w:pPr>
        <w:pStyle w:val="Body"/>
      </w:pPr>
      <w:r>
        <w:t>Consumers will experience less need to retell their story, reduced duplication of tests and investigations, and more personalised care that is informed by complete and accessible health information. Clinicians will spend less time searching for information, reconciling records and managing paper-based processes, allowing more time to focus on delivering care.</w:t>
      </w:r>
    </w:p>
    <w:p w14:paraId="4B478A6A" w14:textId="77777777" w:rsidR="00402AB6" w:rsidRDefault="00402AB6" w:rsidP="00402AB6">
      <w:pPr>
        <w:pStyle w:val="Body"/>
      </w:pPr>
      <w:r>
        <w:lastRenderedPageBreak/>
        <w:t>Across the health system, trusted and connected information will improve productivity, reduce duplication and support more efficient delivery of services. Real-time access to data will strengthen service planning, performance management and system stewardship, while enabling more proactive and integrated models of care. The reduction of paper, fax and manual administration will lower operational burden and create capacity within the workforce.</w:t>
      </w:r>
    </w:p>
    <w:p w14:paraId="10F0F9D9" w14:textId="0FD3781A" w:rsidR="000E485E" w:rsidRDefault="00402AB6" w:rsidP="00447895">
      <w:pPr>
        <w:pStyle w:val="Body"/>
      </w:pPr>
      <w:r>
        <w:t xml:space="preserve">By connecting information, liberating data and creating shared digital infrastructure, Victoria will establish a platform for innovation that supports advanced analytics, decision support, automation and </w:t>
      </w:r>
      <w:r w:rsidR="002F11BF">
        <w:t>AI</w:t>
      </w:r>
      <w:r>
        <w:t>. Together, these capabilities will enable a more sustainable, intelligence-enabled health system that delivers better outcomes, better experiences and better value for all Victorians.</w:t>
      </w:r>
    </w:p>
    <w:p w14:paraId="4FE85526" w14:textId="0C42C2DB" w:rsidR="0042628E" w:rsidRPr="00E54D46" w:rsidRDefault="000E485E" w:rsidP="00B2372C">
      <w:pPr>
        <w:pStyle w:val="Heading1"/>
        <w:numPr>
          <w:ilvl w:val="0"/>
          <w:numId w:val="8"/>
        </w:numPr>
        <w:rPr>
          <w:color w:val="006E91"/>
        </w:rPr>
      </w:pPr>
      <w:bookmarkStart w:id="44" w:name="_Toc235957327"/>
      <w:bookmarkStart w:id="45" w:name="_Toc244166829"/>
      <w:r w:rsidRPr="000111EC">
        <w:rPr>
          <w:color w:val="006E91"/>
        </w:rPr>
        <w:t>Care Anywher</w:t>
      </w:r>
      <w:r w:rsidR="001513DF" w:rsidRPr="000111EC">
        <w:rPr>
          <w:color w:val="006E91"/>
        </w:rPr>
        <w:t>e</w:t>
      </w:r>
      <w:bookmarkEnd w:id="44"/>
      <w:bookmarkEnd w:id="45"/>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64"/>
        <w:gridCol w:w="7912"/>
      </w:tblGrid>
      <w:tr w:rsidR="00936AEF" w:rsidRPr="00DF194B" w14:paraId="40654951" w14:textId="77777777" w:rsidTr="005F7FC5">
        <w:trPr>
          <w:trHeight w:val="952"/>
        </w:trPr>
        <w:tc>
          <w:tcPr>
            <w:tcW w:w="1271" w:type="dxa"/>
            <w:vAlign w:val="center"/>
          </w:tcPr>
          <w:p w14:paraId="73D32C20" w14:textId="56895857" w:rsidR="00936AEF" w:rsidRPr="00AC707E" w:rsidRDefault="00936AEF" w:rsidP="00AC707E">
            <w:pPr>
              <w:pStyle w:val="Body"/>
              <w:rPr>
                <w:sz w:val="28"/>
              </w:rPr>
            </w:pPr>
            <w:bookmarkStart w:id="46" w:name="_Toc235957328"/>
            <w:r w:rsidRPr="00AC707E">
              <w:rPr>
                <w:sz w:val="28"/>
              </w:rPr>
              <w:t>Goal</w:t>
            </w:r>
            <w:bookmarkEnd w:id="46"/>
          </w:p>
        </w:tc>
        <w:tc>
          <w:tcPr>
            <w:tcW w:w="8017" w:type="dxa"/>
            <w:vAlign w:val="center"/>
          </w:tcPr>
          <w:p w14:paraId="0750C369" w14:textId="09CF7731" w:rsidR="00936AEF" w:rsidRPr="00AC707E" w:rsidRDefault="00364E10" w:rsidP="00103E49">
            <w:pPr>
              <w:pStyle w:val="Body"/>
              <w:jc w:val="both"/>
              <w:rPr>
                <w:b/>
                <w:bCs/>
                <w:szCs w:val="21"/>
              </w:rPr>
            </w:pPr>
            <w:r w:rsidRPr="00AC707E">
              <w:rPr>
                <w:color w:val="595959" w:themeColor="text1" w:themeTint="A6"/>
                <w:szCs w:val="21"/>
              </w:rPr>
              <w:t>Digital and virtual models of care delivering high</w:t>
            </w:r>
            <w:r w:rsidRPr="00AC707E">
              <w:rPr>
                <w:rFonts w:ascii="Cambria Math" w:hAnsi="Cambria Math" w:cs="Cambria Math"/>
                <w:color w:val="595959" w:themeColor="text1" w:themeTint="A6"/>
                <w:szCs w:val="21"/>
              </w:rPr>
              <w:t>‑</w:t>
            </w:r>
            <w:r w:rsidRPr="00AC707E">
              <w:rPr>
                <w:color w:val="595959" w:themeColor="text1" w:themeTint="A6"/>
                <w:szCs w:val="21"/>
              </w:rPr>
              <w:t>quality care in the home, community</w:t>
            </w:r>
            <w:r w:rsidR="006D6024" w:rsidRPr="00AC707E">
              <w:rPr>
                <w:color w:val="595959" w:themeColor="text1" w:themeTint="A6"/>
                <w:szCs w:val="21"/>
              </w:rPr>
              <w:t xml:space="preserve"> or</w:t>
            </w:r>
            <w:r w:rsidRPr="00AC707E">
              <w:rPr>
                <w:color w:val="595959" w:themeColor="text1" w:themeTint="A6"/>
                <w:szCs w:val="21"/>
              </w:rPr>
              <w:t xml:space="preserve"> most appropriate clinical setting</w:t>
            </w:r>
          </w:p>
        </w:tc>
      </w:tr>
    </w:tbl>
    <w:p w14:paraId="49EA2893" w14:textId="77777777" w:rsidR="00F73306" w:rsidRPr="00AC707E" w:rsidRDefault="005565B8" w:rsidP="00DC4B42">
      <w:pPr>
        <w:pStyle w:val="Heading2"/>
      </w:pPr>
      <w:bookmarkStart w:id="47" w:name="_Toc235957329"/>
      <w:bookmarkStart w:id="48" w:name="_Toc244166830"/>
      <w:r w:rsidRPr="00AC707E">
        <w:t>From episodic to continuous care</w:t>
      </w:r>
      <w:bookmarkEnd w:id="47"/>
      <w:bookmarkEnd w:id="48"/>
    </w:p>
    <w:p w14:paraId="06670A43" w14:textId="2CD29632" w:rsidR="00DC4B42" w:rsidRDefault="00EA1A0B" w:rsidP="0018201D">
      <w:pPr>
        <w:pStyle w:val="Body"/>
        <w:rPr>
          <w:bCs/>
        </w:rPr>
      </w:pPr>
      <w:r w:rsidRPr="000111EC">
        <w:t xml:space="preserve">Victoria's health system has made significant progress in adopting new models of care, including virtual care, </w:t>
      </w:r>
      <w:r w:rsidR="00DC4B42">
        <w:t>H</w:t>
      </w:r>
      <w:r w:rsidRPr="000111EC">
        <w:t>ospital</w:t>
      </w:r>
      <w:r w:rsidR="00DC4B42">
        <w:t xml:space="preserve"> </w:t>
      </w:r>
      <w:r w:rsidRPr="000111EC">
        <w:t>in</w:t>
      </w:r>
      <w:r w:rsidR="00DC4B42">
        <w:t xml:space="preserve"> </w:t>
      </w:r>
      <w:r w:rsidRPr="000111EC">
        <w:t>the</w:t>
      </w:r>
      <w:r w:rsidR="00DC4B42">
        <w:t xml:space="preserve"> H</w:t>
      </w:r>
      <w:r w:rsidRPr="000111EC">
        <w:t>ome and co</w:t>
      </w:r>
      <w:r w:rsidRPr="000111EC">
        <w:rPr>
          <w:bCs/>
        </w:rPr>
        <w:t xml:space="preserve">mmunity-based services. </w:t>
      </w:r>
      <w:r w:rsidR="003F4A75" w:rsidRPr="003F4A75">
        <w:rPr>
          <w:bCs/>
        </w:rPr>
        <w:t>However, access to alternative models of care remains inconsistent, often constrained by workforce availability, local infrastructure and fragmented digital technologies that have developed independently across services.</w:t>
      </w:r>
    </w:p>
    <w:p w14:paraId="046E367A" w14:textId="6E61BAB9" w:rsidR="00EA1A0B" w:rsidRDefault="003F4A75" w:rsidP="0018201D">
      <w:pPr>
        <w:pStyle w:val="Body"/>
        <w:rPr>
          <w:bCs/>
        </w:rPr>
      </w:pPr>
      <w:r w:rsidRPr="003F4A75">
        <w:rPr>
          <w:bCs/>
        </w:rPr>
        <w:t>As a result, care continues to be organised around appointments, facilities and episodes of treatment</w:t>
      </w:r>
      <w:r w:rsidR="001E1794">
        <w:rPr>
          <w:bCs/>
        </w:rPr>
        <w:t>,</w:t>
      </w:r>
      <w:r w:rsidRPr="003F4A75">
        <w:rPr>
          <w:bCs/>
        </w:rPr>
        <w:t xml:space="preserve"> rather than the ongoing needs of individuals and communities.</w:t>
      </w:r>
    </w:p>
    <w:p w14:paraId="42101B2D" w14:textId="3474C301" w:rsidR="00A463F7" w:rsidRDefault="00A463F7" w:rsidP="00A463F7">
      <w:pPr>
        <w:pStyle w:val="Body"/>
      </w:pPr>
      <w:r>
        <w:t>Care Anywhere addresses this challenge by creating a more connected and flexible approach to care delivery. The pillar focuses on ensuring people can access the most appropriate model of care based on their clinical need, preferences and circumstances, whether that care is delivered virtually, in the home, in the community or through traditional clinical settings. Care becomes part of a connected continuum rather than a series of disconnected interactions.</w:t>
      </w:r>
    </w:p>
    <w:p w14:paraId="7C348378" w14:textId="25D8C944" w:rsidR="00504B8C" w:rsidRDefault="00504B8C" w:rsidP="00504B8C">
      <w:pPr>
        <w:pStyle w:val="Body"/>
      </w:pPr>
      <w:r>
        <w:t xml:space="preserve">Digital </w:t>
      </w:r>
      <w:r w:rsidR="00DC4B42">
        <w:t xml:space="preserve">capability </w:t>
      </w:r>
      <w:r>
        <w:t xml:space="preserve">is a key enabler of this shift. Shared platforms, virtual care technologies, remote monitoring and digital care coordination create a consistent foundation for new models of care, reducing fragmentation and enabling services to be scaled across the system. Emerging capabilities such as consumer-generated health data, predictive analytics, </w:t>
      </w:r>
      <w:r w:rsidR="00DC4B42">
        <w:t>AI</w:t>
      </w:r>
      <w:r>
        <w:t xml:space="preserve"> and personalised care pathways will increasingly support more coordinated, responsive and proactive models of care.</w:t>
      </w:r>
    </w:p>
    <w:p w14:paraId="6FC80679" w14:textId="1BDBCE33" w:rsidR="00504B8C" w:rsidRDefault="00504B8C" w:rsidP="00504B8C">
      <w:pPr>
        <w:pStyle w:val="Body"/>
      </w:pPr>
      <w:r>
        <w:t>Care Anywhere creates the conditions for care to be delivered in the right place, at the right time and through the right model, while enabling the health system to adapt to changing community needs and future advances in healthcare delivery.</w:t>
      </w:r>
    </w:p>
    <w:p w14:paraId="3C26B18F" w14:textId="5457588A" w:rsidR="00DA65E9" w:rsidRPr="00AC707E" w:rsidRDefault="00DA65E9" w:rsidP="00DC4B42">
      <w:pPr>
        <w:pStyle w:val="Heading2"/>
      </w:pPr>
      <w:bookmarkStart w:id="49" w:name="_Toc235957330"/>
      <w:bookmarkStart w:id="50" w:name="_Toc244166831"/>
      <w:r w:rsidRPr="00AC707E">
        <w:lastRenderedPageBreak/>
        <w:t>Design principles</w:t>
      </w:r>
      <w:bookmarkEnd w:id="49"/>
      <w:bookmarkEnd w:id="50"/>
    </w:p>
    <w:p w14:paraId="09054875" w14:textId="4AFBC53D" w:rsidR="0097651B" w:rsidRDefault="0097651B" w:rsidP="00AC707E">
      <w:pPr>
        <w:pStyle w:val="Heading3"/>
      </w:pPr>
      <w:r>
        <w:t>Value-led</w:t>
      </w:r>
      <w:r w:rsidR="008711B2">
        <w:t xml:space="preserve"> </w:t>
      </w:r>
    </w:p>
    <w:p w14:paraId="6945EBC6" w14:textId="708BF6E9" w:rsidR="00DE0A68" w:rsidRPr="005020E9" w:rsidRDefault="00DE0A68" w:rsidP="00AC707E">
      <w:pPr>
        <w:pStyle w:val="Body"/>
      </w:pPr>
      <w:r w:rsidRPr="005020E9">
        <w:t>Virtual care models should be prioritised where changes to where and how care is delivered can be supported by sustainable funding, workforce and operating models that deliver measurable substitution, avoided demand or efficiency benefits.</w:t>
      </w:r>
    </w:p>
    <w:p w14:paraId="2399B8BD" w14:textId="586301B9" w:rsidR="0097651B" w:rsidRDefault="0097651B" w:rsidP="00AC707E">
      <w:pPr>
        <w:pStyle w:val="Heading3"/>
      </w:pPr>
      <w:r>
        <w:t xml:space="preserve">Person-centred </w:t>
      </w:r>
    </w:p>
    <w:p w14:paraId="5B50F7E9" w14:textId="4383D203" w:rsidR="0097651B" w:rsidRDefault="0097651B" w:rsidP="0097651B">
      <w:pPr>
        <w:pStyle w:val="Body"/>
      </w:pPr>
      <w:r>
        <w:t xml:space="preserve">Care should be designed around the ongoing needs of individuals and communities, enabling people to move seamlessly </w:t>
      </w:r>
      <w:r w:rsidR="007F7BEB">
        <w:t xml:space="preserve">across </w:t>
      </w:r>
      <w:r w:rsidR="002E3B72">
        <w:t>care settings</w:t>
      </w:r>
      <w:r>
        <w:t xml:space="preserve"> as needs, preferences and circumstances change.</w:t>
      </w:r>
    </w:p>
    <w:p w14:paraId="4C4389E6" w14:textId="77777777" w:rsidR="0097651B" w:rsidRDefault="0097651B" w:rsidP="00AC707E">
      <w:pPr>
        <w:pStyle w:val="Heading3"/>
      </w:pPr>
      <w:r>
        <w:t>Equity and cultural safety by design</w:t>
      </w:r>
    </w:p>
    <w:p w14:paraId="188A615A" w14:textId="5A998D30" w:rsidR="00113E24" w:rsidRPr="00113E24" w:rsidRDefault="0097651B" w:rsidP="00113E24">
      <w:pPr>
        <w:pStyle w:val="Body"/>
      </w:pPr>
      <w:r>
        <w:t>Approaches should be culturally safe, inclusive and accessible, reducing barriers associated with location, culture, language, digital access or circumstance</w:t>
      </w:r>
      <w:r w:rsidR="002804B7">
        <w:t xml:space="preserve">, </w:t>
      </w:r>
      <w:r w:rsidR="00AC0405">
        <w:t>such as</w:t>
      </w:r>
      <w:r w:rsidR="00113E24">
        <w:t xml:space="preserve"> d</w:t>
      </w:r>
      <w:r w:rsidR="00113E24" w:rsidRPr="00113E24">
        <w:t>esigning services and</w:t>
      </w:r>
      <w:r w:rsidR="002E7BDA">
        <w:t xml:space="preserve"> systems</w:t>
      </w:r>
      <w:r w:rsidR="00113E24" w:rsidRPr="00113E24">
        <w:t xml:space="preserve"> that support culturally safe identification of Aboriginality</w:t>
      </w:r>
      <w:r w:rsidR="00AC0405">
        <w:t>.</w:t>
      </w:r>
    </w:p>
    <w:p w14:paraId="75B1B008" w14:textId="624E2BCE" w:rsidR="0097651B" w:rsidRDefault="000933D9" w:rsidP="00AC707E">
      <w:pPr>
        <w:pStyle w:val="Heading3"/>
      </w:pPr>
      <w:r>
        <w:t>Integrated experiences</w:t>
      </w:r>
    </w:p>
    <w:p w14:paraId="3CBB2535" w14:textId="1636F490" w:rsidR="0097651B" w:rsidRDefault="0097651B" w:rsidP="0097651B">
      <w:pPr>
        <w:pStyle w:val="Body"/>
      </w:pPr>
      <w:r>
        <w:t>New models of care must operate as part of a connected care journey, supported by shared information, care coordination and integrated workflows rather than stand-alone services.</w:t>
      </w:r>
    </w:p>
    <w:p w14:paraId="5BFAEFB6" w14:textId="22E1031F" w:rsidR="0078327C" w:rsidRDefault="00EF4C72" w:rsidP="00AC707E">
      <w:pPr>
        <w:pStyle w:val="Heading3"/>
      </w:pPr>
      <w:r>
        <w:t>Balance scale with local delivery</w:t>
      </w:r>
    </w:p>
    <w:p w14:paraId="0C8D73AE" w14:textId="2F6197F3" w:rsidR="00EF4C72" w:rsidRPr="00EF4C72" w:rsidRDefault="00EF4C72" w:rsidP="000111EC">
      <w:pPr>
        <w:pStyle w:val="Body"/>
      </w:pPr>
      <w:r w:rsidRPr="00EF4C72">
        <w:t>Models should be delivered at statewide, network or local levels based on where shared capability delivers the greatest value, while enabling deliberate local tailoring where it improves outcomes</w:t>
      </w:r>
      <w:r w:rsidR="0095032C">
        <w:t>, access</w:t>
      </w:r>
      <w:r w:rsidRPr="00EF4C72">
        <w:t xml:space="preserve"> </w:t>
      </w:r>
      <w:r w:rsidR="00B0139C">
        <w:t>or</w:t>
      </w:r>
      <w:r w:rsidRPr="00EF4C72">
        <w:t xml:space="preserve"> consumer experience.</w:t>
      </w:r>
    </w:p>
    <w:p w14:paraId="57AA2942" w14:textId="783A03AD" w:rsidR="000D4E54" w:rsidRPr="00AC707E" w:rsidRDefault="000D4E54" w:rsidP="001E1794">
      <w:pPr>
        <w:pStyle w:val="Heading2"/>
      </w:pPr>
      <w:bookmarkStart w:id="51" w:name="_Toc235957331"/>
      <w:bookmarkStart w:id="52" w:name="_Toc244166832"/>
      <w:r w:rsidRPr="00AC707E">
        <w:t>Programs of work</w:t>
      </w:r>
      <w:bookmarkEnd w:id="51"/>
      <w:bookmarkEnd w:id="52"/>
    </w:p>
    <w:p w14:paraId="2BBCBDCD" w14:textId="02C8598C" w:rsidR="0072556C" w:rsidRPr="000111EC" w:rsidRDefault="00965CAD" w:rsidP="00B2372C">
      <w:pPr>
        <w:pStyle w:val="Heading3"/>
        <w:numPr>
          <w:ilvl w:val="1"/>
          <w:numId w:val="8"/>
        </w:numPr>
        <w:ind w:left="737" w:hanging="737"/>
        <w:rPr>
          <w:color w:val="006E91"/>
          <w:lang w:val="en-US"/>
        </w:rPr>
      </w:pPr>
      <w:r w:rsidRPr="000111EC">
        <w:rPr>
          <w:color w:val="006E91"/>
          <w:lang w:val="en-US"/>
        </w:rPr>
        <w:t>Virtual Hospital Care</w:t>
      </w:r>
    </w:p>
    <w:p w14:paraId="59306F22" w14:textId="77777777" w:rsidR="00011B59" w:rsidRPr="00011B59" w:rsidRDefault="00011B59" w:rsidP="000111EC">
      <w:pPr>
        <w:pStyle w:val="Body"/>
        <w:spacing w:after="0"/>
        <w:rPr>
          <w:lang w:val="en-US"/>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97"/>
        <w:gridCol w:w="7879"/>
      </w:tblGrid>
      <w:tr w:rsidR="00965CAD" w:rsidRPr="00DF194B" w14:paraId="0F187AE1" w14:textId="77777777" w:rsidTr="005F7FC5">
        <w:trPr>
          <w:trHeight w:val="952"/>
        </w:trPr>
        <w:tc>
          <w:tcPr>
            <w:tcW w:w="1297" w:type="dxa"/>
            <w:vAlign w:val="center"/>
          </w:tcPr>
          <w:p w14:paraId="073C5C3C" w14:textId="77777777" w:rsidR="00965CAD" w:rsidRPr="00B264F2" w:rsidRDefault="00965CAD" w:rsidP="00B264F2">
            <w:pPr>
              <w:pStyle w:val="Body"/>
              <w:rPr>
                <w:b/>
              </w:rPr>
            </w:pPr>
            <w:r w:rsidRPr="00B264F2">
              <w:rPr>
                <w:b/>
                <w:color w:val="595959" w:themeColor="text1" w:themeTint="A6"/>
                <w:sz w:val="24"/>
                <w:szCs w:val="24"/>
              </w:rPr>
              <w:t>Objective</w:t>
            </w:r>
          </w:p>
        </w:tc>
        <w:tc>
          <w:tcPr>
            <w:tcW w:w="7971" w:type="dxa"/>
            <w:vAlign w:val="center"/>
          </w:tcPr>
          <w:p w14:paraId="31AB2E35" w14:textId="49BB568E" w:rsidR="00965CAD" w:rsidRPr="00DF194B" w:rsidRDefault="00965CAD" w:rsidP="00103E49">
            <w:pPr>
              <w:pStyle w:val="Body"/>
              <w:jc w:val="both"/>
              <w:rPr>
                <w:b/>
                <w:bCs/>
                <w:szCs w:val="21"/>
              </w:rPr>
            </w:pPr>
            <w:r w:rsidRPr="00B264F2">
              <w:rPr>
                <w:color w:val="595959" w:themeColor="text1" w:themeTint="A6"/>
              </w:rPr>
              <w:t>Shifting hospital</w:t>
            </w:r>
            <w:r w:rsidRPr="006A5549">
              <w:rPr>
                <w:rFonts w:ascii="Cambria Math" w:hAnsi="Cambria Math" w:cs="Cambria Math"/>
                <w:color w:val="595959" w:themeColor="text1" w:themeTint="A6"/>
              </w:rPr>
              <w:t>‑</w:t>
            </w:r>
            <w:r w:rsidRPr="006A5549">
              <w:rPr>
                <w:color w:val="595959" w:themeColor="text1" w:themeTint="A6"/>
              </w:rPr>
              <w:t>level care to the home and augmenting in</w:t>
            </w:r>
            <w:r w:rsidRPr="006A5549">
              <w:rPr>
                <w:rFonts w:ascii="Cambria Math" w:hAnsi="Cambria Math" w:cs="Cambria Math"/>
                <w:color w:val="595959" w:themeColor="text1" w:themeTint="A6"/>
              </w:rPr>
              <w:t>‑</w:t>
            </w:r>
            <w:r w:rsidRPr="006A5549">
              <w:rPr>
                <w:color w:val="595959" w:themeColor="text1" w:themeTint="A6"/>
              </w:rPr>
              <w:t>hospital care to optimise access, capacity and quality of care</w:t>
            </w:r>
          </w:p>
        </w:tc>
      </w:tr>
    </w:tbl>
    <w:p w14:paraId="7D43AF20" w14:textId="107021CB" w:rsidR="00215590" w:rsidRDefault="00505678" w:rsidP="00505678">
      <w:pPr>
        <w:pStyle w:val="Body"/>
        <w:spacing w:before="120"/>
        <w:rPr>
          <w:lang w:val="en-US"/>
        </w:rPr>
      </w:pPr>
      <w:r w:rsidRPr="00505678">
        <w:rPr>
          <w:lang w:val="en-US"/>
        </w:rPr>
        <w:t xml:space="preserve">Virtual Hospital Care </w:t>
      </w:r>
      <w:r w:rsidR="00215590" w:rsidRPr="00215590">
        <w:rPr>
          <w:lang w:val="en-US"/>
        </w:rPr>
        <w:t>brings together virtual hospital services, Residential in Reach</w:t>
      </w:r>
      <w:r w:rsidR="00156C15" w:rsidRPr="00215590">
        <w:rPr>
          <w:lang w:val="en-US"/>
        </w:rPr>
        <w:t>,</w:t>
      </w:r>
      <w:r w:rsidR="00215590" w:rsidRPr="00215590">
        <w:rPr>
          <w:lang w:val="en-US"/>
        </w:rPr>
        <w:t xml:space="preserve"> and virtually enabled inpatient care models to support</w:t>
      </w:r>
      <w:r w:rsidR="00215590" w:rsidRPr="00215590" w:rsidDel="00AF66A9">
        <w:rPr>
          <w:lang w:val="en-US"/>
        </w:rPr>
        <w:t xml:space="preserve"> admission avoidance,</w:t>
      </w:r>
      <w:r w:rsidR="00C10959">
        <w:rPr>
          <w:lang w:val="en-US"/>
        </w:rPr>
        <w:t xml:space="preserve"> hospital substitution,</w:t>
      </w:r>
      <w:r w:rsidR="00215590" w:rsidRPr="00215590">
        <w:rPr>
          <w:lang w:val="en-US"/>
        </w:rPr>
        <w:t xml:space="preserve"> earlier discharge</w:t>
      </w:r>
      <w:r w:rsidR="00C16A0A" w:rsidRPr="00215590">
        <w:rPr>
          <w:lang w:val="en-US"/>
        </w:rPr>
        <w:t>,</w:t>
      </w:r>
      <w:r w:rsidR="00215590" w:rsidRPr="00215590">
        <w:rPr>
          <w:lang w:val="en-US"/>
        </w:rPr>
        <w:t xml:space="preserve"> and more efficient delivery of acute care.</w:t>
      </w:r>
    </w:p>
    <w:p w14:paraId="53F4FBFD" w14:textId="4793BD7E" w:rsidR="00505678" w:rsidRPr="00505678" w:rsidRDefault="00505678" w:rsidP="00505678">
      <w:pPr>
        <w:pStyle w:val="Body"/>
        <w:spacing w:before="120"/>
        <w:rPr>
          <w:lang w:val="en-US"/>
        </w:rPr>
      </w:pPr>
      <w:r w:rsidRPr="00505678">
        <w:rPr>
          <w:lang w:val="en-US"/>
        </w:rPr>
        <w:t xml:space="preserve">In Horizon 1, the focus is on establishing the foundations for scale through development of a statewide Virtual Hospital Strategy, continued delivery and evaluation of the Virtual Hospital pilot, expansion of Residential in Reach services and the </w:t>
      </w:r>
      <w:r w:rsidR="00F40005">
        <w:rPr>
          <w:lang w:val="en-US"/>
        </w:rPr>
        <w:t>introduction</w:t>
      </w:r>
      <w:r w:rsidRPr="00505678">
        <w:rPr>
          <w:lang w:val="en-US"/>
        </w:rPr>
        <w:t xml:space="preserve"> of virtual models that augment inpatient care. </w:t>
      </w:r>
      <w:r w:rsidR="00C04B26" w:rsidRPr="00C04B26">
        <w:rPr>
          <w:lang w:val="en-US"/>
        </w:rPr>
        <w:t xml:space="preserve">This </w:t>
      </w:r>
      <w:r w:rsidR="00C04B26">
        <w:rPr>
          <w:lang w:val="en-US"/>
        </w:rPr>
        <w:t>will</w:t>
      </w:r>
      <w:r w:rsidR="00C04B26" w:rsidRPr="00C04B26">
        <w:rPr>
          <w:lang w:val="en-US"/>
        </w:rPr>
        <w:t xml:space="preserve"> include early implementation of capabilities such as virtual ward rounds, virtual observation models</w:t>
      </w:r>
      <w:r w:rsidR="00C16A0A" w:rsidRPr="00C04B26">
        <w:rPr>
          <w:lang w:val="en-US"/>
        </w:rPr>
        <w:t>,</w:t>
      </w:r>
      <w:r w:rsidR="00C04B26">
        <w:rPr>
          <w:lang w:val="en-US"/>
        </w:rPr>
        <w:t xml:space="preserve"> and </w:t>
      </w:r>
      <w:r w:rsidR="00C04B26" w:rsidRPr="00C04B26">
        <w:rPr>
          <w:lang w:val="en-US"/>
        </w:rPr>
        <w:t>remote specialist consultation. These initiatives will establish a consistent statewide approach to virtual hospital delivery and inform future scaling decisions.</w:t>
      </w:r>
    </w:p>
    <w:p w14:paraId="3AF77DE9" w14:textId="6286A863" w:rsidR="009A1879" w:rsidRDefault="00505678" w:rsidP="000111EC">
      <w:pPr>
        <w:pStyle w:val="Body"/>
        <w:spacing w:before="120"/>
        <w:rPr>
          <w:lang w:val="en-US"/>
        </w:rPr>
      </w:pPr>
      <w:r w:rsidRPr="00505678">
        <w:rPr>
          <w:lang w:val="en-US"/>
        </w:rPr>
        <w:lastRenderedPageBreak/>
        <w:t xml:space="preserve">Across Horizons 2 and 3, the focus </w:t>
      </w:r>
      <w:r w:rsidR="000A3859">
        <w:rPr>
          <w:lang w:val="en-US"/>
        </w:rPr>
        <w:t>is on</w:t>
      </w:r>
      <w:r w:rsidRPr="00505678">
        <w:rPr>
          <w:lang w:val="en-US"/>
        </w:rPr>
        <w:t xml:space="preserve"> scaling and embedding proven models into routine acute care delivery. Virtual hospital pathways become increasingly integrated with Ambulance Victoria, </w:t>
      </w:r>
      <w:r w:rsidR="00ED4A9F">
        <w:rPr>
          <w:lang w:val="en-US"/>
        </w:rPr>
        <w:t>Virtual Emergency Department</w:t>
      </w:r>
      <w:r w:rsidRPr="00505678">
        <w:rPr>
          <w:lang w:val="en-US"/>
        </w:rPr>
        <w:t>, aged care, community services</w:t>
      </w:r>
      <w:r w:rsidR="00C16A0A" w:rsidRPr="00505678">
        <w:rPr>
          <w:lang w:val="en-US"/>
        </w:rPr>
        <w:t>,</w:t>
      </w:r>
      <w:r w:rsidRPr="00505678">
        <w:rPr>
          <w:lang w:val="en-US"/>
        </w:rPr>
        <w:t xml:space="preserve"> and hospital networks.</w:t>
      </w:r>
    </w:p>
    <w:p w14:paraId="48866D1E" w14:textId="092FD0B7" w:rsidR="00965CAD" w:rsidRPr="00965CAD" w:rsidRDefault="00F85EE8" w:rsidP="000111EC">
      <w:pPr>
        <w:pStyle w:val="Body"/>
        <w:spacing w:before="120"/>
        <w:rPr>
          <w:lang w:val="en-US"/>
        </w:rPr>
      </w:pPr>
      <w:r w:rsidRPr="00F85EE8">
        <w:rPr>
          <w:lang w:val="en-US"/>
        </w:rPr>
        <w:t xml:space="preserve">As virtual models mature, capability is progressively </w:t>
      </w:r>
      <w:proofErr w:type="spellStart"/>
      <w:r w:rsidR="00EF1F26">
        <w:rPr>
          <w:lang w:val="en-US"/>
        </w:rPr>
        <w:t>standardi</w:t>
      </w:r>
      <w:r w:rsidR="000A3859">
        <w:rPr>
          <w:lang w:val="en-US"/>
        </w:rPr>
        <w:t>s</w:t>
      </w:r>
      <w:r w:rsidR="00EF1F26">
        <w:rPr>
          <w:lang w:val="en-US"/>
        </w:rPr>
        <w:t>ed</w:t>
      </w:r>
      <w:proofErr w:type="spellEnd"/>
      <w:r w:rsidR="00EF1F26">
        <w:rPr>
          <w:lang w:val="en-US"/>
        </w:rPr>
        <w:t xml:space="preserve"> </w:t>
      </w:r>
      <w:r w:rsidRPr="00F85EE8">
        <w:rPr>
          <w:lang w:val="en-US"/>
        </w:rPr>
        <w:t xml:space="preserve">and expanded across the health system, enabling specialist expertise, </w:t>
      </w:r>
      <w:r w:rsidR="00EF1F26">
        <w:rPr>
          <w:lang w:val="en-US"/>
        </w:rPr>
        <w:t xml:space="preserve">remote </w:t>
      </w:r>
      <w:r w:rsidRPr="00F85EE8">
        <w:rPr>
          <w:lang w:val="en-US"/>
        </w:rPr>
        <w:t>monitoring</w:t>
      </w:r>
      <w:r w:rsidR="00C16A0A" w:rsidRPr="00F85EE8">
        <w:rPr>
          <w:lang w:val="en-US"/>
        </w:rPr>
        <w:t>,</w:t>
      </w:r>
      <w:r w:rsidRPr="00F85EE8">
        <w:rPr>
          <w:lang w:val="en-US"/>
        </w:rPr>
        <w:t xml:space="preserve"> and clinical oversight to be delivered more consistently and efficiently</w:t>
      </w:r>
      <w:r w:rsidR="009A1879">
        <w:rPr>
          <w:lang w:val="en-US"/>
        </w:rPr>
        <w:t>,</w:t>
      </w:r>
      <w:r w:rsidRPr="00F85EE8">
        <w:rPr>
          <w:lang w:val="en-US"/>
        </w:rPr>
        <w:t xml:space="preserve"> regardless of location.</w:t>
      </w:r>
      <w:r>
        <w:rPr>
          <w:lang w:val="en-US"/>
        </w:rPr>
        <w:t xml:space="preserve"> </w:t>
      </w:r>
    </w:p>
    <w:p w14:paraId="2D1A68F3" w14:textId="64AC05EC" w:rsidR="005F1EAA" w:rsidRPr="0080037B" w:rsidRDefault="009C7CCD" w:rsidP="00B2372C">
      <w:pPr>
        <w:pStyle w:val="Heading3"/>
        <w:numPr>
          <w:ilvl w:val="1"/>
          <w:numId w:val="8"/>
        </w:numPr>
        <w:spacing w:after="360"/>
        <w:ind w:left="737" w:hanging="737"/>
        <w:rPr>
          <w:color w:val="006E91"/>
          <w:lang w:val="en-US"/>
        </w:rPr>
      </w:pPr>
      <w:r w:rsidRPr="000111EC">
        <w:rPr>
          <w:color w:val="006E91"/>
          <w:lang w:val="en-US"/>
        </w:rPr>
        <w:t>Digital and Virtual Care Journeys</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97"/>
        <w:gridCol w:w="7879"/>
      </w:tblGrid>
      <w:tr w:rsidR="005F1EAA" w:rsidRPr="00DF194B" w14:paraId="20A8EB25" w14:textId="77777777" w:rsidTr="005F7FC5">
        <w:trPr>
          <w:trHeight w:val="1134"/>
        </w:trPr>
        <w:tc>
          <w:tcPr>
            <w:tcW w:w="1297" w:type="dxa"/>
            <w:vAlign w:val="center"/>
          </w:tcPr>
          <w:p w14:paraId="433BD28D" w14:textId="77777777" w:rsidR="005F1EAA" w:rsidRPr="0075673F" w:rsidRDefault="005F1EAA" w:rsidP="00B264F2">
            <w:pPr>
              <w:pStyle w:val="Body"/>
            </w:pPr>
            <w:r w:rsidRPr="00B264F2">
              <w:rPr>
                <w:b/>
                <w:color w:val="595959" w:themeColor="text1" w:themeTint="A6"/>
                <w:sz w:val="24"/>
                <w:szCs w:val="24"/>
              </w:rPr>
              <w:t>Objective</w:t>
            </w:r>
          </w:p>
        </w:tc>
        <w:tc>
          <w:tcPr>
            <w:tcW w:w="7971" w:type="dxa"/>
            <w:vAlign w:val="center"/>
          </w:tcPr>
          <w:p w14:paraId="690930FB" w14:textId="7F85029A" w:rsidR="005F1EAA" w:rsidRPr="00DF194B" w:rsidRDefault="00EB3660" w:rsidP="00103E49">
            <w:pPr>
              <w:pStyle w:val="Body"/>
              <w:jc w:val="both"/>
              <w:rPr>
                <w:b/>
                <w:bCs/>
                <w:szCs w:val="21"/>
              </w:rPr>
            </w:pPr>
            <w:r w:rsidRPr="00B264F2">
              <w:rPr>
                <w:color w:val="595959" w:themeColor="text1" w:themeTint="A6"/>
              </w:rPr>
              <w:t>Enabling proactive monitoring, chronic disease management and population-based care, supporting</w:t>
            </w:r>
            <w:r w:rsidR="005A5C1C">
              <w:rPr>
                <w:color w:val="595959" w:themeColor="text1" w:themeTint="A6"/>
              </w:rPr>
              <w:t xml:space="preserve"> prevention,</w:t>
            </w:r>
            <w:r w:rsidRPr="00B264F2">
              <w:rPr>
                <w:color w:val="595959" w:themeColor="text1" w:themeTint="A6"/>
              </w:rPr>
              <w:t xml:space="preserve"> timely intervention and safe transitions between care settings as needs change</w:t>
            </w:r>
          </w:p>
        </w:tc>
      </w:tr>
    </w:tbl>
    <w:p w14:paraId="09928D7A" w14:textId="12C4C9A7" w:rsidR="00135BEC" w:rsidRDefault="009A1879" w:rsidP="00135BEC">
      <w:pPr>
        <w:pStyle w:val="Body"/>
        <w:spacing w:before="120"/>
        <w:rPr>
          <w:lang w:val="en-US"/>
        </w:rPr>
      </w:pPr>
      <w:r>
        <w:rPr>
          <w:lang w:val="en-US"/>
        </w:rPr>
        <w:t xml:space="preserve">The </w:t>
      </w:r>
      <w:r w:rsidR="009C7CCD" w:rsidRPr="009C7CCD">
        <w:rPr>
          <w:lang w:val="en-US"/>
        </w:rPr>
        <w:t xml:space="preserve">Digital and Virtual Care Journeys </w:t>
      </w:r>
      <w:r>
        <w:rPr>
          <w:lang w:val="en-US"/>
        </w:rPr>
        <w:t xml:space="preserve">program of work </w:t>
      </w:r>
      <w:r w:rsidR="00135BEC" w:rsidRPr="00135BEC">
        <w:rPr>
          <w:lang w:val="en-US"/>
        </w:rPr>
        <w:t>brings together remote monitoring, specialist advice, virtual care coordination</w:t>
      </w:r>
      <w:r w:rsidR="00C16A0A" w:rsidRPr="00135BEC">
        <w:rPr>
          <w:lang w:val="en-US"/>
        </w:rPr>
        <w:t>,</w:t>
      </w:r>
      <w:r w:rsidR="00135BEC" w:rsidRPr="00135BEC">
        <w:rPr>
          <w:lang w:val="en-US"/>
        </w:rPr>
        <w:t xml:space="preserve"> and population-based approaches to support earlier intervention, better management of chronic conditions and smoother transitions between care settings as needs change.</w:t>
      </w:r>
    </w:p>
    <w:p w14:paraId="761A678C" w14:textId="3B473300" w:rsidR="009A1879" w:rsidRDefault="009C7CCD" w:rsidP="00135BEC">
      <w:pPr>
        <w:pStyle w:val="Body"/>
        <w:spacing w:before="120"/>
        <w:rPr>
          <w:lang w:val="en-US"/>
        </w:rPr>
      </w:pPr>
      <w:r w:rsidRPr="009C7CCD">
        <w:rPr>
          <w:lang w:val="en-US"/>
        </w:rPr>
        <w:t>In Horizon 1, the focus is on establishing and evaluating key capabilities that support proactive</w:t>
      </w:r>
      <w:r w:rsidR="00A21CB0">
        <w:rPr>
          <w:lang w:val="en-US"/>
        </w:rPr>
        <w:t>, coordinated</w:t>
      </w:r>
      <w:r w:rsidR="00C16A0A">
        <w:rPr>
          <w:lang w:val="en-US"/>
        </w:rPr>
        <w:t>,</w:t>
      </w:r>
      <w:r w:rsidRPr="009C7CCD">
        <w:rPr>
          <w:lang w:val="en-US"/>
        </w:rPr>
        <w:t xml:space="preserve"> and </w:t>
      </w:r>
      <w:r w:rsidR="00A21CB0">
        <w:rPr>
          <w:lang w:val="en-US"/>
        </w:rPr>
        <w:t xml:space="preserve">continuous </w:t>
      </w:r>
      <w:r w:rsidRPr="009C7CCD" w:rsidDel="00A21CB0">
        <w:rPr>
          <w:lang w:val="en-US"/>
        </w:rPr>
        <w:t>care</w:t>
      </w:r>
      <w:r w:rsidRPr="009C7CCD">
        <w:rPr>
          <w:lang w:val="en-US"/>
        </w:rPr>
        <w:t>, including Assisted Self-Management pathways for chronic disease, Specialist Advice Now consultation services and stronger virtual care coordination across Local Health Service Networks.</w:t>
      </w:r>
      <w:r w:rsidR="009366E7" w:rsidRPr="009366E7">
        <w:t xml:space="preserve"> </w:t>
      </w:r>
      <w:r w:rsidR="009366E7" w:rsidRPr="001B5248">
        <w:rPr>
          <w:lang w:val="en-US"/>
        </w:rPr>
        <w:t>Horizon 1 will also build on successful digital mental health pilots to scale proven approaches that improve access to care in regional Victoria.</w:t>
      </w:r>
    </w:p>
    <w:p w14:paraId="248A502F" w14:textId="71DF20F3" w:rsidR="006512D2" w:rsidRPr="009C7CCD" w:rsidRDefault="009C7CCD" w:rsidP="00135BEC">
      <w:pPr>
        <w:pStyle w:val="Body"/>
        <w:spacing w:before="120"/>
        <w:rPr>
          <w:lang w:val="en-US"/>
        </w:rPr>
      </w:pPr>
      <w:r w:rsidRPr="009C7CCD">
        <w:rPr>
          <w:lang w:val="en-US"/>
        </w:rPr>
        <w:t>Early work will also explore population risk stratification capabilities and the data</w:t>
      </w:r>
      <w:r w:rsidR="00C4439F" w:rsidRPr="00C4439F">
        <w:t xml:space="preserve"> </w:t>
      </w:r>
      <w:r w:rsidR="00C4439F" w:rsidRPr="00C4439F">
        <w:rPr>
          <w:lang w:val="en-US"/>
        </w:rPr>
        <w:t xml:space="preserve">required to support </w:t>
      </w:r>
      <w:r w:rsidR="00C4439F">
        <w:rPr>
          <w:lang w:val="en-US"/>
        </w:rPr>
        <w:t>population health</w:t>
      </w:r>
      <w:r w:rsidR="00C4439F" w:rsidRPr="00C4439F">
        <w:rPr>
          <w:lang w:val="en-US"/>
        </w:rPr>
        <w:t xml:space="preserve"> at scale, establishing the foundations for more consistent identification, prioritisation</w:t>
      </w:r>
      <w:r w:rsidR="00C16A0A" w:rsidRPr="00C4439F">
        <w:rPr>
          <w:lang w:val="en-US"/>
        </w:rPr>
        <w:t>,</w:t>
      </w:r>
      <w:r w:rsidR="00C4439F" w:rsidRPr="00C4439F">
        <w:rPr>
          <w:lang w:val="en-US"/>
        </w:rPr>
        <w:t xml:space="preserve"> and management of populations with complex or emerging needs.</w:t>
      </w:r>
    </w:p>
    <w:p w14:paraId="6AD6955B" w14:textId="2F898186" w:rsidR="00467C8B" w:rsidRDefault="009C7CCD" w:rsidP="00C4439F">
      <w:pPr>
        <w:pStyle w:val="Body"/>
        <w:spacing w:before="120"/>
      </w:pPr>
      <w:r w:rsidRPr="009C7CCD">
        <w:rPr>
          <w:lang w:val="en-US"/>
        </w:rPr>
        <w:t xml:space="preserve">Across Horizons 2 and 3, the focus shifts to scaling proven approaches and embedding them into routine care delivery. Remote patient monitoring, specialist consultation services, population </w:t>
      </w:r>
      <w:r w:rsidR="00261A02">
        <w:rPr>
          <w:lang w:val="en-US"/>
        </w:rPr>
        <w:t>health management</w:t>
      </w:r>
      <w:r w:rsidRPr="009C7CCD">
        <w:rPr>
          <w:lang w:val="en-US"/>
        </w:rPr>
        <w:t xml:space="preserve"> and coordinated virtual care pathways become increasingly integrated across health services and settings.</w:t>
      </w:r>
      <w:r w:rsidR="00744245" w:rsidRPr="00744245">
        <w:t xml:space="preserve"> </w:t>
      </w:r>
    </w:p>
    <w:p w14:paraId="58A90D6F" w14:textId="557B25EA" w:rsidR="009C7CCD" w:rsidRDefault="00744245" w:rsidP="009C7CCD">
      <w:pPr>
        <w:pStyle w:val="Body"/>
        <w:rPr>
          <w:lang w:val="en-US"/>
        </w:rPr>
      </w:pPr>
      <w:r w:rsidRPr="00744245">
        <w:rPr>
          <w:lang w:val="en-US"/>
        </w:rPr>
        <w:t>Alongside capability expansion, the program will work to establish sustainable models that support long-term delivery beyond pilots and short-term initiatives, ensuring these approaches become a routine part of care.</w:t>
      </w:r>
    </w:p>
    <w:p w14:paraId="0585A160" w14:textId="366C152A" w:rsidR="005854EF" w:rsidRPr="0080037B" w:rsidRDefault="00445B8C" w:rsidP="00B2372C">
      <w:pPr>
        <w:pStyle w:val="Heading3"/>
        <w:numPr>
          <w:ilvl w:val="1"/>
          <w:numId w:val="8"/>
        </w:numPr>
        <w:spacing w:after="360"/>
        <w:ind w:left="737" w:hanging="737"/>
        <w:rPr>
          <w:color w:val="006E91"/>
          <w:lang w:val="en-US"/>
        </w:rPr>
      </w:pPr>
      <w:r w:rsidRPr="000111EC">
        <w:rPr>
          <w:color w:val="006E91"/>
          <w:lang w:val="en-US"/>
        </w:rPr>
        <w:t>Virtual Care Digital Foundations</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97"/>
        <w:gridCol w:w="7879"/>
      </w:tblGrid>
      <w:tr w:rsidR="00445B8C" w:rsidRPr="00DF194B" w14:paraId="04FA3CE4" w14:textId="77777777" w:rsidTr="005F7FC5">
        <w:trPr>
          <w:trHeight w:val="952"/>
        </w:trPr>
        <w:tc>
          <w:tcPr>
            <w:tcW w:w="1297" w:type="dxa"/>
            <w:vAlign w:val="center"/>
          </w:tcPr>
          <w:p w14:paraId="3D0B6037" w14:textId="0A976412" w:rsidR="00445B8C" w:rsidRPr="0075673F" w:rsidRDefault="00445B8C" w:rsidP="00B264F2">
            <w:pPr>
              <w:pStyle w:val="Body"/>
            </w:pPr>
            <w:r w:rsidRPr="00B264F2">
              <w:rPr>
                <w:b/>
                <w:color w:val="595959" w:themeColor="text1" w:themeTint="A6"/>
                <w:sz w:val="24"/>
                <w:szCs w:val="24"/>
              </w:rPr>
              <w:t>Objective</w:t>
            </w:r>
          </w:p>
        </w:tc>
        <w:tc>
          <w:tcPr>
            <w:tcW w:w="7971" w:type="dxa"/>
            <w:vAlign w:val="center"/>
          </w:tcPr>
          <w:p w14:paraId="7876E9F4" w14:textId="281F8BAF" w:rsidR="00445B8C" w:rsidRPr="00DF194B" w:rsidRDefault="005854EF" w:rsidP="00950A36">
            <w:pPr>
              <w:pStyle w:val="Body"/>
              <w:jc w:val="both"/>
              <w:rPr>
                <w:b/>
                <w:bCs/>
                <w:szCs w:val="21"/>
              </w:rPr>
            </w:pPr>
            <w:r w:rsidRPr="00B264F2">
              <w:rPr>
                <w:color w:val="595959" w:themeColor="text1" w:themeTint="A6"/>
              </w:rPr>
              <w:t>Establishing shared technology platforms, digital capabilities and standards to enable safe, scalable and consistent delivery of virtual care.</w:t>
            </w:r>
          </w:p>
        </w:tc>
      </w:tr>
    </w:tbl>
    <w:p w14:paraId="430A26D1" w14:textId="6E0813D3" w:rsidR="00445B8C" w:rsidRDefault="009A1879" w:rsidP="005854EF">
      <w:pPr>
        <w:pStyle w:val="Body"/>
        <w:spacing w:before="120"/>
        <w:rPr>
          <w:lang w:val="en-US"/>
        </w:rPr>
      </w:pPr>
      <w:r>
        <w:rPr>
          <w:lang w:val="en-US"/>
        </w:rPr>
        <w:t xml:space="preserve">The </w:t>
      </w:r>
      <w:r w:rsidR="00FF314E" w:rsidRPr="00FF314E">
        <w:rPr>
          <w:lang w:val="en-US"/>
        </w:rPr>
        <w:t>Virtual Care Digital Foundations</w:t>
      </w:r>
      <w:r w:rsidR="0085473C">
        <w:rPr>
          <w:lang w:val="en-US"/>
        </w:rPr>
        <w:t xml:space="preserve"> </w:t>
      </w:r>
      <w:r>
        <w:rPr>
          <w:lang w:val="en-US"/>
        </w:rPr>
        <w:t>program of work</w:t>
      </w:r>
      <w:r w:rsidR="00C4786E">
        <w:rPr>
          <w:lang w:val="en-US"/>
        </w:rPr>
        <w:t xml:space="preserve"> c</w:t>
      </w:r>
      <w:r w:rsidR="00C4786E" w:rsidRPr="00C4786E">
        <w:rPr>
          <w:lang w:val="en-US"/>
        </w:rPr>
        <w:t>reates a common foundation for virtual care delivery, reducing fragmentation and enabling virtual care models to be implemented, integrated and scaled consistently across the health system.</w:t>
      </w:r>
    </w:p>
    <w:p w14:paraId="61C2C82C" w14:textId="6A9A8FBE" w:rsidR="00C4786E" w:rsidRPr="00C4786E" w:rsidRDefault="00C4786E" w:rsidP="00C4786E">
      <w:pPr>
        <w:pStyle w:val="Body"/>
        <w:spacing w:before="120"/>
        <w:rPr>
          <w:lang w:val="en-US"/>
        </w:rPr>
      </w:pPr>
      <w:r w:rsidRPr="00C4786E">
        <w:rPr>
          <w:lang w:val="en-US"/>
        </w:rPr>
        <w:t>In Horizon 1, the focus is on defining the statewide virtual care architecture, technology standards</w:t>
      </w:r>
      <w:r w:rsidR="00C16A0A" w:rsidRPr="00C4786E">
        <w:rPr>
          <w:lang w:val="en-US"/>
        </w:rPr>
        <w:t>,</w:t>
      </w:r>
      <w:r w:rsidRPr="00C4786E">
        <w:rPr>
          <w:lang w:val="en-US"/>
        </w:rPr>
        <w:t xml:space="preserve"> and future platform ecosystem, including telehealth, remote monitoring</w:t>
      </w:r>
      <w:r w:rsidR="00C16A0A" w:rsidRPr="00C4786E">
        <w:rPr>
          <w:lang w:val="en-US"/>
        </w:rPr>
        <w:t>,</w:t>
      </w:r>
      <w:r w:rsidRPr="00C4786E">
        <w:rPr>
          <w:lang w:val="en-US"/>
        </w:rPr>
        <w:t xml:space="preserve"> and asynchronous care capabilities. Common approaches to interoperability, consumer-generated health data, </w:t>
      </w:r>
      <w:r w:rsidRPr="00C4786E">
        <w:rPr>
          <w:lang w:val="en-US"/>
        </w:rPr>
        <w:lastRenderedPageBreak/>
        <w:t>procurement, security</w:t>
      </w:r>
      <w:r w:rsidR="00C16A0A" w:rsidRPr="00C4786E">
        <w:rPr>
          <w:lang w:val="en-US"/>
        </w:rPr>
        <w:t>,</w:t>
      </w:r>
      <w:r w:rsidRPr="00C4786E">
        <w:rPr>
          <w:lang w:val="en-US"/>
        </w:rPr>
        <w:t xml:space="preserve"> and implementation will establish the foundations required for more connected and reusable virtual care capability.</w:t>
      </w:r>
    </w:p>
    <w:p w14:paraId="6C24B0CC" w14:textId="7714A7A5" w:rsidR="00C4786E" w:rsidRPr="00445B8C" w:rsidRDefault="00C4786E" w:rsidP="000111EC">
      <w:pPr>
        <w:pStyle w:val="Body"/>
        <w:spacing w:before="120"/>
        <w:rPr>
          <w:lang w:val="en-US"/>
        </w:rPr>
      </w:pPr>
      <w:r w:rsidRPr="00C4786E">
        <w:rPr>
          <w:lang w:val="en-US"/>
        </w:rPr>
        <w:t>Across Horizons 2 and 3, the focus shifts to expanding adoption of shared platforms, integrating virtual care technologies into care pathways, and strengthening interoperability across hospitals, primary care, community services</w:t>
      </w:r>
      <w:r w:rsidR="00C16A0A" w:rsidRPr="00C4786E">
        <w:rPr>
          <w:lang w:val="en-US"/>
        </w:rPr>
        <w:t>,</w:t>
      </w:r>
      <w:r w:rsidRPr="00C4786E">
        <w:rPr>
          <w:lang w:val="en-US"/>
        </w:rPr>
        <w:t xml:space="preserve"> and virtual care providers.</w:t>
      </w:r>
    </w:p>
    <w:p w14:paraId="0CFDACF9" w14:textId="77777777" w:rsidR="00D84E4D" w:rsidRDefault="00D84E4D">
      <w:pPr>
        <w:spacing w:after="0" w:line="240" w:lineRule="auto"/>
        <w:rPr>
          <w:rFonts w:eastAsia="MS Gothic"/>
          <w:bCs/>
          <w:color w:val="53565A"/>
          <w:sz w:val="30"/>
          <w:szCs w:val="26"/>
          <w:lang w:val="en-US"/>
        </w:rPr>
      </w:pPr>
      <w:r>
        <w:rPr>
          <w:lang w:val="en-US"/>
        </w:rPr>
        <w:br w:type="page"/>
      </w:r>
    </w:p>
    <w:p w14:paraId="58FB440C" w14:textId="3EF7C321" w:rsidR="006B1C00" w:rsidRDefault="006B1C00" w:rsidP="00614670">
      <w:pPr>
        <w:pStyle w:val="Tablecaption"/>
        <w:rPr>
          <w:noProof/>
          <w:color w:val="006E91"/>
        </w:rPr>
      </w:pPr>
      <w:r>
        <w:lastRenderedPageBreak/>
        <w:t xml:space="preserve">Table </w:t>
      </w:r>
      <w:fldSimple w:instr=" SEQ Table \* ARABIC ">
        <w:r w:rsidR="003E7FE1">
          <w:rPr>
            <w:noProof/>
          </w:rPr>
          <w:t>2</w:t>
        </w:r>
      </w:fldSimple>
      <w:r>
        <w:t xml:space="preserve">. Care </w:t>
      </w:r>
      <w:r w:rsidR="0082664C">
        <w:t>A</w:t>
      </w:r>
      <w:r>
        <w:t>nywhere programs</w:t>
      </w:r>
      <w:r w:rsidRPr="000B099F">
        <w:t xml:space="preserve"> and initiatives</w:t>
      </w:r>
    </w:p>
    <w:p w14:paraId="3187C8C0" w14:textId="7D84F987" w:rsidR="00501CB5" w:rsidRDefault="00501CB5" w:rsidP="00A22D1B">
      <w:r>
        <w:rPr>
          <w:noProof/>
          <w:sz w:val="20"/>
          <w:szCs w:val="18"/>
        </w:rPr>
        <w:drawing>
          <wp:inline distT="0" distB="0" distL="0" distR="0" wp14:anchorId="40BDBCD9" wp14:editId="3A72EE89">
            <wp:extent cx="5827395" cy="2961640"/>
            <wp:effectExtent l="0" t="0" r="1905" b="0"/>
            <wp:docPr id="576636121" name="Picture 86"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36121" name="Picture 86" descr="Accessible text equivalent provided in Appendix A."/>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5827395" cy="2961640"/>
                    </a:xfrm>
                    <a:prstGeom prst="rect">
                      <a:avLst/>
                    </a:prstGeom>
                    <a:noFill/>
                    <a:ln>
                      <a:noFill/>
                    </a:ln>
                  </pic:spPr>
                </pic:pic>
              </a:graphicData>
            </a:graphic>
          </wp:inline>
        </w:drawing>
      </w:r>
    </w:p>
    <w:p w14:paraId="7804987E" w14:textId="4A3A16C1" w:rsidR="00A22D1B" w:rsidRPr="00914813" w:rsidRDefault="00A22D1B" w:rsidP="00A22D1B">
      <w:r w:rsidRPr="00914813">
        <w:t>This table outlines the initiatives within the Care Anywhere pillar and their progression across three planning horizons:</w:t>
      </w:r>
    </w:p>
    <w:p w14:paraId="635B169A" w14:textId="77777777" w:rsidR="00A22D1B" w:rsidRPr="00914813" w:rsidRDefault="00A22D1B" w:rsidP="00E56088">
      <w:pPr>
        <w:numPr>
          <w:ilvl w:val="0"/>
          <w:numId w:val="11"/>
        </w:numPr>
      </w:pPr>
      <w:r w:rsidRPr="00914813">
        <w:t>Defined initiatives (2026–2028): Initiatives that are sufficiently mature to support immediate planning, investment and delivery.</w:t>
      </w:r>
    </w:p>
    <w:p w14:paraId="387F0376" w14:textId="77777777" w:rsidR="00A22D1B" w:rsidRPr="00914813" w:rsidRDefault="00A22D1B" w:rsidP="00E56088">
      <w:pPr>
        <w:numPr>
          <w:ilvl w:val="0"/>
          <w:numId w:val="11"/>
        </w:numPr>
      </w:pPr>
      <w:r w:rsidRPr="00914813">
        <w:t>Emerging priorities (2028–2030): Initiatives expected to expand or mature over the medium term.</w:t>
      </w:r>
    </w:p>
    <w:p w14:paraId="2CD4BA87" w14:textId="588BA249" w:rsidR="00A22D1B" w:rsidRPr="00914813" w:rsidRDefault="00A22D1B" w:rsidP="00E56088">
      <w:pPr>
        <w:numPr>
          <w:ilvl w:val="0"/>
          <w:numId w:val="11"/>
        </w:numPr>
      </w:pPr>
      <w:r w:rsidRPr="00914813">
        <w:t>Future direction (2030 onwards): Longer-term areas of focus that support the roadmap vision.</w:t>
      </w:r>
    </w:p>
    <w:p w14:paraId="3D1C913E" w14:textId="0BFCBFD5" w:rsidR="00A90EB1" w:rsidRPr="00914813" w:rsidRDefault="00A90EB1" w:rsidP="00A90EB1">
      <w:r w:rsidRPr="00914813">
        <w:t>Further detail about this table can be found in the appendix.</w:t>
      </w:r>
    </w:p>
    <w:p w14:paraId="68D3E10F" w14:textId="38E0F0D6" w:rsidR="00933797" w:rsidRPr="00DA6498" w:rsidRDefault="00717388" w:rsidP="00DA6498">
      <w:pPr>
        <w:pStyle w:val="Heading2"/>
        <w:rPr>
          <w:rFonts w:eastAsia="MS Gothic"/>
          <w:b w:val="0"/>
          <w:bCs/>
          <w:color w:val="006E91"/>
          <w:sz w:val="30"/>
          <w:szCs w:val="26"/>
          <w:lang w:val="en-US"/>
        </w:rPr>
      </w:pPr>
      <w:bookmarkStart w:id="53" w:name="_Toc244166833"/>
      <w:r w:rsidRPr="00DA6498">
        <w:rPr>
          <w:rFonts w:eastAsia="MS Gothic"/>
          <w:b w:val="0"/>
          <w:bCs/>
          <w:color w:val="006E91"/>
          <w:sz w:val="30"/>
          <w:szCs w:val="26"/>
          <w:lang w:val="en-US"/>
        </w:rPr>
        <w:t>Care Anywhere</w:t>
      </w:r>
      <w:r w:rsidR="00933797" w:rsidRPr="00DA6498">
        <w:rPr>
          <w:rFonts w:eastAsia="MS Gothic"/>
          <w:b w:val="0"/>
          <w:bCs/>
          <w:color w:val="006E91"/>
          <w:sz w:val="30"/>
          <w:szCs w:val="26"/>
          <w:lang w:val="en-US"/>
        </w:rPr>
        <w:t xml:space="preserve"> in 2031</w:t>
      </w:r>
      <w:bookmarkEnd w:id="53"/>
    </w:p>
    <w:p w14:paraId="2FCBD8E8" w14:textId="77777777" w:rsidR="00A0207C" w:rsidRPr="000111EC" w:rsidRDefault="00A0207C" w:rsidP="000111EC">
      <w:pPr>
        <w:pStyle w:val="Body"/>
        <w:spacing w:before="120"/>
        <w:rPr>
          <w:lang w:val="en-US"/>
        </w:rPr>
      </w:pPr>
      <w:r w:rsidRPr="000111EC">
        <w:rPr>
          <w:lang w:val="en-US"/>
        </w:rPr>
        <w:t xml:space="preserve">By 2031, care will no longer be defined by where it is delivered, but by what people need and when they need it. Victorians will be able to access acute, chronic, preventative and specialist care through a coordinated mix </w:t>
      </w:r>
      <w:proofErr w:type="gramStart"/>
      <w:r w:rsidRPr="000111EC">
        <w:rPr>
          <w:lang w:val="en-US"/>
        </w:rPr>
        <w:t>of in</w:t>
      </w:r>
      <w:r w:rsidRPr="000111EC">
        <w:rPr>
          <w:rFonts w:ascii="Cambria Math" w:hAnsi="Cambria Math" w:cs="Cambria Math"/>
          <w:lang w:val="en-US"/>
        </w:rPr>
        <w:t>‑</w:t>
      </w:r>
      <w:r w:rsidRPr="000111EC">
        <w:rPr>
          <w:lang w:val="en-US"/>
        </w:rPr>
        <w:t>person</w:t>
      </w:r>
      <w:proofErr w:type="gramEnd"/>
      <w:r w:rsidRPr="000111EC">
        <w:rPr>
          <w:lang w:val="en-US"/>
        </w:rPr>
        <w:t>, virtual, home</w:t>
      </w:r>
      <w:r w:rsidRPr="000111EC">
        <w:rPr>
          <w:rFonts w:ascii="Cambria Math" w:hAnsi="Cambria Math" w:cs="Cambria Math"/>
          <w:lang w:val="en-US"/>
        </w:rPr>
        <w:t>‑</w:t>
      </w:r>
      <w:r w:rsidRPr="000111EC">
        <w:rPr>
          <w:lang w:val="en-US"/>
        </w:rPr>
        <w:t>based and community models that work together as part of a connected care journey.</w:t>
      </w:r>
    </w:p>
    <w:p w14:paraId="3A4CF8E6" w14:textId="7AB1BB9D" w:rsidR="00A0207C" w:rsidRPr="000111EC" w:rsidRDefault="00A0207C" w:rsidP="000111EC">
      <w:pPr>
        <w:pStyle w:val="Body"/>
        <w:spacing w:before="120"/>
        <w:rPr>
          <w:lang w:val="en-US"/>
        </w:rPr>
      </w:pPr>
      <w:r w:rsidRPr="000111EC">
        <w:rPr>
          <w:lang w:val="en-US"/>
        </w:rPr>
        <w:t>Hospital-level care will increasingly be delivered beyond hospital walls. Digital and virtual care pathways will support people to manage health conditions more effectively, access specialist advice sooner and receive more coordinated support as their needs change.</w:t>
      </w:r>
    </w:p>
    <w:p w14:paraId="35F5675F" w14:textId="7962DFAD" w:rsidR="00A0207C" w:rsidRPr="000111EC" w:rsidRDefault="00A0207C" w:rsidP="000111EC">
      <w:pPr>
        <w:pStyle w:val="Body"/>
        <w:spacing w:before="120"/>
        <w:rPr>
          <w:lang w:val="en-US"/>
        </w:rPr>
      </w:pPr>
      <w:r w:rsidRPr="000111EC">
        <w:rPr>
          <w:lang w:val="en-US"/>
        </w:rPr>
        <w:t xml:space="preserve">Consumers will experience more </w:t>
      </w:r>
      <w:proofErr w:type="spellStart"/>
      <w:r w:rsidRPr="000111EC">
        <w:rPr>
          <w:lang w:val="en-US"/>
        </w:rPr>
        <w:t>personalised</w:t>
      </w:r>
      <w:proofErr w:type="spellEnd"/>
      <w:r w:rsidRPr="000111EC">
        <w:rPr>
          <w:lang w:val="en-US"/>
        </w:rPr>
        <w:t xml:space="preserve"> and convenient </w:t>
      </w:r>
      <w:r w:rsidR="00FE3492">
        <w:rPr>
          <w:lang w:val="en-US"/>
        </w:rPr>
        <w:t>services</w:t>
      </w:r>
      <w:r w:rsidRPr="000111EC">
        <w:rPr>
          <w:lang w:val="en-US"/>
        </w:rPr>
        <w:t>, spending less time travelling, waiting</w:t>
      </w:r>
      <w:r w:rsidR="00156C15" w:rsidRPr="000111EC">
        <w:rPr>
          <w:lang w:val="en-US"/>
        </w:rPr>
        <w:t>,</w:t>
      </w:r>
      <w:r w:rsidRPr="000111EC">
        <w:rPr>
          <w:lang w:val="en-US"/>
        </w:rPr>
        <w:t xml:space="preserve"> or navigating between </w:t>
      </w:r>
      <w:r w:rsidR="001D3F27">
        <w:rPr>
          <w:lang w:val="en-US"/>
        </w:rPr>
        <w:t>providers</w:t>
      </w:r>
      <w:r w:rsidRPr="000111EC">
        <w:rPr>
          <w:lang w:val="en-US"/>
        </w:rPr>
        <w:t xml:space="preserve">. Clinicians will have greater visibility of </w:t>
      </w:r>
      <w:r w:rsidR="004C097D">
        <w:rPr>
          <w:lang w:val="en-US"/>
        </w:rPr>
        <w:t>consumer</w:t>
      </w:r>
      <w:r w:rsidR="004C097D" w:rsidRPr="000111EC">
        <w:rPr>
          <w:lang w:val="en-US"/>
        </w:rPr>
        <w:t xml:space="preserve"> </w:t>
      </w:r>
      <w:r w:rsidRPr="000111EC">
        <w:rPr>
          <w:lang w:val="en-US"/>
        </w:rPr>
        <w:t>needs between encounters, supported by remote monitoring, virtual care coordination and connected information that enables timely intervention and continuity of care.</w:t>
      </w:r>
    </w:p>
    <w:p w14:paraId="228B7CDB" w14:textId="255D2784" w:rsidR="00A0207C" w:rsidRPr="000111EC" w:rsidRDefault="00A0207C" w:rsidP="000111EC">
      <w:pPr>
        <w:pStyle w:val="Body"/>
        <w:spacing w:before="120"/>
        <w:rPr>
          <w:lang w:val="en-US"/>
        </w:rPr>
      </w:pPr>
      <w:r w:rsidRPr="000111EC">
        <w:rPr>
          <w:lang w:val="en-US"/>
        </w:rPr>
        <w:t xml:space="preserve">Across the health system, digitally enabled models will improve access, particularly for rural and regional communities, reduce avoidable hospital activity and create additional capacity within hospitals and community services. Care will increasingly be delivered through sustainable, scalable models that </w:t>
      </w:r>
      <w:r w:rsidR="00C27D6A">
        <w:rPr>
          <w:lang w:val="en-US"/>
        </w:rPr>
        <w:t>improve</w:t>
      </w:r>
      <w:r w:rsidRPr="000111EC">
        <w:rPr>
          <w:lang w:val="en-US"/>
        </w:rPr>
        <w:t xml:space="preserve"> outcomes, </w:t>
      </w:r>
      <w:r w:rsidR="00C27D6A">
        <w:rPr>
          <w:lang w:val="en-US"/>
        </w:rPr>
        <w:t xml:space="preserve">enhance </w:t>
      </w:r>
      <w:r w:rsidRPr="000111EC">
        <w:rPr>
          <w:lang w:val="en-US"/>
        </w:rPr>
        <w:t>experience</w:t>
      </w:r>
      <w:r w:rsidR="00156C15" w:rsidRPr="000111EC">
        <w:rPr>
          <w:lang w:val="en-US"/>
        </w:rPr>
        <w:t>,</w:t>
      </w:r>
      <w:r w:rsidRPr="000111EC">
        <w:rPr>
          <w:lang w:val="en-US"/>
        </w:rPr>
        <w:t xml:space="preserve"> </w:t>
      </w:r>
      <w:r w:rsidR="00585E83">
        <w:rPr>
          <w:lang w:val="en-US"/>
        </w:rPr>
        <w:t>and make better</w:t>
      </w:r>
      <w:r w:rsidRPr="000111EC">
        <w:rPr>
          <w:lang w:val="en-US"/>
        </w:rPr>
        <w:t xml:space="preserve"> use of workforce and system resources.</w:t>
      </w:r>
    </w:p>
    <w:p w14:paraId="3FA9DBE9" w14:textId="11EF73D2" w:rsidR="00933797" w:rsidRPr="00933797" w:rsidRDefault="00A0207C" w:rsidP="000111EC">
      <w:pPr>
        <w:pStyle w:val="Body"/>
        <w:rPr>
          <w:lang w:val="en-US"/>
        </w:rPr>
      </w:pPr>
      <w:r w:rsidRPr="000111EC">
        <w:rPr>
          <w:lang w:val="en-US"/>
        </w:rPr>
        <w:lastRenderedPageBreak/>
        <w:t xml:space="preserve">Supported by shared digital foundations, interoperability and statewide platforms, virtual care will move beyond isolated pilots and local solutions to become a routine and integrated part of healthcare </w:t>
      </w:r>
      <w:r w:rsidR="00FC2709">
        <w:rPr>
          <w:lang w:val="en-US"/>
        </w:rPr>
        <w:t>delivery</w:t>
      </w:r>
      <w:r w:rsidRPr="000111EC">
        <w:rPr>
          <w:lang w:val="en-US"/>
        </w:rPr>
        <w:t>, enabling safer, more responsive</w:t>
      </w:r>
      <w:r w:rsidR="00156C15" w:rsidRPr="000111EC">
        <w:rPr>
          <w:lang w:val="en-US"/>
        </w:rPr>
        <w:t>,</w:t>
      </w:r>
      <w:r w:rsidR="00585E83">
        <w:rPr>
          <w:lang w:val="en-US"/>
        </w:rPr>
        <w:t xml:space="preserve"> and more equitable</w:t>
      </w:r>
      <w:r w:rsidRPr="000111EC">
        <w:rPr>
          <w:lang w:val="en-US"/>
        </w:rPr>
        <w:t xml:space="preserve"> care </w:t>
      </w:r>
      <w:r w:rsidR="00FC2709">
        <w:rPr>
          <w:lang w:val="en-US"/>
        </w:rPr>
        <w:t>for all Victorians</w:t>
      </w:r>
      <w:r w:rsidRPr="000111EC">
        <w:rPr>
          <w:lang w:val="en-US"/>
        </w:rPr>
        <w:t>.</w:t>
      </w:r>
    </w:p>
    <w:p w14:paraId="1D0A7E6D" w14:textId="77777777" w:rsidR="00D95429" w:rsidRDefault="00D95429">
      <w:pPr>
        <w:spacing w:after="0" w:line="240" w:lineRule="auto"/>
        <w:rPr>
          <w:b/>
          <w:color w:val="53565A"/>
          <w:sz w:val="32"/>
          <w:szCs w:val="28"/>
        </w:rPr>
      </w:pPr>
      <w:r>
        <w:br w:type="page"/>
      </w:r>
    </w:p>
    <w:p w14:paraId="1AD58DA3" w14:textId="6B74AB58" w:rsidR="00CD17C4" w:rsidRPr="00E54D46" w:rsidRDefault="00A95B76" w:rsidP="00B2372C">
      <w:pPr>
        <w:pStyle w:val="Heading1"/>
        <w:numPr>
          <w:ilvl w:val="0"/>
          <w:numId w:val="8"/>
        </w:numPr>
        <w:rPr>
          <w:color w:val="6E4CAA"/>
        </w:rPr>
      </w:pPr>
      <w:bookmarkStart w:id="54" w:name="_Toc235957332"/>
      <w:bookmarkStart w:id="55" w:name="_Toc244166834"/>
      <w:r w:rsidRPr="000111EC">
        <w:rPr>
          <w:color w:val="6E4CAA"/>
        </w:rPr>
        <w:lastRenderedPageBreak/>
        <w:t>Engaged Consumers</w:t>
      </w:r>
      <w:bookmarkEnd w:id="54"/>
      <w:bookmarkEnd w:id="55"/>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64"/>
        <w:gridCol w:w="7912"/>
      </w:tblGrid>
      <w:tr w:rsidR="00CD17C4" w:rsidRPr="00DF194B" w14:paraId="0487F05F" w14:textId="77777777" w:rsidTr="005F7FC5">
        <w:trPr>
          <w:trHeight w:val="1077"/>
        </w:trPr>
        <w:tc>
          <w:tcPr>
            <w:tcW w:w="1271" w:type="dxa"/>
            <w:vAlign w:val="center"/>
          </w:tcPr>
          <w:p w14:paraId="76331663" w14:textId="77777777" w:rsidR="00CD17C4" w:rsidRPr="00DC1714" w:rsidRDefault="00CD17C4" w:rsidP="00DC1714">
            <w:pPr>
              <w:pStyle w:val="Body"/>
              <w:rPr>
                <w:sz w:val="28"/>
              </w:rPr>
            </w:pPr>
            <w:bookmarkStart w:id="56" w:name="_Toc235957333"/>
            <w:r w:rsidRPr="00DC1714">
              <w:rPr>
                <w:sz w:val="28"/>
              </w:rPr>
              <w:t>Goal</w:t>
            </w:r>
            <w:bookmarkEnd w:id="56"/>
          </w:p>
        </w:tc>
        <w:tc>
          <w:tcPr>
            <w:tcW w:w="8017" w:type="dxa"/>
            <w:vAlign w:val="center"/>
          </w:tcPr>
          <w:p w14:paraId="20EECF00" w14:textId="7C19586B" w:rsidR="00CD17C4" w:rsidRPr="00DF194B" w:rsidRDefault="0055662D" w:rsidP="0046187E">
            <w:pPr>
              <w:pStyle w:val="Body"/>
              <w:jc w:val="both"/>
              <w:rPr>
                <w:b/>
                <w:bCs/>
                <w:sz w:val="24"/>
                <w:szCs w:val="22"/>
              </w:rPr>
            </w:pPr>
            <w:r w:rsidRPr="00B264F2">
              <w:rPr>
                <w:color w:val="595959" w:themeColor="text1" w:themeTint="A6"/>
                <w:sz w:val="24"/>
                <w:szCs w:val="24"/>
              </w:rPr>
              <w:t xml:space="preserve">Consistent and trusted digital channels supporting </w:t>
            </w:r>
            <w:r w:rsidRPr="00AD0895">
              <w:rPr>
                <w:color w:val="595959" w:themeColor="text1" w:themeTint="A6"/>
                <w:sz w:val="24"/>
                <w:szCs w:val="24"/>
              </w:rPr>
              <w:t>people to access their health information, navigate services and actively participate in their care</w:t>
            </w:r>
          </w:p>
        </w:tc>
      </w:tr>
    </w:tbl>
    <w:p w14:paraId="197926D7" w14:textId="2AFA7270" w:rsidR="00CD17C4" w:rsidRPr="00381A31" w:rsidRDefault="00C84AD1" w:rsidP="002D450C">
      <w:pPr>
        <w:pStyle w:val="Heading2"/>
      </w:pPr>
      <w:bookmarkStart w:id="57" w:name="_Toc235957334"/>
      <w:bookmarkStart w:id="58" w:name="_Toc244166835"/>
      <w:r w:rsidRPr="00381A31">
        <w:t>From fragmented to connected experiences</w:t>
      </w:r>
      <w:bookmarkEnd w:id="57"/>
      <w:bookmarkEnd w:id="58"/>
    </w:p>
    <w:p w14:paraId="421BD44F" w14:textId="3E4F0D99" w:rsidR="00CD17C4" w:rsidRDefault="00C84AD1" w:rsidP="00C84AD1">
      <w:pPr>
        <w:pStyle w:val="Body"/>
      </w:pPr>
      <w:r w:rsidRPr="00C84AD1">
        <w:t>Many Victorians struggle to access and understand their health information, navigate an increasingly complex health system and know what to do next. Information, guidance and services are often fragmented, reactive and inconsistent, making it difficult for people to take an active role in their care and contributing to unequal experiences and outcomes.</w:t>
      </w:r>
    </w:p>
    <w:p w14:paraId="668A8517" w14:textId="3743E29B" w:rsidR="00A62EAF" w:rsidRDefault="00A62EAF" w:rsidP="00C84AD1">
      <w:pPr>
        <w:pStyle w:val="Body"/>
      </w:pPr>
      <w:r w:rsidRPr="00A62EAF">
        <w:t>Engaged Consumers addresses this challenge by providing people with easier access to their health information, clearer guidance and more personalised support throughout their care journey. Th</w:t>
      </w:r>
      <w:r w:rsidR="002D450C">
        <w:t>is</w:t>
      </w:r>
      <w:r w:rsidRPr="00A62EAF">
        <w:t xml:space="preserve"> pillar focuses on helping people understand their health, make informed decisions and navigate services with confidence, while ensuring digital interactions remain inclusive, culturally safe and trusted.</w:t>
      </w:r>
    </w:p>
    <w:p w14:paraId="6D0706C3" w14:textId="711646F1" w:rsidR="00A62EAF" w:rsidRDefault="00D647A5" w:rsidP="00C84AD1">
      <w:pPr>
        <w:pStyle w:val="Body"/>
      </w:pPr>
      <w:r w:rsidRPr="00D647A5">
        <w:t>Consumer health portals, digital navigation tools, personalised communications and connected care experiences create more seamless interactions between people and the health system. Emerging capabilities</w:t>
      </w:r>
      <w:r w:rsidR="002D450C">
        <w:t>,</w:t>
      </w:r>
      <w:r w:rsidRPr="00D647A5">
        <w:t xml:space="preserve"> such as conversational and agentic AI, consumer-generated health data and personalised digital guidance</w:t>
      </w:r>
      <w:r w:rsidR="002D450C">
        <w:t>,</w:t>
      </w:r>
      <w:r w:rsidRPr="00D647A5">
        <w:t xml:space="preserve"> will increasingly enable people to access information, receive support and </w:t>
      </w:r>
      <w:proofErr w:type="gramStart"/>
      <w:r w:rsidR="00E74517">
        <w:t>take action</w:t>
      </w:r>
      <w:proofErr w:type="gramEnd"/>
      <w:r w:rsidR="00E74517">
        <w:t xml:space="preserve"> </w:t>
      </w:r>
      <w:r w:rsidRPr="00D647A5">
        <w:t>in ways that are more intuitive, responsive and tailored to their needs.</w:t>
      </w:r>
    </w:p>
    <w:p w14:paraId="3A8726AA" w14:textId="00EC9DC6" w:rsidR="00D647A5" w:rsidRDefault="00D647A5" w:rsidP="000111EC">
      <w:pPr>
        <w:pStyle w:val="Body"/>
      </w:pPr>
      <w:r w:rsidRPr="00D647A5">
        <w:t xml:space="preserve">By combining trusted information, personalised guidance and connected digital experiences, Engaged </w:t>
      </w:r>
      <w:r w:rsidR="002844CC">
        <w:t>C</w:t>
      </w:r>
      <w:r w:rsidRPr="00D647A5">
        <w:t>onsumers creates the foundations for people to become more informed, confident and active participants in their own health and wellbeing.</w:t>
      </w:r>
    </w:p>
    <w:p w14:paraId="30CC93E4" w14:textId="77777777" w:rsidR="00E76873" w:rsidRPr="005B059F" w:rsidRDefault="00E76873" w:rsidP="002D450C">
      <w:pPr>
        <w:pStyle w:val="Heading2"/>
      </w:pPr>
      <w:bookmarkStart w:id="59" w:name="_Toc235957335"/>
      <w:bookmarkStart w:id="60" w:name="_Toc244166836"/>
      <w:r w:rsidRPr="005B059F">
        <w:t>Design principles</w:t>
      </w:r>
      <w:bookmarkEnd w:id="59"/>
      <w:bookmarkEnd w:id="60"/>
    </w:p>
    <w:p w14:paraId="0921FEBD" w14:textId="77777777" w:rsidR="00FA6B2F" w:rsidRPr="00FA6B2F" w:rsidRDefault="00FA6B2F" w:rsidP="005B059F">
      <w:pPr>
        <w:pStyle w:val="Heading3"/>
      </w:pPr>
      <w:r w:rsidRPr="00FA6B2F">
        <w:t>Co-design and lived experience</w:t>
      </w:r>
    </w:p>
    <w:p w14:paraId="78364D8E" w14:textId="77777777" w:rsidR="00FA6B2F" w:rsidRPr="00FA6B2F" w:rsidRDefault="00FA6B2F" w:rsidP="00FA6B2F">
      <w:pPr>
        <w:pStyle w:val="Body"/>
      </w:pPr>
      <w:r w:rsidRPr="00FA6B2F">
        <w:t>Solutions should be shaped with consumers, carers and communities, ensuring services, information and digital experiences reflect real needs, preferences and lived experience.</w:t>
      </w:r>
    </w:p>
    <w:p w14:paraId="564A49EE" w14:textId="4FEE1ADC" w:rsidR="00FA6B2F" w:rsidRPr="00FA6B2F" w:rsidRDefault="00FA6B2F" w:rsidP="005B059F">
      <w:pPr>
        <w:pStyle w:val="Heading3"/>
      </w:pPr>
      <w:r w:rsidRPr="00FA6B2F">
        <w:t>Cultural safety</w:t>
      </w:r>
      <w:r w:rsidR="009F6554">
        <w:t>,</w:t>
      </w:r>
      <w:r w:rsidRPr="00FA6B2F">
        <w:t xml:space="preserve"> equity</w:t>
      </w:r>
      <w:r w:rsidR="000C6CC1">
        <w:t xml:space="preserve"> and di</w:t>
      </w:r>
      <w:r w:rsidR="00F95097">
        <w:t>gital inclusion</w:t>
      </w:r>
      <w:r w:rsidRPr="00FA6B2F">
        <w:t xml:space="preserve"> by design</w:t>
      </w:r>
    </w:p>
    <w:p w14:paraId="7B030759" w14:textId="32835D48" w:rsidR="00FA6B2F" w:rsidRPr="00FA6B2F" w:rsidRDefault="00FA6B2F" w:rsidP="00FA6B2F">
      <w:pPr>
        <w:pStyle w:val="Body"/>
      </w:pPr>
      <w:r w:rsidRPr="00FA6B2F">
        <w:t>Approaches must be culturally safe, inclusive and accessible, reducing barriers to participation and ensuring all Victorians can benefit</w:t>
      </w:r>
      <w:r w:rsidR="002D450C">
        <w:t>,</w:t>
      </w:r>
      <w:r w:rsidRPr="00FA6B2F">
        <w:t xml:space="preserve"> regardless of location, culture, language, </w:t>
      </w:r>
      <w:r>
        <w:t>health literacy</w:t>
      </w:r>
      <w:r w:rsidR="00D630DC">
        <w:t xml:space="preserve"> </w:t>
      </w:r>
      <w:r w:rsidRPr="00FA6B2F">
        <w:t>or circumstance.</w:t>
      </w:r>
      <w:r w:rsidR="00F95097" w:rsidRPr="00F95097">
        <w:t xml:space="preserve"> Services should be designed to support consumers with varying levels of confidence and ability to access and use digital health tools</w:t>
      </w:r>
      <w:r w:rsidR="00F95097">
        <w:t>.</w:t>
      </w:r>
    </w:p>
    <w:p w14:paraId="3E3DE402" w14:textId="77777777" w:rsidR="00FA6B2F" w:rsidRPr="00FA6B2F" w:rsidRDefault="00FA6B2F" w:rsidP="00C11E82">
      <w:pPr>
        <w:pStyle w:val="Heading3"/>
      </w:pPr>
      <w:r w:rsidRPr="00FA6B2F">
        <w:t>Transparency, privacy and trust</w:t>
      </w:r>
    </w:p>
    <w:p w14:paraId="6760F22C" w14:textId="463AD250" w:rsidR="00FA6B2F" w:rsidRPr="00FA6B2F" w:rsidRDefault="002D450C" w:rsidP="00FA6B2F">
      <w:pPr>
        <w:pStyle w:val="Body"/>
      </w:pPr>
      <w:r>
        <w:t>Consumers</w:t>
      </w:r>
      <w:r w:rsidRPr="00FA6B2F">
        <w:t xml:space="preserve"> </w:t>
      </w:r>
      <w:r w:rsidR="00FA6B2F" w:rsidRPr="00FA6B2F">
        <w:t>must understand how information, recommendations and guidance are generated, have confidence that their information is protected, and retain appropriate control over how it is used and shared.</w:t>
      </w:r>
    </w:p>
    <w:p w14:paraId="7EF351B8" w14:textId="77777777" w:rsidR="00FA6B2F" w:rsidRPr="00FA6B2F" w:rsidRDefault="00FA6B2F" w:rsidP="005B059F">
      <w:pPr>
        <w:pStyle w:val="Heading3"/>
      </w:pPr>
      <w:r w:rsidRPr="00FA6B2F">
        <w:lastRenderedPageBreak/>
        <w:t>Human support remains essential</w:t>
      </w:r>
    </w:p>
    <w:p w14:paraId="5792FCC0" w14:textId="77777777" w:rsidR="00FA6B2F" w:rsidRPr="00FA6B2F" w:rsidRDefault="00FA6B2F" w:rsidP="00FA6B2F">
      <w:pPr>
        <w:pStyle w:val="Body"/>
      </w:pPr>
      <w:r w:rsidRPr="00FA6B2F">
        <w:t>Digital capability should complement, not replace, trusted human interactions, providing the right balance of self-service, professional support and care coordination.</w:t>
      </w:r>
    </w:p>
    <w:p w14:paraId="4BD20F39" w14:textId="75DE4CEC" w:rsidR="00FA6B2F" w:rsidRPr="005B059F" w:rsidRDefault="00F309AF" w:rsidP="002D450C">
      <w:pPr>
        <w:pStyle w:val="Heading2"/>
      </w:pPr>
      <w:bookmarkStart w:id="61" w:name="_Toc235957336"/>
      <w:bookmarkStart w:id="62" w:name="_Toc244166837"/>
      <w:r w:rsidRPr="005B059F">
        <w:t>Programs of work</w:t>
      </w:r>
      <w:bookmarkEnd w:id="61"/>
      <w:bookmarkEnd w:id="62"/>
    </w:p>
    <w:p w14:paraId="54B8E519" w14:textId="21310911" w:rsidR="0099025C" w:rsidRPr="00E54D46" w:rsidRDefault="00CA54E1" w:rsidP="00B2372C">
      <w:pPr>
        <w:pStyle w:val="Heading3"/>
        <w:numPr>
          <w:ilvl w:val="1"/>
          <w:numId w:val="8"/>
        </w:numPr>
        <w:spacing w:after="360"/>
        <w:ind w:left="737" w:hanging="737"/>
        <w:rPr>
          <w:color w:val="6E4CAA"/>
        </w:rPr>
      </w:pPr>
      <w:r w:rsidRPr="000111EC">
        <w:rPr>
          <w:color w:val="6E4CAA"/>
        </w:rPr>
        <w:t>Informed Consumers</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97"/>
        <w:gridCol w:w="7879"/>
      </w:tblGrid>
      <w:tr w:rsidR="0099025C" w:rsidRPr="00DF194B" w14:paraId="1F2FD859" w14:textId="77777777" w:rsidTr="005F7FC5">
        <w:trPr>
          <w:trHeight w:val="952"/>
        </w:trPr>
        <w:tc>
          <w:tcPr>
            <w:tcW w:w="1297" w:type="dxa"/>
            <w:vAlign w:val="center"/>
          </w:tcPr>
          <w:p w14:paraId="40208883" w14:textId="77777777" w:rsidR="0099025C" w:rsidRPr="00B264F2" w:rsidRDefault="0099025C" w:rsidP="00B264F2">
            <w:pPr>
              <w:pStyle w:val="Body"/>
              <w:rPr>
                <w:b/>
              </w:rPr>
            </w:pPr>
            <w:r w:rsidRPr="00B264F2">
              <w:rPr>
                <w:b/>
                <w:color w:val="595959" w:themeColor="text1" w:themeTint="A6"/>
                <w:sz w:val="24"/>
                <w:szCs w:val="24"/>
              </w:rPr>
              <w:t>Objective</w:t>
            </w:r>
          </w:p>
        </w:tc>
        <w:tc>
          <w:tcPr>
            <w:tcW w:w="7971" w:type="dxa"/>
            <w:vAlign w:val="center"/>
          </w:tcPr>
          <w:p w14:paraId="3B21EA8C" w14:textId="564F3D2C" w:rsidR="0099025C" w:rsidRPr="00AE68D9" w:rsidRDefault="00CA156B" w:rsidP="00AE68D9">
            <w:pPr>
              <w:pStyle w:val="Body"/>
              <w:jc w:val="both"/>
              <w:rPr>
                <w:b/>
                <w:sz w:val="22"/>
                <w:szCs w:val="22"/>
              </w:rPr>
            </w:pPr>
            <w:r w:rsidRPr="00AE68D9">
              <w:rPr>
                <w:color w:val="595959" w:themeColor="text1" w:themeTint="A6"/>
                <w:sz w:val="22"/>
                <w:szCs w:val="22"/>
              </w:rPr>
              <w:t>Improving consumers’ ability to access, understand and use their health information through digital tools to actively participate in their care</w:t>
            </w:r>
          </w:p>
        </w:tc>
      </w:tr>
    </w:tbl>
    <w:p w14:paraId="737D1706" w14:textId="20BD2D22" w:rsidR="00FB368A" w:rsidRDefault="00FB368A" w:rsidP="005A2C82">
      <w:pPr>
        <w:pStyle w:val="Body"/>
        <w:spacing w:before="120"/>
      </w:pPr>
      <w:r>
        <w:t xml:space="preserve">The </w:t>
      </w:r>
      <w:r w:rsidR="0076788B" w:rsidRPr="0076788B">
        <w:t>Informed Consumers</w:t>
      </w:r>
      <w:r>
        <w:t xml:space="preserve"> program of work</w:t>
      </w:r>
      <w:r w:rsidR="0076788B" w:rsidRPr="0076788B">
        <w:t xml:space="preserve"> improves people's ability to access, understand and use their health information, enabling them to become more active participants in their care. </w:t>
      </w:r>
      <w:r>
        <w:t>It</w:t>
      </w:r>
      <w:r w:rsidR="0076788B" w:rsidRPr="0076788B">
        <w:t xml:space="preserve"> focuses on creating a trusted and personalised digital experience through which consumers can access information, interact with health services and manage their health.</w:t>
      </w:r>
    </w:p>
    <w:p w14:paraId="597B7962" w14:textId="3DC3A187" w:rsidR="0076788B" w:rsidRDefault="0076788B" w:rsidP="005A2C82">
      <w:pPr>
        <w:pStyle w:val="Body"/>
        <w:spacing w:before="120"/>
      </w:pPr>
      <w:r w:rsidRPr="0076788B">
        <w:t xml:space="preserve">Over time, this will establish the foundation for an integrated consumer application that brings together health information, </w:t>
      </w:r>
      <w:r w:rsidR="00BC4404">
        <w:t xml:space="preserve">clinical </w:t>
      </w:r>
      <w:r w:rsidRPr="0076788B">
        <w:t>services and digital interactions through a single, personalised entry point.</w:t>
      </w:r>
    </w:p>
    <w:p w14:paraId="11BF94CF" w14:textId="2EB75BC0" w:rsidR="00FB368A" w:rsidRDefault="005A2C82" w:rsidP="005A2C82">
      <w:pPr>
        <w:pStyle w:val="Body"/>
        <w:spacing w:before="120"/>
      </w:pPr>
      <w:r>
        <w:t xml:space="preserve">In Horizon 1, the focus is on strengthening the foundations for consumer access through expansion of local consumer portal capabilities, establishment of a statewide consumer portal foundation for </w:t>
      </w:r>
      <w:r w:rsidR="00FB368A">
        <w:t>m</w:t>
      </w:r>
      <w:r>
        <w:t xml:space="preserve">ental </w:t>
      </w:r>
      <w:r w:rsidR="00FB368A">
        <w:t>h</w:t>
      </w:r>
      <w:r>
        <w:t xml:space="preserve">ealth and </w:t>
      </w:r>
      <w:r w:rsidR="00FB368A">
        <w:t>w</w:t>
      </w:r>
      <w:r>
        <w:t xml:space="preserve">ellbeing </w:t>
      </w:r>
      <w:r w:rsidR="002C3970">
        <w:t>patient record</w:t>
      </w:r>
      <w:r w:rsidR="00FB368A">
        <w:t>s</w:t>
      </w:r>
      <w:r>
        <w:t>, increased sharing of priority information through My Health Record and implementation of electronic prescribing across public health services.</w:t>
      </w:r>
    </w:p>
    <w:p w14:paraId="31EECA66" w14:textId="1FF62D94" w:rsidR="005A2C82" w:rsidRDefault="005A2C82" w:rsidP="005A2C82">
      <w:pPr>
        <w:pStyle w:val="Body"/>
        <w:spacing w:before="120"/>
      </w:pPr>
      <w:r>
        <w:t>Together, these initiatives provide consumers with greater access to information that ha</w:t>
      </w:r>
      <w:r w:rsidR="00C86ACE">
        <w:t xml:space="preserve">s </w:t>
      </w:r>
      <w:r>
        <w:t>traditionally been difficult to access or fragmented across the system.</w:t>
      </w:r>
    </w:p>
    <w:p w14:paraId="54BBAF9D" w14:textId="1C256AD9" w:rsidR="00FB368A" w:rsidRDefault="003C1EEE" w:rsidP="005A2C82">
      <w:pPr>
        <w:pStyle w:val="Body"/>
        <w:spacing w:before="120"/>
      </w:pPr>
      <w:r w:rsidRPr="003C1EEE">
        <w:t xml:space="preserve">Across Horizons 2 and 3, the focus </w:t>
      </w:r>
      <w:r w:rsidR="006C61BA">
        <w:t>is on expanding</w:t>
      </w:r>
      <w:r w:rsidRPr="003C1EEE">
        <w:t xml:space="preserve"> integration and personalisation. Existing consumer portals, health information and digital health services are progressively brought together through a single consumer experience, reducing the need for people to navigate multiple applications and websites.</w:t>
      </w:r>
    </w:p>
    <w:p w14:paraId="28A38E78" w14:textId="423F3E23" w:rsidR="003C1EEE" w:rsidRDefault="003C1EEE" w:rsidP="005A2C82">
      <w:pPr>
        <w:pStyle w:val="Body"/>
        <w:spacing w:before="120"/>
      </w:pPr>
      <w:r w:rsidRPr="003C1EEE">
        <w:t>Over time, this evolves into an integrated application</w:t>
      </w:r>
      <w:r w:rsidR="00672D34">
        <w:t xml:space="preserve"> that facilitates consumer self-management, informed decision-making and active participation in care through </w:t>
      </w:r>
      <w:r w:rsidRPr="003C1EEE">
        <w:t>personalised content and conversational assistance tailored to individual needs and circumstances</w:t>
      </w:r>
      <w:r w:rsidR="00AB1D8A">
        <w:t>.</w:t>
      </w:r>
    </w:p>
    <w:p w14:paraId="24BD12D2" w14:textId="6C39E09C" w:rsidR="0099025C" w:rsidRPr="009F792C" w:rsidRDefault="0099025C" w:rsidP="00B2372C">
      <w:pPr>
        <w:pStyle w:val="Heading3"/>
        <w:numPr>
          <w:ilvl w:val="1"/>
          <w:numId w:val="8"/>
        </w:numPr>
        <w:spacing w:after="360"/>
        <w:ind w:left="737" w:hanging="737"/>
        <w:rPr>
          <w:color w:val="6E4CAA"/>
        </w:rPr>
      </w:pPr>
      <w:r w:rsidRPr="000111EC">
        <w:rPr>
          <w:color w:val="6E4CAA"/>
        </w:rPr>
        <w:t>Accessible Health System</w:t>
      </w:r>
      <w:r w:rsidR="00CA54E1" w:rsidRPr="000111EC">
        <w:rPr>
          <w:color w:val="6E4CAA"/>
        </w:rPr>
        <w:t xml:space="preserve"> </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97"/>
        <w:gridCol w:w="7879"/>
      </w:tblGrid>
      <w:tr w:rsidR="00596B93" w:rsidRPr="00DF194B" w14:paraId="6133B728" w14:textId="77777777" w:rsidTr="005F7FC5">
        <w:trPr>
          <w:trHeight w:val="1077"/>
        </w:trPr>
        <w:tc>
          <w:tcPr>
            <w:tcW w:w="1297" w:type="dxa"/>
            <w:vAlign w:val="center"/>
          </w:tcPr>
          <w:p w14:paraId="0D7C8B24" w14:textId="77777777" w:rsidR="00596B93" w:rsidRPr="0075673F" w:rsidRDefault="00596B93" w:rsidP="00B264F2">
            <w:pPr>
              <w:pStyle w:val="Body"/>
            </w:pPr>
            <w:r w:rsidRPr="00B264F2">
              <w:rPr>
                <w:b/>
                <w:color w:val="595959" w:themeColor="text1" w:themeTint="A6"/>
                <w:sz w:val="24"/>
                <w:szCs w:val="24"/>
              </w:rPr>
              <w:t>Objective</w:t>
            </w:r>
          </w:p>
        </w:tc>
        <w:tc>
          <w:tcPr>
            <w:tcW w:w="7971" w:type="dxa"/>
            <w:vAlign w:val="center"/>
          </w:tcPr>
          <w:p w14:paraId="7DF2A869" w14:textId="2E11335F" w:rsidR="00596B93" w:rsidRPr="00DF194B" w:rsidRDefault="00CA156B" w:rsidP="00AE68D9">
            <w:pPr>
              <w:pStyle w:val="Body"/>
              <w:jc w:val="both"/>
              <w:rPr>
                <w:b/>
                <w:bCs/>
                <w:szCs w:val="21"/>
              </w:rPr>
            </w:pPr>
            <w:r w:rsidRPr="00B264F2">
              <w:rPr>
                <w:color w:val="595959" w:themeColor="text1" w:themeTint="A6"/>
              </w:rPr>
              <w:t>Providing consumers with clear, trusted and consistent digital tools to navigate the health system, reducing complexity and uncertainty about where to go and what to do next</w:t>
            </w:r>
          </w:p>
        </w:tc>
      </w:tr>
    </w:tbl>
    <w:p w14:paraId="479E2271" w14:textId="64EC97E1" w:rsidR="00817BE7" w:rsidRDefault="00FB368A" w:rsidP="000111EC">
      <w:pPr>
        <w:pStyle w:val="Body"/>
        <w:spacing w:before="120"/>
      </w:pPr>
      <w:r>
        <w:t xml:space="preserve">The </w:t>
      </w:r>
      <w:r w:rsidR="006778A8">
        <w:t xml:space="preserve">Accessible Health System </w:t>
      </w:r>
      <w:r>
        <w:t xml:space="preserve">program of work </w:t>
      </w:r>
      <w:r w:rsidR="006778A8">
        <w:t>provides consumers with clear, trusted and consistent digital tools to navigate the health system, reducing uncertainty about where to go, what to do next and how to access the services they need.</w:t>
      </w:r>
    </w:p>
    <w:p w14:paraId="06F31559" w14:textId="18088FDF" w:rsidR="006778A8" w:rsidRDefault="006778A8" w:rsidP="000111EC">
      <w:pPr>
        <w:pStyle w:val="Body"/>
        <w:spacing w:before="120"/>
      </w:pPr>
      <w:r>
        <w:lastRenderedPageBreak/>
        <w:t>The program focuses on improving transparency and coordination across referrals, appointments, waitlists and assessments, while providing clearer pathways into care and supporting people to navigate increasingly complex health services with confidence.</w:t>
      </w:r>
    </w:p>
    <w:p w14:paraId="3686AF01" w14:textId="14BBBCD2" w:rsidR="006778A8" w:rsidRDefault="006778A8" w:rsidP="006778A8">
      <w:pPr>
        <w:pStyle w:val="Body"/>
      </w:pPr>
      <w:r>
        <w:t xml:space="preserve">In Horizon 1, the focus is on completing statewide implementation of </w:t>
      </w:r>
      <w:proofErr w:type="spellStart"/>
      <w:r>
        <w:t>VicKey’s</w:t>
      </w:r>
      <w:proofErr w:type="spellEnd"/>
      <w:r>
        <w:t xml:space="preserve"> core planned care capabilities, including referral management,</w:t>
      </w:r>
      <w:r w:rsidDel="00D77478">
        <w:t xml:space="preserve"> </w:t>
      </w:r>
      <w:r>
        <w:t xml:space="preserve">specialist </w:t>
      </w:r>
      <w:r w:rsidR="00C02808">
        <w:t xml:space="preserve">care </w:t>
      </w:r>
      <w:r>
        <w:t>workflows</w:t>
      </w:r>
      <w:r w:rsidR="00D77478">
        <w:t>,</w:t>
      </w:r>
      <w:r>
        <w:t xml:space="preserve"> </w:t>
      </w:r>
      <w:r w:rsidR="00D77478">
        <w:t xml:space="preserve">waitlist management </w:t>
      </w:r>
      <w:r>
        <w:t>and digital health questionnaire</w:t>
      </w:r>
      <w:r w:rsidR="00731F1E">
        <w:t xml:space="preserve"> management</w:t>
      </w:r>
      <w:r>
        <w:t xml:space="preserve">. Investment also supports implementation of </w:t>
      </w:r>
      <w:r w:rsidR="00731F1E">
        <w:t xml:space="preserve">a </w:t>
      </w:r>
      <w:r>
        <w:t>digital aged care assessment platform</w:t>
      </w:r>
      <w:r w:rsidR="00817BE7">
        <w:t>,</w:t>
      </w:r>
      <w:r>
        <w:t xml:space="preserve"> and exploration of emerging digital navigation and triage capabilities that can help consumers identify the most appropriate care pathway and access services more easily.</w:t>
      </w:r>
    </w:p>
    <w:p w14:paraId="361639A3" w14:textId="79D6FD30" w:rsidR="00817BE7" w:rsidRDefault="006778A8" w:rsidP="000111EC">
      <w:pPr>
        <w:pStyle w:val="Body"/>
      </w:pPr>
      <w:r>
        <w:t xml:space="preserve">Across Horizons 2 and 3, the focus shifts to expanding </w:t>
      </w:r>
      <w:proofErr w:type="spellStart"/>
      <w:r>
        <w:t>VicKey</w:t>
      </w:r>
      <w:proofErr w:type="spellEnd"/>
      <w:r>
        <w:t xml:space="preserve"> beyond core planned care workflows, introducing new capabilities that improve coordination across care pathways and provide greater visibility of referrals, appointments and waitlist information.</w:t>
      </w:r>
      <w:r w:rsidR="00817BE7">
        <w:t xml:space="preserve"> </w:t>
      </w:r>
      <w:r>
        <w:t>Digital navigation, virtual assistant and triage capabilities become increasingly integrated with consumer portals, health information and service directories, helping people understand what to do next and connect with the right service more quickly.</w:t>
      </w:r>
    </w:p>
    <w:p w14:paraId="0419504E" w14:textId="35CD8C81" w:rsidR="00D93F81" w:rsidRPr="00F23DFD" w:rsidRDefault="006778A8" w:rsidP="000111EC">
      <w:pPr>
        <w:pStyle w:val="Body"/>
      </w:pPr>
      <w:r>
        <w:t>Over time, consumers will experience a more transparent, navigable and responsive health system, supported by connected information, personalised guidance and coordinated digital services.</w:t>
      </w:r>
    </w:p>
    <w:p w14:paraId="55116421" w14:textId="61A044E4" w:rsidR="00817BE7" w:rsidRDefault="00817BE7" w:rsidP="00614670">
      <w:pPr>
        <w:pStyle w:val="Tablecaption"/>
      </w:pPr>
      <w:r>
        <w:t xml:space="preserve">Table </w:t>
      </w:r>
      <w:fldSimple w:instr=" SEQ Table \* ARABIC ">
        <w:r w:rsidR="003E7FE1">
          <w:rPr>
            <w:noProof/>
          </w:rPr>
          <w:t>3</w:t>
        </w:r>
      </w:fldSimple>
      <w:r>
        <w:t xml:space="preserve">. </w:t>
      </w:r>
      <w:r w:rsidR="00D63BCD">
        <w:t>Engaged Consumers</w:t>
      </w:r>
      <w:r w:rsidRPr="00172AEF">
        <w:t xml:space="preserve"> </w:t>
      </w:r>
      <w:r>
        <w:t>programs</w:t>
      </w:r>
      <w:r w:rsidRPr="001818B8">
        <w:t xml:space="preserve"> and initiatives</w:t>
      </w:r>
    </w:p>
    <w:p w14:paraId="7B26199B" w14:textId="649D27C9" w:rsidR="00E722D0" w:rsidRPr="00914813" w:rsidRDefault="000058C2" w:rsidP="00E722D0">
      <w:pPr>
        <w:rPr>
          <w:bCs/>
        </w:rPr>
      </w:pPr>
      <w:r>
        <w:rPr>
          <w:bCs/>
          <w:noProof/>
        </w:rPr>
        <w:drawing>
          <wp:inline distT="0" distB="0" distL="0" distR="0" wp14:anchorId="12F14D83" wp14:editId="693F3F79">
            <wp:extent cx="5833110" cy="2385695"/>
            <wp:effectExtent l="0" t="0" r="0" b="0"/>
            <wp:docPr id="2094123970" name="Picture 88"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123970" name="Picture 88" descr="Accessible text equivalent provided in Appendix A."/>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5833110" cy="2385695"/>
                    </a:xfrm>
                    <a:prstGeom prst="rect">
                      <a:avLst/>
                    </a:prstGeom>
                    <a:noFill/>
                    <a:ln>
                      <a:noFill/>
                    </a:ln>
                  </pic:spPr>
                </pic:pic>
              </a:graphicData>
            </a:graphic>
          </wp:inline>
        </w:drawing>
      </w:r>
      <w:r w:rsidR="00E722D0" w:rsidRPr="00914813">
        <w:rPr>
          <w:bCs/>
        </w:rPr>
        <w:t>This table outlines the initiatives within the Engaged Consumers pillar and their progression across three planning horizons:</w:t>
      </w:r>
    </w:p>
    <w:p w14:paraId="7FB13EA6" w14:textId="77777777" w:rsidR="00E722D0" w:rsidRPr="00914813" w:rsidRDefault="00E722D0" w:rsidP="00E722D0">
      <w:pPr>
        <w:numPr>
          <w:ilvl w:val="0"/>
          <w:numId w:val="13"/>
        </w:numPr>
        <w:rPr>
          <w:bCs/>
        </w:rPr>
      </w:pPr>
      <w:r w:rsidRPr="00914813">
        <w:rPr>
          <w:bCs/>
        </w:rPr>
        <w:t>Defined initiatives (2026–2028): Initiatives that are sufficiently mature to support immediate planning, investment and delivery.</w:t>
      </w:r>
    </w:p>
    <w:p w14:paraId="4DBD6382" w14:textId="77777777" w:rsidR="00E722D0" w:rsidRPr="00914813" w:rsidRDefault="00E722D0" w:rsidP="00E722D0">
      <w:pPr>
        <w:numPr>
          <w:ilvl w:val="0"/>
          <w:numId w:val="13"/>
        </w:numPr>
        <w:rPr>
          <w:bCs/>
        </w:rPr>
      </w:pPr>
      <w:r w:rsidRPr="00914813">
        <w:rPr>
          <w:bCs/>
        </w:rPr>
        <w:t>Emerging priorities (2028–2030): Initiatives expected to expand or mature over the medium term.</w:t>
      </w:r>
    </w:p>
    <w:p w14:paraId="759F6025" w14:textId="77777777" w:rsidR="00E722D0" w:rsidRPr="00914813" w:rsidRDefault="00E722D0" w:rsidP="00E722D0">
      <w:pPr>
        <w:numPr>
          <w:ilvl w:val="0"/>
          <w:numId w:val="13"/>
        </w:numPr>
        <w:rPr>
          <w:bCs/>
        </w:rPr>
      </w:pPr>
      <w:r w:rsidRPr="00914813">
        <w:rPr>
          <w:bCs/>
        </w:rPr>
        <w:t>Future direction (2030 onwards): Longer-term areas of focus that support the roadmap vision.</w:t>
      </w:r>
    </w:p>
    <w:p w14:paraId="2350ACA7" w14:textId="07ABD031" w:rsidR="00E722D0" w:rsidRPr="00E722D0" w:rsidRDefault="00E722D0" w:rsidP="00E722D0">
      <w:pPr>
        <w:pStyle w:val="Body"/>
      </w:pPr>
      <w:r w:rsidRPr="00914813">
        <w:t>Further detail about this table can be found in the appendix.</w:t>
      </w:r>
    </w:p>
    <w:p w14:paraId="1EDD5ECD" w14:textId="07321131" w:rsidR="00D61B10" w:rsidRPr="00BF2D18" w:rsidRDefault="006B055D" w:rsidP="00EC6A06">
      <w:pPr>
        <w:pStyle w:val="Heading2"/>
        <w:rPr>
          <w:color w:val="6E4CAA"/>
          <w:lang w:val="en-US"/>
        </w:rPr>
      </w:pPr>
      <w:bookmarkStart w:id="63" w:name="_Toc244166838"/>
      <w:r w:rsidRPr="00BF2D18">
        <w:rPr>
          <w:color w:val="6E4CAA"/>
          <w:lang w:val="en-US"/>
        </w:rPr>
        <w:lastRenderedPageBreak/>
        <w:t xml:space="preserve">Engaged </w:t>
      </w:r>
      <w:r w:rsidRPr="009E7320">
        <w:rPr>
          <w:color w:val="6E4CAA"/>
          <w:lang w:val="en-US"/>
        </w:rPr>
        <w:t>Consumers</w:t>
      </w:r>
      <w:r w:rsidRPr="00BF2D18">
        <w:rPr>
          <w:color w:val="6E4CAA"/>
          <w:lang w:val="en-US"/>
        </w:rPr>
        <w:t xml:space="preserve"> in 2031</w:t>
      </w:r>
      <w:bookmarkEnd w:id="63"/>
    </w:p>
    <w:p w14:paraId="61A160E6" w14:textId="77777777" w:rsidR="002439F2" w:rsidRPr="000111EC" w:rsidRDefault="002439F2" w:rsidP="000111EC">
      <w:pPr>
        <w:pStyle w:val="Body"/>
        <w:spacing w:before="120"/>
      </w:pPr>
      <w:r w:rsidRPr="000111EC">
        <w:t>By 2031, Victorians will have greater visibility, understanding and control of their health information and care journeys. Accessing health information, managing appointments, viewing test results, receiving prescriptions and navigating services will be simple, consistent and available through connected digital experiences that place consumers at the centre of care.</w:t>
      </w:r>
    </w:p>
    <w:p w14:paraId="070F3CA3" w14:textId="1ADEA316" w:rsidR="002439F2" w:rsidRPr="000111EC" w:rsidRDefault="002439F2" w:rsidP="000111EC">
      <w:pPr>
        <w:pStyle w:val="Body"/>
        <w:spacing w:before="120"/>
      </w:pPr>
      <w:r w:rsidRPr="000111EC">
        <w:t xml:space="preserve">Consumers will no longer need to navigate complex health services on their own. </w:t>
      </w:r>
      <w:r w:rsidR="005C3B01">
        <w:t>A personalised consumer app</w:t>
      </w:r>
      <w:r w:rsidRPr="000111EC">
        <w:t>, intelligent navigation services and trusted virtual assistants will help people understand their options, access the right services and know what to do next. Information, guidance and support will be tailored to individual needs, preferences and circumstances, enabling people to make more informed decisions and take a more active role in managing their health and wellbeing.</w:t>
      </w:r>
    </w:p>
    <w:p w14:paraId="26A3A7CE" w14:textId="52994A1A" w:rsidR="000827A9" w:rsidRDefault="002439F2" w:rsidP="002439F2">
      <w:pPr>
        <w:pStyle w:val="Body"/>
        <w:spacing w:before="120"/>
      </w:pPr>
      <w:r w:rsidRPr="000111EC">
        <w:t>Across the health system, digital engagement will improve health literacy, strengthen self-management and reduce barriers to accessing care. Consumers will experience greater transparency, fewer administrative burdens and more connected interactions across services and care settings.</w:t>
      </w:r>
    </w:p>
    <w:p w14:paraId="2461CF0B" w14:textId="36BFBAE0" w:rsidR="00D67FA9" w:rsidRDefault="002439F2" w:rsidP="002439F2">
      <w:pPr>
        <w:pStyle w:val="Body"/>
        <w:spacing w:before="120"/>
      </w:pPr>
      <w:r w:rsidRPr="000111EC">
        <w:t>By combining trusted information, personalised support and connected digital experiences, Victoria will create a health system that is easier to navigate, more responsive to individual needs and better able to support people throughout their health and wellbeing journey.</w:t>
      </w:r>
    </w:p>
    <w:p w14:paraId="49CE6AC9" w14:textId="26CF0E3B" w:rsidR="0054448A" w:rsidRPr="00EC6A06" w:rsidRDefault="0054448A" w:rsidP="00EC6A06">
      <w:pPr>
        <w:pStyle w:val="Figurecaption"/>
      </w:pPr>
      <w:r w:rsidRPr="005020E9">
        <w:t xml:space="preserve">Figure </w:t>
      </w:r>
      <w:r w:rsidR="00E46839">
        <w:t>13</w:t>
      </w:r>
      <w:r>
        <w:t>.</w:t>
      </w:r>
      <w:r w:rsidRPr="005020E9">
        <w:t xml:space="preserve"> Integrated, personalised consumer application</w:t>
      </w:r>
    </w:p>
    <w:p w14:paraId="378FFC2E" w14:textId="514C1C27" w:rsidR="00D67FA9" w:rsidRPr="000111EC" w:rsidRDefault="002D6CA6" w:rsidP="000111EC">
      <w:pPr>
        <w:pStyle w:val="Body"/>
        <w:spacing w:before="120"/>
      </w:pPr>
      <w:r>
        <w:rPr>
          <w:noProof/>
        </w:rPr>
        <w:drawing>
          <wp:inline distT="0" distB="0" distL="0" distR="0" wp14:anchorId="607D2B72" wp14:editId="029D57D5">
            <wp:extent cx="4495800" cy="4270521"/>
            <wp:effectExtent l="0" t="0" r="0" b="0"/>
            <wp:docPr id="1819950589" name="Picture 90" descr="Two smartphone app screens show a Victoria Department of Health mobile health-service interface. Left screen displays Alex’s health profile, prescriptions, test results, immunisations, quick-access services, and portals; right screen shows Health Assistant chat about sore throat and headache, with care options and health-information 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50589" name="Picture 90" descr="Two smartphone app screens show a Victoria Department of Health mobile health-service interface. Left screen displays Alex’s health profile, prescriptions, test results, immunisations, quick-access services, and portals; right screen shows Health Assistant chat about sore throat and headache, with care options and health-information links."/>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4498456" cy="4273044"/>
                    </a:xfrm>
                    <a:prstGeom prst="rect">
                      <a:avLst/>
                    </a:prstGeom>
                    <a:noFill/>
                    <a:ln>
                      <a:noFill/>
                    </a:ln>
                  </pic:spPr>
                </pic:pic>
              </a:graphicData>
            </a:graphic>
          </wp:inline>
        </w:drawing>
      </w:r>
    </w:p>
    <w:p w14:paraId="18DDADFD" w14:textId="036AA9A7" w:rsidR="00074609" w:rsidRPr="00D13A71" w:rsidRDefault="00D61B10" w:rsidP="00B2372C">
      <w:pPr>
        <w:pStyle w:val="Heading1"/>
        <w:numPr>
          <w:ilvl w:val="0"/>
          <w:numId w:val="8"/>
        </w:numPr>
      </w:pPr>
      <w:bookmarkStart w:id="64" w:name="_Toc235957337"/>
      <w:bookmarkStart w:id="65" w:name="_Toc244166839"/>
      <w:r w:rsidRPr="000111EC">
        <w:lastRenderedPageBreak/>
        <w:t>Sustainable Operations</w:t>
      </w:r>
      <w:bookmarkEnd w:id="64"/>
      <w:bookmarkEnd w:id="65"/>
    </w:p>
    <w:tbl>
      <w:tblPr>
        <w:tblStyle w:val="TableGrid"/>
        <w:tblW w:w="0" w:type="auto"/>
        <w:tblBorders>
          <w:top w:val="single" w:sz="8" w:space="0" w:color="203864"/>
          <w:left w:val="single" w:sz="8" w:space="0" w:color="203864"/>
          <w:bottom w:val="single" w:sz="8" w:space="0" w:color="203864"/>
          <w:right w:val="single" w:sz="8" w:space="0" w:color="203864"/>
          <w:insideH w:val="none" w:sz="0" w:space="0" w:color="auto"/>
          <w:insideV w:val="none" w:sz="0" w:space="0" w:color="auto"/>
        </w:tblBorders>
        <w:tblLook w:val="04A0" w:firstRow="1" w:lastRow="0" w:firstColumn="1" w:lastColumn="0" w:noHBand="0" w:noVBand="1"/>
      </w:tblPr>
      <w:tblGrid>
        <w:gridCol w:w="1263"/>
        <w:gridCol w:w="7903"/>
      </w:tblGrid>
      <w:tr w:rsidR="005E4808" w:rsidRPr="00DF194B" w14:paraId="282522FE" w14:textId="77777777" w:rsidTr="00D93DF6">
        <w:trPr>
          <w:trHeight w:val="952"/>
        </w:trPr>
        <w:tc>
          <w:tcPr>
            <w:tcW w:w="1271" w:type="dxa"/>
            <w:vAlign w:val="center"/>
          </w:tcPr>
          <w:p w14:paraId="0ADC9EE1" w14:textId="5579CD31" w:rsidR="005E4808" w:rsidRPr="00EC6A06" w:rsidRDefault="005E4808" w:rsidP="00EC6A06">
            <w:pPr>
              <w:pStyle w:val="Body"/>
              <w:rPr>
                <w:sz w:val="28"/>
              </w:rPr>
            </w:pPr>
            <w:bookmarkStart w:id="66" w:name="_Toc235957338"/>
            <w:r w:rsidRPr="00EC6A06">
              <w:rPr>
                <w:sz w:val="28"/>
              </w:rPr>
              <w:t>Goal</w:t>
            </w:r>
            <w:bookmarkEnd w:id="66"/>
          </w:p>
        </w:tc>
        <w:tc>
          <w:tcPr>
            <w:tcW w:w="8017" w:type="dxa"/>
            <w:vAlign w:val="center"/>
          </w:tcPr>
          <w:p w14:paraId="4CC7CD8B" w14:textId="044A8D05" w:rsidR="005E4808" w:rsidRPr="00DF194B" w:rsidRDefault="00702343" w:rsidP="00EC5001">
            <w:pPr>
              <w:pStyle w:val="Body"/>
              <w:jc w:val="both"/>
              <w:rPr>
                <w:b/>
                <w:bCs/>
                <w:sz w:val="24"/>
                <w:szCs w:val="22"/>
              </w:rPr>
            </w:pPr>
            <w:r w:rsidRPr="00B264F2">
              <w:rPr>
                <w:color w:val="595959" w:themeColor="text1" w:themeTint="A6"/>
                <w:sz w:val="24"/>
                <w:szCs w:val="24"/>
              </w:rPr>
              <w:t>Shared digital platforms, data, automation and secure systems enabling proactive, efficient, resilient and safe health system operations</w:t>
            </w:r>
          </w:p>
        </w:tc>
      </w:tr>
    </w:tbl>
    <w:p w14:paraId="0319A41B" w14:textId="2647BF3A" w:rsidR="00623C3B" w:rsidRPr="00EC6A06" w:rsidRDefault="004C4BF6" w:rsidP="0054448A">
      <w:pPr>
        <w:pStyle w:val="Heading2"/>
      </w:pPr>
      <w:bookmarkStart w:id="67" w:name="_Toc235957339"/>
      <w:bookmarkStart w:id="68" w:name="_Toc244166840"/>
      <w:r w:rsidRPr="00EC6A06">
        <w:t xml:space="preserve">From </w:t>
      </w:r>
      <w:r w:rsidR="00C92145" w:rsidRPr="00EC6A06">
        <w:t>reactive to predictive and proactive</w:t>
      </w:r>
      <w:bookmarkEnd w:id="67"/>
      <w:bookmarkEnd w:id="68"/>
    </w:p>
    <w:p w14:paraId="45AC0CE0" w14:textId="17E00635" w:rsidR="00C92145" w:rsidRDefault="00C92145" w:rsidP="00DD6207">
      <w:pPr>
        <w:pStyle w:val="Body"/>
        <w:rPr>
          <w:lang w:val="en-US"/>
        </w:rPr>
      </w:pPr>
      <w:r w:rsidRPr="00C92145">
        <w:rPr>
          <w:lang w:val="en-US"/>
        </w:rPr>
        <w:t xml:space="preserve">Victoria's health system faces growing demand, rising costs and increasing operational complexity. </w:t>
      </w:r>
      <w:r w:rsidR="0054448A">
        <w:rPr>
          <w:lang w:val="en-US"/>
        </w:rPr>
        <w:t>However,</w:t>
      </w:r>
      <w:r w:rsidR="0054448A" w:rsidRPr="00C92145">
        <w:rPr>
          <w:lang w:val="en-US"/>
        </w:rPr>
        <w:t xml:space="preserve"> </w:t>
      </w:r>
      <w:r w:rsidRPr="00C92145">
        <w:rPr>
          <w:lang w:val="en-US"/>
        </w:rPr>
        <w:t>many operational decisions remain fragmented, retrospective</w:t>
      </w:r>
      <w:r w:rsidR="00156C15" w:rsidRPr="00C92145">
        <w:rPr>
          <w:lang w:val="en-US"/>
        </w:rPr>
        <w:t>,</w:t>
      </w:r>
      <w:r w:rsidRPr="00C92145">
        <w:rPr>
          <w:lang w:val="en-US"/>
        </w:rPr>
        <w:t xml:space="preserve"> and reliant on data that is difficult to access, inconsistent across organisations or disconnected from day-to-day decision-making. At the same time, duplication of platforms</w:t>
      </w:r>
      <w:r w:rsidR="00DA24BB">
        <w:rPr>
          <w:lang w:val="en-US"/>
        </w:rPr>
        <w:t xml:space="preserve"> </w:t>
      </w:r>
      <w:r w:rsidRPr="00C92145">
        <w:rPr>
          <w:lang w:val="en-US"/>
        </w:rPr>
        <w:t>and increasing cyber and resilience risks create inefficiencies and increase the cost of delivering care.</w:t>
      </w:r>
    </w:p>
    <w:p w14:paraId="18ACB27F" w14:textId="7E4D3E1D" w:rsidR="00C92145" w:rsidRDefault="0054448A" w:rsidP="00DD6207">
      <w:pPr>
        <w:pStyle w:val="Body"/>
        <w:rPr>
          <w:lang w:val="en-US"/>
        </w:rPr>
      </w:pPr>
      <w:r>
        <w:rPr>
          <w:lang w:val="en-US"/>
        </w:rPr>
        <w:t xml:space="preserve">The </w:t>
      </w:r>
      <w:r w:rsidR="00DC7D61" w:rsidRPr="00DC7D61">
        <w:rPr>
          <w:lang w:val="en-US"/>
        </w:rPr>
        <w:t xml:space="preserve">Sustainable Operations </w:t>
      </w:r>
      <w:r>
        <w:rPr>
          <w:lang w:val="en-US"/>
        </w:rPr>
        <w:t xml:space="preserve">program of work </w:t>
      </w:r>
      <w:r w:rsidR="00DC7D61" w:rsidRPr="00DC7D61">
        <w:rPr>
          <w:lang w:val="en-US"/>
        </w:rPr>
        <w:t>addresses this challenge by creating the digital capabilities required to proactively manage demand, capacity, performance</w:t>
      </w:r>
      <w:r w:rsidR="00156C15" w:rsidRPr="00DC7D61">
        <w:rPr>
          <w:lang w:val="en-US"/>
        </w:rPr>
        <w:t>,</w:t>
      </w:r>
      <w:r w:rsidR="00DC7D61" w:rsidRPr="00DC7D61">
        <w:rPr>
          <w:lang w:val="en-US"/>
        </w:rPr>
        <w:t xml:space="preserve"> and risk across the health system. Th</w:t>
      </w:r>
      <w:r>
        <w:rPr>
          <w:lang w:val="en-US"/>
        </w:rPr>
        <w:t>is</w:t>
      </w:r>
      <w:r w:rsidR="00DC7D61" w:rsidRPr="00DC7D61">
        <w:rPr>
          <w:lang w:val="en-US"/>
        </w:rPr>
        <w:t xml:space="preserve"> pillar focuses on improving operational decision-making, enabling shared digital services</w:t>
      </w:r>
      <w:r w:rsidR="00156C15" w:rsidRPr="00DC7D61">
        <w:rPr>
          <w:lang w:val="en-US"/>
        </w:rPr>
        <w:t>,</w:t>
      </w:r>
      <w:r w:rsidR="00DC7D61" w:rsidRPr="00DC7D61">
        <w:rPr>
          <w:lang w:val="en-US"/>
        </w:rPr>
        <w:t xml:space="preserve"> and strengthening the secure and resilient foundations required to support safe, reliable</w:t>
      </w:r>
      <w:r w:rsidR="00156C15" w:rsidRPr="00DC7D61">
        <w:rPr>
          <w:lang w:val="en-US"/>
        </w:rPr>
        <w:t>,</w:t>
      </w:r>
      <w:r w:rsidR="00DC7D61" w:rsidRPr="00DC7D61">
        <w:rPr>
          <w:lang w:val="en-US"/>
        </w:rPr>
        <w:t xml:space="preserve"> and sustainable service delivery.</w:t>
      </w:r>
    </w:p>
    <w:p w14:paraId="12744D8C" w14:textId="76208475" w:rsidR="00D13DDF" w:rsidRDefault="00910E4F" w:rsidP="00DD6207">
      <w:pPr>
        <w:pStyle w:val="Body"/>
        <w:rPr>
          <w:lang w:val="en-US"/>
        </w:rPr>
      </w:pPr>
      <w:r>
        <w:rPr>
          <w:lang w:val="en-US"/>
        </w:rPr>
        <w:t>A</w:t>
      </w:r>
      <w:r w:rsidRPr="00910E4F">
        <w:rPr>
          <w:lang w:val="en-US"/>
        </w:rPr>
        <w:t xml:space="preserve">dvances in </w:t>
      </w:r>
      <w:r w:rsidR="0054448A">
        <w:rPr>
          <w:lang w:val="en-US"/>
        </w:rPr>
        <w:t>AI</w:t>
      </w:r>
      <w:r w:rsidRPr="00910E4F">
        <w:rPr>
          <w:lang w:val="en-US"/>
        </w:rPr>
        <w:t>, automation and simulation will increasingly enable the health system to predict demand, identify risks earlier and optimise operations in real</w:t>
      </w:r>
      <w:r w:rsidR="000B4D59">
        <w:rPr>
          <w:lang w:val="en-US"/>
        </w:rPr>
        <w:t>-</w:t>
      </w:r>
      <w:r w:rsidRPr="00910E4F">
        <w:rPr>
          <w:lang w:val="en-US"/>
        </w:rPr>
        <w:t xml:space="preserve">time. Workflow automation and digital agents will reduce administrative burden, while intelligent operational platforms </w:t>
      </w:r>
      <w:r w:rsidR="006134D7">
        <w:rPr>
          <w:lang w:val="en-US"/>
        </w:rPr>
        <w:t xml:space="preserve">will </w:t>
      </w:r>
      <w:r w:rsidRPr="00910E4F">
        <w:rPr>
          <w:lang w:val="en-US"/>
        </w:rPr>
        <w:t>support more proactive and responsive management of workforce, resources</w:t>
      </w:r>
      <w:r w:rsidR="00156C15" w:rsidRPr="00910E4F">
        <w:rPr>
          <w:lang w:val="en-US"/>
        </w:rPr>
        <w:t>,</w:t>
      </w:r>
      <w:r w:rsidRPr="00910E4F">
        <w:rPr>
          <w:lang w:val="en-US"/>
        </w:rPr>
        <w:t xml:space="preserve"> and service delivery.</w:t>
      </w:r>
    </w:p>
    <w:p w14:paraId="790AC03C" w14:textId="4AA85545" w:rsidR="00910E4F" w:rsidRPr="00DD6207" w:rsidRDefault="00D13DDF" w:rsidP="00DD6207">
      <w:pPr>
        <w:pStyle w:val="Body"/>
      </w:pPr>
      <w:r w:rsidRPr="00D13DDF">
        <w:t>By combining decision intelligence, shared platforms and resilient digital foundations, Sustainable Operations creates the conditions for a more efficient, productive and adaptive health system that can respond to growing demand</w:t>
      </w:r>
      <w:r w:rsidR="006134D7">
        <w:t>,</w:t>
      </w:r>
      <w:r w:rsidRPr="00D13DDF">
        <w:t xml:space="preserve"> while continuing to deliver high-quality care.</w:t>
      </w:r>
    </w:p>
    <w:p w14:paraId="0FEE8C42" w14:textId="77777777" w:rsidR="00DD6207" w:rsidRPr="00EC6A06" w:rsidRDefault="00DD6207" w:rsidP="006134D7">
      <w:pPr>
        <w:pStyle w:val="Heading2"/>
      </w:pPr>
      <w:bookmarkStart w:id="69" w:name="_Toc235957340"/>
      <w:bookmarkStart w:id="70" w:name="_Toc244166841"/>
      <w:r w:rsidRPr="00EC6A06">
        <w:t>Design principles</w:t>
      </w:r>
      <w:bookmarkEnd w:id="69"/>
      <w:bookmarkEnd w:id="70"/>
    </w:p>
    <w:p w14:paraId="51F7F414" w14:textId="77777777" w:rsidR="00AF207B" w:rsidRPr="00AF207B" w:rsidRDefault="00AF207B" w:rsidP="00EC6A06">
      <w:pPr>
        <w:pStyle w:val="Heading3"/>
      </w:pPr>
      <w:r w:rsidRPr="00AF207B">
        <w:t>Action and outcome-led intelligence</w:t>
      </w:r>
    </w:p>
    <w:p w14:paraId="305B76F6" w14:textId="77777777" w:rsidR="00AF207B" w:rsidRPr="00AF207B" w:rsidRDefault="00AF207B" w:rsidP="00AF207B">
      <w:pPr>
        <w:pStyle w:val="Body"/>
      </w:pPr>
      <w:r w:rsidRPr="00AF207B">
        <w:t>Data, analytics and decision-support capabilities should be designed around clear operational decisions, actions and accountabilities, enabling insight to translate into measurable improvements in performance, demand management and service delivery.</w:t>
      </w:r>
    </w:p>
    <w:p w14:paraId="3FEF9116" w14:textId="77777777" w:rsidR="00AF207B" w:rsidRPr="00AF207B" w:rsidRDefault="00AF207B" w:rsidP="00EC6A06">
      <w:pPr>
        <w:pStyle w:val="Heading3"/>
      </w:pPr>
      <w:r w:rsidRPr="00AF207B">
        <w:t>Shared where it adds value</w:t>
      </w:r>
    </w:p>
    <w:p w14:paraId="649DCB09" w14:textId="77777777" w:rsidR="00AF207B" w:rsidRPr="00AF207B" w:rsidRDefault="00AF207B" w:rsidP="00AF207B">
      <w:pPr>
        <w:pStyle w:val="Body"/>
      </w:pPr>
      <w:r w:rsidRPr="00AF207B">
        <w:t>Common platforms, services and capabilities should be adopted where they improve efficiency, consistency, resilience or scale, while allowing local flexibility where it supports operational effectiveness.</w:t>
      </w:r>
    </w:p>
    <w:p w14:paraId="14831481" w14:textId="77777777" w:rsidR="00AF207B" w:rsidRPr="00AF207B" w:rsidRDefault="00AF207B" w:rsidP="00EC6A06">
      <w:pPr>
        <w:pStyle w:val="Heading3"/>
      </w:pPr>
      <w:r w:rsidRPr="00AF207B">
        <w:t>Standards enable local innovation</w:t>
      </w:r>
    </w:p>
    <w:p w14:paraId="03B6527D" w14:textId="77777777" w:rsidR="00AF207B" w:rsidRPr="00AF207B" w:rsidRDefault="00AF207B" w:rsidP="00AF207B">
      <w:pPr>
        <w:pStyle w:val="Body"/>
      </w:pPr>
      <w:r w:rsidRPr="00AF207B">
        <w:t>Shared data, interoperability and security standards should provide a consistent foundation that allows local solutions to be developed, integrated and scaled across the health system.</w:t>
      </w:r>
    </w:p>
    <w:p w14:paraId="04872CAD" w14:textId="77777777" w:rsidR="00AF207B" w:rsidRPr="00AF207B" w:rsidRDefault="00AF207B" w:rsidP="00EC6A06">
      <w:pPr>
        <w:pStyle w:val="Heading3"/>
      </w:pPr>
      <w:r w:rsidRPr="00AF207B">
        <w:lastRenderedPageBreak/>
        <w:t>Automation with purpose</w:t>
      </w:r>
    </w:p>
    <w:p w14:paraId="50C9A337" w14:textId="2EAB54DA" w:rsidR="00AF207B" w:rsidRPr="00AF207B" w:rsidRDefault="00AF207B" w:rsidP="00AF207B">
      <w:pPr>
        <w:pStyle w:val="Body"/>
      </w:pPr>
      <w:r w:rsidRPr="00AF207B">
        <w:t>Automation should reduce manual effort, administrative burden and duplication, allowing the workforce to focus on higher-value activities and improving the efficiency of system operations.</w:t>
      </w:r>
    </w:p>
    <w:p w14:paraId="628761ED" w14:textId="5A3E5052" w:rsidR="00AF207B" w:rsidRPr="00AF207B" w:rsidRDefault="00AF207B" w:rsidP="00EC6A06">
      <w:pPr>
        <w:pStyle w:val="Heading3"/>
      </w:pPr>
      <w:r w:rsidRPr="00AF207B">
        <w:t>Security and resilience by default</w:t>
      </w:r>
    </w:p>
    <w:p w14:paraId="5F4918F1" w14:textId="4365DF98" w:rsidR="00265B6F" w:rsidRPr="00AF207B" w:rsidRDefault="00AF207B" w:rsidP="000111EC">
      <w:pPr>
        <w:pStyle w:val="Body"/>
      </w:pPr>
      <w:r w:rsidRPr="00AF207B">
        <w:t>Digital services and operational capabilities must be designed to be secure, reliable and resilient, ensuring continuity of operations, protection of information and public trust.</w:t>
      </w:r>
    </w:p>
    <w:p w14:paraId="5391FAE6" w14:textId="02A4C838" w:rsidR="008C54C5" w:rsidRPr="00EC6A06" w:rsidRDefault="008C54C5" w:rsidP="006134D7">
      <w:pPr>
        <w:pStyle w:val="Heading2"/>
      </w:pPr>
      <w:bookmarkStart w:id="71" w:name="_Toc235957341"/>
      <w:bookmarkStart w:id="72" w:name="_Toc244166842"/>
      <w:r w:rsidRPr="00EC6A06">
        <w:t>Programs of work</w:t>
      </w:r>
      <w:bookmarkEnd w:id="71"/>
      <w:bookmarkEnd w:id="72"/>
    </w:p>
    <w:p w14:paraId="060A5B08" w14:textId="2DFB0B37" w:rsidR="00AF207B" w:rsidRPr="00013A2C" w:rsidRDefault="008C54C5" w:rsidP="00B2372C">
      <w:pPr>
        <w:pStyle w:val="Heading3"/>
        <w:numPr>
          <w:ilvl w:val="1"/>
          <w:numId w:val="8"/>
        </w:numPr>
        <w:spacing w:after="360"/>
        <w:ind w:left="737" w:hanging="737"/>
        <w:rPr>
          <w:color w:val="203864"/>
        </w:rPr>
      </w:pPr>
      <w:r w:rsidRPr="000111EC">
        <w:rPr>
          <w:color w:val="203864"/>
        </w:rPr>
        <w:t>Decision Intelligence</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97"/>
        <w:gridCol w:w="7879"/>
      </w:tblGrid>
      <w:tr w:rsidR="00AF207B" w:rsidRPr="00DF194B" w14:paraId="3FF54CFB" w14:textId="77777777" w:rsidTr="00C31827">
        <w:trPr>
          <w:trHeight w:val="952"/>
        </w:trPr>
        <w:tc>
          <w:tcPr>
            <w:tcW w:w="1297" w:type="dxa"/>
            <w:vAlign w:val="center"/>
          </w:tcPr>
          <w:p w14:paraId="105202E2" w14:textId="77777777" w:rsidR="00AF207B" w:rsidRPr="00B264F2" w:rsidRDefault="00AF207B" w:rsidP="00B264F2">
            <w:pPr>
              <w:pStyle w:val="Body"/>
              <w:rPr>
                <w:b/>
                <w:color w:val="595959" w:themeColor="text1" w:themeTint="A6"/>
                <w:sz w:val="24"/>
                <w:szCs w:val="24"/>
              </w:rPr>
            </w:pPr>
            <w:r w:rsidRPr="00B264F2">
              <w:rPr>
                <w:b/>
                <w:color w:val="595959" w:themeColor="text1" w:themeTint="A6"/>
                <w:sz w:val="24"/>
                <w:szCs w:val="24"/>
              </w:rPr>
              <w:t>Objective</w:t>
            </w:r>
          </w:p>
        </w:tc>
        <w:tc>
          <w:tcPr>
            <w:tcW w:w="7971" w:type="dxa"/>
            <w:vAlign w:val="center"/>
          </w:tcPr>
          <w:p w14:paraId="354555B2" w14:textId="00FFA4C9" w:rsidR="00AF207B" w:rsidRPr="00DF194B" w:rsidRDefault="00AF207B" w:rsidP="00EC5001">
            <w:pPr>
              <w:pStyle w:val="Body"/>
              <w:jc w:val="both"/>
              <w:rPr>
                <w:b/>
                <w:bCs/>
                <w:szCs w:val="21"/>
              </w:rPr>
            </w:pPr>
            <w:r w:rsidRPr="00B264F2">
              <w:rPr>
                <w:color w:val="595959" w:themeColor="text1" w:themeTint="A6"/>
              </w:rPr>
              <w:t>Strengthening how the system anticipates and responds to pressure on workforce, capacity and demand, so operational decisions are made earlier</w:t>
            </w:r>
            <w:r w:rsidR="006134D7">
              <w:rPr>
                <w:color w:val="595959" w:themeColor="text1" w:themeTint="A6"/>
              </w:rPr>
              <w:t xml:space="preserve"> and</w:t>
            </w:r>
            <w:r w:rsidRPr="00B264F2">
              <w:rPr>
                <w:color w:val="595959" w:themeColor="text1" w:themeTint="A6"/>
              </w:rPr>
              <w:t xml:space="preserve"> more consistently</w:t>
            </w:r>
          </w:p>
        </w:tc>
      </w:tr>
    </w:tbl>
    <w:p w14:paraId="1D807BFE" w14:textId="5D5A3919" w:rsidR="00B02C4C" w:rsidRDefault="006134D7" w:rsidP="000111EC">
      <w:pPr>
        <w:pStyle w:val="Body"/>
        <w:spacing w:before="120"/>
      </w:pPr>
      <w:r>
        <w:t xml:space="preserve">The </w:t>
      </w:r>
      <w:r w:rsidR="00B02C4C">
        <w:t xml:space="preserve">Decision Intelligence </w:t>
      </w:r>
      <w:r>
        <w:t xml:space="preserve">program of work </w:t>
      </w:r>
      <w:r w:rsidR="00B02C4C">
        <w:t xml:space="preserve">strengthens how the health system anticipates and responds to changing demand, capacity and risk, enabling operational </w:t>
      </w:r>
      <w:r w:rsidR="00711680">
        <w:t xml:space="preserve">and strategic </w:t>
      </w:r>
      <w:r w:rsidR="00B02C4C">
        <w:t xml:space="preserve">decisions to be made earlier, more consistently and with greater confidence. </w:t>
      </w:r>
      <w:r>
        <w:t>It</w:t>
      </w:r>
      <w:r w:rsidR="00B02C4C">
        <w:t xml:space="preserve"> focuses on providing timely, actionable insight that supports planners, operational leaders and frontline teams to make better decisions at local, network and statewide levels.</w:t>
      </w:r>
    </w:p>
    <w:p w14:paraId="65217B97" w14:textId="12F36990" w:rsidR="00B02C4C" w:rsidRDefault="00B02C4C" w:rsidP="00B02C4C">
      <w:pPr>
        <w:pStyle w:val="Body"/>
      </w:pPr>
      <w:r>
        <w:t xml:space="preserve">In Horizon 1, the focus is on establishing the foundations for operational intelligence through demand forecasting, digital twin </w:t>
      </w:r>
      <w:r w:rsidR="00CC5EC6">
        <w:t>expansion</w:t>
      </w:r>
      <w:r>
        <w:t xml:space="preserve">, operational visibility and real-time decision support for priority areas such as emergency departments </w:t>
      </w:r>
      <w:r w:rsidR="00724226">
        <w:t>and</w:t>
      </w:r>
      <w:r>
        <w:t xml:space="preserve"> theatres. Early implementation will demonstrate how better visibility, forecasting and governance can improve operational performance and support more proactive management of pressure across the system.</w:t>
      </w:r>
    </w:p>
    <w:p w14:paraId="2ADD3676" w14:textId="5B6923E5" w:rsidR="0017018B" w:rsidRDefault="00B02C4C" w:rsidP="00B02C4C">
      <w:pPr>
        <w:pStyle w:val="Body"/>
      </w:pPr>
      <w:r>
        <w:t>Across Horizons 2 and 3, the focus shifts to scaling and integrating these capabilities into routine system operations. Operational intelligence becomes increasingly connected across health services, Local Health Service Networks and statewide functions</w:t>
      </w:r>
      <w:r w:rsidR="00724226">
        <w:t>.</w:t>
      </w:r>
    </w:p>
    <w:p w14:paraId="150E1F48" w14:textId="3A50D2E9" w:rsidR="008C54C5" w:rsidRDefault="005760E1" w:rsidP="00B02C4C">
      <w:pPr>
        <w:pStyle w:val="Body"/>
      </w:pPr>
      <w:r w:rsidRPr="005760E1">
        <w:t xml:space="preserve">As digital twin capabilities mature, they evolve from </w:t>
      </w:r>
      <w:r w:rsidR="00032D06">
        <w:t xml:space="preserve">modelling </w:t>
      </w:r>
      <w:r w:rsidR="006D529B">
        <w:t xml:space="preserve">specific </w:t>
      </w:r>
      <w:r w:rsidRPr="005760E1">
        <w:t xml:space="preserve">services </w:t>
      </w:r>
      <w:r w:rsidR="006D529B">
        <w:t>and programs</w:t>
      </w:r>
      <w:r w:rsidRPr="005760E1">
        <w:t xml:space="preserve"> to </w:t>
      </w:r>
      <w:r w:rsidR="00175710">
        <w:t>supporting patient flow</w:t>
      </w:r>
      <w:r w:rsidR="00667FD1">
        <w:t>,</w:t>
      </w:r>
      <w:r w:rsidR="00441113">
        <w:t xml:space="preserve"> </w:t>
      </w:r>
      <w:r w:rsidR="00175710">
        <w:t xml:space="preserve">capacity </w:t>
      </w:r>
      <w:r w:rsidR="0057759F">
        <w:t>optimisation</w:t>
      </w:r>
      <w:r w:rsidR="00175710">
        <w:t xml:space="preserve"> and whole</w:t>
      </w:r>
      <w:r w:rsidR="0017018B">
        <w:t>-</w:t>
      </w:r>
      <w:r w:rsidR="00175710">
        <w:t>of</w:t>
      </w:r>
      <w:r w:rsidR="0017018B">
        <w:t>-</w:t>
      </w:r>
      <w:r w:rsidR="00175710">
        <w:t xml:space="preserve">system modelling </w:t>
      </w:r>
      <w:r w:rsidR="00624FF6" w:rsidRPr="00624FF6">
        <w:t>that informs policy development, investment planning and system-wide service redesign</w:t>
      </w:r>
      <w:r w:rsidR="00624FF6">
        <w:t xml:space="preserve">. </w:t>
      </w:r>
      <w:r w:rsidRPr="005760E1">
        <w:t xml:space="preserve">This enables </w:t>
      </w:r>
      <w:r w:rsidR="001E68FF">
        <w:t>both system</w:t>
      </w:r>
      <w:r w:rsidRPr="005760E1">
        <w:t xml:space="preserve"> planners and operational leaders to test scenarios, understand the impact of policy and investment decisions, and proactively optimise capacity before pressure emerges.</w:t>
      </w:r>
    </w:p>
    <w:p w14:paraId="0B540AEA" w14:textId="12EA0284" w:rsidR="00B56924" w:rsidRPr="00013A2C" w:rsidRDefault="00841EC9" w:rsidP="00B2372C">
      <w:pPr>
        <w:pStyle w:val="Heading3"/>
        <w:numPr>
          <w:ilvl w:val="1"/>
          <w:numId w:val="8"/>
        </w:numPr>
        <w:spacing w:after="360"/>
        <w:ind w:left="737" w:hanging="737"/>
        <w:rPr>
          <w:color w:val="203864"/>
        </w:rPr>
      </w:pPr>
      <w:r w:rsidRPr="000111EC">
        <w:rPr>
          <w:color w:val="203864"/>
        </w:rPr>
        <w:t xml:space="preserve">Operational Efficiency </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97"/>
        <w:gridCol w:w="7879"/>
      </w:tblGrid>
      <w:tr w:rsidR="00B56924" w:rsidRPr="00DF194B" w14:paraId="6BECABBA" w14:textId="77777777" w:rsidTr="00C31827">
        <w:trPr>
          <w:trHeight w:val="952"/>
        </w:trPr>
        <w:tc>
          <w:tcPr>
            <w:tcW w:w="1297" w:type="dxa"/>
            <w:vAlign w:val="center"/>
          </w:tcPr>
          <w:p w14:paraId="47D032BA" w14:textId="77777777" w:rsidR="00B56924" w:rsidRPr="0075673F" w:rsidRDefault="00B56924" w:rsidP="00B264F2">
            <w:pPr>
              <w:pStyle w:val="Body"/>
            </w:pPr>
            <w:r w:rsidRPr="00B264F2">
              <w:rPr>
                <w:b/>
                <w:color w:val="595959" w:themeColor="text1" w:themeTint="A6"/>
                <w:sz w:val="24"/>
                <w:szCs w:val="24"/>
              </w:rPr>
              <w:t>Objective</w:t>
            </w:r>
          </w:p>
        </w:tc>
        <w:tc>
          <w:tcPr>
            <w:tcW w:w="7971" w:type="dxa"/>
            <w:vAlign w:val="center"/>
          </w:tcPr>
          <w:p w14:paraId="1936F1F3" w14:textId="269E4D51" w:rsidR="00B56924" w:rsidRPr="00DF194B" w:rsidRDefault="00B56924" w:rsidP="00EC5001">
            <w:pPr>
              <w:pStyle w:val="Body"/>
              <w:jc w:val="both"/>
              <w:rPr>
                <w:b/>
                <w:bCs/>
                <w:szCs w:val="21"/>
              </w:rPr>
            </w:pPr>
            <w:r w:rsidRPr="00B264F2">
              <w:rPr>
                <w:color w:val="595959" w:themeColor="text1" w:themeTint="A6"/>
              </w:rPr>
              <w:t>Establishing shared digital platforms and automated solutions that streamline workflows, reduce duplication and improve productivity across the health system</w:t>
            </w:r>
          </w:p>
        </w:tc>
      </w:tr>
    </w:tbl>
    <w:p w14:paraId="103AFEC7" w14:textId="7B9C6879" w:rsidR="00981610" w:rsidRDefault="0017018B" w:rsidP="00981610">
      <w:pPr>
        <w:pStyle w:val="Body"/>
        <w:spacing w:before="120"/>
      </w:pPr>
      <w:r>
        <w:t>The O</w:t>
      </w:r>
      <w:r w:rsidR="00981610">
        <w:t xml:space="preserve">perational Efficiency </w:t>
      </w:r>
      <w:r>
        <w:t xml:space="preserve">program of work </w:t>
      </w:r>
      <w:r w:rsidR="00981610">
        <w:t>establishes shared digital capabilities, platforms and automation solutions that reduce duplication, improve consistency and enable workforce effort to be directed toward</w:t>
      </w:r>
      <w:r w:rsidR="00B35D5C">
        <w:t>s</w:t>
      </w:r>
      <w:r w:rsidR="00981610">
        <w:t xml:space="preserve"> higher-value activities.</w:t>
      </w:r>
    </w:p>
    <w:p w14:paraId="66A2B0E4" w14:textId="3F10AE14" w:rsidR="0017018B" w:rsidRDefault="00DC01EA" w:rsidP="00981610">
      <w:pPr>
        <w:pStyle w:val="Body"/>
        <w:spacing w:before="120"/>
      </w:pPr>
      <w:r w:rsidRPr="00DC01EA">
        <w:lastRenderedPageBreak/>
        <w:t>In Horizon 1, the focus is on establishing the foundations for shared services and automation through modernisation of priority corporate systems, implementation of a statewide identity and access management capability, and clinically governed automation for high-volume clinical administrative tasks. Early use cases include clinical documentation support, discharge summaries, translation services and clinical coding.</w:t>
      </w:r>
    </w:p>
    <w:p w14:paraId="27B4CB26" w14:textId="0C049E09" w:rsidR="00DC01EA" w:rsidRDefault="00DC01EA" w:rsidP="00981610">
      <w:pPr>
        <w:pStyle w:val="Body"/>
        <w:spacing w:before="120"/>
      </w:pPr>
      <w:r w:rsidRPr="00DC01EA">
        <w:t>Alongside these initiatives, workflow automation will be expanded across administrative and operational processes</w:t>
      </w:r>
      <w:r w:rsidR="00EE6942">
        <w:t xml:space="preserve"> such as </w:t>
      </w:r>
      <w:r w:rsidR="00CB2FA6">
        <w:t>AI</w:t>
      </w:r>
      <w:r w:rsidR="0088352C">
        <w:t>-</w:t>
      </w:r>
      <w:r w:rsidR="00CB2FA6">
        <w:t xml:space="preserve">enabled </w:t>
      </w:r>
      <w:r w:rsidR="00EE6942">
        <w:t>clinical coding.</w:t>
      </w:r>
      <w:r w:rsidRPr="00DC01EA">
        <w:t xml:space="preserve"> </w:t>
      </w:r>
    </w:p>
    <w:p w14:paraId="15F70488" w14:textId="0AE3A2D0" w:rsidR="0017018B" w:rsidRDefault="00981610" w:rsidP="00981610">
      <w:pPr>
        <w:pStyle w:val="Body"/>
        <w:spacing w:before="120"/>
      </w:pPr>
      <w:r>
        <w:t>Across Horizons 2 and 3, the focus shifts to scaling proven capabilities and embedding automation into routine operations across the health system. Shared digital platforms, common identity services and workflow automation will increasingly support finance, workforce and operational processes, while clinically governed automation is expanded into additional use cases where it demonstrably improves efficiency, experience and quality</w:t>
      </w:r>
      <w:r w:rsidR="0017018B">
        <w:t>.</w:t>
      </w:r>
    </w:p>
    <w:p w14:paraId="3B26BD24" w14:textId="282F669C" w:rsidR="00981610" w:rsidRDefault="00981610" w:rsidP="00981610">
      <w:pPr>
        <w:pStyle w:val="Body"/>
        <w:spacing w:before="120"/>
      </w:pPr>
      <w:r>
        <w:t>As generative AI capabilities mature, the program will support safe and responsible adoption of AI-enabled solutions, navigating evolving clinical, legal and regulatory requirements</w:t>
      </w:r>
      <w:r w:rsidR="0017018B">
        <w:t>,</w:t>
      </w:r>
      <w:r>
        <w:t xml:space="preserve"> while ensuring </w:t>
      </w:r>
      <w:r w:rsidR="0017018B">
        <w:t xml:space="preserve">that </w:t>
      </w:r>
      <w:r>
        <w:t>appropriate governance, oversight and human accountability remain in place.</w:t>
      </w:r>
    </w:p>
    <w:p w14:paraId="6808EF62" w14:textId="366F4B02" w:rsidR="00CF3DA0" w:rsidRPr="00013A2C" w:rsidRDefault="00CA6921" w:rsidP="00B2372C">
      <w:pPr>
        <w:pStyle w:val="Heading3"/>
        <w:numPr>
          <w:ilvl w:val="1"/>
          <w:numId w:val="8"/>
        </w:numPr>
        <w:spacing w:after="360"/>
        <w:ind w:left="737" w:hanging="737"/>
        <w:rPr>
          <w:color w:val="203864"/>
        </w:rPr>
      </w:pPr>
      <w:r w:rsidRPr="000111EC">
        <w:rPr>
          <w:color w:val="203864"/>
        </w:rPr>
        <w:t>Safer Digital Healthcare</w:t>
      </w:r>
    </w:p>
    <w:tbl>
      <w:tblPr>
        <w:tblStyle w:val="TableGrid"/>
        <w:tblW w:w="0" w:type="auto"/>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1297"/>
        <w:gridCol w:w="7869"/>
      </w:tblGrid>
      <w:tr w:rsidR="00CF3DA0" w:rsidRPr="00DF194B" w14:paraId="259B6CA0" w14:textId="77777777" w:rsidTr="00167D43">
        <w:trPr>
          <w:trHeight w:val="1077"/>
        </w:trPr>
        <w:tc>
          <w:tcPr>
            <w:tcW w:w="1297" w:type="dxa"/>
            <w:vAlign w:val="center"/>
          </w:tcPr>
          <w:p w14:paraId="00F0DBAD" w14:textId="77777777" w:rsidR="00CF3DA0" w:rsidRPr="0075673F" w:rsidRDefault="00CF3DA0" w:rsidP="00B264F2">
            <w:pPr>
              <w:pStyle w:val="Body"/>
            </w:pPr>
            <w:r w:rsidRPr="00B264F2">
              <w:rPr>
                <w:b/>
                <w:color w:val="595959" w:themeColor="text1" w:themeTint="A6"/>
                <w:sz w:val="24"/>
                <w:szCs w:val="24"/>
              </w:rPr>
              <w:t>Objective</w:t>
            </w:r>
          </w:p>
        </w:tc>
        <w:tc>
          <w:tcPr>
            <w:tcW w:w="7971" w:type="dxa"/>
            <w:vAlign w:val="center"/>
          </w:tcPr>
          <w:p w14:paraId="3328218A" w14:textId="2B77A8FA" w:rsidR="00CF3DA0" w:rsidRPr="00B264F2" w:rsidRDefault="00CF3DA0" w:rsidP="00EC5001">
            <w:pPr>
              <w:pStyle w:val="Body"/>
              <w:jc w:val="both"/>
              <w:rPr>
                <w:color w:val="595959" w:themeColor="text1" w:themeTint="A6"/>
              </w:rPr>
            </w:pPr>
            <w:r w:rsidRPr="00B264F2">
              <w:rPr>
                <w:color w:val="595959" w:themeColor="text1" w:themeTint="A6"/>
              </w:rPr>
              <w:t xml:space="preserve">Maintaining safe, secure and resilient digital and technology solutions, protecting </w:t>
            </w:r>
            <w:r w:rsidR="00381D42" w:rsidRPr="00B264F2">
              <w:rPr>
                <w:color w:val="595959" w:themeColor="text1" w:themeTint="A6"/>
              </w:rPr>
              <w:t>consumers</w:t>
            </w:r>
            <w:r w:rsidRPr="00B264F2">
              <w:rPr>
                <w:color w:val="595959" w:themeColor="text1" w:themeTint="A6"/>
              </w:rPr>
              <w:t>, clinicians and services from digital failures and disruptions that could compromise care delivery</w:t>
            </w:r>
          </w:p>
        </w:tc>
      </w:tr>
    </w:tbl>
    <w:p w14:paraId="3ADA4137" w14:textId="3D803003" w:rsidR="00CA6921" w:rsidRPr="0017018B" w:rsidRDefault="0017018B" w:rsidP="00EC6A06">
      <w:pPr>
        <w:pStyle w:val="Bodyaftertablefigure"/>
      </w:pPr>
      <w:r>
        <w:t xml:space="preserve">The </w:t>
      </w:r>
      <w:r w:rsidR="006943A7" w:rsidRPr="0017018B">
        <w:t>Safer Digital Healthcare</w:t>
      </w:r>
      <w:r w:rsidR="006420C0" w:rsidRPr="0017018B">
        <w:t xml:space="preserve"> </w:t>
      </w:r>
      <w:r>
        <w:t xml:space="preserve">program of work </w:t>
      </w:r>
      <w:r w:rsidR="006420C0" w:rsidRPr="0017018B">
        <w:t>focuses on strengthening cyber resilience, modernising critical infrastructure and reducing technology risks that could impact the availability, reliability or safety of digital health services.</w:t>
      </w:r>
    </w:p>
    <w:p w14:paraId="0C659907" w14:textId="4981D348" w:rsidR="0017018B" w:rsidRDefault="0033153E" w:rsidP="0033153E">
      <w:pPr>
        <w:pStyle w:val="Body"/>
      </w:pPr>
      <w:r>
        <w:t>In Horizon 1, the focus is on strengthening statewide cyber capability and governance, improving sector-wide visibility of cyber risk, and modernising critical hosting environments through the migration of key Health Technology Services platforms from legacy data centres to contemporary cloud and hosting solutions.</w:t>
      </w:r>
    </w:p>
    <w:p w14:paraId="2B3FE196" w14:textId="2D4E8866" w:rsidR="0033153E" w:rsidRDefault="0033153E" w:rsidP="0033153E">
      <w:pPr>
        <w:pStyle w:val="Body"/>
      </w:pPr>
      <w:r>
        <w:t xml:space="preserve">The program also establishes the foundations for long-term infrastructure renewal by identifying and prioritising high-risk legacy systems, unsupported technologies and </w:t>
      </w:r>
      <w:r w:rsidR="00CB6A27">
        <w:t>any</w:t>
      </w:r>
      <w:r>
        <w:t xml:space="preserve"> areas of vulnerability across the health sector.</w:t>
      </w:r>
    </w:p>
    <w:p w14:paraId="32E153A7" w14:textId="5876236D" w:rsidR="003E7FE1" w:rsidRDefault="0033153E" w:rsidP="000111EC">
      <w:pPr>
        <w:pStyle w:val="Body"/>
      </w:pPr>
      <w:r>
        <w:t>Across Horizons 2 and 3, the focus shifts to embedding resilience at scale through expanded adoption of modern cyber platforms, shared security services and coordinated statewide cyber operations. Legacy infrastructure is progressively modernised</w:t>
      </w:r>
      <w:r w:rsidR="00703FD0">
        <w:t>;</w:t>
      </w:r>
      <w:r>
        <w:t xml:space="preserve"> technology risks are reduced through sustainable lifecycle management and common security capabilities become increasingly standardised across the sector.</w:t>
      </w:r>
    </w:p>
    <w:p w14:paraId="4B50F0C7" w14:textId="764A1859" w:rsidR="006420C0" w:rsidRPr="00422D11" w:rsidRDefault="0033153E" w:rsidP="000111EC">
      <w:pPr>
        <w:pStyle w:val="Body"/>
      </w:pPr>
      <w:r>
        <w:t xml:space="preserve">As emerging technologies such as </w:t>
      </w:r>
      <w:r w:rsidR="006134D7">
        <w:t>AI</w:t>
      </w:r>
      <w:r>
        <w:t xml:space="preserve"> become more deeply embedded in healthcare delivery, cyber and resilience capabilities will continue to evolve to address new threats, strengthen trust and ensure critical digital services remain reliable and available when they are needed most.</w:t>
      </w:r>
    </w:p>
    <w:p w14:paraId="53AA1428" w14:textId="77777777" w:rsidR="00D84E4D" w:rsidRDefault="00D84E4D">
      <w:pPr>
        <w:spacing w:after="0" w:line="240" w:lineRule="auto"/>
        <w:rPr>
          <w:rFonts w:eastAsia="MS Gothic"/>
          <w:bCs/>
          <w:color w:val="53565A"/>
          <w:sz w:val="30"/>
          <w:szCs w:val="26"/>
        </w:rPr>
      </w:pPr>
      <w:r>
        <w:br w:type="page"/>
      </w:r>
    </w:p>
    <w:p w14:paraId="46854B6C" w14:textId="00041B92" w:rsidR="003E7FE1" w:rsidRDefault="003E7FE1" w:rsidP="00614670">
      <w:pPr>
        <w:pStyle w:val="Tablecaption"/>
      </w:pPr>
      <w:r>
        <w:lastRenderedPageBreak/>
        <w:t xml:space="preserve">Table </w:t>
      </w:r>
      <w:fldSimple w:instr=" SEQ Table \* ARABIC ">
        <w:r>
          <w:rPr>
            <w:noProof/>
          </w:rPr>
          <w:t>4</w:t>
        </w:r>
      </w:fldSimple>
      <w:r>
        <w:t xml:space="preserve">. Sustainable </w:t>
      </w:r>
      <w:r w:rsidR="002054C1">
        <w:t>O</w:t>
      </w:r>
      <w:r>
        <w:t>perations programs</w:t>
      </w:r>
      <w:r w:rsidRPr="00983D62">
        <w:t xml:space="preserve"> and initiatives</w:t>
      </w:r>
    </w:p>
    <w:p w14:paraId="09D58A8A" w14:textId="5E2CC387" w:rsidR="00D6739B" w:rsidRPr="00D6739B" w:rsidRDefault="00D6739B" w:rsidP="00D6739B">
      <w:pPr>
        <w:pStyle w:val="Body"/>
      </w:pPr>
      <w:r>
        <w:rPr>
          <w:noProof/>
        </w:rPr>
        <w:drawing>
          <wp:inline distT="0" distB="0" distL="0" distR="0" wp14:anchorId="17799E81" wp14:editId="628E27E5">
            <wp:extent cx="5822950" cy="3342005"/>
            <wp:effectExtent l="0" t="0" r="6350" b="0"/>
            <wp:docPr id="372150791" name="Picture 89"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150791" name="Picture 89" descr="Accessible text equivalent provided in Appendix A."/>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5822950" cy="3342005"/>
                    </a:xfrm>
                    <a:prstGeom prst="rect">
                      <a:avLst/>
                    </a:prstGeom>
                    <a:noFill/>
                    <a:ln>
                      <a:noFill/>
                    </a:ln>
                  </pic:spPr>
                </pic:pic>
              </a:graphicData>
            </a:graphic>
          </wp:inline>
        </w:drawing>
      </w:r>
    </w:p>
    <w:p w14:paraId="0719C498" w14:textId="63402149" w:rsidR="00A11040" w:rsidRPr="0032739D" w:rsidRDefault="00A11040" w:rsidP="00A11040">
      <w:pPr>
        <w:pStyle w:val="Body"/>
      </w:pPr>
      <w:r w:rsidRPr="0032739D">
        <w:t xml:space="preserve">This table outlines the initiatives within the </w:t>
      </w:r>
      <w:r w:rsidR="005C4A71" w:rsidRPr="0032739D">
        <w:t xml:space="preserve">Sustainable Operations </w:t>
      </w:r>
      <w:r w:rsidRPr="0032739D">
        <w:t>pillar and their progression across three planning horizons:</w:t>
      </w:r>
    </w:p>
    <w:p w14:paraId="0297B4D8" w14:textId="77777777" w:rsidR="00A11040" w:rsidRPr="0032739D" w:rsidRDefault="00A11040" w:rsidP="0032739D">
      <w:pPr>
        <w:pStyle w:val="Bullet1"/>
      </w:pPr>
      <w:r w:rsidRPr="0032739D">
        <w:t>Defined initiatives (2026–2028): Initiatives that are sufficiently mature to support immediate planning, investment and delivery.</w:t>
      </w:r>
    </w:p>
    <w:p w14:paraId="110169BC" w14:textId="77777777" w:rsidR="00A11040" w:rsidRPr="0032739D" w:rsidRDefault="00A11040" w:rsidP="0032739D">
      <w:pPr>
        <w:pStyle w:val="Bullet1"/>
      </w:pPr>
      <w:r w:rsidRPr="0032739D">
        <w:t>Emerging priorities (2028–2030): Initiatives expected to expand or mature over the medium term.</w:t>
      </w:r>
    </w:p>
    <w:p w14:paraId="7E420BAA" w14:textId="77777777" w:rsidR="00A11040" w:rsidRPr="0032739D" w:rsidRDefault="00A11040" w:rsidP="0032739D">
      <w:pPr>
        <w:pStyle w:val="Bullet1"/>
      </w:pPr>
      <w:r w:rsidRPr="0032739D">
        <w:t>Future direction (2030 onwards): Longer-term areas of focus that support the roadmap vision.</w:t>
      </w:r>
    </w:p>
    <w:p w14:paraId="1EBAD294" w14:textId="332C3AF7" w:rsidR="00A11040" w:rsidRPr="00A11040" w:rsidRDefault="00A11040" w:rsidP="00A11040">
      <w:pPr>
        <w:pStyle w:val="Body"/>
      </w:pPr>
      <w:r w:rsidRPr="0032739D">
        <w:t>Further details about this table can be found in the appendix.</w:t>
      </w:r>
    </w:p>
    <w:p w14:paraId="34F29318" w14:textId="4418F2FB" w:rsidR="00D54BB0" w:rsidRPr="00894601" w:rsidRDefault="008D20F6" w:rsidP="00894601">
      <w:pPr>
        <w:pStyle w:val="Heading2"/>
        <w:rPr>
          <w:rFonts w:eastAsia="MS Gothic"/>
          <w:b w:val="0"/>
          <w:bCs/>
          <w:color w:val="203864"/>
          <w:sz w:val="30"/>
          <w:szCs w:val="26"/>
        </w:rPr>
      </w:pPr>
      <w:bookmarkStart w:id="73" w:name="_Toc244166843"/>
      <w:r w:rsidRPr="00894601">
        <w:rPr>
          <w:rFonts w:eastAsia="MS Gothic"/>
          <w:b w:val="0"/>
          <w:bCs/>
          <w:color w:val="203864"/>
          <w:sz w:val="30"/>
          <w:szCs w:val="26"/>
        </w:rPr>
        <w:t xml:space="preserve">Sustainable </w:t>
      </w:r>
      <w:r w:rsidR="002054C1" w:rsidRPr="00894601">
        <w:rPr>
          <w:rFonts w:eastAsia="MS Gothic"/>
          <w:b w:val="0"/>
          <w:bCs/>
          <w:color w:val="203864"/>
          <w:sz w:val="30"/>
          <w:szCs w:val="26"/>
        </w:rPr>
        <w:t>O</w:t>
      </w:r>
      <w:r w:rsidRPr="00894601">
        <w:rPr>
          <w:rFonts w:eastAsia="MS Gothic"/>
          <w:b w:val="0"/>
          <w:bCs/>
          <w:color w:val="203864"/>
          <w:sz w:val="30"/>
          <w:szCs w:val="26"/>
        </w:rPr>
        <w:t>perations in 2031</w:t>
      </w:r>
      <w:bookmarkEnd w:id="73"/>
    </w:p>
    <w:p w14:paraId="78BEA4D9" w14:textId="77777777" w:rsidR="00731F53" w:rsidRPr="000111EC" w:rsidRDefault="00731F53" w:rsidP="000111EC">
      <w:pPr>
        <w:pStyle w:val="Body"/>
      </w:pPr>
      <w:r w:rsidRPr="000111EC">
        <w:t>By 2031, Victoria's health system will operate with greater visibility, coordination and intelligence. Operational leaders will have access to real-time information, predictive insights and decision-support capabilities that enable demand, capacity and risk to be identified earlier and managed more proactively.</w:t>
      </w:r>
    </w:p>
    <w:p w14:paraId="44C70328" w14:textId="33DFFED3" w:rsidR="00731F53" w:rsidRPr="000111EC" w:rsidRDefault="00731F53" w:rsidP="000111EC">
      <w:pPr>
        <w:pStyle w:val="Body"/>
      </w:pPr>
      <w:r w:rsidRPr="000111EC">
        <w:t xml:space="preserve">Routine administrative and operational processes will be increasingly streamlined through shared platforms, automation and </w:t>
      </w:r>
      <w:r w:rsidR="006134D7">
        <w:t>AI</w:t>
      </w:r>
      <w:r w:rsidRPr="000111EC">
        <w:t xml:space="preserve">. Clinicians and staff will spend less time on repetitive tasks, manual reporting and administrative processes, allowing more time to be directed towards </w:t>
      </w:r>
      <w:r w:rsidR="00742A29">
        <w:t>providing</w:t>
      </w:r>
      <w:r w:rsidR="0012070E">
        <w:t xml:space="preserve"> care</w:t>
      </w:r>
      <w:r w:rsidRPr="000111EC">
        <w:t>, service delivery and higher-value activities. Generative</w:t>
      </w:r>
      <w:r w:rsidR="00667A9F">
        <w:t xml:space="preserve"> and agentic</w:t>
      </w:r>
      <w:r w:rsidRPr="000111EC">
        <w:t xml:space="preserve"> AI and automation will be safely embedded into workflows where they improve productivity, quality and experience, supported by appropriate governance, oversight and human accountability.</w:t>
      </w:r>
    </w:p>
    <w:p w14:paraId="21D0E5C8" w14:textId="4315F81B" w:rsidR="00731F53" w:rsidRPr="000111EC" w:rsidRDefault="00731F53" w:rsidP="000111EC">
      <w:pPr>
        <w:pStyle w:val="Body"/>
      </w:pPr>
      <w:r w:rsidRPr="000111EC">
        <w:t>Across the health system, decision intelligence capabilities will support more effective planning, workforce management and resource allocation. Digital twins, predictive analytics and operational intelligence will enable health services and government to model future demand, test scenarios and optimise capacity before pressures emerge. Decisions will increasingly be informed by real-time and predictive insights</w:t>
      </w:r>
      <w:r w:rsidR="006A2C85">
        <w:t>,</w:t>
      </w:r>
      <w:r w:rsidRPr="000111EC">
        <w:t xml:space="preserve"> rather than retrospective reporting.</w:t>
      </w:r>
    </w:p>
    <w:p w14:paraId="660BF1BC" w14:textId="333FB713" w:rsidR="00731F53" w:rsidRPr="000111EC" w:rsidRDefault="00731F53" w:rsidP="000111EC">
      <w:pPr>
        <w:pStyle w:val="Body"/>
      </w:pPr>
      <w:r w:rsidRPr="000111EC">
        <w:lastRenderedPageBreak/>
        <w:t xml:space="preserve">Modern, secure and resilient digital infrastructure will underpin these capabilities, </w:t>
      </w:r>
      <w:proofErr w:type="gramStart"/>
      <w:r w:rsidRPr="000111EC">
        <w:t>reducing</w:t>
      </w:r>
      <w:proofErr w:type="gramEnd"/>
      <w:r w:rsidRPr="000111EC">
        <w:t xml:space="preserve"> technology risk and improving the reliability of critical systems. Shared digital services, common identity and access management capabilities, and coordinated cybersecurity approaches will strengthen resilience</w:t>
      </w:r>
      <w:r w:rsidR="006A2C85">
        <w:t>,</w:t>
      </w:r>
      <w:r w:rsidRPr="000111EC">
        <w:t xml:space="preserve"> while reducing duplication across the sector.</w:t>
      </w:r>
    </w:p>
    <w:p w14:paraId="71809918" w14:textId="7A330B72" w:rsidR="006A4F01" w:rsidRDefault="00731F53" w:rsidP="000111EC">
      <w:pPr>
        <w:pStyle w:val="Body"/>
        <w:rPr>
          <w:color w:val="53565A"/>
          <w:sz w:val="32"/>
          <w:szCs w:val="28"/>
        </w:rPr>
      </w:pPr>
      <w:r w:rsidRPr="000111EC">
        <w:t>Together, these capabilities will support a more productive, adaptive and financially sustainable health system that is better equipped to manage growing demand, respond to emerging risks and continue delivering high-quality care for Victorians.</w:t>
      </w:r>
      <w:r w:rsidRPr="000111EC" w:rsidDel="00731F53">
        <w:t xml:space="preserve"> </w:t>
      </w:r>
    </w:p>
    <w:p w14:paraId="10B50610" w14:textId="77777777" w:rsidR="00D31EEA" w:rsidRDefault="00D31EEA">
      <w:pPr>
        <w:spacing w:after="0" w:line="240" w:lineRule="auto"/>
        <w:rPr>
          <w:b/>
          <w:color w:val="53565A"/>
          <w:sz w:val="32"/>
          <w:szCs w:val="28"/>
        </w:rPr>
      </w:pPr>
      <w:r>
        <w:br w:type="page"/>
      </w:r>
    </w:p>
    <w:p w14:paraId="3FF503D6" w14:textId="60F99E06" w:rsidR="00D31EEA" w:rsidRPr="00177A14" w:rsidRDefault="00D31EEA" w:rsidP="00D93DF6">
      <w:pPr>
        <w:pStyle w:val="Heading1"/>
        <w:rPr>
          <w:color w:val="3B714B"/>
        </w:rPr>
      </w:pPr>
      <w:bookmarkStart w:id="74" w:name="_Toc235957342"/>
      <w:bookmarkStart w:id="75" w:name="_Toc244166844"/>
      <w:r w:rsidRPr="00177A14">
        <w:rPr>
          <w:color w:val="3B714B"/>
        </w:rPr>
        <w:lastRenderedPageBreak/>
        <w:t>Accelerators</w:t>
      </w:r>
      <w:bookmarkEnd w:id="74"/>
      <w:bookmarkEnd w:id="75"/>
    </w:p>
    <w:p w14:paraId="0818C0E6" w14:textId="11D42B99" w:rsidR="00A85EFA" w:rsidRDefault="00A85EFA" w:rsidP="00A85EFA">
      <w:pPr>
        <w:pStyle w:val="Body"/>
      </w:pPr>
      <w:r w:rsidRPr="00A85EFA">
        <w:t>The four pillars of the roadmap are supported by three cross-cutting accelerators</w:t>
      </w:r>
      <w:r w:rsidR="00F3238D">
        <w:t xml:space="preserve"> </w:t>
      </w:r>
      <w:r w:rsidRPr="00A85EFA">
        <w:t>that create the conditions for successful delivery. These accelerators are not standalone programs of work; they are capabilities that must be embedded across all initiatives to ensure digital investments are adopted</w:t>
      </w:r>
      <w:r w:rsidR="0002464C">
        <w:t xml:space="preserve"> and</w:t>
      </w:r>
      <w:r w:rsidRPr="00A85EFA">
        <w:t xml:space="preserve"> scaled</w:t>
      </w:r>
      <w:r w:rsidR="0002464C">
        <w:t>,</w:t>
      </w:r>
      <w:r w:rsidRPr="00A85EFA">
        <w:t xml:space="preserve"> deliver</w:t>
      </w:r>
      <w:r w:rsidR="0002464C">
        <w:t>ing</w:t>
      </w:r>
      <w:r w:rsidRPr="00A85EFA">
        <w:t xml:space="preserve"> sustainable value for consumers, clinicians and the health system.</w:t>
      </w:r>
    </w:p>
    <w:p w14:paraId="3289725D" w14:textId="698C87A7" w:rsidR="00E0656B" w:rsidRDefault="004E459D" w:rsidP="00A85EFA">
      <w:pPr>
        <w:pStyle w:val="Body"/>
      </w:pPr>
      <w:r w:rsidRPr="004E459D">
        <w:t>Each accelerator is supported by a foundational initiative that provides a shared capability for the Victorian health system. These foundational initiatives are intended to create common assets that can be leveraged across multiple programs and organisations, accelerating delivery, reducing duplication and enabling more consistent outcomes at scale.</w:t>
      </w:r>
    </w:p>
    <w:p w14:paraId="5A76455C" w14:textId="7455FCB0" w:rsidR="00834C4C" w:rsidRDefault="000B3DF7" w:rsidP="00834C4C">
      <w:pPr>
        <w:pStyle w:val="Figurecaption"/>
      </w:pPr>
      <w:r w:rsidRPr="00E25DB0">
        <w:t xml:space="preserve">Figure </w:t>
      </w:r>
      <w:r w:rsidR="000E587C" w:rsidRPr="00E25DB0">
        <w:t>1</w:t>
      </w:r>
      <w:r w:rsidR="00E46839" w:rsidRPr="00E25DB0">
        <w:rPr>
          <w:noProof/>
        </w:rPr>
        <w:t>4</w:t>
      </w:r>
      <w:r w:rsidRPr="00E25DB0">
        <w:t>. Roadmap accelerators</w:t>
      </w:r>
    </w:p>
    <w:p w14:paraId="454F5A2E" w14:textId="29E3D12B" w:rsidR="00210FF2" w:rsidRPr="00210FF2" w:rsidRDefault="000C039C" w:rsidP="00210FF2">
      <w:pPr>
        <w:pStyle w:val="Body"/>
      </w:pPr>
      <w:r>
        <w:rPr>
          <w:noProof/>
        </w:rPr>
        <w:drawing>
          <wp:inline distT="0" distB="0" distL="0" distR="0" wp14:anchorId="51123BC0" wp14:editId="7839F58D">
            <wp:extent cx="5829300" cy="3606800"/>
            <wp:effectExtent l="0" t="0" r="0" b="0"/>
            <wp:docPr id="192441256" name="Picture 91"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1256" name="Picture 91" descr="Accessible text equivalent provided in Appendix A."/>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5829300" cy="3606800"/>
                    </a:xfrm>
                    <a:prstGeom prst="rect">
                      <a:avLst/>
                    </a:prstGeom>
                    <a:noFill/>
                    <a:ln>
                      <a:noFill/>
                    </a:ln>
                  </pic:spPr>
                </pic:pic>
              </a:graphicData>
            </a:graphic>
          </wp:inline>
        </w:drawing>
      </w:r>
    </w:p>
    <w:p w14:paraId="47DEC33E" w14:textId="35152711" w:rsidR="002C5331" w:rsidRDefault="00FD2ACA" w:rsidP="002C5331">
      <w:pPr>
        <w:pStyle w:val="Heading1"/>
      </w:pPr>
      <w:bookmarkStart w:id="76" w:name="_Toc235957343"/>
      <w:bookmarkStart w:id="77" w:name="_Toc244166845"/>
      <w:r>
        <w:t>Measuring success</w:t>
      </w:r>
      <w:bookmarkEnd w:id="76"/>
      <w:bookmarkEnd w:id="77"/>
    </w:p>
    <w:p w14:paraId="195F35AD" w14:textId="2195BCF5" w:rsidR="00497A94" w:rsidRDefault="00497A94" w:rsidP="00497A94">
      <w:pPr>
        <w:pStyle w:val="Body"/>
      </w:pPr>
      <w:r>
        <w:t xml:space="preserve">The </w:t>
      </w:r>
      <w:r w:rsidR="00A5122E">
        <w:t>r</w:t>
      </w:r>
      <w:r>
        <w:t>oadmap is intended to deliver meaningful improvements for consumers, the workforce and the health system. Measuring progress is therefore critical to ensuring investment remains focused on initiatives that deliver tangible value and contribute to the long-term vision for digital health in Victoria.</w:t>
      </w:r>
    </w:p>
    <w:p w14:paraId="646D1B0F" w14:textId="094C6E87" w:rsidR="00A5122E" w:rsidRDefault="00497A94" w:rsidP="00497A94">
      <w:pPr>
        <w:pStyle w:val="Body"/>
      </w:pPr>
      <w:r>
        <w:t xml:space="preserve">Success will be assessed through two complementary lenses. </w:t>
      </w:r>
      <w:r w:rsidR="00016BAB">
        <w:t>T</w:t>
      </w:r>
      <w:r>
        <w:t xml:space="preserve">he </w:t>
      </w:r>
      <w:r w:rsidR="00A5122E" w:rsidRPr="000B701C">
        <w:t>Victorian Digital Health Maturity Model</w:t>
      </w:r>
      <w:r w:rsidR="00A5122E">
        <w:rPr>
          <w:rStyle w:val="FootnoteReference"/>
        </w:rPr>
        <w:footnoteReference w:id="24"/>
      </w:r>
      <w:r>
        <w:t xml:space="preserve"> will measure the extent to which the foundations required for transformation are being established across the health system</w:t>
      </w:r>
      <w:r w:rsidR="00A5122E">
        <w:t>.</w:t>
      </w:r>
    </w:p>
    <w:p w14:paraId="48D4C7F6" w14:textId="4A78CB9E" w:rsidR="00A5122E" w:rsidRDefault="00A5122E" w:rsidP="00497A94">
      <w:pPr>
        <w:pStyle w:val="Body"/>
      </w:pPr>
      <w:r>
        <w:lastRenderedPageBreak/>
        <w:t xml:space="preserve">These foundations </w:t>
      </w:r>
      <w:r w:rsidR="00497A94">
        <w:t>includ</w:t>
      </w:r>
      <w:r>
        <w:t>e:</w:t>
      </w:r>
    </w:p>
    <w:p w14:paraId="0C74E711" w14:textId="2D168E87" w:rsidR="00A5122E" w:rsidRDefault="00497A94" w:rsidP="000B701C">
      <w:pPr>
        <w:pStyle w:val="Bullet1"/>
      </w:pPr>
      <w:r>
        <w:t>governance</w:t>
      </w:r>
    </w:p>
    <w:p w14:paraId="2696DD3C" w14:textId="19FDCDD6" w:rsidR="00A5122E" w:rsidRDefault="00497A94" w:rsidP="000B701C">
      <w:pPr>
        <w:pStyle w:val="Bullet1"/>
      </w:pPr>
      <w:r>
        <w:t>workforce capability</w:t>
      </w:r>
    </w:p>
    <w:p w14:paraId="3069F294" w14:textId="157B3380" w:rsidR="00AF64DE" w:rsidRDefault="00AF64DE" w:rsidP="000B701C">
      <w:pPr>
        <w:pStyle w:val="Bullet1"/>
      </w:pPr>
      <w:r>
        <w:t>information technology operations</w:t>
      </w:r>
    </w:p>
    <w:p w14:paraId="47DD5807" w14:textId="5F1A9250" w:rsidR="00A5122E" w:rsidRDefault="00497A94" w:rsidP="000B701C">
      <w:pPr>
        <w:pStyle w:val="Bullet1"/>
      </w:pPr>
      <w:r>
        <w:t>clinical systems</w:t>
      </w:r>
    </w:p>
    <w:p w14:paraId="70181D9E" w14:textId="5701B56C" w:rsidR="00A5122E" w:rsidRDefault="00497A94" w:rsidP="000B701C">
      <w:pPr>
        <w:pStyle w:val="Bullet1"/>
      </w:pPr>
      <w:r>
        <w:t>interoperability</w:t>
      </w:r>
      <w:r w:rsidR="002754BF">
        <w:t xml:space="preserve"> and information sharing</w:t>
      </w:r>
    </w:p>
    <w:p w14:paraId="1B27461E" w14:textId="608811FA" w:rsidR="00A5122E" w:rsidRDefault="00497A94" w:rsidP="000B701C">
      <w:pPr>
        <w:pStyle w:val="Bullet1"/>
      </w:pPr>
      <w:r>
        <w:t>data</w:t>
      </w:r>
      <w:r w:rsidR="002754BF">
        <w:t xml:space="preserve">, </w:t>
      </w:r>
      <w:r w:rsidR="007C5D7A">
        <w:t>analytics</w:t>
      </w:r>
      <w:r w:rsidR="002754BF">
        <w:t xml:space="preserve"> and AI</w:t>
      </w:r>
    </w:p>
    <w:p w14:paraId="467B67D6" w14:textId="64A1CFBA" w:rsidR="007C5D7A" w:rsidRDefault="002F2088" w:rsidP="000B701C">
      <w:pPr>
        <w:pStyle w:val="Bullet1"/>
      </w:pPr>
      <w:r>
        <w:t>virtual care and consumer engagement</w:t>
      </w:r>
    </w:p>
    <w:p w14:paraId="1B1F3D7F" w14:textId="5371FF31" w:rsidR="002F2088" w:rsidRDefault="002F2088" w:rsidP="000B701C">
      <w:pPr>
        <w:pStyle w:val="Bullet1"/>
      </w:pPr>
      <w:r>
        <w:t>benefits realisation</w:t>
      </w:r>
    </w:p>
    <w:p w14:paraId="4BBF0465" w14:textId="03AF9268" w:rsidR="00A5122E" w:rsidRDefault="00497A94" w:rsidP="000B701C">
      <w:pPr>
        <w:pStyle w:val="Bullet1"/>
      </w:pPr>
      <w:r>
        <w:t>innovation.</w:t>
      </w:r>
    </w:p>
    <w:p w14:paraId="20982FB7" w14:textId="77777777" w:rsidR="005C7C89" w:rsidRDefault="00497A94" w:rsidP="00DD5574">
      <w:pPr>
        <w:pStyle w:val="Bodyafterbullets"/>
      </w:pPr>
      <w:r>
        <w:t>Improvements in digital maturity provide an indication of the system's readiness to adopt and scale new digital capabilities.</w:t>
      </w:r>
      <w:r w:rsidR="002B4F64">
        <w:t xml:space="preserve"> </w:t>
      </w:r>
      <w:r>
        <w:t xml:space="preserve">However, digital maturity alone is not the objective. The ultimate measure of success is whether digital investment is translating into improved outcomes for Victorians. </w:t>
      </w:r>
    </w:p>
    <w:p w14:paraId="64E19AF9" w14:textId="6B4ECA9E" w:rsidR="000265A0" w:rsidRDefault="002D6ABA" w:rsidP="00DD5574">
      <w:pPr>
        <w:pStyle w:val="Bodyafterbullets"/>
      </w:pPr>
      <w:r>
        <w:t xml:space="preserve">Progress </w:t>
      </w:r>
      <w:r w:rsidR="00497A94">
        <w:t>will</w:t>
      </w:r>
      <w:r>
        <w:t xml:space="preserve"> therefore</w:t>
      </w:r>
      <w:r w:rsidR="00497A94">
        <w:t xml:space="preserve"> be assessed against the roadmap's five priority outcomes</w:t>
      </w:r>
      <w:r w:rsidR="002B4F64">
        <w:t xml:space="preserve"> of</w:t>
      </w:r>
      <w:r w:rsidR="00497A94">
        <w:t xml:space="preserve"> Healthy Victorians, </w:t>
      </w:r>
      <w:r w:rsidR="00497A94" w:rsidRPr="00EA6B59">
        <w:t>Integrated Care Journeys, Equitable Health Outcomes, High</w:t>
      </w:r>
      <w:r w:rsidR="0002390C">
        <w:t xml:space="preserve"> </w:t>
      </w:r>
      <w:r w:rsidR="00497A94" w:rsidRPr="00EA6B59">
        <w:t>Performing Health System and Supported Workforce</w:t>
      </w:r>
      <w:r w:rsidR="00497A94">
        <w:t>.</w:t>
      </w:r>
      <w:r w:rsidR="003F3FEB">
        <w:t xml:space="preserve"> </w:t>
      </w:r>
      <w:r w:rsidR="00497A94">
        <w:t xml:space="preserve">Each outcome is supported by a set of </w:t>
      </w:r>
      <w:r w:rsidR="005E6680">
        <w:t>benefits categories</w:t>
      </w:r>
      <w:r w:rsidR="00497A94">
        <w:t xml:space="preserve"> that describe where value is expected to be realised and provide a consistent basis for monitoring progress over time. </w:t>
      </w:r>
    </w:p>
    <w:p w14:paraId="79939D63" w14:textId="78155EAE" w:rsidR="00674DC9" w:rsidRDefault="00523FF6" w:rsidP="00487B06">
      <w:pPr>
        <w:pStyle w:val="Body"/>
      </w:pPr>
      <w:r w:rsidRPr="00523FF6">
        <w:t xml:space="preserve">Benefits will be defined, measured and managed at the initiative level, </w:t>
      </w:r>
      <w:r w:rsidR="00D53D2C" w:rsidRPr="00D53D2C">
        <w:t>with accountability for benefits realisation sitting alongside delivery</w:t>
      </w:r>
      <w:r w:rsidRPr="00523FF6">
        <w:t>. Through the roadmap's governance framework, benefits will be monitored and aggregated across programs and pillars, providing visibility of progress towards the roadmap's five priority outcomes. This approach enables performance, outcomes and value to be assessed consistently across the portfolio, supporting evidence-based decision-making, prioritisation and future investment planning.</w:t>
      </w:r>
    </w:p>
    <w:p w14:paraId="733EE357" w14:textId="2E020966" w:rsidR="00F93108" w:rsidRDefault="00F93108">
      <w:pPr>
        <w:spacing w:after="0" w:line="240" w:lineRule="auto"/>
        <w:rPr>
          <w:rFonts w:eastAsia="Times"/>
        </w:rPr>
      </w:pPr>
      <w:r>
        <w:br w:type="page"/>
      </w:r>
    </w:p>
    <w:p w14:paraId="47967B35" w14:textId="29258390" w:rsidR="00F42BBC" w:rsidRDefault="002B4F64" w:rsidP="00F42BBC">
      <w:pPr>
        <w:pStyle w:val="Figurecaption"/>
      </w:pPr>
      <w:r w:rsidRPr="00DD6B8A">
        <w:lastRenderedPageBreak/>
        <w:t>Figure 15. Benefit categories aligned to priority outcomes</w:t>
      </w:r>
    </w:p>
    <w:tbl>
      <w:tblPr>
        <w:tblStyle w:val="TableGrid"/>
        <w:tblW w:w="0" w:type="auto"/>
        <w:tblLook w:val="04A0" w:firstRow="1" w:lastRow="0" w:firstColumn="1" w:lastColumn="0" w:noHBand="0" w:noVBand="1"/>
      </w:tblPr>
      <w:tblGrid>
        <w:gridCol w:w="1630"/>
        <w:gridCol w:w="1921"/>
        <w:gridCol w:w="3463"/>
        <w:gridCol w:w="2162"/>
      </w:tblGrid>
      <w:tr w:rsidR="00E02713" w:rsidRPr="00E02713" w14:paraId="69589B4E" w14:textId="77777777" w:rsidTr="003C2C78">
        <w:tc>
          <w:tcPr>
            <w:tcW w:w="0" w:type="auto"/>
            <w:hideMark/>
          </w:tcPr>
          <w:p w14:paraId="1A29C720" w14:textId="395BE9C0" w:rsidR="00E02713" w:rsidRPr="00E02713" w:rsidRDefault="00E02713" w:rsidP="00E02713">
            <w:pPr>
              <w:pStyle w:val="Tablecolhead"/>
              <w:rPr>
                <w:rFonts w:eastAsia="Times"/>
              </w:rPr>
            </w:pPr>
            <w:r w:rsidRPr="003C2C78">
              <w:rPr>
                <w:lang w:val="en-US" w:eastAsia="en-AU"/>
              </w:rPr>
              <w:t>P</w:t>
            </w:r>
            <w:r w:rsidRPr="003C2C78">
              <w:rPr>
                <w:rFonts w:eastAsia="Times"/>
                <w:lang w:val="en-US" w:eastAsia="en-AU"/>
              </w:rPr>
              <w:t>riority</w:t>
            </w:r>
            <w:r w:rsidRPr="00E02713">
              <w:rPr>
                <w:rFonts w:eastAsia="Times"/>
              </w:rPr>
              <w:t xml:space="preserve"> Outcome</w:t>
            </w:r>
          </w:p>
        </w:tc>
        <w:tc>
          <w:tcPr>
            <w:tcW w:w="0" w:type="auto"/>
            <w:hideMark/>
          </w:tcPr>
          <w:p w14:paraId="4FC8D4E4" w14:textId="77777777" w:rsidR="00E02713" w:rsidRPr="00E02713" w:rsidRDefault="00E02713" w:rsidP="00E02713">
            <w:pPr>
              <w:pStyle w:val="Tablecolhead"/>
              <w:rPr>
                <w:rFonts w:eastAsia="Times"/>
              </w:rPr>
            </w:pPr>
            <w:r w:rsidRPr="00E02713">
              <w:rPr>
                <w:rFonts w:eastAsia="Times"/>
              </w:rPr>
              <w:t>Benefit Category</w:t>
            </w:r>
          </w:p>
        </w:tc>
        <w:tc>
          <w:tcPr>
            <w:tcW w:w="0" w:type="auto"/>
            <w:hideMark/>
          </w:tcPr>
          <w:p w14:paraId="669C067E" w14:textId="77777777" w:rsidR="00E02713" w:rsidRPr="00E02713" w:rsidRDefault="00E02713" w:rsidP="00E02713">
            <w:pPr>
              <w:pStyle w:val="Tablecolhead"/>
              <w:rPr>
                <w:rFonts w:eastAsia="Times"/>
              </w:rPr>
            </w:pPr>
            <w:r w:rsidRPr="00E02713">
              <w:rPr>
                <w:rFonts w:eastAsia="Times"/>
              </w:rPr>
              <w:t>Description</w:t>
            </w:r>
          </w:p>
        </w:tc>
        <w:tc>
          <w:tcPr>
            <w:tcW w:w="0" w:type="auto"/>
            <w:hideMark/>
          </w:tcPr>
          <w:p w14:paraId="0AB1FD8C" w14:textId="77777777" w:rsidR="00E02713" w:rsidRPr="00E02713" w:rsidRDefault="00E02713" w:rsidP="00E02713">
            <w:pPr>
              <w:pStyle w:val="Tablecolhead"/>
              <w:rPr>
                <w:rFonts w:eastAsia="Times"/>
              </w:rPr>
            </w:pPr>
            <w:r w:rsidRPr="00E02713">
              <w:rPr>
                <w:rFonts w:eastAsia="Times"/>
              </w:rPr>
              <w:t>Example Measure</w:t>
            </w:r>
          </w:p>
        </w:tc>
      </w:tr>
      <w:tr w:rsidR="00E02713" w:rsidRPr="00E02713" w14:paraId="232311AA" w14:textId="77777777" w:rsidTr="003C2C78">
        <w:tc>
          <w:tcPr>
            <w:tcW w:w="0" w:type="auto"/>
            <w:hideMark/>
          </w:tcPr>
          <w:p w14:paraId="074AE910" w14:textId="77777777" w:rsidR="00E02713" w:rsidRPr="00E02713" w:rsidRDefault="00E02713" w:rsidP="00E02713">
            <w:pPr>
              <w:pStyle w:val="Tabletext"/>
              <w:rPr>
                <w:rFonts w:eastAsia="Times"/>
              </w:rPr>
            </w:pPr>
            <w:r w:rsidRPr="00E02713">
              <w:rPr>
                <w:rFonts w:eastAsia="Times"/>
              </w:rPr>
              <w:t>Healthy Victorians</w:t>
            </w:r>
          </w:p>
        </w:tc>
        <w:tc>
          <w:tcPr>
            <w:tcW w:w="0" w:type="auto"/>
            <w:hideMark/>
          </w:tcPr>
          <w:p w14:paraId="5FDBC99A" w14:textId="77777777" w:rsidR="00E02713" w:rsidRPr="00E02713" w:rsidRDefault="00E02713" w:rsidP="00E02713">
            <w:pPr>
              <w:pStyle w:val="Tabletext"/>
              <w:rPr>
                <w:rFonts w:eastAsia="Times"/>
              </w:rPr>
            </w:pPr>
            <w:r w:rsidRPr="00E02713">
              <w:rPr>
                <w:rFonts w:eastAsia="Times"/>
              </w:rPr>
              <w:t>Health outcomes</w:t>
            </w:r>
          </w:p>
        </w:tc>
        <w:tc>
          <w:tcPr>
            <w:tcW w:w="0" w:type="auto"/>
            <w:hideMark/>
          </w:tcPr>
          <w:p w14:paraId="0DD1FB08" w14:textId="77777777" w:rsidR="00E02713" w:rsidRPr="00E02713" w:rsidRDefault="00E02713" w:rsidP="00E02713">
            <w:pPr>
              <w:pStyle w:val="Tabletext"/>
              <w:rPr>
                <w:rFonts w:eastAsia="Times"/>
              </w:rPr>
            </w:pPr>
            <w:r w:rsidRPr="00E02713">
              <w:rPr>
                <w:rFonts w:eastAsia="Times"/>
              </w:rPr>
              <w:t>Improved health outcomes through safer, higher quality and more effective care</w:t>
            </w:r>
          </w:p>
        </w:tc>
        <w:tc>
          <w:tcPr>
            <w:tcW w:w="0" w:type="auto"/>
            <w:hideMark/>
          </w:tcPr>
          <w:p w14:paraId="4B980C77" w14:textId="77777777" w:rsidR="00E02713" w:rsidRPr="00E02713" w:rsidRDefault="00E02713" w:rsidP="00E02713">
            <w:pPr>
              <w:pStyle w:val="Tabletext"/>
              <w:rPr>
                <w:rFonts w:eastAsia="Times"/>
              </w:rPr>
            </w:pPr>
            <w:r w:rsidRPr="00E02713">
              <w:rPr>
                <w:rFonts w:eastAsia="Times"/>
              </w:rPr>
              <w:t>Morbidity and mortality rate</w:t>
            </w:r>
          </w:p>
        </w:tc>
      </w:tr>
      <w:tr w:rsidR="00E02713" w:rsidRPr="00E02713" w14:paraId="1C516C70" w14:textId="77777777" w:rsidTr="003C2C78">
        <w:tc>
          <w:tcPr>
            <w:tcW w:w="0" w:type="auto"/>
            <w:hideMark/>
          </w:tcPr>
          <w:p w14:paraId="136977D5" w14:textId="77777777" w:rsidR="00E02713" w:rsidRPr="00E02713" w:rsidRDefault="00E02713" w:rsidP="00E02713">
            <w:pPr>
              <w:pStyle w:val="Tabletext"/>
              <w:rPr>
                <w:rFonts w:eastAsia="Times"/>
              </w:rPr>
            </w:pPr>
            <w:r w:rsidRPr="00E02713">
              <w:rPr>
                <w:rFonts w:eastAsia="Times"/>
              </w:rPr>
              <w:t>Healthy Victorians</w:t>
            </w:r>
          </w:p>
        </w:tc>
        <w:tc>
          <w:tcPr>
            <w:tcW w:w="0" w:type="auto"/>
            <w:hideMark/>
          </w:tcPr>
          <w:p w14:paraId="5026EE62" w14:textId="77777777" w:rsidR="00E02713" w:rsidRPr="00E02713" w:rsidRDefault="00E02713" w:rsidP="00E02713">
            <w:pPr>
              <w:pStyle w:val="Tabletext"/>
              <w:rPr>
                <w:rFonts w:eastAsia="Times"/>
              </w:rPr>
            </w:pPr>
            <w:r w:rsidRPr="00E02713">
              <w:rPr>
                <w:rFonts w:eastAsia="Times"/>
              </w:rPr>
              <w:t>Prevention and early intervention</w:t>
            </w:r>
          </w:p>
        </w:tc>
        <w:tc>
          <w:tcPr>
            <w:tcW w:w="0" w:type="auto"/>
            <w:hideMark/>
          </w:tcPr>
          <w:p w14:paraId="009414CD" w14:textId="77777777" w:rsidR="00E02713" w:rsidRPr="00E02713" w:rsidRDefault="00E02713" w:rsidP="00E02713">
            <w:pPr>
              <w:pStyle w:val="Tabletext"/>
              <w:rPr>
                <w:rFonts w:eastAsia="Times"/>
              </w:rPr>
            </w:pPr>
            <w:r w:rsidRPr="00E02713">
              <w:rPr>
                <w:rFonts w:eastAsia="Times"/>
              </w:rPr>
              <w:t>Earlier identification of risk and intervention to prevent deterioration and improve outcomes</w:t>
            </w:r>
          </w:p>
        </w:tc>
        <w:tc>
          <w:tcPr>
            <w:tcW w:w="0" w:type="auto"/>
            <w:hideMark/>
          </w:tcPr>
          <w:p w14:paraId="4BEE9EDD" w14:textId="77777777" w:rsidR="00E02713" w:rsidRPr="00E02713" w:rsidRDefault="00E02713" w:rsidP="00E02713">
            <w:pPr>
              <w:pStyle w:val="Tabletext"/>
              <w:rPr>
                <w:rFonts w:eastAsia="Times"/>
              </w:rPr>
            </w:pPr>
            <w:r w:rsidRPr="00E02713">
              <w:rPr>
                <w:rFonts w:eastAsia="Times"/>
              </w:rPr>
              <w:t>Rate of preventable ED admissions</w:t>
            </w:r>
          </w:p>
        </w:tc>
      </w:tr>
      <w:tr w:rsidR="00E02713" w:rsidRPr="00E02713" w14:paraId="5842A51B" w14:textId="77777777" w:rsidTr="003C2C78">
        <w:tc>
          <w:tcPr>
            <w:tcW w:w="0" w:type="auto"/>
            <w:hideMark/>
          </w:tcPr>
          <w:p w14:paraId="7AB9D60E" w14:textId="77777777" w:rsidR="00E02713" w:rsidRPr="00E02713" w:rsidRDefault="00E02713" w:rsidP="00E02713">
            <w:pPr>
              <w:pStyle w:val="Tabletext"/>
              <w:rPr>
                <w:rFonts w:eastAsia="Times"/>
              </w:rPr>
            </w:pPr>
            <w:r w:rsidRPr="00E02713">
              <w:rPr>
                <w:rFonts w:eastAsia="Times"/>
              </w:rPr>
              <w:t>Healthy Victorians</w:t>
            </w:r>
          </w:p>
        </w:tc>
        <w:tc>
          <w:tcPr>
            <w:tcW w:w="0" w:type="auto"/>
            <w:hideMark/>
          </w:tcPr>
          <w:p w14:paraId="4655E154" w14:textId="77777777" w:rsidR="00E02713" w:rsidRPr="00E02713" w:rsidRDefault="00E02713" w:rsidP="00E02713">
            <w:pPr>
              <w:pStyle w:val="Tabletext"/>
              <w:rPr>
                <w:rFonts w:eastAsia="Times"/>
              </w:rPr>
            </w:pPr>
            <w:r w:rsidRPr="00E02713">
              <w:rPr>
                <w:rFonts w:eastAsia="Times"/>
              </w:rPr>
              <w:t>Consumer engagement and experience</w:t>
            </w:r>
          </w:p>
        </w:tc>
        <w:tc>
          <w:tcPr>
            <w:tcW w:w="0" w:type="auto"/>
            <w:hideMark/>
          </w:tcPr>
          <w:p w14:paraId="67B2324C" w14:textId="77777777" w:rsidR="00E02713" w:rsidRPr="00E02713" w:rsidRDefault="00E02713" w:rsidP="00E02713">
            <w:pPr>
              <w:pStyle w:val="Tabletext"/>
              <w:rPr>
                <w:rFonts w:eastAsia="Times"/>
              </w:rPr>
            </w:pPr>
            <w:r w:rsidRPr="00E02713">
              <w:rPr>
                <w:rFonts w:eastAsia="Times"/>
              </w:rPr>
              <w:t>Improved experience for consumers across all care settings</w:t>
            </w:r>
          </w:p>
        </w:tc>
        <w:tc>
          <w:tcPr>
            <w:tcW w:w="0" w:type="auto"/>
            <w:hideMark/>
          </w:tcPr>
          <w:p w14:paraId="3A408532" w14:textId="77777777" w:rsidR="00E02713" w:rsidRPr="00E02713" w:rsidRDefault="00E02713" w:rsidP="00E02713">
            <w:pPr>
              <w:pStyle w:val="Tabletext"/>
              <w:rPr>
                <w:rFonts w:eastAsia="Times"/>
              </w:rPr>
            </w:pPr>
            <w:r w:rsidRPr="00E02713">
              <w:rPr>
                <w:rFonts w:eastAsia="Times"/>
              </w:rPr>
              <w:t>Net promoter score</w:t>
            </w:r>
          </w:p>
        </w:tc>
      </w:tr>
      <w:tr w:rsidR="00E02713" w:rsidRPr="00E02713" w14:paraId="72178FCB" w14:textId="77777777" w:rsidTr="003C2C78">
        <w:tc>
          <w:tcPr>
            <w:tcW w:w="0" w:type="auto"/>
            <w:hideMark/>
          </w:tcPr>
          <w:p w14:paraId="0FC4E3C3" w14:textId="77777777" w:rsidR="00E02713" w:rsidRPr="00E02713" w:rsidRDefault="00E02713" w:rsidP="00E02713">
            <w:pPr>
              <w:pStyle w:val="Tabletext"/>
              <w:rPr>
                <w:rFonts w:eastAsia="Times"/>
              </w:rPr>
            </w:pPr>
            <w:r w:rsidRPr="00E02713">
              <w:rPr>
                <w:rFonts w:eastAsia="Times"/>
              </w:rPr>
              <w:t>Integrated Care Journeys</w:t>
            </w:r>
          </w:p>
        </w:tc>
        <w:tc>
          <w:tcPr>
            <w:tcW w:w="0" w:type="auto"/>
            <w:hideMark/>
          </w:tcPr>
          <w:p w14:paraId="0F627959" w14:textId="77777777" w:rsidR="00E02713" w:rsidRPr="00E02713" w:rsidRDefault="00E02713" w:rsidP="00E02713">
            <w:pPr>
              <w:pStyle w:val="Tabletext"/>
              <w:rPr>
                <w:rFonts w:eastAsia="Times"/>
              </w:rPr>
            </w:pPr>
            <w:r w:rsidRPr="00E02713">
              <w:rPr>
                <w:rFonts w:eastAsia="Times"/>
              </w:rPr>
              <w:t>Care access and navigation</w:t>
            </w:r>
          </w:p>
        </w:tc>
        <w:tc>
          <w:tcPr>
            <w:tcW w:w="0" w:type="auto"/>
            <w:hideMark/>
          </w:tcPr>
          <w:p w14:paraId="4FD60613" w14:textId="77777777" w:rsidR="00E02713" w:rsidRPr="00E02713" w:rsidRDefault="00E02713" w:rsidP="00E02713">
            <w:pPr>
              <w:pStyle w:val="Tabletext"/>
              <w:rPr>
                <w:rFonts w:eastAsia="Times"/>
              </w:rPr>
            </w:pPr>
            <w:r w:rsidRPr="00E02713">
              <w:rPr>
                <w:rFonts w:eastAsia="Times"/>
              </w:rPr>
              <w:t>Improved access to timely, appropriate and convenient healthcare</w:t>
            </w:r>
          </w:p>
        </w:tc>
        <w:tc>
          <w:tcPr>
            <w:tcW w:w="0" w:type="auto"/>
            <w:hideMark/>
          </w:tcPr>
          <w:p w14:paraId="60B3F053" w14:textId="77777777" w:rsidR="00E02713" w:rsidRPr="00E02713" w:rsidRDefault="00E02713" w:rsidP="00E02713">
            <w:pPr>
              <w:pStyle w:val="Tabletext"/>
              <w:rPr>
                <w:rFonts w:eastAsia="Times"/>
              </w:rPr>
            </w:pPr>
            <w:r w:rsidRPr="00E02713">
              <w:rPr>
                <w:rFonts w:eastAsia="Times"/>
              </w:rPr>
              <w:t>Time from referral to appointment</w:t>
            </w:r>
          </w:p>
        </w:tc>
      </w:tr>
      <w:tr w:rsidR="00E02713" w:rsidRPr="00E02713" w14:paraId="72DCCB21" w14:textId="77777777" w:rsidTr="003C2C78">
        <w:tc>
          <w:tcPr>
            <w:tcW w:w="0" w:type="auto"/>
            <w:hideMark/>
          </w:tcPr>
          <w:p w14:paraId="0CF45151" w14:textId="77777777" w:rsidR="00E02713" w:rsidRPr="00E02713" w:rsidRDefault="00E02713" w:rsidP="00E02713">
            <w:pPr>
              <w:pStyle w:val="Tabletext"/>
              <w:rPr>
                <w:rFonts w:eastAsia="Times"/>
              </w:rPr>
            </w:pPr>
            <w:r w:rsidRPr="00E02713">
              <w:rPr>
                <w:rFonts w:eastAsia="Times"/>
              </w:rPr>
              <w:t>Integrated Care Journeys</w:t>
            </w:r>
          </w:p>
        </w:tc>
        <w:tc>
          <w:tcPr>
            <w:tcW w:w="0" w:type="auto"/>
            <w:hideMark/>
          </w:tcPr>
          <w:p w14:paraId="13E03990" w14:textId="77777777" w:rsidR="00E02713" w:rsidRPr="00E02713" w:rsidRDefault="00E02713" w:rsidP="00E02713">
            <w:pPr>
              <w:pStyle w:val="Tabletext"/>
              <w:rPr>
                <w:rFonts w:eastAsia="Times"/>
              </w:rPr>
            </w:pPr>
            <w:r w:rsidRPr="00E02713">
              <w:rPr>
                <w:rFonts w:eastAsia="Times"/>
              </w:rPr>
              <w:t>Care coordination</w:t>
            </w:r>
          </w:p>
        </w:tc>
        <w:tc>
          <w:tcPr>
            <w:tcW w:w="0" w:type="auto"/>
            <w:hideMark/>
          </w:tcPr>
          <w:p w14:paraId="1C0D1870" w14:textId="77777777" w:rsidR="00E02713" w:rsidRPr="00E02713" w:rsidRDefault="00E02713" w:rsidP="00E02713">
            <w:pPr>
              <w:pStyle w:val="Tabletext"/>
              <w:rPr>
                <w:rFonts w:eastAsia="Times"/>
              </w:rPr>
            </w:pPr>
            <w:r w:rsidRPr="00E02713">
              <w:rPr>
                <w:rFonts w:eastAsia="Times"/>
              </w:rPr>
              <w:t>Improved coordination of care across all services and settings</w:t>
            </w:r>
          </w:p>
        </w:tc>
        <w:tc>
          <w:tcPr>
            <w:tcW w:w="0" w:type="auto"/>
            <w:hideMark/>
          </w:tcPr>
          <w:p w14:paraId="3D6F5355" w14:textId="77777777" w:rsidR="00E02713" w:rsidRPr="00E02713" w:rsidRDefault="00E02713" w:rsidP="00E02713">
            <w:pPr>
              <w:pStyle w:val="Tabletext"/>
              <w:rPr>
                <w:rFonts w:eastAsia="Times"/>
              </w:rPr>
            </w:pPr>
            <w:r w:rsidRPr="00E02713">
              <w:rPr>
                <w:rFonts w:eastAsia="Times"/>
              </w:rPr>
              <w:t>Rate of adverse events post care transfer</w:t>
            </w:r>
          </w:p>
        </w:tc>
      </w:tr>
      <w:tr w:rsidR="00E02713" w:rsidRPr="00E02713" w14:paraId="1CE7D0CE" w14:textId="77777777" w:rsidTr="003C2C78">
        <w:tc>
          <w:tcPr>
            <w:tcW w:w="0" w:type="auto"/>
            <w:hideMark/>
          </w:tcPr>
          <w:p w14:paraId="1B69965E" w14:textId="77777777" w:rsidR="00E02713" w:rsidRPr="00E02713" w:rsidRDefault="00E02713" w:rsidP="00E02713">
            <w:pPr>
              <w:pStyle w:val="Tabletext"/>
              <w:rPr>
                <w:rFonts w:eastAsia="Times"/>
              </w:rPr>
            </w:pPr>
            <w:r w:rsidRPr="00E02713">
              <w:rPr>
                <w:rFonts w:eastAsia="Times"/>
              </w:rPr>
              <w:t>Integrated Care Journeys</w:t>
            </w:r>
          </w:p>
        </w:tc>
        <w:tc>
          <w:tcPr>
            <w:tcW w:w="0" w:type="auto"/>
            <w:hideMark/>
          </w:tcPr>
          <w:p w14:paraId="3CBA64D9" w14:textId="77777777" w:rsidR="00E02713" w:rsidRPr="00E02713" w:rsidRDefault="00E02713" w:rsidP="00E02713">
            <w:pPr>
              <w:pStyle w:val="Tabletext"/>
              <w:rPr>
                <w:rFonts w:eastAsia="Times"/>
              </w:rPr>
            </w:pPr>
            <w:r w:rsidRPr="00E02713">
              <w:rPr>
                <w:rFonts w:eastAsia="Times"/>
              </w:rPr>
              <w:t>Connected information</w:t>
            </w:r>
          </w:p>
        </w:tc>
        <w:tc>
          <w:tcPr>
            <w:tcW w:w="0" w:type="auto"/>
            <w:hideMark/>
          </w:tcPr>
          <w:p w14:paraId="55BBA45C" w14:textId="77777777" w:rsidR="00E02713" w:rsidRPr="00E02713" w:rsidRDefault="00E02713" w:rsidP="00E02713">
            <w:pPr>
              <w:pStyle w:val="Tabletext"/>
              <w:rPr>
                <w:rFonts w:eastAsia="Times"/>
              </w:rPr>
            </w:pPr>
            <w:r w:rsidRPr="00E02713">
              <w:rPr>
                <w:rFonts w:eastAsia="Times"/>
              </w:rPr>
              <w:t>Improved availability and flow of health information across services and settings</w:t>
            </w:r>
          </w:p>
        </w:tc>
        <w:tc>
          <w:tcPr>
            <w:tcW w:w="0" w:type="auto"/>
            <w:hideMark/>
          </w:tcPr>
          <w:p w14:paraId="1A9D3ADC" w14:textId="77777777" w:rsidR="00E02713" w:rsidRPr="00E02713" w:rsidRDefault="00E02713" w:rsidP="00E02713">
            <w:pPr>
              <w:pStyle w:val="Tabletext"/>
              <w:rPr>
                <w:rFonts w:eastAsia="Times"/>
              </w:rPr>
            </w:pPr>
            <w:r w:rsidRPr="00E02713">
              <w:rPr>
                <w:rFonts w:eastAsia="Times"/>
              </w:rPr>
              <w:t>Electronic medical record coverage</w:t>
            </w:r>
          </w:p>
        </w:tc>
      </w:tr>
      <w:tr w:rsidR="00E02713" w:rsidRPr="00E02713" w14:paraId="2FC9C513" w14:textId="77777777" w:rsidTr="003C2C78">
        <w:tc>
          <w:tcPr>
            <w:tcW w:w="0" w:type="auto"/>
            <w:hideMark/>
          </w:tcPr>
          <w:p w14:paraId="0442423C" w14:textId="77777777" w:rsidR="00E02713" w:rsidRPr="00E02713" w:rsidRDefault="00E02713" w:rsidP="00E02713">
            <w:pPr>
              <w:pStyle w:val="Tabletext"/>
              <w:rPr>
                <w:rFonts w:eastAsia="Times"/>
              </w:rPr>
            </w:pPr>
            <w:r w:rsidRPr="00E02713">
              <w:rPr>
                <w:rFonts w:eastAsia="Times"/>
              </w:rPr>
              <w:t>Equitable Health Outcomes</w:t>
            </w:r>
          </w:p>
        </w:tc>
        <w:tc>
          <w:tcPr>
            <w:tcW w:w="0" w:type="auto"/>
            <w:hideMark/>
          </w:tcPr>
          <w:p w14:paraId="7CF3B1A3" w14:textId="77777777" w:rsidR="00E02713" w:rsidRPr="00E02713" w:rsidRDefault="00E02713" w:rsidP="00E02713">
            <w:pPr>
              <w:pStyle w:val="Tabletext"/>
              <w:rPr>
                <w:rFonts w:eastAsia="Times"/>
              </w:rPr>
            </w:pPr>
            <w:r w:rsidRPr="00E02713">
              <w:rPr>
                <w:rFonts w:eastAsia="Times"/>
              </w:rPr>
              <w:t>Equity in access and outcomes</w:t>
            </w:r>
          </w:p>
        </w:tc>
        <w:tc>
          <w:tcPr>
            <w:tcW w:w="0" w:type="auto"/>
            <w:hideMark/>
          </w:tcPr>
          <w:p w14:paraId="2BF2C31C" w14:textId="77777777" w:rsidR="00E02713" w:rsidRPr="00E02713" w:rsidRDefault="00E02713" w:rsidP="00E02713">
            <w:pPr>
              <w:pStyle w:val="Tabletext"/>
              <w:rPr>
                <w:rFonts w:eastAsia="Times"/>
              </w:rPr>
            </w:pPr>
            <w:r w:rsidRPr="00E02713">
              <w:rPr>
                <w:rFonts w:eastAsia="Times"/>
              </w:rPr>
              <w:t>Improved equity in access to care, services and health outcomes across population groups and geographic locations</w:t>
            </w:r>
          </w:p>
        </w:tc>
        <w:tc>
          <w:tcPr>
            <w:tcW w:w="0" w:type="auto"/>
            <w:hideMark/>
          </w:tcPr>
          <w:p w14:paraId="1B33DD9E" w14:textId="77777777" w:rsidR="00E02713" w:rsidRPr="00E02713" w:rsidRDefault="00E02713" w:rsidP="00E02713">
            <w:pPr>
              <w:pStyle w:val="Tabletext"/>
              <w:rPr>
                <w:rFonts w:eastAsia="Times"/>
              </w:rPr>
            </w:pPr>
            <w:r w:rsidRPr="00E02713">
              <w:rPr>
                <w:rFonts w:eastAsia="Times"/>
              </w:rPr>
              <w:t>Average distance travelled to receive care</w:t>
            </w:r>
          </w:p>
        </w:tc>
      </w:tr>
      <w:tr w:rsidR="00E02713" w:rsidRPr="00E02713" w14:paraId="330F986C" w14:textId="77777777" w:rsidTr="003C2C78">
        <w:tc>
          <w:tcPr>
            <w:tcW w:w="0" w:type="auto"/>
            <w:hideMark/>
          </w:tcPr>
          <w:p w14:paraId="6A9A3919" w14:textId="77777777" w:rsidR="00E02713" w:rsidRPr="00E02713" w:rsidRDefault="00E02713" w:rsidP="00E02713">
            <w:pPr>
              <w:pStyle w:val="Tabletext"/>
              <w:rPr>
                <w:rFonts w:eastAsia="Times"/>
              </w:rPr>
            </w:pPr>
            <w:r w:rsidRPr="00E02713">
              <w:rPr>
                <w:rFonts w:eastAsia="Times"/>
              </w:rPr>
              <w:t>Equitable Health Outcomes</w:t>
            </w:r>
          </w:p>
        </w:tc>
        <w:tc>
          <w:tcPr>
            <w:tcW w:w="0" w:type="auto"/>
            <w:hideMark/>
          </w:tcPr>
          <w:p w14:paraId="398D740F" w14:textId="77777777" w:rsidR="00E02713" w:rsidRPr="00E02713" w:rsidRDefault="00E02713" w:rsidP="00E02713">
            <w:pPr>
              <w:pStyle w:val="Tabletext"/>
              <w:rPr>
                <w:rFonts w:eastAsia="Times"/>
              </w:rPr>
            </w:pPr>
            <w:r w:rsidRPr="00E02713">
              <w:rPr>
                <w:rFonts w:eastAsia="Times"/>
              </w:rPr>
              <w:t>Variation in care</w:t>
            </w:r>
          </w:p>
        </w:tc>
        <w:tc>
          <w:tcPr>
            <w:tcW w:w="0" w:type="auto"/>
            <w:hideMark/>
          </w:tcPr>
          <w:p w14:paraId="02AA4695" w14:textId="77777777" w:rsidR="00E02713" w:rsidRPr="00E02713" w:rsidRDefault="00E02713" w:rsidP="00E02713">
            <w:pPr>
              <w:pStyle w:val="Tabletext"/>
              <w:rPr>
                <w:rFonts w:eastAsia="Times"/>
              </w:rPr>
            </w:pPr>
            <w:r w:rsidRPr="00E02713">
              <w:rPr>
                <w:rFonts w:eastAsia="Times"/>
              </w:rPr>
              <w:t>Reduced unwarranted variation in care delivery</w:t>
            </w:r>
          </w:p>
        </w:tc>
        <w:tc>
          <w:tcPr>
            <w:tcW w:w="0" w:type="auto"/>
            <w:hideMark/>
          </w:tcPr>
          <w:p w14:paraId="59628184" w14:textId="77777777" w:rsidR="00E02713" w:rsidRPr="00E02713" w:rsidRDefault="00E02713" w:rsidP="00E02713">
            <w:pPr>
              <w:pStyle w:val="Tabletext"/>
              <w:rPr>
                <w:rFonts w:eastAsia="Times"/>
              </w:rPr>
            </w:pPr>
            <w:r w:rsidRPr="00E02713">
              <w:rPr>
                <w:rFonts w:eastAsia="Times"/>
              </w:rPr>
              <w:t>Rate of low value care</w:t>
            </w:r>
          </w:p>
        </w:tc>
      </w:tr>
      <w:tr w:rsidR="00E02713" w:rsidRPr="00E02713" w14:paraId="44D7E701" w14:textId="77777777" w:rsidTr="003C2C78">
        <w:tc>
          <w:tcPr>
            <w:tcW w:w="0" w:type="auto"/>
            <w:hideMark/>
          </w:tcPr>
          <w:p w14:paraId="78572E30" w14:textId="77777777" w:rsidR="00E02713" w:rsidRPr="00E02713" w:rsidRDefault="00E02713" w:rsidP="00E02713">
            <w:pPr>
              <w:pStyle w:val="Tabletext"/>
              <w:rPr>
                <w:rFonts w:eastAsia="Times"/>
              </w:rPr>
            </w:pPr>
            <w:r w:rsidRPr="00E02713">
              <w:rPr>
                <w:rFonts w:eastAsia="Times"/>
              </w:rPr>
              <w:t>Equitable Health Outcomes</w:t>
            </w:r>
          </w:p>
        </w:tc>
        <w:tc>
          <w:tcPr>
            <w:tcW w:w="0" w:type="auto"/>
            <w:hideMark/>
          </w:tcPr>
          <w:p w14:paraId="4393E82A" w14:textId="77777777" w:rsidR="00E02713" w:rsidRPr="00E02713" w:rsidRDefault="00E02713" w:rsidP="00E02713">
            <w:pPr>
              <w:pStyle w:val="Tabletext"/>
              <w:rPr>
                <w:rFonts w:eastAsia="Times"/>
              </w:rPr>
            </w:pPr>
            <w:r w:rsidRPr="00E02713">
              <w:rPr>
                <w:rFonts w:eastAsia="Times"/>
              </w:rPr>
              <w:t>Trusted data and insight</w:t>
            </w:r>
          </w:p>
        </w:tc>
        <w:tc>
          <w:tcPr>
            <w:tcW w:w="0" w:type="auto"/>
            <w:hideMark/>
          </w:tcPr>
          <w:p w14:paraId="1C3E6F7F" w14:textId="77777777" w:rsidR="00E02713" w:rsidRPr="00E02713" w:rsidRDefault="00E02713" w:rsidP="00E02713">
            <w:pPr>
              <w:pStyle w:val="Tabletext"/>
              <w:rPr>
                <w:rFonts w:eastAsia="Times"/>
              </w:rPr>
            </w:pPr>
            <w:r w:rsidRPr="00E02713">
              <w:rPr>
                <w:rFonts w:eastAsia="Times"/>
              </w:rPr>
              <w:t>Improved availability of trusted data and insights to support equitable and evidence-based decision-making</w:t>
            </w:r>
          </w:p>
        </w:tc>
        <w:tc>
          <w:tcPr>
            <w:tcW w:w="0" w:type="auto"/>
            <w:hideMark/>
          </w:tcPr>
          <w:p w14:paraId="2248259E" w14:textId="77777777" w:rsidR="00E02713" w:rsidRPr="00E02713" w:rsidRDefault="00E02713" w:rsidP="00E02713">
            <w:pPr>
              <w:pStyle w:val="Tabletext"/>
              <w:rPr>
                <w:rFonts w:eastAsia="Times"/>
              </w:rPr>
            </w:pPr>
            <w:r w:rsidRPr="00E02713">
              <w:rPr>
                <w:rFonts w:eastAsia="Times"/>
              </w:rPr>
              <w:t>Data quality and completeness</w:t>
            </w:r>
          </w:p>
        </w:tc>
      </w:tr>
      <w:tr w:rsidR="00E02713" w:rsidRPr="00E02713" w14:paraId="5E2F74FF" w14:textId="77777777" w:rsidTr="003C2C78">
        <w:tc>
          <w:tcPr>
            <w:tcW w:w="0" w:type="auto"/>
            <w:hideMark/>
          </w:tcPr>
          <w:p w14:paraId="29C5EB94" w14:textId="77777777" w:rsidR="00E02713" w:rsidRPr="00E02713" w:rsidRDefault="00E02713" w:rsidP="00E02713">
            <w:pPr>
              <w:pStyle w:val="Tabletext"/>
              <w:rPr>
                <w:rFonts w:eastAsia="Times"/>
              </w:rPr>
            </w:pPr>
            <w:r w:rsidRPr="00E02713">
              <w:rPr>
                <w:rFonts w:eastAsia="Times"/>
              </w:rPr>
              <w:t>High Performing Health System</w:t>
            </w:r>
          </w:p>
        </w:tc>
        <w:tc>
          <w:tcPr>
            <w:tcW w:w="0" w:type="auto"/>
            <w:hideMark/>
          </w:tcPr>
          <w:p w14:paraId="28EB5AEB" w14:textId="77777777" w:rsidR="00E02713" w:rsidRPr="00E02713" w:rsidRDefault="00E02713" w:rsidP="00E02713">
            <w:pPr>
              <w:pStyle w:val="Tabletext"/>
              <w:rPr>
                <w:rFonts w:eastAsia="Times"/>
              </w:rPr>
            </w:pPr>
            <w:r w:rsidRPr="00E02713">
              <w:rPr>
                <w:rFonts w:eastAsia="Times"/>
              </w:rPr>
              <w:t>Service efficiency</w:t>
            </w:r>
          </w:p>
        </w:tc>
        <w:tc>
          <w:tcPr>
            <w:tcW w:w="0" w:type="auto"/>
            <w:hideMark/>
          </w:tcPr>
          <w:p w14:paraId="680BAE27" w14:textId="77777777" w:rsidR="00E02713" w:rsidRPr="00E02713" w:rsidRDefault="00E02713" w:rsidP="00E02713">
            <w:pPr>
              <w:pStyle w:val="Tabletext"/>
              <w:rPr>
                <w:rFonts w:eastAsia="Times"/>
              </w:rPr>
            </w:pPr>
            <w:r w:rsidRPr="00E02713">
              <w:rPr>
                <w:rFonts w:eastAsia="Times"/>
              </w:rPr>
              <w:t>Improved efficiency of care delivery across all care modalities (in-person/virtual)</w:t>
            </w:r>
          </w:p>
        </w:tc>
        <w:tc>
          <w:tcPr>
            <w:tcW w:w="0" w:type="auto"/>
            <w:hideMark/>
          </w:tcPr>
          <w:p w14:paraId="232504A2" w14:textId="77777777" w:rsidR="00E02713" w:rsidRPr="00E02713" w:rsidRDefault="00E02713" w:rsidP="00E02713">
            <w:pPr>
              <w:pStyle w:val="Tabletext"/>
              <w:rPr>
                <w:rFonts w:eastAsia="Times"/>
              </w:rPr>
            </w:pPr>
            <w:r w:rsidRPr="00E02713">
              <w:rPr>
                <w:rFonts w:eastAsia="Times"/>
              </w:rPr>
              <w:t>Average length of stay</w:t>
            </w:r>
          </w:p>
        </w:tc>
      </w:tr>
      <w:tr w:rsidR="00E02713" w:rsidRPr="00E02713" w14:paraId="60F00B71" w14:textId="77777777" w:rsidTr="003C2C78">
        <w:tc>
          <w:tcPr>
            <w:tcW w:w="0" w:type="auto"/>
            <w:hideMark/>
          </w:tcPr>
          <w:p w14:paraId="5DA832AD" w14:textId="77777777" w:rsidR="00E02713" w:rsidRPr="00E02713" w:rsidRDefault="00E02713" w:rsidP="00E02713">
            <w:pPr>
              <w:pStyle w:val="Tabletext"/>
              <w:rPr>
                <w:rFonts w:eastAsia="Times"/>
              </w:rPr>
            </w:pPr>
            <w:r w:rsidRPr="00E02713">
              <w:rPr>
                <w:rFonts w:eastAsia="Times"/>
              </w:rPr>
              <w:t>High Performing Health System</w:t>
            </w:r>
          </w:p>
        </w:tc>
        <w:tc>
          <w:tcPr>
            <w:tcW w:w="0" w:type="auto"/>
            <w:hideMark/>
          </w:tcPr>
          <w:p w14:paraId="18AD0119" w14:textId="77777777" w:rsidR="00E02713" w:rsidRPr="00E02713" w:rsidRDefault="00E02713" w:rsidP="00E02713">
            <w:pPr>
              <w:pStyle w:val="Tabletext"/>
              <w:rPr>
                <w:rFonts w:eastAsia="Times"/>
              </w:rPr>
            </w:pPr>
            <w:r w:rsidRPr="00E02713">
              <w:rPr>
                <w:rFonts w:eastAsia="Times"/>
              </w:rPr>
              <w:t>Resource utilisation</w:t>
            </w:r>
          </w:p>
        </w:tc>
        <w:tc>
          <w:tcPr>
            <w:tcW w:w="0" w:type="auto"/>
            <w:hideMark/>
          </w:tcPr>
          <w:p w14:paraId="400FE54A" w14:textId="77777777" w:rsidR="00E02713" w:rsidRPr="00E02713" w:rsidRDefault="00E02713" w:rsidP="00E02713">
            <w:pPr>
              <w:pStyle w:val="Tabletext"/>
              <w:rPr>
                <w:rFonts w:eastAsia="Times"/>
              </w:rPr>
            </w:pPr>
            <w:r w:rsidRPr="00E02713">
              <w:rPr>
                <w:rFonts w:eastAsia="Times"/>
              </w:rPr>
              <w:t>More effective use of available resources to improve capacity, efficiency and service delivery</w:t>
            </w:r>
          </w:p>
        </w:tc>
        <w:tc>
          <w:tcPr>
            <w:tcW w:w="0" w:type="auto"/>
            <w:hideMark/>
          </w:tcPr>
          <w:p w14:paraId="3CDC0D1E" w14:textId="77777777" w:rsidR="00E02713" w:rsidRPr="00E02713" w:rsidRDefault="00E02713" w:rsidP="00E02713">
            <w:pPr>
              <w:pStyle w:val="Tabletext"/>
              <w:rPr>
                <w:rFonts w:eastAsia="Times"/>
              </w:rPr>
            </w:pPr>
            <w:r w:rsidRPr="00E02713">
              <w:rPr>
                <w:rFonts w:eastAsia="Times"/>
              </w:rPr>
              <w:t>Same-day discharge rate</w:t>
            </w:r>
          </w:p>
        </w:tc>
      </w:tr>
      <w:tr w:rsidR="00E02713" w:rsidRPr="00E02713" w14:paraId="20D4829A" w14:textId="77777777" w:rsidTr="003C2C78">
        <w:tc>
          <w:tcPr>
            <w:tcW w:w="0" w:type="auto"/>
            <w:hideMark/>
          </w:tcPr>
          <w:p w14:paraId="73F3DC31" w14:textId="77777777" w:rsidR="00E02713" w:rsidRPr="00E02713" w:rsidRDefault="00E02713" w:rsidP="00E02713">
            <w:pPr>
              <w:pStyle w:val="Tabletext"/>
              <w:rPr>
                <w:rFonts w:eastAsia="Times"/>
              </w:rPr>
            </w:pPr>
            <w:r w:rsidRPr="00E02713">
              <w:rPr>
                <w:rFonts w:eastAsia="Times"/>
              </w:rPr>
              <w:t>High Performing Health System</w:t>
            </w:r>
          </w:p>
        </w:tc>
        <w:tc>
          <w:tcPr>
            <w:tcW w:w="0" w:type="auto"/>
            <w:hideMark/>
          </w:tcPr>
          <w:p w14:paraId="6D534473" w14:textId="77777777" w:rsidR="00E02713" w:rsidRPr="00E02713" w:rsidRDefault="00E02713" w:rsidP="00E02713">
            <w:pPr>
              <w:pStyle w:val="Tabletext"/>
              <w:rPr>
                <w:rFonts w:eastAsia="Times"/>
              </w:rPr>
            </w:pPr>
            <w:r w:rsidRPr="00E02713">
              <w:rPr>
                <w:rFonts w:eastAsia="Times"/>
              </w:rPr>
              <w:t>Financial sustainability</w:t>
            </w:r>
          </w:p>
        </w:tc>
        <w:tc>
          <w:tcPr>
            <w:tcW w:w="0" w:type="auto"/>
            <w:hideMark/>
          </w:tcPr>
          <w:p w14:paraId="2E75EB56" w14:textId="77777777" w:rsidR="00E02713" w:rsidRPr="00E02713" w:rsidRDefault="00E02713" w:rsidP="00E02713">
            <w:pPr>
              <w:pStyle w:val="Tabletext"/>
              <w:rPr>
                <w:rFonts w:eastAsia="Times"/>
              </w:rPr>
            </w:pPr>
            <w:r w:rsidRPr="00E02713">
              <w:rPr>
                <w:rFonts w:eastAsia="Times"/>
              </w:rPr>
              <w:t>Improved financial sustainability through reduced avoidable costs and better use of resources</w:t>
            </w:r>
          </w:p>
        </w:tc>
        <w:tc>
          <w:tcPr>
            <w:tcW w:w="0" w:type="auto"/>
            <w:hideMark/>
          </w:tcPr>
          <w:p w14:paraId="7CD209F2" w14:textId="7BE82832" w:rsidR="00E02713" w:rsidRPr="00E02713" w:rsidRDefault="00D94E7E" w:rsidP="00E02713">
            <w:pPr>
              <w:pStyle w:val="Tabletext"/>
              <w:rPr>
                <w:rFonts w:eastAsia="Times"/>
              </w:rPr>
            </w:pPr>
            <w:r>
              <w:rPr>
                <w:rFonts w:eastAsia="Times"/>
              </w:rPr>
              <w:t>Average c</w:t>
            </w:r>
            <w:r w:rsidR="00E02713" w:rsidRPr="00E02713">
              <w:rPr>
                <w:rFonts w:eastAsia="Times"/>
              </w:rPr>
              <w:t>ost per episode of care</w:t>
            </w:r>
          </w:p>
        </w:tc>
      </w:tr>
      <w:tr w:rsidR="00E02713" w:rsidRPr="00E02713" w14:paraId="0C7710CB" w14:textId="77777777" w:rsidTr="003C2C78">
        <w:tc>
          <w:tcPr>
            <w:tcW w:w="0" w:type="auto"/>
            <w:hideMark/>
          </w:tcPr>
          <w:p w14:paraId="13A300D3" w14:textId="77777777" w:rsidR="00E02713" w:rsidRPr="00E02713" w:rsidRDefault="00E02713" w:rsidP="00E02713">
            <w:pPr>
              <w:pStyle w:val="Tabletext"/>
              <w:rPr>
                <w:rFonts w:eastAsia="Times"/>
              </w:rPr>
            </w:pPr>
            <w:r w:rsidRPr="00E02713">
              <w:rPr>
                <w:rFonts w:eastAsia="Times"/>
              </w:rPr>
              <w:t>Supported Workforce</w:t>
            </w:r>
          </w:p>
        </w:tc>
        <w:tc>
          <w:tcPr>
            <w:tcW w:w="0" w:type="auto"/>
            <w:hideMark/>
          </w:tcPr>
          <w:p w14:paraId="6F635EF0" w14:textId="77777777" w:rsidR="00E02713" w:rsidRPr="00E02713" w:rsidRDefault="00E02713" w:rsidP="00E02713">
            <w:pPr>
              <w:pStyle w:val="Tabletext"/>
              <w:rPr>
                <w:rFonts w:eastAsia="Times"/>
              </w:rPr>
            </w:pPr>
            <w:r w:rsidRPr="00E02713">
              <w:rPr>
                <w:rFonts w:eastAsia="Times"/>
              </w:rPr>
              <w:t>Productivity</w:t>
            </w:r>
          </w:p>
        </w:tc>
        <w:tc>
          <w:tcPr>
            <w:tcW w:w="0" w:type="auto"/>
            <w:hideMark/>
          </w:tcPr>
          <w:p w14:paraId="523E178B" w14:textId="77777777" w:rsidR="00E02713" w:rsidRPr="00E02713" w:rsidRDefault="00E02713" w:rsidP="00E02713">
            <w:pPr>
              <w:pStyle w:val="Tabletext"/>
              <w:rPr>
                <w:rFonts w:eastAsia="Times"/>
              </w:rPr>
            </w:pPr>
            <w:r w:rsidRPr="00E02713">
              <w:rPr>
                <w:rFonts w:eastAsia="Times"/>
              </w:rPr>
              <w:t>Improved workforce productivity and capacity</w:t>
            </w:r>
          </w:p>
        </w:tc>
        <w:tc>
          <w:tcPr>
            <w:tcW w:w="0" w:type="auto"/>
            <w:hideMark/>
          </w:tcPr>
          <w:p w14:paraId="331A212A" w14:textId="77777777" w:rsidR="00E02713" w:rsidRPr="00E02713" w:rsidRDefault="00E02713" w:rsidP="00E02713">
            <w:pPr>
              <w:pStyle w:val="Tabletext"/>
              <w:rPr>
                <w:rFonts w:eastAsia="Times"/>
              </w:rPr>
            </w:pPr>
            <w:r w:rsidRPr="00E02713">
              <w:rPr>
                <w:rFonts w:eastAsia="Times"/>
              </w:rPr>
              <w:t>Time taken to complete administrative workflows</w:t>
            </w:r>
          </w:p>
        </w:tc>
      </w:tr>
      <w:tr w:rsidR="00E02713" w:rsidRPr="00E02713" w14:paraId="166B62B6" w14:textId="77777777" w:rsidTr="003C2C78">
        <w:tc>
          <w:tcPr>
            <w:tcW w:w="0" w:type="auto"/>
            <w:hideMark/>
          </w:tcPr>
          <w:p w14:paraId="4ECBE8A1" w14:textId="77777777" w:rsidR="00E02713" w:rsidRPr="00E02713" w:rsidRDefault="00E02713" w:rsidP="00E02713">
            <w:pPr>
              <w:pStyle w:val="Tabletext"/>
              <w:rPr>
                <w:rFonts w:eastAsia="Times"/>
              </w:rPr>
            </w:pPr>
            <w:r w:rsidRPr="00E02713">
              <w:rPr>
                <w:rFonts w:eastAsia="Times"/>
              </w:rPr>
              <w:t>Supported Workforce</w:t>
            </w:r>
          </w:p>
        </w:tc>
        <w:tc>
          <w:tcPr>
            <w:tcW w:w="0" w:type="auto"/>
            <w:hideMark/>
          </w:tcPr>
          <w:p w14:paraId="7FA83AC2" w14:textId="77777777" w:rsidR="00E02713" w:rsidRPr="00E02713" w:rsidRDefault="00E02713" w:rsidP="00E02713">
            <w:pPr>
              <w:pStyle w:val="Tabletext"/>
              <w:rPr>
                <w:rFonts w:eastAsia="Times"/>
              </w:rPr>
            </w:pPr>
            <w:r w:rsidRPr="00E02713">
              <w:rPr>
                <w:rFonts w:eastAsia="Times"/>
              </w:rPr>
              <w:t>Experience</w:t>
            </w:r>
          </w:p>
        </w:tc>
        <w:tc>
          <w:tcPr>
            <w:tcW w:w="0" w:type="auto"/>
            <w:hideMark/>
          </w:tcPr>
          <w:p w14:paraId="73E30F3F" w14:textId="77777777" w:rsidR="00E02713" w:rsidRPr="00E02713" w:rsidRDefault="00E02713" w:rsidP="00E02713">
            <w:pPr>
              <w:pStyle w:val="Tabletext"/>
              <w:rPr>
                <w:rFonts w:eastAsia="Times"/>
              </w:rPr>
            </w:pPr>
            <w:r w:rsidRPr="00E02713">
              <w:rPr>
                <w:rFonts w:eastAsia="Times"/>
              </w:rPr>
              <w:t>Improved workforce engagement and satisfaction</w:t>
            </w:r>
          </w:p>
        </w:tc>
        <w:tc>
          <w:tcPr>
            <w:tcW w:w="0" w:type="auto"/>
            <w:hideMark/>
          </w:tcPr>
          <w:p w14:paraId="68CCDDF1" w14:textId="77777777" w:rsidR="00E02713" w:rsidRPr="00E02713" w:rsidRDefault="00E02713" w:rsidP="00E02713">
            <w:pPr>
              <w:pStyle w:val="Tabletext"/>
              <w:rPr>
                <w:rFonts w:eastAsia="Times"/>
              </w:rPr>
            </w:pPr>
            <w:r w:rsidRPr="00E02713">
              <w:rPr>
                <w:rFonts w:eastAsia="Times"/>
              </w:rPr>
              <w:t>Staff satisfaction scores</w:t>
            </w:r>
          </w:p>
        </w:tc>
      </w:tr>
      <w:tr w:rsidR="00E02713" w:rsidRPr="00E02713" w14:paraId="10DBB4BC" w14:textId="77777777" w:rsidTr="003C2C78">
        <w:tc>
          <w:tcPr>
            <w:tcW w:w="0" w:type="auto"/>
            <w:hideMark/>
          </w:tcPr>
          <w:p w14:paraId="30B692C5" w14:textId="77777777" w:rsidR="00E02713" w:rsidRPr="00E02713" w:rsidRDefault="00E02713" w:rsidP="00E02713">
            <w:pPr>
              <w:pStyle w:val="Tabletext"/>
              <w:rPr>
                <w:rFonts w:eastAsia="Times"/>
              </w:rPr>
            </w:pPr>
            <w:r w:rsidRPr="00E02713">
              <w:rPr>
                <w:rFonts w:eastAsia="Times"/>
              </w:rPr>
              <w:lastRenderedPageBreak/>
              <w:t>Supported Workforce</w:t>
            </w:r>
          </w:p>
        </w:tc>
        <w:tc>
          <w:tcPr>
            <w:tcW w:w="0" w:type="auto"/>
            <w:hideMark/>
          </w:tcPr>
          <w:p w14:paraId="67296150" w14:textId="77777777" w:rsidR="00E02713" w:rsidRPr="00E02713" w:rsidRDefault="00E02713" w:rsidP="00E02713">
            <w:pPr>
              <w:pStyle w:val="Tabletext"/>
              <w:rPr>
                <w:rFonts w:eastAsia="Times"/>
              </w:rPr>
            </w:pPr>
            <w:r w:rsidRPr="00E02713">
              <w:rPr>
                <w:rFonts w:eastAsia="Times"/>
              </w:rPr>
              <w:t>Digital Capability</w:t>
            </w:r>
          </w:p>
        </w:tc>
        <w:tc>
          <w:tcPr>
            <w:tcW w:w="0" w:type="auto"/>
            <w:hideMark/>
          </w:tcPr>
          <w:p w14:paraId="39871A6C" w14:textId="77777777" w:rsidR="00E02713" w:rsidRPr="00E02713" w:rsidRDefault="00E02713" w:rsidP="00E02713">
            <w:pPr>
              <w:pStyle w:val="Tabletext"/>
              <w:rPr>
                <w:rFonts w:eastAsia="Times"/>
              </w:rPr>
            </w:pPr>
            <w:r w:rsidRPr="00E02713">
              <w:rPr>
                <w:rFonts w:eastAsia="Times"/>
              </w:rPr>
              <w:t>Improved workforce digital fluency and capability</w:t>
            </w:r>
          </w:p>
        </w:tc>
        <w:tc>
          <w:tcPr>
            <w:tcW w:w="0" w:type="auto"/>
            <w:hideMark/>
          </w:tcPr>
          <w:p w14:paraId="0F0D6B57" w14:textId="77777777" w:rsidR="00E02713" w:rsidRPr="00E02713" w:rsidRDefault="00E02713" w:rsidP="00E02713">
            <w:pPr>
              <w:pStyle w:val="Tabletext"/>
              <w:rPr>
                <w:rFonts w:eastAsia="Times"/>
              </w:rPr>
            </w:pPr>
            <w:r w:rsidRPr="00E02713">
              <w:rPr>
                <w:rFonts w:eastAsia="Times"/>
              </w:rPr>
              <w:t>Digital training completion rate and satisfaction</w:t>
            </w:r>
          </w:p>
        </w:tc>
      </w:tr>
    </w:tbl>
    <w:p w14:paraId="3861811D" w14:textId="37CDD048" w:rsidR="0090716F" w:rsidRPr="008D2D66" w:rsidRDefault="0023004B" w:rsidP="00DD5574">
      <w:pPr>
        <w:pStyle w:val="Bodyaftertablefigure"/>
      </w:pPr>
      <w:r w:rsidRPr="0023004B">
        <w:t xml:space="preserve">Together, the maturity model and outcomes framework provide a balanced view of capability uplift, benefits realisation and overall system transformation, informing investment decisions, roadmap refreshes and continuous improvement. </w:t>
      </w:r>
    </w:p>
    <w:p w14:paraId="53BCBCB6" w14:textId="77777777" w:rsidR="00FE29B0" w:rsidRDefault="00FE29B0">
      <w:pPr>
        <w:spacing w:after="0" w:line="240" w:lineRule="auto"/>
        <w:rPr>
          <w:rFonts w:eastAsia="MS Gothic" w:cs="Arial"/>
          <w:bCs/>
          <w:color w:val="201547"/>
          <w:kern w:val="32"/>
          <w:sz w:val="44"/>
          <w:szCs w:val="44"/>
        </w:rPr>
      </w:pPr>
      <w:r>
        <w:br w:type="page"/>
      </w:r>
    </w:p>
    <w:p w14:paraId="286346B1" w14:textId="3127936C" w:rsidR="002C5331" w:rsidRDefault="008C2D4B" w:rsidP="002C5331">
      <w:pPr>
        <w:pStyle w:val="Heading1"/>
      </w:pPr>
      <w:bookmarkStart w:id="78" w:name="_Toc235957344"/>
      <w:bookmarkStart w:id="79" w:name="_Toc244166846"/>
      <w:r>
        <w:lastRenderedPageBreak/>
        <w:t xml:space="preserve">Embedding the </w:t>
      </w:r>
      <w:bookmarkEnd w:id="78"/>
      <w:r w:rsidR="00035791">
        <w:t>r</w:t>
      </w:r>
      <w:r w:rsidR="00646756">
        <w:t>oadmap</w:t>
      </w:r>
      <w:bookmarkEnd w:id="79"/>
    </w:p>
    <w:p w14:paraId="399592F3" w14:textId="2384C765" w:rsidR="006D7950" w:rsidRDefault="001F5FDD" w:rsidP="001F5FDD">
      <w:pPr>
        <w:pStyle w:val="Body"/>
      </w:pPr>
      <w:r w:rsidRPr="001F5FDD">
        <w:t xml:space="preserve">Delivering the </w:t>
      </w:r>
      <w:r w:rsidR="00035791">
        <w:t>r</w:t>
      </w:r>
      <w:r w:rsidRPr="001F5FDD">
        <w:t>oadmap will require sustained collaboration across government, health</w:t>
      </w:r>
      <w:r>
        <w:t>care providers</w:t>
      </w:r>
      <w:r w:rsidRPr="001F5FDD">
        <w:t>, clinicians, consumers and delivery partners. While the roadmap provides direction for digital transformation, successful implementation depends on aligned governance, shared accountability, ongoing investment and a commitment to continuous improvement.</w:t>
      </w:r>
    </w:p>
    <w:p w14:paraId="28F67CB9" w14:textId="1328D214" w:rsidR="00035791" w:rsidRDefault="0009128D" w:rsidP="00F72E08">
      <w:pPr>
        <w:pStyle w:val="Body"/>
        <w:spacing w:after="240"/>
      </w:pPr>
      <w:r w:rsidRPr="0009128D">
        <w:t>Digital health i</w:t>
      </w:r>
      <w:r>
        <w:t>n Victoria</w:t>
      </w:r>
      <w:r w:rsidRPr="0009128D">
        <w:t xml:space="preserve"> </w:t>
      </w:r>
      <w:r w:rsidR="00655FE8">
        <w:t xml:space="preserve">is </w:t>
      </w:r>
      <w:r w:rsidRPr="0009128D">
        <w:t>delivered within a complex ecosystem where responsibility is shared across national, state and local levels.</w:t>
      </w:r>
    </w:p>
    <w:p w14:paraId="25626A17" w14:textId="12EA5AEF" w:rsidR="00035791" w:rsidRDefault="0009128D" w:rsidP="00F72E08">
      <w:pPr>
        <w:pStyle w:val="Body"/>
        <w:spacing w:after="240"/>
      </w:pPr>
      <w:r w:rsidRPr="0009128D">
        <w:t xml:space="preserve">National bodies establish policy, standards, interoperability frameworks and shared platforms. The </w:t>
      </w:r>
      <w:r w:rsidR="00CD0888">
        <w:t>State (through the</w:t>
      </w:r>
      <w:r w:rsidRPr="0009128D">
        <w:t xml:space="preserve"> </w:t>
      </w:r>
      <w:r w:rsidR="008E4916">
        <w:t>d</w:t>
      </w:r>
      <w:r w:rsidRPr="0009128D">
        <w:t>epartment</w:t>
      </w:r>
      <w:r w:rsidR="00CD0888">
        <w:t>)</w:t>
      </w:r>
      <w:r w:rsidRPr="0009128D">
        <w:t xml:space="preserve"> provides system stewardship, statewide strategy, investment, governance and shared digital capabilities. </w:t>
      </w:r>
      <w:r w:rsidR="00291D6B" w:rsidRPr="00291D6B">
        <w:t>Healthcare services are responsible for the implementation, adoption and integration of digital capability into service delivery.</w:t>
      </w:r>
    </w:p>
    <w:p w14:paraId="3AC23387" w14:textId="00A42E3B" w:rsidR="001F5FDD" w:rsidRDefault="0009128D" w:rsidP="00F72E08">
      <w:pPr>
        <w:pStyle w:val="Body"/>
        <w:spacing w:after="240"/>
      </w:pPr>
      <w:r w:rsidRPr="0009128D">
        <w:t>Together, these layers create a coordinated model for delivery that balances statewide consistency with local flexibility and innovation.</w:t>
      </w:r>
    </w:p>
    <w:p w14:paraId="45ECC5E6" w14:textId="5E828EEA" w:rsidR="00035791" w:rsidRDefault="00035791" w:rsidP="000B701C">
      <w:pPr>
        <w:pStyle w:val="Figurecaption"/>
      </w:pPr>
      <w:r>
        <w:t>Figure 1</w:t>
      </w:r>
      <w:r w:rsidR="000F371A">
        <w:t>6</w:t>
      </w:r>
      <w:r>
        <w:t>. Delineation of roles across national, state and the sector</w:t>
      </w:r>
    </w:p>
    <w:p w14:paraId="27FF5FFD" w14:textId="280CD6BE" w:rsidR="00817904" w:rsidRPr="005020E9" w:rsidRDefault="00D80C72" w:rsidP="00DD5574">
      <w:pPr>
        <w:pStyle w:val="Body"/>
      </w:pPr>
      <w:r>
        <w:rPr>
          <w:noProof/>
        </w:rPr>
        <w:drawing>
          <wp:inline distT="0" distB="0" distL="0" distR="0" wp14:anchorId="3B28C0F3" wp14:editId="4DC0CB09">
            <wp:extent cx="5827395" cy="3371215"/>
            <wp:effectExtent l="0" t="0" r="1905" b="0"/>
            <wp:docPr id="1329117172" name="Picture 83"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7172" name="Picture 83" descr="Accessible text equivalent provided in Appendix A."/>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5827395" cy="3371215"/>
                    </a:xfrm>
                    <a:prstGeom prst="rect">
                      <a:avLst/>
                    </a:prstGeom>
                    <a:noFill/>
                    <a:ln>
                      <a:noFill/>
                    </a:ln>
                  </pic:spPr>
                </pic:pic>
              </a:graphicData>
            </a:graphic>
          </wp:inline>
        </w:drawing>
      </w:r>
    </w:p>
    <w:p w14:paraId="15C6C3AE" w14:textId="6BAF27C5" w:rsidR="00A428C4" w:rsidRDefault="00A428C4" w:rsidP="00A428C4">
      <w:pPr>
        <w:pStyle w:val="Heading2"/>
      </w:pPr>
      <w:bookmarkStart w:id="80" w:name="_Toc235957345"/>
      <w:bookmarkStart w:id="81" w:name="_Toc244166847"/>
      <w:r>
        <w:t>Governance</w:t>
      </w:r>
      <w:bookmarkEnd w:id="80"/>
      <w:bookmarkEnd w:id="81"/>
    </w:p>
    <w:p w14:paraId="1A3F8AF5" w14:textId="5BC716C6" w:rsidR="0030584A" w:rsidRDefault="008811D6" w:rsidP="008811D6">
      <w:pPr>
        <w:pStyle w:val="Body"/>
      </w:pPr>
      <w:r>
        <w:t xml:space="preserve">A structured governance framework will support delivery of the roadmap and ensure investment remains aligned to </w:t>
      </w:r>
      <w:r w:rsidR="0008108A">
        <w:t xml:space="preserve">health system </w:t>
      </w:r>
      <w:r w:rsidR="004E0828">
        <w:t>priorities</w:t>
      </w:r>
      <w:r>
        <w:t xml:space="preserve">. </w:t>
      </w:r>
      <w:r w:rsidR="0030584A">
        <w:t xml:space="preserve">The framework establishes clear lines of accountability from strategic pillars through to programs of work and individual initiatives. </w:t>
      </w:r>
    </w:p>
    <w:p w14:paraId="4DB58D3A" w14:textId="1E41EAC5" w:rsidR="008811D6" w:rsidRDefault="008811D6" w:rsidP="008811D6">
      <w:pPr>
        <w:pStyle w:val="Body"/>
      </w:pPr>
      <w:r>
        <w:t xml:space="preserve">Governance </w:t>
      </w:r>
      <w:r w:rsidR="0030584A">
        <w:t>forums</w:t>
      </w:r>
      <w:r>
        <w:t xml:space="preserve"> will provide oversight of delivery, investment, risks, dependencies and performance across the roadmap, while supporting coordination between national, state and local stakeholders.</w:t>
      </w:r>
      <w:r w:rsidR="00B613EC">
        <w:t xml:space="preserve"> They</w:t>
      </w:r>
      <w:r>
        <w:t xml:space="preserve"> will monitor progress against the roadmap's priority outcomes, digital maturity and benefits </w:t>
      </w:r>
      <w:r w:rsidR="002A7A95">
        <w:t>realisation</w:t>
      </w:r>
      <w:r>
        <w:t xml:space="preserve">, </w:t>
      </w:r>
      <w:r w:rsidR="002A7A95" w:rsidRPr="002A7A95">
        <w:t>providing a consistent basis for decision-making and portfolio management.</w:t>
      </w:r>
    </w:p>
    <w:p w14:paraId="12678732" w14:textId="77777777" w:rsidR="00384CC9" w:rsidRDefault="004C1490" w:rsidP="00CA306B">
      <w:pPr>
        <w:pStyle w:val="Body"/>
        <w:spacing w:after="240"/>
      </w:pPr>
      <w:r w:rsidRPr="004C1490">
        <w:lastRenderedPageBreak/>
        <w:t>Governance arrangements will provide a framework for First Peoples participation, with clear principles to guide when consultation, partnership or governance involvement is appropriate, including for matters relating to Indigenous data governance and data sharing.</w:t>
      </w:r>
    </w:p>
    <w:p w14:paraId="6A884E41" w14:textId="13E8EF55" w:rsidR="00725768" w:rsidRDefault="008811D6" w:rsidP="00CA306B">
      <w:pPr>
        <w:pStyle w:val="Body"/>
        <w:spacing w:after="240"/>
      </w:pPr>
      <w:r>
        <w:t xml:space="preserve">Recognising that technology, </w:t>
      </w:r>
      <w:r w:rsidR="008A588E">
        <w:t xml:space="preserve">service </w:t>
      </w:r>
      <w:r w:rsidR="0002274E">
        <w:t>models</w:t>
      </w:r>
      <w:r>
        <w:t xml:space="preserve"> and system priorities will continue to evolve, governance arrangements will also support an annual roadmap review cycle. This process will assess progress, outcomes and realised benefits, identify emerging opportunities and risks, and inform adjustments to priorities, sequencing and investment pathways. This ensures the roadmap remains responsive to changing circumstances</w:t>
      </w:r>
      <w:r w:rsidR="00035791">
        <w:t>,</w:t>
      </w:r>
      <w:r>
        <w:t xml:space="preserve"> while maintaining a clear </w:t>
      </w:r>
      <w:r w:rsidR="00A9050D">
        <w:t>long-term direction</w:t>
      </w:r>
      <w:r w:rsidR="00CA306B">
        <w:t>.</w:t>
      </w:r>
    </w:p>
    <w:p w14:paraId="00780A18" w14:textId="3445B7BB" w:rsidR="00742C83" w:rsidRPr="005020E9" w:rsidRDefault="00742C83" w:rsidP="00DD5574">
      <w:pPr>
        <w:pStyle w:val="Figurecaption"/>
      </w:pPr>
      <w:r>
        <w:t>Figure 1</w:t>
      </w:r>
      <w:r w:rsidR="000F371A">
        <w:t>7</w:t>
      </w:r>
      <w:r>
        <w:t>. Governance framework supporting delivery of the roadmap</w:t>
      </w:r>
    </w:p>
    <w:p w14:paraId="4680DE5D" w14:textId="215E006E" w:rsidR="004A425F" w:rsidRDefault="00D80C72">
      <w:pPr>
        <w:spacing w:after="0" w:line="240" w:lineRule="auto"/>
        <w:rPr>
          <w:rFonts w:eastAsia="Times"/>
        </w:rPr>
      </w:pPr>
      <w:r>
        <w:rPr>
          <w:noProof/>
        </w:rPr>
        <w:drawing>
          <wp:inline distT="0" distB="0" distL="0" distR="0" wp14:anchorId="095CEE35" wp14:editId="5AC4DF8B">
            <wp:extent cx="5827395" cy="4872355"/>
            <wp:effectExtent l="0" t="0" r="1905" b="4445"/>
            <wp:docPr id="102828252" name="Picture 84" descr="Accessible text equivalent provided in Appendix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28252" name="Picture 84" descr="Accessible text equivalent provided in Appendix A."/>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5827395" cy="4872355"/>
                    </a:xfrm>
                    <a:prstGeom prst="rect">
                      <a:avLst/>
                    </a:prstGeom>
                    <a:noFill/>
                    <a:ln>
                      <a:noFill/>
                    </a:ln>
                  </pic:spPr>
                </pic:pic>
              </a:graphicData>
            </a:graphic>
          </wp:inline>
        </w:drawing>
      </w:r>
      <w:r w:rsidR="004A425F">
        <w:rPr>
          <w:rFonts w:eastAsia="Times"/>
          <w:bCs/>
        </w:rPr>
        <w:br w:type="page"/>
      </w:r>
    </w:p>
    <w:p w14:paraId="02B80922" w14:textId="0C991F7F" w:rsidR="00BC5C36" w:rsidRDefault="00BC5C36" w:rsidP="00BC5C36">
      <w:pPr>
        <w:pStyle w:val="Heading1"/>
      </w:pPr>
      <w:bookmarkStart w:id="82" w:name="_Toc235957346"/>
      <w:bookmarkStart w:id="83" w:name="_Toc244166848"/>
      <w:r>
        <w:lastRenderedPageBreak/>
        <w:t>Glossary</w:t>
      </w:r>
      <w:bookmarkEnd w:id="42"/>
      <w:bookmarkEnd w:id="43"/>
      <w:bookmarkEnd w:id="82"/>
      <w:bookmarkEnd w:id="83"/>
    </w:p>
    <w:tbl>
      <w:tblPr>
        <w:tblStyle w:val="TableGrid"/>
        <w:tblW w:w="0" w:type="auto"/>
        <w:tblLook w:val="04A0" w:firstRow="1" w:lastRow="0" w:firstColumn="1" w:lastColumn="0" w:noHBand="0" w:noVBand="1"/>
      </w:tblPr>
      <w:tblGrid>
        <w:gridCol w:w="1838"/>
        <w:gridCol w:w="7338"/>
      </w:tblGrid>
      <w:tr w:rsidR="00BC5C36" w14:paraId="5D904CEB" w14:textId="77777777" w:rsidTr="0066533A">
        <w:trPr>
          <w:tblHeader/>
        </w:trPr>
        <w:tc>
          <w:tcPr>
            <w:tcW w:w="1838" w:type="dxa"/>
            <w:shd w:val="clear" w:color="auto" w:fill="F2F2F2" w:themeFill="background1" w:themeFillShade="F2"/>
          </w:tcPr>
          <w:p w14:paraId="69431DA4" w14:textId="77777777" w:rsidR="00BC5C36" w:rsidRPr="00EC2EBD" w:rsidRDefault="00BC5C36">
            <w:pPr>
              <w:pStyle w:val="Tablecolhead"/>
            </w:pPr>
            <w:r w:rsidRPr="00EC2EBD">
              <w:t>Term</w:t>
            </w:r>
          </w:p>
        </w:tc>
        <w:tc>
          <w:tcPr>
            <w:tcW w:w="7338" w:type="dxa"/>
            <w:shd w:val="clear" w:color="auto" w:fill="F2F2F2" w:themeFill="background1" w:themeFillShade="F2"/>
          </w:tcPr>
          <w:p w14:paraId="4ED50792" w14:textId="77777777" w:rsidR="00BC5C36" w:rsidRPr="00EC2EBD" w:rsidRDefault="00BC5C36">
            <w:pPr>
              <w:pStyle w:val="Tablecolhead"/>
            </w:pPr>
            <w:r w:rsidRPr="00EC2EBD">
              <w:t xml:space="preserve">Meaning </w:t>
            </w:r>
          </w:p>
        </w:tc>
      </w:tr>
      <w:tr w:rsidR="00981943" w14:paraId="28098C46" w14:textId="77777777" w:rsidTr="0066533A">
        <w:tc>
          <w:tcPr>
            <w:tcW w:w="1838" w:type="dxa"/>
          </w:tcPr>
          <w:p w14:paraId="1CBDD857" w14:textId="748315AE" w:rsidR="00981943" w:rsidRDefault="00CA5E80">
            <w:pPr>
              <w:pStyle w:val="Body"/>
            </w:pPr>
            <w:r>
              <w:t>AI</w:t>
            </w:r>
          </w:p>
        </w:tc>
        <w:tc>
          <w:tcPr>
            <w:tcW w:w="7338" w:type="dxa"/>
          </w:tcPr>
          <w:p w14:paraId="3A213C0D" w14:textId="11ACCDED" w:rsidR="00981943" w:rsidRPr="00A845D8" w:rsidDel="00CA5441" w:rsidRDefault="00742C83">
            <w:pPr>
              <w:pStyle w:val="Body"/>
              <w:rPr>
                <w:rFonts w:cs="Arial"/>
                <w:color w:val="222222"/>
                <w:shd w:val="clear" w:color="auto" w:fill="FFFFFF"/>
              </w:rPr>
            </w:pPr>
            <w:r>
              <w:t xml:space="preserve">Artificial intelligence – </w:t>
            </w:r>
            <w:r>
              <w:rPr>
                <w:rFonts w:cs="Arial"/>
                <w:color w:val="222222"/>
                <w:shd w:val="clear" w:color="auto" w:fill="FFFFFF"/>
              </w:rPr>
              <w:t>c</w:t>
            </w:r>
            <w:r w:rsidR="001C7D04" w:rsidRPr="00A845D8">
              <w:rPr>
                <w:rFonts w:cs="Arial"/>
                <w:color w:val="222222"/>
                <w:shd w:val="clear" w:color="auto" w:fill="FFFFFF"/>
              </w:rPr>
              <w:t>omputer-based systems that use data to generate outputs such as predictions, recommendations, content or decisions. AI is increasingly used in healthcare to support improvements in quality of care, consumer and workforce experience</w:t>
            </w:r>
            <w:r w:rsidR="006D6024">
              <w:rPr>
                <w:rFonts w:cs="Arial"/>
                <w:color w:val="222222"/>
                <w:shd w:val="clear" w:color="auto" w:fill="FFFFFF"/>
              </w:rPr>
              <w:t>, and</w:t>
            </w:r>
            <w:r w:rsidR="001C7D04" w:rsidRPr="00A845D8">
              <w:rPr>
                <w:rFonts w:cs="Arial"/>
                <w:color w:val="222222"/>
                <w:shd w:val="clear" w:color="auto" w:fill="FFFFFF"/>
              </w:rPr>
              <w:t xml:space="preserve"> health system efficiency.</w:t>
            </w:r>
          </w:p>
        </w:tc>
      </w:tr>
      <w:tr w:rsidR="003F7314" w14:paraId="71086BA3" w14:textId="77777777" w:rsidTr="0066533A">
        <w:tc>
          <w:tcPr>
            <w:tcW w:w="1838" w:type="dxa"/>
          </w:tcPr>
          <w:p w14:paraId="2873C53E" w14:textId="0F51FCA3" w:rsidR="003F7314" w:rsidRDefault="003F7314">
            <w:pPr>
              <w:pStyle w:val="Body"/>
            </w:pPr>
            <w:r>
              <w:t>ACCOs</w:t>
            </w:r>
          </w:p>
        </w:tc>
        <w:tc>
          <w:tcPr>
            <w:tcW w:w="7338" w:type="dxa"/>
          </w:tcPr>
          <w:p w14:paraId="7C62B00A" w14:textId="02FF0DCD" w:rsidR="003F7314" w:rsidRPr="00A845D8" w:rsidRDefault="003F7314">
            <w:pPr>
              <w:pStyle w:val="Body"/>
              <w:rPr>
                <w:rFonts w:cs="Arial"/>
                <w:color w:val="222222"/>
                <w:shd w:val="clear" w:color="auto" w:fill="FFFFFF"/>
              </w:rPr>
            </w:pPr>
            <w:r>
              <w:t>Aboriginal Community Controlled Organisations</w:t>
            </w:r>
          </w:p>
        </w:tc>
      </w:tr>
      <w:tr w:rsidR="00D359CC" w14:paraId="7D53C282" w14:textId="77777777" w:rsidTr="0066533A">
        <w:tc>
          <w:tcPr>
            <w:tcW w:w="1838" w:type="dxa"/>
          </w:tcPr>
          <w:p w14:paraId="69835E34" w14:textId="1579A670" w:rsidR="00D359CC" w:rsidRDefault="00D359CC">
            <w:pPr>
              <w:pStyle w:val="Body"/>
            </w:pPr>
            <w:proofErr w:type="spellStart"/>
            <w:r>
              <w:t>CareSync</w:t>
            </w:r>
            <w:proofErr w:type="spellEnd"/>
            <w:r>
              <w:t xml:space="preserve"> Exchange</w:t>
            </w:r>
          </w:p>
        </w:tc>
        <w:tc>
          <w:tcPr>
            <w:tcW w:w="7338" w:type="dxa"/>
          </w:tcPr>
          <w:p w14:paraId="6FC1EAA6" w14:textId="6A3A6B19" w:rsidR="00D359CC" w:rsidRPr="00A845D8" w:rsidDel="00CA5441" w:rsidRDefault="00A93042">
            <w:pPr>
              <w:pStyle w:val="Body"/>
              <w:rPr>
                <w:rFonts w:cs="Arial"/>
                <w:color w:val="222222"/>
                <w:shd w:val="clear" w:color="auto" w:fill="FFFFFF"/>
              </w:rPr>
            </w:pPr>
            <w:r w:rsidRPr="00A845D8">
              <w:rPr>
                <w:rFonts w:cs="Arial"/>
                <w:color w:val="222222"/>
                <w:shd w:val="clear" w:color="auto" w:fill="FFFFFF"/>
              </w:rPr>
              <w:t>Victoria's statewide health information</w:t>
            </w:r>
            <w:r w:rsidR="00017823">
              <w:rPr>
                <w:rFonts w:cs="Arial"/>
                <w:color w:val="222222"/>
                <w:shd w:val="clear" w:color="auto" w:fill="FFFFFF"/>
              </w:rPr>
              <w:t xml:space="preserve"> </w:t>
            </w:r>
            <w:r w:rsidRPr="00A845D8">
              <w:rPr>
                <w:rFonts w:cs="Arial"/>
                <w:color w:val="222222"/>
                <w:shd w:val="clear" w:color="auto" w:fill="FFFFFF"/>
              </w:rPr>
              <w:t xml:space="preserve">sharing platform, enabling authorised </w:t>
            </w:r>
            <w:r>
              <w:rPr>
                <w:rFonts w:cs="Arial"/>
                <w:color w:val="222222"/>
                <w:shd w:val="clear" w:color="auto" w:fill="FFFFFF"/>
              </w:rPr>
              <w:t xml:space="preserve">public </w:t>
            </w:r>
            <w:r w:rsidRPr="00A845D8">
              <w:rPr>
                <w:rFonts w:cs="Arial"/>
                <w:color w:val="222222"/>
                <w:shd w:val="clear" w:color="auto" w:fill="FFFFFF"/>
              </w:rPr>
              <w:t>healthcare providers to securely access and exchange patient information across participating health services.</w:t>
            </w:r>
          </w:p>
        </w:tc>
      </w:tr>
      <w:tr w:rsidR="000D01A6" w14:paraId="784A1320" w14:textId="77777777" w:rsidTr="0066533A">
        <w:tc>
          <w:tcPr>
            <w:tcW w:w="1838" w:type="dxa"/>
          </w:tcPr>
          <w:p w14:paraId="386A7541" w14:textId="77777777" w:rsidR="000D01A6" w:rsidRDefault="000D01A6">
            <w:pPr>
              <w:pStyle w:val="Body"/>
            </w:pPr>
            <w:r>
              <w:t>Consumer-generated health data</w:t>
            </w:r>
          </w:p>
        </w:tc>
        <w:tc>
          <w:tcPr>
            <w:tcW w:w="7338" w:type="dxa"/>
          </w:tcPr>
          <w:p w14:paraId="672101AC" w14:textId="77777777" w:rsidR="000D01A6" w:rsidRPr="00A845D8" w:rsidDel="00234D92" w:rsidRDefault="000D01A6">
            <w:pPr>
              <w:pStyle w:val="Body"/>
              <w:rPr>
                <w:rStyle w:val="Emphasis"/>
                <w:i w:val="0"/>
                <w:iCs w:val="0"/>
              </w:rPr>
            </w:pPr>
            <w:r w:rsidRPr="00A845D8">
              <w:rPr>
                <w:rStyle w:val="Emphasis"/>
                <w:i w:val="0"/>
                <w:iCs w:val="0"/>
              </w:rPr>
              <w:t>Health-related information created, recorded or gathered by consumers outside traditional healthcare settings, including data from wearable devices, remote monitoring technologies and health applications.</w:t>
            </w:r>
          </w:p>
        </w:tc>
      </w:tr>
      <w:tr w:rsidR="000D01A6" w14:paraId="6E54F230" w14:textId="77777777" w:rsidTr="0066533A">
        <w:tc>
          <w:tcPr>
            <w:tcW w:w="1838" w:type="dxa"/>
          </w:tcPr>
          <w:p w14:paraId="4BB41CBF" w14:textId="3518AD8F" w:rsidR="000D01A6" w:rsidRDefault="000D01A6">
            <w:pPr>
              <w:pStyle w:val="Body"/>
            </w:pPr>
            <w:r>
              <w:t xml:space="preserve">Consumer </w:t>
            </w:r>
            <w:r w:rsidR="00742C83">
              <w:t>p</w:t>
            </w:r>
            <w:r>
              <w:t xml:space="preserve">ortal </w:t>
            </w:r>
          </w:p>
        </w:tc>
        <w:tc>
          <w:tcPr>
            <w:tcW w:w="7338" w:type="dxa"/>
          </w:tcPr>
          <w:p w14:paraId="57BFA620" w14:textId="77777777" w:rsidR="000D01A6" w:rsidRPr="00F50C52" w:rsidRDefault="000D01A6">
            <w:pPr>
              <w:pStyle w:val="Body"/>
            </w:pPr>
            <w:r w:rsidRPr="00D20AB0">
              <w:t>A secure digital platform that enables consumers to access health information and interact with healthcare providers and services. Patient portals can support access to records, appointments, test results, care plans, communications and other digital health services</w:t>
            </w:r>
            <w:r>
              <w:t>.</w:t>
            </w:r>
          </w:p>
        </w:tc>
      </w:tr>
      <w:tr w:rsidR="000D01A6" w14:paraId="58ECCCDD" w14:textId="77777777" w:rsidTr="0066533A">
        <w:tc>
          <w:tcPr>
            <w:tcW w:w="1838" w:type="dxa"/>
          </w:tcPr>
          <w:p w14:paraId="0432F7AA" w14:textId="77777777" w:rsidR="000D01A6" w:rsidRDefault="000D01A6">
            <w:pPr>
              <w:pStyle w:val="Body"/>
            </w:pPr>
            <w:r>
              <w:t>Digital health</w:t>
            </w:r>
          </w:p>
        </w:tc>
        <w:tc>
          <w:tcPr>
            <w:tcW w:w="7338" w:type="dxa"/>
          </w:tcPr>
          <w:p w14:paraId="3253EE61" w14:textId="77777777" w:rsidR="000D01A6" w:rsidRDefault="000D01A6">
            <w:pPr>
              <w:pStyle w:val="Body"/>
            </w:pPr>
            <w:r>
              <w:rPr>
                <w:rFonts w:cs="Arial"/>
                <w:color w:val="222222"/>
                <w:shd w:val="clear" w:color="auto" w:fill="FFFFFF"/>
              </w:rPr>
              <w:t>T</w:t>
            </w:r>
            <w:r>
              <w:t>he</w:t>
            </w:r>
            <w:r w:rsidRPr="00CB1106">
              <w:t xml:space="preserve"> use of digital technologies, data and information to improve health outcomes, healthcare delivery, consumer and workforce experience, and health system performance.</w:t>
            </w:r>
          </w:p>
        </w:tc>
      </w:tr>
      <w:tr w:rsidR="002B2F41" w14:paraId="78742589" w14:textId="77777777" w:rsidTr="0066533A">
        <w:tc>
          <w:tcPr>
            <w:tcW w:w="1838" w:type="dxa"/>
          </w:tcPr>
          <w:p w14:paraId="31B6F46F" w14:textId="0EC716AD" w:rsidR="002B2F41" w:rsidRDefault="002B2F41">
            <w:pPr>
              <w:pStyle w:val="Body"/>
            </w:pPr>
            <w:r>
              <w:t xml:space="preserve">Digital </w:t>
            </w:r>
            <w:r w:rsidR="000468AD">
              <w:t>t</w:t>
            </w:r>
            <w:r>
              <w:t>win</w:t>
            </w:r>
          </w:p>
        </w:tc>
        <w:tc>
          <w:tcPr>
            <w:tcW w:w="7338" w:type="dxa"/>
          </w:tcPr>
          <w:p w14:paraId="52CC08A3" w14:textId="26BD32EE" w:rsidR="002B2F41" w:rsidRPr="002B2F41" w:rsidRDefault="001E4CA5">
            <w:pPr>
              <w:pStyle w:val="Body"/>
              <w:rPr>
                <w:rFonts w:cs="Arial"/>
                <w:color w:val="222222"/>
                <w:shd w:val="clear" w:color="auto" w:fill="FFFFFF"/>
              </w:rPr>
            </w:pPr>
            <w:r w:rsidRPr="001E4CA5">
              <w:rPr>
                <w:rFonts w:cs="Arial"/>
                <w:color w:val="222222"/>
                <w:shd w:val="clear" w:color="auto" w:fill="FFFFFF"/>
              </w:rPr>
              <w:t>A digital representation of a service, system or process that can be used to monitor performance, model scenarios, forecast demand and test potential changes before they are implemented in the real world.</w:t>
            </w:r>
          </w:p>
        </w:tc>
      </w:tr>
      <w:tr w:rsidR="00BC5C36" w14:paraId="78E6173F" w14:textId="77777777" w:rsidTr="0066533A">
        <w:tc>
          <w:tcPr>
            <w:tcW w:w="1838" w:type="dxa"/>
          </w:tcPr>
          <w:p w14:paraId="2AFDEBF9" w14:textId="72EE642B" w:rsidR="00BC5C36" w:rsidRDefault="00BC5C36">
            <w:pPr>
              <w:pStyle w:val="Body"/>
            </w:pPr>
            <w:r>
              <w:t>EMR</w:t>
            </w:r>
          </w:p>
        </w:tc>
        <w:tc>
          <w:tcPr>
            <w:tcW w:w="7338" w:type="dxa"/>
          </w:tcPr>
          <w:p w14:paraId="6A527883" w14:textId="2D285FA5" w:rsidR="00BC5C36" w:rsidRDefault="00742C83">
            <w:pPr>
              <w:autoSpaceDE w:val="0"/>
              <w:autoSpaceDN w:val="0"/>
              <w:adjustRightInd w:val="0"/>
            </w:pPr>
            <w:r>
              <w:t xml:space="preserve">Electronic medical records – </w:t>
            </w:r>
            <w:r>
              <w:rPr>
                <w:rFonts w:cs="Arial"/>
                <w:lang w:eastAsia="en-GB"/>
              </w:rPr>
              <w:t>a</w:t>
            </w:r>
            <w:r w:rsidR="00FC4575">
              <w:rPr>
                <w:rFonts w:cs="Arial"/>
                <w:lang w:eastAsia="en-GB"/>
              </w:rPr>
              <w:t>n integrated clinical information system that contains patient-centric, electronically maintained information about an individual’s health status and care.</w:t>
            </w:r>
          </w:p>
        </w:tc>
      </w:tr>
      <w:tr w:rsidR="00BC5C36" w14:paraId="45BA66F6" w14:textId="77777777" w:rsidTr="0066533A">
        <w:tc>
          <w:tcPr>
            <w:tcW w:w="1838" w:type="dxa"/>
          </w:tcPr>
          <w:p w14:paraId="2E16CE0A" w14:textId="2D20035C" w:rsidR="00BC5C36" w:rsidRDefault="00BC5C36">
            <w:pPr>
              <w:pStyle w:val="Body"/>
            </w:pPr>
            <w:r>
              <w:t>eReferral</w:t>
            </w:r>
          </w:p>
        </w:tc>
        <w:tc>
          <w:tcPr>
            <w:tcW w:w="7338" w:type="dxa"/>
          </w:tcPr>
          <w:p w14:paraId="3BEB1CBE" w14:textId="32167EA2" w:rsidR="00BC5C36" w:rsidRDefault="00742C83">
            <w:pPr>
              <w:pStyle w:val="Body"/>
            </w:pPr>
            <w:r>
              <w:t xml:space="preserve">Electronic referral – </w:t>
            </w:r>
            <w:r>
              <w:rPr>
                <w:shd w:val="clear" w:color="auto" w:fill="FFFFFF"/>
              </w:rPr>
              <w:t>t</w:t>
            </w:r>
            <w:r w:rsidR="00813E42" w:rsidRPr="00813E42">
              <w:t>he secure electronic exchange of referral information between healthcare providers and services. eReferrals support more efficient referral management, improved visibility of referral status and better coordination of care.</w:t>
            </w:r>
          </w:p>
        </w:tc>
      </w:tr>
      <w:tr w:rsidR="000D01A6" w14:paraId="1E03088E" w14:textId="77777777" w:rsidTr="0066533A">
        <w:tc>
          <w:tcPr>
            <w:tcW w:w="1838" w:type="dxa"/>
          </w:tcPr>
          <w:p w14:paraId="7423B3E6" w14:textId="77777777" w:rsidR="000D01A6" w:rsidRDefault="000D01A6">
            <w:pPr>
              <w:pStyle w:val="Body"/>
            </w:pPr>
            <w:r>
              <w:t>Federated data</w:t>
            </w:r>
          </w:p>
        </w:tc>
        <w:tc>
          <w:tcPr>
            <w:tcW w:w="7338" w:type="dxa"/>
          </w:tcPr>
          <w:p w14:paraId="18B9767B" w14:textId="77777777" w:rsidR="000D01A6" w:rsidRPr="00D60AEB" w:rsidRDefault="000D01A6">
            <w:pPr>
              <w:pStyle w:val="Body"/>
              <w:rPr>
                <w:rStyle w:val="Emphasis"/>
                <w:i w:val="0"/>
                <w:iCs w:val="0"/>
              </w:rPr>
            </w:pPr>
            <w:r w:rsidRPr="00D60AEB">
              <w:rPr>
                <w:rStyle w:val="Emphasis"/>
                <w:i w:val="0"/>
                <w:iCs w:val="0"/>
              </w:rPr>
              <w:t>A data architecture that enables information to remain under local stewardship while supporting secure access, analysis and use across organisations. Federated approaches allow shared intelligence and system-wide coordination to be achieved without centralising all data into a single repository.</w:t>
            </w:r>
          </w:p>
        </w:tc>
      </w:tr>
      <w:tr w:rsidR="00BC5C36" w14:paraId="6A5A4E36" w14:textId="77777777" w:rsidTr="0066533A">
        <w:tc>
          <w:tcPr>
            <w:tcW w:w="1838" w:type="dxa"/>
          </w:tcPr>
          <w:p w14:paraId="7FF65472" w14:textId="2388ABB9" w:rsidR="00BC5C36" w:rsidRDefault="00BC5C36">
            <w:pPr>
              <w:pStyle w:val="Body"/>
            </w:pPr>
            <w:r>
              <w:t>Genomic</w:t>
            </w:r>
            <w:r w:rsidR="00383C29">
              <w:t>s</w:t>
            </w:r>
            <w:r>
              <w:t xml:space="preserve"> </w:t>
            </w:r>
          </w:p>
        </w:tc>
        <w:tc>
          <w:tcPr>
            <w:tcW w:w="7338" w:type="dxa"/>
          </w:tcPr>
          <w:p w14:paraId="28128A8F" w14:textId="205DFC65" w:rsidR="00BC5C36" w:rsidRDefault="00234D92">
            <w:pPr>
              <w:pStyle w:val="Body"/>
            </w:pPr>
            <w:r>
              <w:rPr>
                <w:shd w:val="clear" w:color="auto" w:fill="FFFFFF"/>
              </w:rPr>
              <w:t>T</w:t>
            </w:r>
            <w:r w:rsidR="00440A97" w:rsidRPr="00440A97">
              <w:t>he study of a person's genes (genome) and how genetic variation influences health, disease, treatment response and health outcomes. In healthcare, genomics supports more precise approaches to prevention, diagnosis, treatment and disease management by enabling care to be tailored to an individual's genetic characteristics.</w:t>
            </w:r>
          </w:p>
        </w:tc>
      </w:tr>
      <w:tr w:rsidR="00BC5C36" w14:paraId="7861D1ED" w14:textId="77777777" w:rsidTr="0066533A">
        <w:tc>
          <w:tcPr>
            <w:tcW w:w="1838" w:type="dxa"/>
          </w:tcPr>
          <w:p w14:paraId="25776BA6" w14:textId="77777777" w:rsidR="00BC5C36" w:rsidRDefault="00BC5C36">
            <w:pPr>
              <w:pStyle w:val="Body"/>
            </w:pPr>
            <w:r>
              <w:t>Health service</w:t>
            </w:r>
          </w:p>
        </w:tc>
        <w:tc>
          <w:tcPr>
            <w:tcW w:w="7338" w:type="dxa"/>
          </w:tcPr>
          <w:p w14:paraId="716986B5" w14:textId="0976E221" w:rsidR="00BC5C36" w:rsidRDefault="00B53767">
            <w:pPr>
              <w:pStyle w:val="Body"/>
            </w:pPr>
            <w:r w:rsidRPr="00B53767">
              <w:t xml:space="preserve">An organisation that delivers publicly funded health and wellbeing services to Victorians, including hospitals, </w:t>
            </w:r>
            <w:r w:rsidR="00873658">
              <w:t>L</w:t>
            </w:r>
            <w:r w:rsidR="00AA0AE6">
              <w:t xml:space="preserve">ocal </w:t>
            </w:r>
            <w:r w:rsidR="00873658">
              <w:t>H</w:t>
            </w:r>
            <w:r w:rsidRPr="00B53767">
              <w:t xml:space="preserve">ealth </w:t>
            </w:r>
            <w:r w:rsidR="00873658">
              <w:t>S</w:t>
            </w:r>
            <w:r w:rsidR="00AA0AE6">
              <w:t xml:space="preserve">ervice </w:t>
            </w:r>
            <w:r w:rsidR="00873658">
              <w:t>N</w:t>
            </w:r>
            <w:r w:rsidRPr="00B53767">
              <w:t xml:space="preserve">etworks, </w:t>
            </w:r>
            <w:r w:rsidR="00567393">
              <w:lastRenderedPageBreak/>
              <w:t xml:space="preserve">preventative health services, </w:t>
            </w:r>
            <w:r w:rsidRPr="00B53767">
              <w:t>community health services, specialist services, mental health services, residential aged care services and other publicly funded providers across Victoria.</w:t>
            </w:r>
            <w:r w:rsidDel="009E75FD">
              <w:t xml:space="preserve"> </w:t>
            </w:r>
          </w:p>
        </w:tc>
      </w:tr>
      <w:tr w:rsidR="003A1B41" w14:paraId="1DC9CAA9" w14:textId="77777777" w:rsidTr="0066533A">
        <w:tc>
          <w:tcPr>
            <w:tcW w:w="1838" w:type="dxa"/>
          </w:tcPr>
          <w:p w14:paraId="21ADB1B5" w14:textId="1D3875B9" w:rsidR="003A1B41" w:rsidRDefault="003A1B41">
            <w:pPr>
              <w:pStyle w:val="Body"/>
            </w:pPr>
            <w:r>
              <w:lastRenderedPageBreak/>
              <w:t>Health system</w:t>
            </w:r>
          </w:p>
        </w:tc>
        <w:tc>
          <w:tcPr>
            <w:tcW w:w="7338" w:type="dxa"/>
          </w:tcPr>
          <w:p w14:paraId="1F871F55" w14:textId="7B33B279" w:rsidR="003A1B41" w:rsidRPr="00B53767" w:rsidRDefault="004C7B4B">
            <w:pPr>
              <w:pStyle w:val="Body"/>
            </w:pPr>
            <w:r w:rsidRPr="004C7B4B">
              <w:t>The interconnected organisations, services, workforce, infrastructure and functions that work together to improve, maintain and protect the health and wellbeing of Victorians. This includes healthcare delivery, public health, prevention, health promotion, mental health, aged care, and the policy, planning and stewardship activities that support them.</w:t>
            </w:r>
          </w:p>
        </w:tc>
      </w:tr>
      <w:tr w:rsidR="00AB6EA9" w14:paraId="2FED35F1" w14:textId="77777777" w:rsidTr="0066533A">
        <w:tc>
          <w:tcPr>
            <w:tcW w:w="1838" w:type="dxa"/>
          </w:tcPr>
          <w:p w14:paraId="223D79AA" w14:textId="7BC548B4" w:rsidR="00AB6EA9" w:rsidRPr="00E865AC" w:rsidRDefault="00AB6EA9">
            <w:pPr>
              <w:pStyle w:val="Body"/>
              <w:rPr>
                <w:kern w:val="2"/>
                <w:sz w:val="24"/>
                <w:szCs w:val="24"/>
                <w14:ligatures w14:val="standardContextual"/>
              </w:rPr>
            </w:pPr>
            <w:r>
              <w:t>Indigenous Data Governance</w:t>
            </w:r>
            <w:bookmarkStart w:id="84" w:name="_Ref244170917"/>
            <w:r w:rsidR="005A05B2">
              <w:rPr>
                <w:rStyle w:val="FootnoteReference"/>
              </w:rPr>
              <w:footnoteReference w:id="25"/>
            </w:r>
            <w:bookmarkEnd w:id="84"/>
          </w:p>
        </w:tc>
        <w:tc>
          <w:tcPr>
            <w:tcW w:w="7338" w:type="dxa"/>
          </w:tcPr>
          <w:p w14:paraId="2B712D8D" w14:textId="4793E57C" w:rsidR="00AB6EA9" w:rsidRPr="00EE5B81" w:rsidRDefault="00EC4162">
            <w:pPr>
              <w:pStyle w:val="Body"/>
            </w:pPr>
            <w:r>
              <w:t>T</w:t>
            </w:r>
            <w:r w:rsidRPr="00EC4162">
              <w:t>he right of Indigenous peoples to autonomously decide what, how and why Indigenous Data are collected, accessed and used. It ensures that data on or about Indigenous peoples reflects our priorities, values, cultures, worldviews and diversity.</w:t>
            </w:r>
          </w:p>
        </w:tc>
      </w:tr>
      <w:tr w:rsidR="00615ADA" w14:paraId="3DC31EE1" w14:textId="77777777" w:rsidTr="0066533A">
        <w:tc>
          <w:tcPr>
            <w:tcW w:w="1838" w:type="dxa"/>
          </w:tcPr>
          <w:p w14:paraId="77769DC3" w14:textId="41A11DDA" w:rsidR="00615ADA" w:rsidRPr="00E865AC" w:rsidRDefault="00615ADA" w:rsidP="00615ADA">
            <w:pPr>
              <w:pStyle w:val="Body"/>
              <w:rPr>
                <w:kern w:val="2"/>
                <w:sz w:val="24"/>
                <w:szCs w:val="24"/>
                <w14:ligatures w14:val="standardContextual"/>
              </w:rPr>
            </w:pPr>
            <w:r>
              <w:t xml:space="preserve">Indigenous Data </w:t>
            </w:r>
            <w:r w:rsidR="00E865AC">
              <w:t>Sovereignty</w:t>
            </w:r>
            <w:r w:rsidR="009E559E" w:rsidRPr="009E559E">
              <w:rPr>
                <w:vertAlign w:val="superscript"/>
              </w:rPr>
              <w:fldChar w:fldCharType="begin"/>
            </w:r>
            <w:r w:rsidR="009E559E" w:rsidRPr="009E559E">
              <w:rPr>
                <w:vertAlign w:val="superscript"/>
              </w:rPr>
              <w:instrText xml:space="preserve"> NOTEREF _Ref244170917 \h </w:instrText>
            </w:r>
            <w:r w:rsidR="009E559E">
              <w:rPr>
                <w:vertAlign w:val="superscript"/>
              </w:rPr>
              <w:instrText xml:space="preserve"> \* MERGEFORMAT </w:instrText>
            </w:r>
            <w:r w:rsidR="009E559E" w:rsidRPr="009E559E">
              <w:rPr>
                <w:vertAlign w:val="superscript"/>
              </w:rPr>
            </w:r>
            <w:r w:rsidR="009E559E" w:rsidRPr="009E559E">
              <w:rPr>
                <w:vertAlign w:val="superscript"/>
              </w:rPr>
              <w:fldChar w:fldCharType="separate"/>
            </w:r>
            <w:r w:rsidR="009E559E" w:rsidRPr="009E559E">
              <w:rPr>
                <w:vertAlign w:val="superscript"/>
              </w:rPr>
              <w:t>25</w:t>
            </w:r>
            <w:r w:rsidR="009E559E" w:rsidRPr="009E559E">
              <w:rPr>
                <w:vertAlign w:val="superscript"/>
              </w:rPr>
              <w:fldChar w:fldCharType="end"/>
            </w:r>
          </w:p>
        </w:tc>
        <w:tc>
          <w:tcPr>
            <w:tcW w:w="7338" w:type="dxa"/>
          </w:tcPr>
          <w:p w14:paraId="1C8F3A7A" w14:textId="4943CE50" w:rsidR="00615ADA" w:rsidRDefault="00615ADA" w:rsidP="00615ADA">
            <w:pPr>
              <w:pStyle w:val="Body"/>
            </w:pPr>
            <w:r>
              <w:t>T</w:t>
            </w:r>
            <w:r w:rsidRPr="00B964B6">
              <w:t xml:space="preserve">he right of Indigenous peoples to exercise ownership over Indigenous Data. Ownership of data can be expressed through the creation, collection, access, analysis, interpretation, management, dissemination and reuse of Indigenous Data. </w:t>
            </w:r>
          </w:p>
        </w:tc>
      </w:tr>
      <w:tr w:rsidR="001E4CA5" w14:paraId="13E4D4EA" w14:textId="77777777" w:rsidTr="0066533A">
        <w:tc>
          <w:tcPr>
            <w:tcW w:w="1838" w:type="dxa"/>
          </w:tcPr>
          <w:p w14:paraId="3BAE7E9E" w14:textId="4A235FC4" w:rsidR="001E4CA5" w:rsidRDefault="001E4CA5">
            <w:pPr>
              <w:pStyle w:val="Body"/>
            </w:pPr>
            <w:r>
              <w:t>Interoperability</w:t>
            </w:r>
          </w:p>
        </w:tc>
        <w:tc>
          <w:tcPr>
            <w:tcW w:w="7338" w:type="dxa"/>
          </w:tcPr>
          <w:p w14:paraId="303C49B8" w14:textId="1715152B" w:rsidR="001E4CA5" w:rsidRPr="00B53767" w:rsidRDefault="006C5319">
            <w:pPr>
              <w:pStyle w:val="Body"/>
            </w:pPr>
            <w:r w:rsidRPr="006C5319">
              <w:t>The ability of different digital systems, applications and organisations to securely exchange, interpret and use information in a consistent and meaningful way.</w:t>
            </w:r>
          </w:p>
        </w:tc>
      </w:tr>
      <w:tr w:rsidR="00531B84" w14:paraId="09347702" w14:textId="77777777" w:rsidTr="0066533A">
        <w:tc>
          <w:tcPr>
            <w:tcW w:w="1838" w:type="dxa"/>
          </w:tcPr>
          <w:p w14:paraId="5EE9D9CE" w14:textId="613C9E22" w:rsidR="00531B84" w:rsidRDefault="00147EDA">
            <w:pPr>
              <w:pStyle w:val="Body"/>
            </w:pPr>
            <w:r>
              <w:t>Local Health Service Network</w:t>
            </w:r>
            <w:r w:rsidR="0049135C">
              <w:t xml:space="preserve"> </w:t>
            </w:r>
          </w:p>
        </w:tc>
        <w:tc>
          <w:tcPr>
            <w:tcW w:w="7338" w:type="dxa"/>
          </w:tcPr>
          <w:p w14:paraId="4C558DF9" w14:textId="628DC382" w:rsidR="00531B84" w:rsidRPr="00382BEE" w:rsidRDefault="00382BEE">
            <w:pPr>
              <w:pStyle w:val="Body"/>
            </w:pPr>
            <w:r w:rsidRPr="00A845D8">
              <w:t>A collaborative network of health services within a defined region</w:t>
            </w:r>
            <w:r w:rsidR="00CD1638">
              <w:t xml:space="preserve"> that </w:t>
            </w:r>
            <w:r w:rsidR="004215A4">
              <w:t xml:space="preserve">work together </w:t>
            </w:r>
            <w:r w:rsidR="00965459">
              <w:t xml:space="preserve">to </w:t>
            </w:r>
            <w:r w:rsidR="006E4C0E" w:rsidRPr="006E4C0E">
              <w:t xml:space="preserve">improve coordination, planning and delivery of healthcare services. </w:t>
            </w:r>
          </w:p>
        </w:tc>
      </w:tr>
      <w:tr w:rsidR="00BC5C36" w14:paraId="11F03C3A" w14:textId="77777777" w:rsidTr="0066533A">
        <w:tc>
          <w:tcPr>
            <w:tcW w:w="1838" w:type="dxa"/>
          </w:tcPr>
          <w:p w14:paraId="210BB8AC" w14:textId="6D8B605B" w:rsidR="00BC5C36" w:rsidRDefault="00BC5C36">
            <w:pPr>
              <w:pStyle w:val="Body"/>
            </w:pPr>
            <w:r>
              <w:t>M</w:t>
            </w:r>
            <w:r w:rsidR="00F56AD1">
              <w:t>y</w:t>
            </w:r>
            <w:r w:rsidR="008310C9">
              <w:t xml:space="preserve"> </w:t>
            </w:r>
            <w:r>
              <w:t>H</w:t>
            </w:r>
            <w:r w:rsidR="00115438">
              <w:t xml:space="preserve">ealth </w:t>
            </w:r>
            <w:r>
              <w:t>R</w:t>
            </w:r>
            <w:r w:rsidR="00115438">
              <w:t>ecord</w:t>
            </w:r>
            <w:r w:rsidR="008310C9">
              <w:t xml:space="preserve"> </w:t>
            </w:r>
          </w:p>
        </w:tc>
        <w:tc>
          <w:tcPr>
            <w:tcW w:w="7338" w:type="dxa"/>
          </w:tcPr>
          <w:p w14:paraId="59B86464" w14:textId="14635E55" w:rsidR="00BC5C36" w:rsidRPr="00061A00" w:rsidRDefault="00061A00">
            <w:pPr>
              <w:autoSpaceDE w:val="0"/>
              <w:autoSpaceDN w:val="0"/>
              <w:adjustRightInd w:val="0"/>
            </w:pPr>
            <w:r w:rsidRPr="00A845D8">
              <w:rPr>
                <w:rFonts w:cs="Arial"/>
              </w:rPr>
              <w:t>Australia’s national digital health record system, which enables individuals and their authorised healthcare providers to securely access and share key health information.</w:t>
            </w:r>
          </w:p>
        </w:tc>
      </w:tr>
      <w:tr w:rsidR="003F7314" w14:paraId="719224D4" w14:textId="77777777" w:rsidTr="0066533A">
        <w:tc>
          <w:tcPr>
            <w:tcW w:w="1838" w:type="dxa"/>
          </w:tcPr>
          <w:p w14:paraId="3594339F" w14:textId="16FC7361" w:rsidR="003F7314" w:rsidRDefault="003F7314">
            <w:pPr>
              <w:pStyle w:val="Body"/>
            </w:pPr>
            <w:r>
              <w:t>the department</w:t>
            </w:r>
          </w:p>
        </w:tc>
        <w:tc>
          <w:tcPr>
            <w:tcW w:w="7338" w:type="dxa"/>
          </w:tcPr>
          <w:p w14:paraId="118D3760" w14:textId="37E23ADE" w:rsidR="003F7314" w:rsidRPr="00A845D8" w:rsidRDefault="003F7314">
            <w:pPr>
              <w:autoSpaceDE w:val="0"/>
              <w:autoSpaceDN w:val="0"/>
              <w:adjustRightInd w:val="0"/>
              <w:rPr>
                <w:rFonts w:cs="Arial"/>
              </w:rPr>
            </w:pPr>
            <w:r>
              <w:rPr>
                <w:rFonts w:cs="Arial"/>
              </w:rPr>
              <w:t>Department of Health</w:t>
            </w:r>
            <w:r w:rsidR="00CD0888">
              <w:rPr>
                <w:rFonts w:cs="Arial"/>
              </w:rPr>
              <w:t xml:space="preserve"> (Victoria)</w:t>
            </w:r>
          </w:p>
        </w:tc>
      </w:tr>
      <w:tr w:rsidR="003F7314" w14:paraId="07748AD6" w14:textId="77777777" w:rsidTr="0066533A">
        <w:tc>
          <w:tcPr>
            <w:tcW w:w="1838" w:type="dxa"/>
          </w:tcPr>
          <w:p w14:paraId="6B73FD82" w14:textId="091B4A99" w:rsidR="003F7314" w:rsidRDefault="003F7314">
            <w:pPr>
              <w:pStyle w:val="Body"/>
            </w:pPr>
            <w:r>
              <w:t>the roadmap</w:t>
            </w:r>
          </w:p>
        </w:tc>
        <w:tc>
          <w:tcPr>
            <w:tcW w:w="7338" w:type="dxa"/>
          </w:tcPr>
          <w:p w14:paraId="5BD14C9A" w14:textId="46781868" w:rsidR="003F7314" w:rsidRDefault="003F7314" w:rsidP="000B701C">
            <w:pPr>
              <w:rPr>
                <w:rFonts w:cs="Arial"/>
              </w:rPr>
            </w:pPr>
            <w:r>
              <w:t>Victoria’s digital health vision and roadmap 2026–31 (this document)</w:t>
            </w:r>
          </w:p>
        </w:tc>
      </w:tr>
      <w:tr w:rsidR="002D6AE9" w14:paraId="622D1D94" w14:textId="77777777" w:rsidTr="0066533A">
        <w:tc>
          <w:tcPr>
            <w:tcW w:w="1838" w:type="dxa"/>
          </w:tcPr>
          <w:p w14:paraId="4B7BAAE5" w14:textId="554B231D" w:rsidR="002D6AE9" w:rsidRDefault="002D6AE9">
            <w:pPr>
              <w:pStyle w:val="Body"/>
            </w:pPr>
            <w:r w:rsidRPr="003348D5">
              <w:t xml:space="preserve">Victorian Aboriginal Community Controlled Health Organisation </w:t>
            </w:r>
          </w:p>
        </w:tc>
        <w:tc>
          <w:tcPr>
            <w:tcW w:w="7338" w:type="dxa"/>
          </w:tcPr>
          <w:p w14:paraId="6257ED07" w14:textId="1B32AF80" w:rsidR="002D6AE9" w:rsidRPr="00DD5574" w:rsidRDefault="002D6AE9" w:rsidP="00DD5574">
            <w:pPr>
              <w:autoSpaceDE w:val="0"/>
              <w:autoSpaceDN w:val="0"/>
              <w:adjustRightInd w:val="0"/>
            </w:pPr>
            <w:r w:rsidRPr="00A845D8">
              <w:rPr>
                <w:rFonts w:ascii="Helvetica" w:hAnsi="Helvetica" w:cs="Helvetica"/>
                <w:color w:val="222222"/>
                <w:shd w:val="clear" w:color="auto" w:fill="FFFFFF"/>
              </w:rPr>
              <w:t>The peak body for Aboriginal Community Controlled Health Organisations in Victoria, providing leadership, advocacy and support to improve the health, wellbeing and self-determination of Aboriginal and Torres Strait Islander peoples.</w:t>
            </w:r>
          </w:p>
        </w:tc>
      </w:tr>
      <w:tr w:rsidR="002D6AE9" w14:paraId="727610C5" w14:textId="77777777" w:rsidTr="0066533A">
        <w:tc>
          <w:tcPr>
            <w:tcW w:w="1838" w:type="dxa"/>
          </w:tcPr>
          <w:p w14:paraId="784B88C4" w14:textId="0A9570B1" w:rsidR="002D6AE9" w:rsidRDefault="002D6AE9">
            <w:pPr>
              <w:pStyle w:val="Body"/>
            </w:pPr>
            <w:proofErr w:type="spellStart"/>
            <w:r>
              <w:t>VicKey</w:t>
            </w:r>
            <w:proofErr w:type="spellEnd"/>
          </w:p>
        </w:tc>
        <w:tc>
          <w:tcPr>
            <w:tcW w:w="7338" w:type="dxa"/>
          </w:tcPr>
          <w:p w14:paraId="04CAC862" w14:textId="2210E5A9" w:rsidR="002D6AE9" w:rsidRPr="00A845D8" w:rsidRDefault="002D6AE9">
            <w:pPr>
              <w:pStyle w:val="Body"/>
              <w:rPr>
                <w:rFonts w:ascii="Helvetica" w:hAnsi="Helvetica" w:cs="Helvetica"/>
                <w:color w:val="222222"/>
                <w:shd w:val="clear" w:color="auto" w:fill="FFFFFF"/>
              </w:rPr>
            </w:pPr>
            <w:r w:rsidRPr="00A845D8">
              <w:rPr>
                <w:rFonts w:ascii="Helvetica" w:hAnsi="Helvetica" w:cs="Helvetica"/>
                <w:color w:val="222222"/>
                <w:shd w:val="clear" w:color="auto" w:fill="FFFFFF"/>
              </w:rPr>
              <w:t xml:space="preserve">A secure digital </w:t>
            </w:r>
            <w:r>
              <w:rPr>
                <w:rFonts w:ascii="Helvetica" w:hAnsi="Helvetica" w:cs="Helvetica"/>
                <w:color w:val="222222"/>
                <w:shd w:val="clear" w:color="auto" w:fill="FFFFFF"/>
              </w:rPr>
              <w:t>platform</w:t>
            </w:r>
            <w:r w:rsidRPr="00A845D8">
              <w:rPr>
                <w:rFonts w:ascii="Helvetica" w:hAnsi="Helvetica" w:cs="Helvetica"/>
                <w:color w:val="222222"/>
                <w:shd w:val="clear" w:color="auto" w:fill="FFFFFF"/>
              </w:rPr>
              <w:t xml:space="preserve"> used by Victorian public health services to support patient communication, referral management, waitlist management and care coordination for surgical and specialist services</w:t>
            </w:r>
            <w:r>
              <w:rPr>
                <w:rFonts w:ascii="Helvetica" w:hAnsi="Helvetica" w:cs="Helvetica"/>
                <w:color w:val="222222"/>
                <w:shd w:val="clear" w:color="auto" w:fill="FFFFFF"/>
              </w:rPr>
              <w:t>.</w:t>
            </w:r>
          </w:p>
        </w:tc>
      </w:tr>
      <w:tr w:rsidR="002D6AE9" w14:paraId="5A422E06" w14:textId="77777777" w:rsidTr="0066533A">
        <w:tc>
          <w:tcPr>
            <w:tcW w:w="1838" w:type="dxa"/>
          </w:tcPr>
          <w:p w14:paraId="3C74817C" w14:textId="3E8EF104" w:rsidR="002D6AE9" w:rsidRDefault="002D6AE9">
            <w:pPr>
              <w:pStyle w:val="Body"/>
            </w:pPr>
            <w:r>
              <w:t>Virtual care</w:t>
            </w:r>
          </w:p>
        </w:tc>
        <w:tc>
          <w:tcPr>
            <w:tcW w:w="7338" w:type="dxa"/>
          </w:tcPr>
          <w:p w14:paraId="5C985001" w14:textId="47E8D743" w:rsidR="002D6AE9" w:rsidRPr="00A845D8" w:rsidRDefault="002D6AE9">
            <w:pPr>
              <w:pStyle w:val="Body"/>
              <w:rPr>
                <w:rFonts w:ascii="Helvetica" w:hAnsi="Helvetica" w:cs="Helvetica"/>
                <w:color w:val="222222"/>
                <w:shd w:val="clear" w:color="auto" w:fill="FFFFFF"/>
              </w:rPr>
            </w:pPr>
            <w:r w:rsidRPr="00A845D8">
              <w:rPr>
                <w:rFonts w:ascii="Helvetica" w:hAnsi="Helvetica" w:cs="Helvetica"/>
                <w:color w:val="222222"/>
                <w:shd w:val="clear" w:color="auto" w:fill="FFFFFF"/>
              </w:rPr>
              <w:t xml:space="preserve">The delivery of healthcare services using digital technologies that enable care to be provided without requiring an in-person interaction. Virtual care includes services delivered by telephone, video, remote monitoring, secure </w:t>
            </w:r>
            <w:r w:rsidRPr="00A845D8">
              <w:rPr>
                <w:rFonts w:ascii="Helvetica" w:hAnsi="Helvetica" w:cs="Helvetica"/>
                <w:color w:val="222222"/>
                <w:shd w:val="clear" w:color="auto" w:fill="FFFFFF"/>
              </w:rPr>
              <w:lastRenderedPageBreak/>
              <w:t>messaging and other digital channels, supporting access to care, continuity of care and care delivery closer to home.</w:t>
            </w:r>
          </w:p>
        </w:tc>
      </w:tr>
    </w:tbl>
    <w:p w14:paraId="6CC59857" w14:textId="77777777" w:rsidR="00767532" w:rsidRDefault="00767532">
      <w:pPr>
        <w:pStyle w:val="Heading1"/>
        <w:sectPr w:rsidR="00767532" w:rsidSect="00614670">
          <w:pgSz w:w="11906" w:h="16838" w:code="9"/>
          <w:pgMar w:top="1418" w:right="1416" w:bottom="1134" w:left="1304" w:header="680" w:footer="851" w:gutter="0"/>
          <w:cols w:space="340"/>
          <w:titlePg/>
          <w:docGrid w:linePitch="360"/>
        </w:sectPr>
      </w:pPr>
    </w:p>
    <w:p w14:paraId="02651D3A" w14:textId="77777777" w:rsidR="00C30626" w:rsidRDefault="00ED65F9">
      <w:pPr>
        <w:pStyle w:val="Heading1"/>
      </w:pPr>
      <w:bookmarkStart w:id="85" w:name="_Toc244166849"/>
      <w:r>
        <w:lastRenderedPageBreak/>
        <w:t>Appendix A. Accessible text equivalents</w:t>
      </w:r>
      <w:bookmarkEnd w:id="85"/>
    </w:p>
    <w:p w14:paraId="38EFB39C" w14:textId="16B7D49F" w:rsidR="009F374F" w:rsidRDefault="00ED65F9" w:rsidP="00927263">
      <w:pPr>
        <w:pStyle w:val="Heading2"/>
      </w:pPr>
      <w:bookmarkStart w:id="86" w:name="_Toc244166850"/>
      <w:r w:rsidRPr="00D81BBB">
        <w:t>Figure 1.</w:t>
      </w:r>
      <w:r w:rsidR="00C94F61">
        <w:t xml:space="preserve"> </w:t>
      </w:r>
      <w:r w:rsidR="00D81BBB" w:rsidRPr="00D81BBB">
        <w:t>Victoria's digital health vision and roadmap 2026–31</w:t>
      </w:r>
      <w:bookmarkEnd w:id="86"/>
    </w:p>
    <w:p w14:paraId="6A41D192" w14:textId="77777777" w:rsidR="00D86257" w:rsidRPr="00D86257" w:rsidRDefault="00D86257" w:rsidP="00D86257">
      <w:pPr>
        <w:pStyle w:val="Body"/>
        <w:jc w:val="both"/>
      </w:pPr>
      <w:r w:rsidRPr="00D86257">
        <w:t>Figure 1 provides an overview of Victoria’s digital health vision and roadmap 2026–31. Five priority outcomes are presented across the top of the figure. Beneath them are four strategic pillars, each with a goal and supporting programs of work. The pillars collectively contribute to the five priority outcomes. Three cross-cutting accelerators form a foundation across all four pillars: Workforce Enablement, Scaling Innovation, and Safe and Responsible AI.</w:t>
      </w:r>
    </w:p>
    <w:p w14:paraId="5B8C514A" w14:textId="273DC183" w:rsidR="00F1002E" w:rsidRPr="00F1002E" w:rsidRDefault="00F1002E" w:rsidP="00F1002E">
      <w:pPr>
        <w:pStyle w:val="Body"/>
        <w:jc w:val="both"/>
      </w:pPr>
      <w:r>
        <w:t>Th</w:t>
      </w:r>
      <w:r w:rsidRPr="00F1002E">
        <w:t>e four strategic pillars collectively contribute to all five priority outcomes. The diagram does not show a one-to-one relationship between individual outcomes and pillars.</w:t>
      </w: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6095"/>
      </w:tblGrid>
      <w:tr w:rsidR="00C132CD" w14:paraId="415E3C22" w14:textId="77777777" w:rsidTr="00FF2502">
        <w:trPr>
          <w:tblHeader/>
        </w:trPr>
        <w:tc>
          <w:tcPr>
            <w:tcW w:w="3114" w:type="dxa"/>
            <w:tcBorders>
              <w:top w:val="single" w:sz="4" w:space="0" w:color="auto"/>
              <w:left w:val="single" w:sz="4" w:space="0" w:color="auto"/>
              <w:bottom w:val="single" w:sz="4" w:space="0" w:color="auto"/>
              <w:right w:val="single" w:sz="4" w:space="0" w:color="auto"/>
            </w:tcBorders>
            <w:hideMark/>
          </w:tcPr>
          <w:p w14:paraId="7D1EEE21" w14:textId="77777777" w:rsidR="00C132CD" w:rsidRDefault="00C132CD">
            <w:pPr>
              <w:pStyle w:val="Body"/>
              <w:keepNext/>
              <w:rPr>
                <w:kern w:val="2"/>
                <w:sz w:val="24"/>
                <w:szCs w:val="24"/>
                <w14:ligatures w14:val="standardContextual"/>
              </w:rPr>
            </w:pPr>
            <w:r>
              <w:rPr>
                <w:b/>
                <w:bCs/>
              </w:rPr>
              <w:t>Roadmap component</w:t>
            </w:r>
          </w:p>
        </w:tc>
        <w:tc>
          <w:tcPr>
            <w:tcW w:w="6095" w:type="dxa"/>
            <w:tcBorders>
              <w:top w:val="single" w:sz="4" w:space="0" w:color="auto"/>
              <w:left w:val="nil"/>
              <w:bottom w:val="single" w:sz="4" w:space="0" w:color="auto"/>
              <w:right w:val="single" w:sz="4" w:space="0" w:color="auto"/>
            </w:tcBorders>
            <w:hideMark/>
          </w:tcPr>
          <w:p w14:paraId="26A2748E" w14:textId="77777777" w:rsidR="00C132CD" w:rsidRDefault="00C132CD">
            <w:pPr>
              <w:pStyle w:val="Body"/>
              <w:keepNext/>
            </w:pPr>
            <w:r>
              <w:rPr>
                <w:b/>
                <w:bCs/>
              </w:rPr>
              <w:t>Content shown in the diagram</w:t>
            </w:r>
          </w:p>
        </w:tc>
      </w:tr>
      <w:tr w:rsidR="00C132CD" w14:paraId="527185EE" w14:textId="77777777" w:rsidTr="00FF2502">
        <w:tc>
          <w:tcPr>
            <w:tcW w:w="3114" w:type="dxa"/>
            <w:tcBorders>
              <w:top w:val="nil"/>
              <w:left w:val="single" w:sz="4" w:space="0" w:color="auto"/>
              <w:bottom w:val="single" w:sz="4" w:space="0" w:color="auto"/>
              <w:right w:val="single" w:sz="4" w:space="0" w:color="auto"/>
            </w:tcBorders>
            <w:hideMark/>
          </w:tcPr>
          <w:p w14:paraId="5735C84E" w14:textId="77777777" w:rsidR="00C132CD" w:rsidRDefault="00C132CD">
            <w:pPr>
              <w:pStyle w:val="Body"/>
            </w:pPr>
            <w:r>
              <w:rPr>
                <w:b/>
                <w:bCs/>
              </w:rPr>
              <w:t>Strategic pillar 1: Connecting Health</w:t>
            </w:r>
          </w:p>
        </w:tc>
        <w:tc>
          <w:tcPr>
            <w:tcW w:w="6095" w:type="dxa"/>
            <w:tcBorders>
              <w:top w:val="nil"/>
              <w:left w:val="nil"/>
              <w:bottom w:val="single" w:sz="4" w:space="0" w:color="auto"/>
              <w:right w:val="single" w:sz="4" w:space="0" w:color="auto"/>
            </w:tcBorders>
            <w:hideMark/>
          </w:tcPr>
          <w:p w14:paraId="45523E03" w14:textId="77777777" w:rsidR="00C132CD" w:rsidRDefault="00C132CD">
            <w:pPr>
              <w:pStyle w:val="Body"/>
            </w:pPr>
            <w:r>
              <w:rPr>
                <w:b/>
                <w:bCs/>
              </w:rPr>
              <w:t>Goal:</w:t>
            </w:r>
            <w:r>
              <w:t xml:space="preserve"> Seamless, secure and interoperable digital health infrastructure with real-time access to consumer health information across the system.</w:t>
            </w:r>
          </w:p>
          <w:p w14:paraId="7F21E595" w14:textId="77777777" w:rsidR="00C132CD" w:rsidRDefault="00C132CD">
            <w:pPr>
              <w:pStyle w:val="Body"/>
            </w:pPr>
            <w:r>
              <w:rPr>
                <w:b/>
                <w:bCs/>
              </w:rPr>
              <w:t>Programs of work:</w:t>
            </w:r>
            <w:r>
              <w:t xml:space="preserve"> 1.1 Digitised Clinical Records; 1.2 Seamless Health Information Sharing; 1.3 Trusted Data Foundations.</w:t>
            </w:r>
          </w:p>
        </w:tc>
      </w:tr>
      <w:tr w:rsidR="00C132CD" w14:paraId="211A6753" w14:textId="77777777" w:rsidTr="00FF2502">
        <w:tc>
          <w:tcPr>
            <w:tcW w:w="3114" w:type="dxa"/>
            <w:tcBorders>
              <w:top w:val="nil"/>
              <w:left w:val="single" w:sz="4" w:space="0" w:color="auto"/>
              <w:bottom w:val="single" w:sz="4" w:space="0" w:color="auto"/>
              <w:right w:val="single" w:sz="4" w:space="0" w:color="auto"/>
            </w:tcBorders>
            <w:hideMark/>
          </w:tcPr>
          <w:p w14:paraId="682BDE97" w14:textId="77777777" w:rsidR="00C132CD" w:rsidRDefault="00C132CD">
            <w:pPr>
              <w:pStyle w:val="Body"/>
            </w:pPr>
            <w:r>
              <w:rPr>
                <w:b/>
                <w:bCs/>
              </w:rPr>
              <w:t>Strategic pillar 2: Care Anywhere</w:t>
            </w:r>
          </w:p>
        </w:tc>
        <w:tc>
          <w:tcPr>
            <w:tcW w:w="6095" w:type="dxa"/>
            <w:tcBorders>
              <w:top w:val="nil"/>
              <w:left w:val="nil"/>
              <w:bottom w:val="single" w:sz="4" w:space="0" w:color="auto"/>
              <w:right w:val="single" w:sz="4" w:space="0" w:color="auto"/>
            </w:tcBorders>
            <w:hideMark/>
          </w:tcPr>
          <w:p w14:paraId="76072C9B" w14:textId="77777777" w:rsidR="00C132CD" w:rsidRDefault="00C132CD">
            <w:pPr>
              <w:pStyle w:val="Body"/>
            </w:pPr>
            <w:r>
              <w:rPr>
                <w:b/>
                <w:bCs/>
              </w:rPr>
              <w:t>Goal:</w:t>
            </w:r>
            <w:r>
              <w:t xml:space="preserve"> Digital and virtual models of care delivering high-quality care in the home, community or most appropriate clinical setting.</w:t>
            </w:r>
          </w:p>
          <w:p w14:paraId="0C4729C7" w14:textId="77777777" w:rsidR="00C132CD" w:rsidRDefault="00C132CD">
            <w:pPr>
              <w:pStyle w:val="Body"/>
            </w:pPr>
            <w:r>
              <w:rPr>
                <w:b/>
                <w:bCs/>
              </w:rPr>
              <w:t>Programs of work:</w:t>
            </w:r>
            <w:r>
              <w:t xml:space="preserve"> 2.1 Virtual Hospital Care; 2.2 Digital and Virtual Care Journeys; 2.3 Virtual Care Digital Foundations.</w:t>
            </w:r>
          </w:p>
        </w:tc>
      </w:tr>
      <w:tr w:rsidR="00C132CD" w14:paraId="4A14098E" w14:textId="77777777" w:rsidTr="00FF2502">
        <w:tc>
          <w:tcPr>
            <w:tcW w:w="3114" w:type="dxa"/>
            <w:tcBorders>
              <w:top w:val="nil"/>
              <w:left w:val="single" w:sz="4" w:space="0" w:color="auto"/>
              <w:bottom w:val="single" w:sz="4" w:space="0" w:color="auto"/>
              <w:right w:val="single" w:sz="4" w:space="0" w:color="auto"/>
            </w:tcBorders>
            <w:hideMark/>
          </w:tcPr>
          <w:p w14:paraId="0CFA9F31" w14:textId="77777777" w:rsidR="00C132CD" w:rsidRDefault="00C132CD">
            <w:pPr>
              <w:pStyle w:val="Body"/>
            </w:pPr>
            <w:r>
              <w:rPr>
                <w:b/>
                <w:bCs/>
              </w:rPr>
              <w:t>Strategic pillar 3: Engaged Consumers</w:t>
            </w:r>
          </w:p>
        </w:tc>
        <w:tc>
          <w:tcPr>
            <w:tcW w:w="6095" w:type="dxa"/>
            <w:tcBorders>
              <w:top w:val="nil"/>
              <w:left w:val="nil"/>
              <w:bottom w:val="single" w:sz="4" w:space="0" w:color="auto"/>
              <w:right w:val="single" w:sz="4" w:space="0" w:color="auto"/>
            </w:tcBorders>
            <w:hideMark/>
          </w:tcPr>
          <w:p w14:paraId="05B9CB95" w14:textId="77777777" w:rsidR="00C132CD" w:rsidRDefault="00C132CD">
            <w:pPr>
              <w:pStyle w:val="Body"/>
            </w:pPr>
            <w:r>
              <w:rPr>
                <w:b/>
                <w:bCs/>
              </w:rPr>
              <w:t>Goal:</w:t>
            </w:r>
            <w:r>
              <w:t xml:space="preserve"> Consistent and trusted digital channels supporting people to access their health information, navigate services and actively participate in their care.</w:t>
            </w:r>
          </w:p>
          <w:p w14:paraId="43C3D01F" w14:textId="77777777" w:rsidR="00C132CD" w:rsidRDefault="00C132CD">
            <w:pPr>
              <w:pStyle w:val="Body"/>
            </w:pPr>
            <w:r>
              <w:rPr>
                <w:b/>
                <w:bCs/>
              </w:rPr>
              <w:t>Programs of work:</w:t>
            </w:r>
            <w:r>
              <w:t xml:space="preserve"> 3.1 Informed Consumers; 3.2 Accessible Health System.</w:t>
            </w:r>
          </w:p>
        </w:tc>
      </w:tr>
      <w:tr w:rsidR="00C132CD" w14:paraId="228CB77E" w14:textId="77777777" w:rsidTr="00FF2502">
        <w:tc>
          <w:tcPr>
            <w:tcW w:w="3114" w:type="dxa"/>
            <w:tcBorders>
              <w:top w:val="nil"/>
              <w:left w:val="single" w:sz="4" w:space="0" w:color="auto"/>
              <w:bottom w:val="single" w:sz="4" w:space="0" w:color="auto"/>
              <w:right w:val="single" w:sz="4" w:space="0" w:color="auto"/>
            </w:tcBorders>
            <w:hideMark/>
          </w:tcPr>
          <w:p w14:paraId="7DBF73AF" w14:textId="77777777" w:rsidR="00C132CD" w:rsidRDefault="00C132CD">
            <w:pPr>
              <w:pStyle w:val="Body"/>
            </w:pPr>
            <w:r>
              <w:rPr>
                <w:b/>
                <w:bCs/>
              </w:rPr>
              <w:t>Strategic pillar 4: Sustainable Operations</w:t>
            </w:r>
          </w:p>
        </w:tc>
        <w:tc>
          <w:tcPr>
            <w:tcW w:w="6095" w:type="dxa"/>
            <w:tcBorders>
              <w:top w:val="nil"/>
              <w:left w:val="nil"/>
              <w:bottom w:val="single" w:sz="4" w:space="0" w:color="auto"/>
              <w:right w:val="single" w:sz="4" w:space="0" w:color="auto"/>
            </w:tcBorders>
            <w:hideMark/>
          </w:tcPr>
          <w:p w14:paraId="34C5FE61" w14:textId="77777777" w:rsidR="00C132CD" w:rsidRDefault="00C132CD">
            <w:pPr>
              <w:pStyle w:val="Body"/>
            </w:pPr>
            <w:r>
              <w:rPr>
                <w:b/>
                <w:bCs/>
              </w:rPr>
              <w:t>Goal:</w:t>
            </w:r>
            <w:r>
              <w:t xml:space="preserve"> Shared digital platforms, data, automation and secure systems enabling proactive, efficient, resilient and safe health system operations.</w:t>
            </w:r>
          </w:p>
          <w:p w14:paraId="2ABCA82E" w14:textId="77777777" w:rsidR="00C132CD" w:rsidRDefault="00C132CD">
            <w:pPr>
              <w:pStyle w:val="Body"/>
            </w:pPr>
            <w:r>
              <w:rPr>
                <w:b/>
                <w:bCs/>
              </w:rPr>
              <w:t>Programs of work:</w:t>
            </w:r>
            <w:r>
              <w:t xml:space="preserve"> 4.1 Decision Intelligence; 4.2 Operational Efficiency; 4.3 Safer Digital Healthcare.</w:t>
            </w:r>
          </w:p>
        </w:tc>
      </w:tr>
      <w:tr w:rsidR="00C132CD" w14:paraId="29574B9A" w14:textId="77777777" w:rsidTr="00FF2502">
        <w:tc>
          <w:tcPr>
            <w:tcW w:w="3114" w:type="dxa"/>
            <w:tcBorders>
              <w:top w:val="nil"/>
              <w:left w:val="single" w:sz="4" w:space="0" w:color="auto"/>
              <w:bottom w:val="single" w:sz="4" w:space="0" w:color="auto"/>
              <w:right w:val="single" w:sz="4" w:space="0" w:color="auto"/>
            </w:tcBorders>
            <w:hideMark/>
          </w:tcPr>
          <w:p w14:paraId="0B681AE4" w14:textId="77777777" w:rsidR="00C132CD" w:rsidRDefault="00C132CD">
            <w:pPr>
              <w:pStyle w:val="Body"/>
            </w:pPr>
            <w:r>
              <w:rPr>
                <w:b/>
                <w:bCs/>
              </w:rPr>
              <w:t>Cross-cutting accelerator: Workforce Enablement</w:t>
            </w:r>
          </w:p>
        </w:tc>
        <w:tc>
          <w:tcPr>
            <w:tcW w:w="6095" w:type="dxa"/>
            <w:tcBorders>
              <w:top w:val="nil"/>
              <w:left w:val="nil"/>
              <w:bottom w:val="single" w:sz="4" w:space="0" w:color="auto"/>
              <w:right w:val="single" w:sz="4" w:space="0" w:color="auto"/>
            </w:tcBorders>
            <w:hideMark/>
          </w:tcPr>
          <w:p w14:paraId="33DC668F" w14:textId="77777777" w:rsidR="00C132CD" w:rsidRDefault="00C132CD">
            <w:pPr>
              <w:pStyle w:val="Body"/>
            </w:pPr>
            <w:r>
              <w:t>Applies across all four strategic pillars.</w:t>
            </w:r>
          </w:p>
        </w:tc>
      </w:tr>
      <w:tr w:rsidR="00C132CD" w14:paraId="4CDB1CF8" w14:textId="77777777" w:rsidTr="00FF2502">
        <w:tc>
          <w:tcPr>
            <w:tcW w:w="3114" w:type="dxa"/>
            <w:tcBorders>
              <w:top w:val="nil"/>
              <w:left w:val="single" w:sz="4" w:space="0" w:color="auto"/>
              <w:bottom w:val="single" w:sz="4" w:space="0" w:color="auto"/>
              <w:right w:val="single" w:sz="4" w:space="0" w:color="auto"/>
            </w:tcBorders>
            <w:hideMark/>
          </w:tcPr>
          <w:p w14:paraId="14FC09A5" w14:textId="77777777" w:rsidR="00C132CD" w:rsidRDefault="00C132CD">
            <w:pPr>
              <w:pStyle w:val="Body"/>
            </w:pPr>
            <w:r>
              <w:rPr>
                <w:b/>
                <w:bCs/>
              </w:rPr>
              <w:t>Cross-cutting accelerator: Scaling Innovation</w:t>
            </w:r>
          </w:p>
        </w:tc>
        <w:tc>
          <w:tcPr>
            <w:tcW w:w="6095" w:type="dxa"/>
            <w:tcBorders>
              <w:top w:val="nil"/>
              <w:left w:val="nil"/>
              <w:bottom w:val="single" w:sz="4" w:space="0" w:color="auto"/>
              <w:right w:val="single" w:sz="4" w:space="0" w:color="auto"/>
            </w:tcBorders>
            <w:hideMark/>
          </w:tcPr>
          <w:p w14:paraId="240AC959" w14:textId="77777777" w:rsidR="00C132CD" w:rsidRDefault="00C132CD">
            <w:pPr>
              <w:pStyle w:val="Body"/>
            </w:pPr>
            <w:r>
              <w:t>Applies across all four strategic pillars.</w:t>
            </w:r>
          </w:p>
        </w:tc>
      </w:tr>
      <w:tr w:rsidR="00C132CD" w14:paraId="51FA73F7" w14:textId="77777777" w:rsidTr="00FF2502">
        <w:tc>
          <w:tcPr>
            <w:tcW w:w="3114" w:type="dxa"/>
            <w:tcBorders>
              <w:top w:val="nil"/>
              <w:left w:val="single" w:sz="4" w:space="0" w:color="auto"/>
              <w:bottom w:val="single" w:sz="4" w:space="0" w:color="auto"/>
              <w:right w:val="single" w:sz="4" w:space="0" w:color="auto"/>
            </w:tcBorders>
            <w:hideMark/>
          </w:tcPr>
          <w:p w14:paraId="0CF3346F" w14:textId="77777777" w:rsidR="00C132CD" w:rsidRDefault="00C132CD">
            <w:pPr>
              <w:pStyle w:val="Body"/>
            </w:pPr>
            <w:r>
              <w:rPr>
                <w:b/>
                <w:bCs/>
              </w:rPr>
              <w:t>Cross-cutting accelerator: Safe and Responsible AI</w:t>
            </w:r>
          </w:p>
        </w:tc>
        <w:tc>
          <w:tcPr>
            <w:tcW w:w="6095" w:type="dxa"/>
            <w:tcBorders>
              <w:top w:val="nil"/>
              <w:left w:val="nil"/>
              <w:bottom w:val="single" w:sz="4" w:space="0" w:color="auto"/>
              <w:right w:val="single" w:sz="4" w:space="0" w:color="auto"/>
            </w:tcBorders>
            <w:hideMark/>
          </w:tcPr>
          <w:p w14:paraId="692F2DBC" w14:textId="77777777" w:rsidR="00C132CD" w:rsidRDefault="00C132CD">
            <w:pPr>
              <w:pStyle w:val="Body"/>
            </w:pPr>
            <w:r>
              <w:t>Applies across all four strategic pillars.</w:t>
            </w:r>
          </w:p>
        </w:tc>
      </w:tr>
    </w:tbl>
    <w:p w14:paraId="69473E88" w14:textId="77777777" w:rsidR="00DC027E" w:rsidRDefault="00DC027E">
      <w:pPr>
        <w:rPr>
          <w:kern w:val="2"/>
          <w:szCs w:val="21"/>
          <w14:ligatures w14:val="standardContextual"/>
        </w:rPr>
      </w:pPr>
    </w:p>
    <w:p w14:paraId="2E710D72" w14:textId="77777777" w:rsidR="00C30626" w:rsidRDefault="00ED65F9" w:rsidP="006F5FD7">
      <w:pPr>
        <w:pStyle w:val="Heading2"/>
        <w:rPr>
          <w:kern w:val="2"/>
          <w:szCs w:val="32"/>
          <w14:ligatures w14:val="standardContextual"/>
        </w:rPr>
      </w:pPr>
      <w:bookmarkStart w:id="87" w:name="_Toc244166851"/>
      <w:r w:rsidRPr="00D81BBB">
        <w:lastRenderedPageBreak/>
        <w:t>Figure 2. Priority outcomes</w:t>
      </w:r>
      <w:r w:rsidR="00D81BBB" w:rsidRPr="00D81BBB">
        <w:t xml:space="preserve"> for digital health in Victoria that underpin the roadmap</w:t>
      </w:r>
      <w:bookmarkEnd w:id="87"/>
    </w:p>
    <w:p w14:paraId="7BB9CAA9" w14:textId="77777777" w:rsidR="00D56B69" w:rsidRDefault="00D56B69">
      <w:pPr>
        <w:spacing w:after="0"/>
        <w:jc w:val="both"/>
        <w:rPr>
          <w:kern w:val="2"/>
          <w:szCs w:val="21"/>
          <w14:ligatures w14:val="standardContextual"/>
        </w:rPr>
      </w:pPr>
      <w:r>
        <w:t>Figure 2 presents five related priority outcomes. Together, they describe the intended consumer, workforce and system benefits of digital investment.</w:t>
      </w:r>
    </w:p>
    <w:p w14:paraId="723993C3" w14:textId="0C6CFC6F" w:rsidR="003C65AB" w:rsidRDefault="003C65AB">
      <w:pPr>
        <w:spacing w:after="0" w:line="240" w:lineRule="auto"/>
      </w:pPr>
    </w:p>
    <w:tbl>
      <w:tblPr>
        <w:tblStyle w:val="TableGrid"/>
        <w:tblW w:w="0" w:type="auto"/>
        <w:tblLook w:val="04A0" w:firstRow="1" w:lastRow="0" w:firstColumn="1" w:lastColumn="0" w:noHBand="0" w:noVBand="1"/>
      </w:tblPr>
      <w:tblGrid>
        <w:gridCol w:w="2134"/>
        <w:gridCol w:w="7042"/>
      </w:tblGrid>
      <w:tr w:rsidR="002D285A" w:rsidRPr="002D285A" w14:paraId="55E4C563" w14:textId="77777777" w:rsidTr="005F2200">
        <w:trPr>
          <w:tblHeader/>
        </w:trPr>
        <w:tc>
          <w:tcPr>
            <w:tcW w:w="0" w:type="auto"/>
            <w:hideMark/>
          </w:tcPr>
          <w:p w14:paraId="6D3BFEC5" w14:textId="5572EDD7" w:rsidR="002D285A" w:rsidRPr="000536D1" w:rsidRDefault="002D285A" w:rsidP="002D285A">
            <w:pPr>
              <w:rPr>
                <w:b/>
                <w:kern w:val="2"/>
                <w:szCs w:val="21"/>
                <w14:ligatures w14:val="standardContextual"/>
              </w:rPr>
            </w:pPr>
            <w:r w:rsidRPr="002D285A">
              <w:rPr>
                <w:b/>
                <w:bCs/>
              </w:rPr>
              <w:t xml:space="preserve">Priority </w:t>
            </w:r>
            <w:r w:rsidR="000536D1">
              <w:rPr>
                <w:b/>
                <w:bCs/>
              </w:rPr>
              <w:t>outcome</w:t>
            </w:r>
          </w:p>
        </w:tc>
        <w:tc>
          <w:tcPr>
            <w:tcW w:w="0" w:type="auto"/>
            <w:hideMark/>
          </w:tcPr>
          <w:p w14:paraId="31A9B07F" w14:textId="77777777" w:rsidR="002D285A" w:rsidRPr="002D285A" w:rsidRDefault="002D285A" w:rsidP="002D285A">
            <w:pPr>
              <w:rPr>
                <w:b/>
                <w:bCs/>
              </w:rPr>
            </w:pPr>
            <w:r w:rsidRPr="002D285A">
              <w:rPr>
                <w:b/>
                <w:bCs/>
              </w:rPr>
              <w:t>Description</w:t>
            </w:r>
          </w:p>
        </w:tc>
      </w:tr>
      <w:tr w:rsidR="002D285A" w:rsidRPr="002D285A" w14:paraId="66AA036B" w14:textId="77777777" w:rsidTr="002D285A">
        <w:tc>
          <w:tcPr>
            <w:tcW w:w="0" w:type="auto"/>
            <w:hideMark/>
          </w:tcPr>
          <w:p w14:paraId="44754B38" w14:textId="77777777" w:rsidR="002D285A" w:rsidRPr="002D285A" w:rsidRDefault="002D285A" w:rsidP="002D285A">
            <w:r w:rsidRPr="002D285A">
              <w:t>Healthy Victorians</w:t>
            </w:r>
          </w:p>
        </w:tc>
        <w:tc>
          <w:tcPr>
            <w:tcW w:w="0" w:type="auto"/>
            <w:hideMark/>
          </w:tcPr>
          <w:p w14:paraId="62D37E88" w14:textId="77777777" w:rsidR="002D285A" w:rsidRPr="002D285A" w:rsidRDefault="002D285A" w:rsidP="002D285A">
            <w:r w:rsidRPr="002D285A">
              <w:t>People have access to the digital tools and information required to maintain their health and wellbeing on their own terms.</w:t>
            </w:r>
          </w:p>
        </w:tc>
      </w:tr>
      <w:tr w:rsidR="002D285A" w:rsidRPr="002D285A" w14:paraId="030A8FB7" w14:textId="77777777" w:rsidTr="002D285A">
        <w:tc>
          <w:tcPr>
            <w:tcW w:w="0" w:type="auto"/>
            <w:hideMark/>
          </w:tcPr>
          <w:p w14:paraId="2351FBCF" w14:textId="77777777" w:rsidR="002D285A" w:rsidRPr="002D285A" w:rsidRDefault="002D285A" w:rsidP="002D285A">
            <w:r w:rsidRPr="002D285A">
              <w:t>Integrated Care Journeys</w:t>
            </w:r>
          </w:p>
        </w:tc>
        <w:tc>
          <w:tcPr>
            <w:tcW w:w="0" w:type="auto"/>
            <w:hideMark/>
          </w:tcPr>
          <w:p w14:paraId="1B36092C" w14:textId="77777777" w:rsidR="002D285A" w:rsidRPr="002D285A" w:rsidRDefault="002D285A" w:rsidP="002D285A">
            <w:r w:rsidRPr="002D285A">
              <w:t>A health system where information flows, services connect and consumers experience seamless care across their health and wellbeing journey.</w:t>
            </w:r>
          </w:p>
        </w:tc>
      </w:tr>
      <w:tr w:rsidR="002D285A" w:rsidRPr="002D285A" w14:paraId="1E8532E2" w14:textId="77777777" w:rsidTr="002D285A">
        <w:tc>
          <w:tcPr>
            <w:tcW w:w="0" w:type="auto"/>
            <w:hideMark/>
          </w:tcPr>
          <w:p w14:paraId="473811D5" w14:textId="77777777" w:rsidR="002D285A" w:rsidRPr="002D285A" w:rsidRDefault="002D285A" w:rsidP="002D285A">
            <w:r w:rsidRPr="002D285A">
              <w:t>Equitable Health Outcomes</w:t>
            </w:r>
          </w:p>
        </w:tc>
        <w:tc>
          <w:tcPr>
            <w:tcW w:w="0" w:type="auto"/>
            <w:hideMark/>
          </w:tcPr>
          <w:p w14:paraId="4D10F49E" w14:textId="77777777" w:rsidR="002D285A" w:rsidRPr="002D285A" w:rsidRDefault="002D285A" w:rsidP="002D285A">
            <w:r w:rsidRPr="002D285A">
              <w:t>High-quality data and insights support evidence-based decisions for individuals and populations.</w:t>
            </w:r>
          </w:p>
        </w:tc>
      </w:tr>
      <w:tr w:rsidR="002D285A" w:rsidRPr="002D285A" w14:paraId="483DB08C" w14:textId="77777777" w:rsidTr="002D285A">
        <w:tc>
          <w:tcPr>
            <w:tcW w:w="0" w:type="auto"/>
            <w:hideMark/>
          </w:tcPr>
          <w:p w14:paraId="76FDC7A3" w14:textId="77777777" w:rsidR="002D285A" w:rsidRPr="002D285A" w:rsidRDefault="002D285A" w:rsidP="002D285A">
            <w:r w:rsidRPr="002D285A">
              <w:t>High Performing Health System</w:t>
            </w:r>
          </w:p>
        </w:tc>
        <w:tc>
          <w:tcPr>
            <w:tcW w:w="0" w:type="auto"/>
            <w:hideMark/>
          </w:tcPr>
          <w:p w14:paraId="00E0B99F" w14:textId="77777777" w:rsidR="002D285A" w:rsidRPr="002D285A" w:rsidRDefault="002D285A" w:rsidP="002D285A">
            <w:r w:rsidRPr="002D285A">
              <w:t>Digital capability streamlines operations, optimises resource use and enhances service delivery.</w:t>
            </w:r>
          </w:p>
        </w:tc>
      </w:tr>
      <w:tr w:rsidR="002D285A" w:rsidRPr="002D285A" w14:paraId="7BEF7D5F" w14:textId="77777777" w:rsidTr="002D285A">
        <w:tc>
          <w:tcPr>
            <w:tcW w:w="0" w:type="auto"/>
            <w:hideMark/>
          </w:tcPr>
          <w:p w14:paraId="01AAD603" w14:textId="77777777" w:rsidR="002D285A" w:rsidRPr="002D285A" w:rsidRDefault="002D285A" w:rsidP="002D285A">
            <w:r w:rsidRPr="002D285A">
              <w:t>Supported Workforce</w:t>
            </w:r>
          </w:p>
        </w:tc>
        <w:tc>
          <w:tcPr>
            <w:tcW w:w="0" w:type="auto"/>
            <w:hideMark/>
          </w:tcPr>
          <w:p w14:paraId="11E0E64B" w14:textId="77777777" w:rsidR="002D285A" w:rsidRPr="002D285A" w:rsidRDefault="002D285A" w:rsidP="002D285A">
            <w:r w:rsidRPr="002D285A">
              <w:t>A workforce with the right digital tools to allow them to focus on what matters most.</w:t>
            </w:r>
          </w:p>
        </w:tc>
      </w:tr>
    </w:tbl>
    <w:p w14:paraId="6DE1DA49" w14:textId="6490AEDE" w:rsidR="00385EDF" w:rsidRPr="00385EDF" w:rsidRDefault="00385EDF" w:rsidP="006F5FD7">
      <w:pPr>
        <w:pStyle w:val="Heading2"/>
      </w:pPr>
      <w:bookmarkStart w:id="88" w:name="_Toc244166852"/>
      <w:r w:rsidRPr="00385EDF">
        <w:t xml:space="preserve">Figure </w:t>
      </w:r>
      <w:r w:rsidR="00171B58">
        <w:t>3</w:t>
      </w:r>
      <w:r w:rsidR="00651D46">
        <w:t>.</w:t>
      </w:r>
      <w:r w:rsidRPr="00385EDF">
        <w:t xml:space="preserve"> Impacts of limited digitisation and integration</w:t>
      </w:r>
      <w:bookmarkEnd w:id="88"/>
    </w:p>
    <w:p w14:paraId="747255B7" w14:textId="4C7375B6" w:rsidR="00AC4FD8" w:rsidRPr="00AC4FD8" w:rsidRDefault="00AC4FD8" w:rsidP="00AC4FD8">
      <w:pPr>
        <w:spacing w:after="0" w:line="240" w:lineRule="auto"/>
        <w:jc w:val="both"/>
      </w:pPr>
      <w:r w:rsidRPr="00AC4FD8">
        <w:t xml:space="preserve">The infographic highlights </w:t>
      </w:r>
      <w:r w:rsidR="00CC556D">
        <w:t>four</w:t>
      </w:r>
      <w:r w:rsidRPr="00AC4FD8">
        <w:t xml:space="preserve"> examples of how limited digitisation and integration affect care delivery, workforce productivity and health system performance across Victoria.</w:t>
      </w:r>
    </w:p>
    <w:p w14:paraId="53D1B7A4" w14:textId="44E4FAC7" w:rsidR="002D5778" w:rsidRDefault="002D5778">
      <w:pPr>
        <w:spacing w:after="0" w:line="240" w:lineRule="auto"/>
      </w:pPr>
    </w:p>
    <w:tbl>
      <w:tblPr>
        <w:tblStyle w:val="TableGrid"/>
        <w:tblW w:w="0" w:type="auto"/>
        <w:tblLook w:val="04A0" w:firstRow="1" w:lastRow="0" w:firstColumn="1" w:lastColumn="0" w:noHBand="0" w:noVBand="1"/>
      </w:tblPr>
      <w:tblGrid>
        <w:gridCol w:w="2122"/>
        <w:gridCol w:w="7054"/>
      </w:tblGrid>
      <w:tr w:rsidR="007602EB" w14:paraId="51A37793" w14:textId="77777777" w:rsidTr="00DD0220">
        <w:trPr>
          <w:tblHeader/>
        </w:trPr>
        <w:tc>
          <w:tcPr>
            <w:tcW w:w="2122" w:type="dxa"/>
          </w:tcPr>
          <w:p w14:paraId="40C48272" w14:textId="0C04B925" w:rsidR="007602EB" w:rsidRPr="00FB6FFA" w:rsidRDefault="00930AA5" w:rsidP="007521AE">
            <w:pPr>
              <w:jc w:val="both"/>
              <w:rPr>
                <w:b/>
                <w:bCs/>
              </w:rPr>
            </w:pPr>
            <w:r w:rsidRPr="00FB6FFA">
              <w:rPr>
                <w:b/>
                <w:bCs/>
              </w:rPr>
              <w:t>Impact</w:t>
            </w:r>
          </w:p>
        </w:tc>
        <w:tc>
          <w:tcPr>
            <w:tcW w:w="7054" w:type="dxa"/>
          </w:tcPr>
          <w:p w14:paraId="4DCD2223" w14:textId="1FCD7E6F" w:rsidR="007602EB" w:rsidRPr="00FB6FFA" w:rsidRDefault="00180553" w:rsidP="007521AE">
            <w:pPr>
              <w:jc w:val="both"/>
              <w:rPr>
                <w:b/>
                <w:bCs/>
              </w:rPr>
            </w:pPr>
            <w:r w:rsidRPr="00FB6FFA">
              <w:rPr>
                <w:b/>
                <w:bCs/>
              </w:rPr>
              <w:t>Description</w:t>
            </w:r>
          </w:p>
        </w:tc>
      </w:tr>
      <w:tr w:rsidR="007602EB" w14:paraId="0FE065F6" w14:textId="77777777" w:rsidTr="00044BEE">
        <w:tc>
          <w:tcPr>
            <w:tcW w:w="2122" w:type="dxa"/>
          </w:tcPr>
          <w:p w14:paraId="072F1A99" w14:textId="17B6F544" w:rsidR="007602EB" w:rsidRDefault="00B9051D" w:rsidP="00044BEE">
            <w:r w:rsidRPr="00B9051D">
              <w:t>Limited access to digitised clinical information</w:t>
            </w:r>
          </w:p>
        </w:tc>
        <w:tc>
          <w:tcPr>
            <w:tcW w:w="7054" w:type="dxa"/>
          </w:tcPr>
          <w:p w14:paraId="351C0B0B" w14:textId="58304CFD" w:rsidR="007602EB" w:rsidRDefault="003B33EA" w:rsidP="007521AE">
            <w:pPr>
              <w:jc w:val="both"/>
            </w:pPr>
            <w:r w:rsidRPr="003B33EA">
              <w:rPr>
                <w:b/>
                <w:bCs/>
              </w:rPr>
              <w:t>50% of health services do not have an Electronic Medical Record (EMR)</w:t>
            </w:r>
            <w:r w:rsidRPr="003B33EA">
              <w:t xml:space="preserve"> and continue to rely on paper-based records</w:t>
            </w:r>
            <w:r w:rsidR="000130FE">
              <w:t xml:space="preserve"> to document </w:t>
            </w:r>
            <w:r w:rsidR="00DA5649">
              <w:t>clinical care</w:t>
            </w:r>
            <w:r w:rsidRPr="003B33EA">
              <w:t>. This limits the ability to deliver safe, consistent and high-quality care.</w:t>
            </w:r>
          </w:p>
        </w:tc>
      </w:tr>
      <w:tr w:rsidR="007602EB" w14:paraId="5410E276" w14:textId="77777777" w:rsidTr="00044BEE">
        <w:tc>
          <w:tcPr>
            <w:tcW w:w="2122" w:type="dxa"/>
          </w:tcPr>
          <w:p w14:paraId="2EB4545A" w14:textId="3816EEF1" w:rsidR="007602EB" w:rsidRDefault="003D7B1E" w:rsidP="00044BEE">
            <w:r w:rsidRPr="003D7B1E">
              <w:t>Duplicate testing and investigations</w:t>
            </w:r>
          </w:p>
        </w:tc>
        <w:tc>
          <w:tcPr>
            <w:tcW w:w="7054" w:type="dxa"/>
          </w:tcPr>
          <w:p w14:paraId="5714CD32" w14:textId="7FB5774B" w:rsidR="007602EB" w:rsidRDefault="00A1097C" w:rsidP="007521AE">
            <w:pPr>
              <w:jc w:val="both"/>
            </w:pPr>
            <w:r w:rsidRPr="00A1097C">
              <w:t xml:space="preserve">Approximately </w:t>
            </w:r>
            <w:r w:rsidRPr="00A1097C">
              <w:rPr>
                <w:b/>
                <w:bCs/>
              </w:rPr>
              <w:t>15% of patients undergo duplicate diagnostic tests</w:t>
            </w:r>
            <w:r w:rsidRPr="00A1097C">
              <w:t xml:space="preserve"> because results are not readily available. This can lead to unnecessary costs, delays in care and avoidable radiation exposure.</w:t>
            </w:r>
          </w:p>
        </w:tc>
      </w:tr>
      <w:tr w:rsidR="007602EB" w14:paraId="6E1217DD" w14:textId="77777777" w:rsidTr="00044BEE">
        <w:tc>
          <w:tcPr>
            <w:tcW w:w="2122" w:type="dxa"/>
          </w:tcPr>
          <w:p w14:paraId="26CCA6E7" w14:textId="01AF7F73" w:rsidR="007602EB" w:rsidRDefault="005A6456" w:rsidP="00044BEE">
            <w:r w:rsidRPr="005A6456">
              <w:t>Lost clinical time</w:t>
            </w:r>
          </w:p>
        </w:tc>
        <w:tc>
          <w:tcPr>
            <w:tcW w:w="7054" w:type="dxa"/>
          </w:tcPr>
          <w:p w14:paraId="142BC430" w14:textId="6B4711EA" w:rsidR="007602EB" w:rsidRDefault="005D60AE" w:rsidP="007521AE">
            <w:pPr>
              <w:jc w:val="both"/>
            </w:pPr>
            <w:r w:rsidRPr="005D60AE">
              <w:t xml:space="preserve">Approximately </w:t>
            </w:r>
            <w:r w:rsidRPr="005D60AE">
              <w:rPr>
                <w:b/>
                <w:bCs/>
              </w:rPr>
              <w:t>74% of healthcare workers have lost clinical time</w:t>
            </w:r>
            <w:r w:rsidRPr="005D60AE">
              <w:t xml:space="preserve"> due to incomplete or inaccessible patient information. This is equivalent to more than </w:t>
            </w:r>
            <w:r w:rsidRPr="005D60AE">
              <w:rPr>
                <w:b/>
                <w:bCs/>
              </w:rPr>
              <w:t>45 minutes per shift</w:t>
            </w:r>
            <w:r w:rsidRPr="005D60AE">
              <w:t xml:space="preserve">, or around </w:t>
            </w:r>
            <w:r w:rsidRPr="005D60AE">
              <w:rPr>
                <w:b/>
                <w:bCs/>
              </w:rPr>
              <w:t>23 days per healthcare worker each year</w:t>
            </w:r>
            <w:r w:rsidRPr="005D60AE">
              <w:t>.</w:t>
            </w:r>
          </w:p>
        </w:tc>
      </w:tr>
      <w:tr w:rsidR="007602EB" w14:paraId="72B02554" w14:textId="77777777" w:rsidTr="00044BEE">
        <w:tc>
          <w:tcPr>
            <w:tcW w:w="2122" w:type="dxa"/>
          </w:tcPr>
          <w:p w14:paraId="472A5C7D" w14:textId="18182E01" w:rsidR="007602EB" w:rsidRDefault="005A6456" w:rsidP="00044BEE">
            <w:r w:rsidRPr="005A6456">
              <w:t>Manual referral processes</w:t>
            </w:r>
          </w:p>
        </w:tc>
        <w:tc>
          <w:tcPr>
            <w:tcW w:w="7054" w:type="dxa"/>
          </w:tcPr>
          <w:p w14:paraId="3F2B1422" w14:textId="47C9CE5D" w:rsidR="007602EB" w:rsidRDefault="00A27161" w:rsidP="007521AE">
            <w:pPr>
              <w:jc w:val="both"/>
            </w:pPr>
            <w:r w:rsidRPr="00A27161">
              <w:t xml:space="preserve">Up to </w:t>
            </w:r>
            <w:r w:rsidRPr="00A27161">
              <w:rPr>
                <w:b/>
                <w:bCs/>
              </w:rPr>
              <w:t>90% of health service</w:t>
            </w:r>
            <w:r w:rsidR="00690BF7">
              <w:rPr>
                <w:b/>
                <w:bCs/>
              </w:rPr>
              <w:t xml:space="preserve"> </w:t>
            </w:r>
            <w:r w:rsidRPr="00A27161">
              <w:rPr>
                <w:b/>
                <w:bCs/>
              </w:rPr>
              <w:t xml:space="preserve">referrals </w:t>
            </w:r>
            <w:r w:rsidRPr="00A27161">
              <w:t xml:space="preserve">are still received </w:t>
            </w:r>
            <w:r w:rsidR="00144FEC">
              <w:t>by</w:t>
            </w:r>
            <w:r w:rsidRPr="00A27161">
              <w:t xml:space="preserve"> non-electronic methods such as fax or email. This can result in lost, delayed or incomplete referrals, leading to missed appointments, delayed treatment and patient safety risks.</w:t>
            </w:r>
          </w:p>
        </w:tc>
      </w:tr>
    </w:tbl>
    <w:p w14:paraId="46236D17" w14:textId="77777777" w:rsidR="003E1BF9" w:rsidRDefault="003E1BF9" w:rsidP="007521AE">
      <w:pPr>
        <w:jc w:val="both"/>
      </w:pPr>
    </w:p>
    <w:p w14:paraId="3D6FC98F" w14:textId="7EDBCCD6" w:rsidR="00C30626" w:rsidRDefault="00385EDF" w:rsidP="004927E4">
      <w:pPr>
        <w:pStyle w:val="Heading2"/>
      </w:pPr>
      <w:bookmarkStart w:id="89" w:name="_Toc244166853"/>
      <w:r w:rsidRPr="005020E9">
        <w:lastRenderedPageBreak/>
        <w:t xml:space="preserve">Figure </w:t>
      </w:r>
      <w:r w:rsidR="00651D46">
        <w:t>4.</w:t>
      </w:r>
      <w:r w:rsidRPr="005020E9">
        <w:t xml:space="preserve"> Example benefits of digital investment in healthcare</w:t>
      </w:r>
      <w:bookmarkEnd w:id="89"/>
    </w:p>
    <w:p w14:paraId="3E63BABA" w14:textId="77777777" w:rsidR="00C968B1" w:rsidRDefault="00C968B1">
      <w:pPr>
        <w:spacing w:after="0"/>
        <w:jc w:val="both"/>
        <w:rPr>
          <w:kern w:val="2"/>
          <w:szCs w:val="21"/>
          <w14:ligatures w14:val="standardContextual"/>
        </w:rPr>
      </w:pPr>
      <w:r>
        <w:t>The infographic presents three reported examples of measurable benefits associated with digital health investment. The results relate to the specific healthcare settings and interventions examined in the cited sources and should not be interpreted as applying universally.</w:t>
      </w:r>
    </w:p>
    <w:tbl>
      <w:tblPr>
        <w:tblW w:w="9209" w:type="dxa"/>
        <w:tblLook w:val="04A0" w:firstRow="1" w:lastRow="0" w:firstColumn="1" w:lastColumn="0" w:noHBand="0" w:noVBand="1"/>
      </w:tblPr>
      <w:tblGrid>
        <w:gridCol w:w="4390"/>
        <w:gridCol w:w="4819"/>
      </w:tblGrid>
      <w:tr w:rsidR="00F91BD1" w:rsidRPr="00F91BD1" w14:paraId="27571DF6" w14:textId="77777777" w:rsidTr="009B5B7D">
        <w:trPr>
          <w:trHeight w:val="290"/>
        </w:trPr>
        <w:tc>
          <w:tcPr>
            <w:tcW w:w="4390" w:type="dxa"/>
            <w:tcBorders>
              <w:top w:val="single" w:sz="4" w:space="0" w:color="auto"/>
              <w:left w:val="single" w:sz="4" w:space="0" w:color="auto"/>
              <w:bottom w:val="single" w:sz="4" w:space="0" w:color="auto"/>
              <w:right w:val="single" w:sz="4" w:space="0" w:color="auto"/>
            </w:tcBorders>
            <w:hideMark/>
          </w:tcPr>
          <w:p w14:paraId="015E734D" w14:textId="77777777" w:rsidR="00F91BD1" w:rsidRPr="00F91BD1" w:rsidRDefault="00F91BD1" w:rsidP="00F91BD1">
            <w:pPr>
              <w:spacing w:after="0" w:line="240" w:lineRule="auto"/>
              <w:rPr>
                <w:rFonts w:cs="Arial"/>
                <w:b/>
                <w:bCs/>
                <w:color w:val="000000"/>
                <w:szCs w:val="21"/>
                <w:lang w:eastAsia="en-AU"/>
              </w:rPr>
            </w:pPr>
            <w:r w:rsidRPr="00F91BD1">
              <w:rPr>
                <w:rFonts w:cs="Arial"/>
                <w:b/>
                <w:bCs/>
                <w:color w:val="000000"/>
                <w:szCs w:val="21"/>
                <w:lang w:eastAsia="en-AU"/>
              </w:rPr>
              <w:t>Benefit</w:t>
            </w:r>
          </w:p>
        </w:tc>
        <w:tc>
          <w:tcPr>
            <w:tcW w:w="4819" w:type="dxa"/>
            <w:tcBorders>
              <w:top w:val="single" w:sz="4" w:space="0" w:color="auto"/>
              <w:left w:val="nil"/>
              <w:bottom w:val="single" w:sz="4" w:space="0" w:color="auto"/>
              <w:right w:val="single" w:sz="4" w:space="0" w:color="auto"/>
            </w:tcBorders>
            <w:hideMark/>
          </w:tcPr>
          <w:p w14:paraId="1F7A0679" w14:textId="77777777" w:rsidR="00F91BD1" w:rsidRPr="00F91BD1" w:rsidRDefault="00F91BD1" w:rsidP="00F91BD1">
            <w:pPr>
              <w:spacing w:after="0" w:line="240" w:lineRule="auto"/>
              <w:rPr>
                <w:rFonts w:cs="Arial"/>
                <w:b/>
                <w:bCs/>
                <w:color w:val="000000"/>
                <w:szCs w:val="21"/>
                <w:lang w:eastAsia="en-AU"/>
              </w:rPr>
            </w:pPr>
            <w:r w:rsidRPr="00F91BD1">
              <w:rPr>
                <w:rFonts w:cs="Arial"/>
                <w:b/>
                <w:bCs/>
                <w:color w:val="000000"/>
                <w:szCs w:val="21"/>
                <w:lang w:eastAsia="en-AU"/>
              </w:rPr>
              <w:t>Digital intervention</w:t>
            </w:r>
          </w:p>
        </w:tc>
      </w:tr>
      <w:tr w:rsidR="00F91BD1" w:rsidRPr="00F91BD1" w14:paraId="4CCB6ACD" w14:textId="77777777" w:rsidTr="009B5B7D">
        <w:trPr>
          <w:trHeight w:val="540"/>
        </w:trPr>
        <w:tc>
          <w:tcPr>
            <w:tcW w:w="4390" w:type="dxa"/>
            <w:tcBorders>
              <w:top w:val="nil"/>
              <w:left w:val="single" w:sz="4" w:space="0" w:color="auto"/>
              <w:bottom w:val="single" w:sz="4" w:space="0" w:color="auto"/>
              <w:right w:val="single" w:sz="4" w:space="0" w:color="auto"/>
            </w:tcBorders>
            <w:hideMark/>
          </w:tcPr>
          <w:p w14:paraId="542528B7" w14:textId="77777777" w:rsidR="00F91BD1" w:rsidRPr="00F91BD1" w:rsidRDefault="00F91BD1" w:rsidP="00F91BD1">
            <w:pPr>
              <w:spacing w:after="0" w:line="240" w:lineRule="auto"/>
              <w:rPr>
                <w:rFonts w:cs="Arial"/>
                <w:b/>
                <w:bCs/>
                <w:color w:val="000000"/>
                <w:szCs w:val="21"/>
                <w:lang w:eastAsia="en-AU"/>
              </w:rPr>
            </w:pPr>
            <w:r w:rsidRPr="00F91BD1">
              <w:rPr>
                <w:rFonts w:cs="Arial"/>
                <w:b/>
                <w:bCs/>
                <w:color w:val="000000"/>
                <w:szCs w:val="21"/>
                <w:lang w:eastAsia="en-AU"/>
              </w:rPr>
              <w:t>28% reduction in 90-day readmissions</w:t>
            </w:r>
          </w:p>
        </w:tc>
        <w:tc>
          <w:tcPr>
            <w:tcW w:w="4819" w:type="dxa"/>
            <w:tcBorders>
              <w:top w:val="nil"/>
              <w:left w:val="nil"/>
              <w:bottom w:val="single" w:sz="4" w:space="0" w:color="auto"/>
              <w:right w:val="single" w:sz="4" w:space="0" w:color="auto"/>
            </w:tcBorders>
            <w:hideMark/>
          </w:tcPr>
          <w:p w14:paraId="3097DB78" w14:textId="77777777" w:rsidR="00F91BD1" w:rsidRPr="00F91BD1" w:rsidRDefault="00F91BD1" w:rsidP="00F91BD1">
            <w:pPr>
              <w:spacing w:after="0" w:line="240" w:lineRule="auto"/>
              <w:rPr>
                <w:rFonts w:cs="Arial"/>
                <w:color w:val="000000"/>
                <w:szCs w:val="21"/>
                <w:lang w:eastAsia="en-AU"/>
              </w:rPr>
            </w:pPr>
            <w:r w:rsidRPr="00F91BD1">
              <w:rPr>
                <w:rFonts w:cs="Arial"/>
                <w:color w:val="000000"/>
                <w:szCs w:val="21"/>
                <w:lang w:eastAsia="en-AU"/>
              </w:rPr>
              <w:t>Use of electronic medical record interventions</w:t>
            </w:r>
          </w:p>
        </w:tc>
      </w:tr>
      <w:tr w:rsidR="00F91BD1" w:rsidRPr="00F91BD1" w14:paraId="50708B01" w14:textId="77777777" w:rsidTr="009B5B7D">
        <w:trPr>
          <w:trHeight w:val="540"/>
        </w:trPr>
        <w:tc>
          <w:tcPr>
            <w:tcW w:w="4390" w:type="dxa"/>
            <w:tcBorders>
              <w:top w:val="nil"/>
              <w:left w:val="single" w:sz="4" w:space="0" w:color="auto"/>
              <w:bottom w:val="single" w:sz="4" w:space="0" w:color="auto"/>
              <w:right w:val="single" w:sz="4" w:space="0" w:color="auto"/>
            </w:tcBorders>
            <w:hideMark/>
          </w:tcPr>
          <w:p w14:paraId="32CD1D01" w14:textId="77777777" w:rsidR="00F91BD1" w:rsidRPr="00F91BD1" w:rsidRDefault="00F91BD1" w:rsidP="00F91BD1">
            <w:pPr>
              <w:spacing w:after="0" w:line="240" w:lineRule="auto"/>
              <w:rPr>
                <w:rFonts w:cs="Arial"/>
                <w:b/>
                <w:bCs/>
                <w:color w:val="000000"/>
                <w:szCs w:val="21"/>
                <w:lang w:eastAsia="en-AU"/>
              </w:rPr>
            </w:pPr>
            <w:r w:rsidRPr="00F91BD1">
              <w:rPr>
                <w:rFonts w:cs="Arial"/>
                <w:b/>
                <w:bCs/>
                <w:color w:val="000000"/>
                <w:szCs w:val="21"/>
                <w:lang w:eastAsia="en-AU"/>
              </w:rPr>
              <w:t>22% reduction in emergency department length of stay</w:t>
            </w:r>
          </w:p>
        </w:tc>
        <w:tc>
          <w:tcPr>
            <w:tcW w:w="4819" w:type="dxa"/>
            <w:tcBorders>
              <w:top w:val="nil"/>
              <w:left w:val="nil"/>
              <w:bottom w:val="single" w:sz="4" w:space="0" w:color="auto"/>
              <w:right w:val="single" w:sz="4" w:space="0" w:color="auto"/>
            </w:tcBorders>
            <w:hideMark/>
          </w:tcPr>
          <w:p w14:paraId="01DE83BD" w14:textId="77777777" w:rsidR="00F91BD1" w:rsidRPr="00F91BD1" w:rsidRDefault="00F91BD1" w:rsidP="00F91BD1">
            <w:pPr>
              <w:spacing w:after="0" w:line="240" w:lineRule="auto"/>
              <w:rPr>
                <w:rFonts w:cs="Arial"/>
                <w:color w:val="000000"/>
                <w:szCs w:val="21"/>
                <w:lang w:eastAsia="en-AU"/>
              </w:rPr>
            </w:pPr>
            <w:r w:rsidRPr="00F91BD1">
              <w:rPr>
                <w:rFonts w:cs="Arial"/>
                <w:color w:val="000000"/>
                <w:szCs w:val="21"/>
                <w:lang w:eastAsia="en-AU"/>
              </w:rPr>
              <w:t>Implementation of an electronic medical record</w:t>
            </w:r>
          </w:p>
        </w:tc>
      </w:tr>
      <w:tr w:rsidR="00F91BD1" w:rsidRPr="00F91BD1" w14:paraId="704B4C82" w14:textId="77777777" w:rsidTr="009B5B7D">
        <w:trPr>
          <w:trHeight w:val="540"/>
        </w:trPr>
        <w:tc>
          <w:tcPr>
            <w:tcW w:w="4390" w:type="dxa"/>
            <w:tcBorders>
              <w:top w:val="nil"/>
              <w:left w:val="single" w:sz="4" w:space="0" w:color="auto"/>
              <w:bottom w:val="single" w:sz="4" w:space="0" w:color="auto"/>
              <w:right w:val="single" w:sz="4" w:space="0" w:color="auto"/>
            </w:tcBorders>
            <w:hideMark/>
          </w:tcPr>
          <w:p w14:paraId="089178B1" w14:textId="70732DC6" w:rsidR="00F91BD1" w:rsidRPr="00F91BD1" w:rsidRDefault="00F91BD1" w:rsidP="00F91BD1">
            <w:pPr>
              <w:spacing w:after="0" w:line="240" w:lineRule="auto"/>
              <w:rPr>
                <w:rFonts w:cs="Arial"/>
                <w:b/>
                <w:bCs/>
                <w:color w:val="000000"/>
                <w:szCs w:val="21"/>
                <w:lang w:eastAsia="en-AU"/>
              </w:rPr>
            </w:pPr>
            <w:r w:rsidRPr="00F91BD1">
              <w:rPr>
                <w:rFonts w:cs="Arial"/>
                <w:b/>
                <w:bCs/>
                <w:color w:val="000000"/>
                <w:szCs w:val="21"/>
                <w:lang w:eastAsia="en-AU"/>
              </w:rPr>
              <w:t xml:space="preserve">11 hours each week </w:t>
            </w:r>
            <w:r w:rsidR="00C104B3" w:rsidRPr="00C104B3">
              <w:rPr>
                <w:rFonts w:cs="Arial"/>
                <w:b/>
                <w:bCs/>
                <w:color w:val="000000"/>
                <w:szCs w:val="21"/>
                <w:lang w:eastAsia="en-AU"/>
              </w:rPr>
              <w:t xml:space="preserve">could be saved </w:t>
            </w:r>
            <w:r w:rsidRPr="00F91BD1">
              <w:rPr>
                <w:rFonts w:cs="Arial"/>
                <w:b/>
                <w:bCs/>
                <w:color w:val="000000"/>
                <w:szCs w:val="21"/>
                <w:lang w:eastAsia="en-AU"/>
              </w:rPr>
              <w:t>for every healthcare worker</w:t>
            </w:r>
          </w:p>
        </w:tc>
        <w:tc>
          <w:tcPr>
            <w:tcW w:w="4819" w:type="dxa"/>
            <w:tcBorders>
              <w:top w:val="nil"/>
              <w:left w:val="nil"/>
              <w:bottom w:val="single" w:sz="4" w:space="0" w:color="auto"/>
              <w:right w:val="single" w:sz="4" w:space="0" w:color="auto"/>
            </w:tcBorders>
            <w:hideMark/>
          </w:tcPr>
          <w:p w14:paraId="4FCFC1D1" w14:textId="77777777" w:rsidR="00F91BD1" w:rsidRPr="00F91BD1" w:rsidRDefault="00F91BD1" w:rsidP="00F91BD1">
            <w:pPr>
              <w:spacing w:after="0" w:line="240" w:lineRule="auto"/>
              <w:rPr>
                <w:rFonts w:cs="Arial"/>
                <w:color w:val="000000"/>
                <w:szCs w:val="21"/>
                <w:lang w:eastAsia="en-AU"/>
              </w:rPr>
            </w:pPr>
            <w:r w:rsidRPr="00F91BD1">
              <w:rPr>
                <w:rFonts w:cs="Arial"/>
                <w:color w:val="000000"/>
                <w:szCs w:val="21"/>
                <w:lang w:eastAsia="en-AU"/>
              </w:rPr>
              <w:t>Automation of everyday tasks using digital technology</w:t>
            </w:r>
          </w:p>
        </w:tc>
      </w:tr>
    </w:tbl>
    <w:p w14:paraId="3CFDE191" w14:textId="56F65E02" w:rsidR="00015542" w:rsidRDefault="00015542" w:rsidP="00015542">
      <w:pPr>
        <w:pStyle w:val="Heading2"/>
        <w:rPr>
          <w:kern w:val="2"/>
          <w:szCs w:val="32"/>
          <w14:ligatures w14:val="standardContextual"/>
        </w:rPr>
      </w:pPr>
      <w:bookmarkStart w:id="90" w:name="_Toc244166854"/>
      <w:r>
        <w:t xml:space="preserve">Figure 5. The </w:t>
      </w:r>
      <w:r w:rsidR="005112B5">
        <w:t xml:space="preserve">rate of chronic disease </w:t>
      </w:r>
      <w:r>
        <w:t>in Australia</w:t>
      </w:r>
      <w:bookmarkEnd w:id="90"/>
    </w:p>
    <w:p w14:paraId="5705F14B" w14:textId="77777777" w:rsidR="00C76DC1" w:rsidRDefault="00C76DC1" w:rsidP="00C76DC1">
      <w:pPr>
        <w:jc w:val="both"/>
      </w:pPr>
      <w:r w:rsidRPr="00C76DC1">
        <w:t>Figure 5 presents two statistics on the prevalence of chronic disease in Australia.</w:t>
      </w:r>
    </w:p>
    <w:tbl>
      <w:tblPr>
        <w:tblW w:w="9209" w:type="dxa"/>
        <w:tblLook w:val="04A0" w:firstRow="1" w:lastRow="0" w:firstColumn="1" w:lastColumn="0" w:noHBand="0" w:noVBand="1"/>
      </w:tblPr>
      <w:tblGrid>
        <w:gridCol w:w="2972"/>
        <w:gridCol w:w="6237"/>
      </w:tblGrid>
      <w:tr w:rsidR="00CC0747" w:rsidRPr="00CC0747" w14:paraId="1E41C467" w14:textId="77777777" w:rsidTr="001D4CB6">
        <w:trPr>
          <w:trHeight w:val="290"/>
        </w:trPr>
        <w:tc>
          <w:tcPr>
            <w:tcW w:w="2972" w:type="dxa"/>
            <w:tcBorders>
              <w:top w:val="single" w:sz="4" w:space="0" w:color="auto"/>
              <w:left w:val="single" w:sz="4" w:space="0" w:color="auto"/>
              <w:bottom w:val="single" w:sz="4" w:space="0" w:color="auto"/>
              <w:right w:val="single" w:sz="4" w:space="0" w:color="auto"/>
            </w:tcBorders>
            <w:vAlign w:val="center"/>
            <w:hideMark/>
          </w:tcPr>
          <w:p w14:paraId="5FBF1310" w14:textId="77777777" w:rsidR="00CC0747" w:rsidRPr="00CC0747" w:rsidRDefault="00CC0747" w:rsidP="00CC0747">
            <w:pPr>
              <w:spacing w:after="0" w:line="240" w:lineRule="auto"/>
              <w:rPr>
                <w:rFonts w:cs="Arial"/>
                <w:b/>
                <w:bCs/>
                <w:color w:val="000000"/>
                <w:szCs w:val="21"/>
                <w:lang w:eastAsia="en-AU"/>
              </w:rPr>
            </w:pPr>
            <w:r w:rsidRPr="00CC0747">
              <w:rPr>
                <w:rFonts w:cs="Arial"/>
                <w:b/>
                <w:bCs/>
                <w:color w:val="000000"/>
                <w:szCs w:val="21"/>
                <w:lang w:eastAsia="en-AU"/>
              </w:rPr>
              <w:t>Proportion of Australians</w:t>
            </w:r>
          </w:p>
        </w:tc>
        <w:tc>
          <w:tcPr>
            <w:tcW w:w="6237" w:type="dxa"/>
            <w:tcBorders>
              <w:top w:val="single" w:sz="4" w:space="0" w:color="auto"/>
              <w:left w:val="nil"/>
              <w:bottom w:val="single" w:sz="4" w:space="0" w:color="auto"/>
              <w:right w:val="single" w:sz="4" w:space="0" w:color="auto"/>
            </w:tcBorders>
            <w:vAlign w:val="center"/>
            <w:hideMark/>
          </w:tcPr>
          <w:p w14:paraId="404B27C7" w14:textId="77777777" w:rsidR="00CC0747" w:rsidRPr="00CC0747" w:rsidRDefault="00CC0747" w:rsidP="00CC0747">
            <w:pPr>
              <w:spacing w:after="0" w:line="240" w:lineRule="auto"/>
              <w:rPr>
                <w:rFonts w:cs="Arial"/>
                <w:b/>
                <w:bCs/>
                <w:color w:val="000000"/>
                <w:szCs w:val="21"/>
                <w:lang w:eastAsia="en-AU"/>
              </w:rPr>
            </w:pPr>
            <w:r w:rsidRPr="00CC0747">
              <w:rPr>
                <w:rFonts w:cs="Arial"/>
                <w:b/>
                <w:bCs/>
                <w:color w:val="000000"/>
                <w:szCs w:val="21"/>
                <w:lang w:eastAsia="en-AU"/>
              </w:rPr>
              <w:t>Chronic disease prevalence</w:t>
            </w:r>
          </w:p>
        </w:tc>
      </w:tr>
      <w:tr w:rsidR="00CC0747" w:rsidRPr="00CC0747" w14:paraId="0E08AC93" w14:textId="77777777" w:rsidTr="001D4CB6">
        <w:trPr>
          <w:trHeight w:val="540"/>
        </w:trPr>
        <w:tc>
          <w:tcPr>
            <w:tcW w:w="2972" w:type="dxa"/>
            <w:tcBorders>
              <w:top w:val="nil"/>
              <w:left w:val="single" w:sz="4" w:space="0" w:color="auto"/>
              <w:bottom w:val="single" w:sz="4" w:space="0" w:color="auto"/>
              <w:right w:val="single" w:sz="4" w:space="0" w:color="auto"/>
            </w:tcBorders>
            <w:vAlign w:val="center"/>
            <w:hideMark/>
          </w:tcPr>
          <w:p w14:paraId="5C18655A" w14:textId="77777777" w:rsidR="00CC0747" w:rsidRPr="00CC0747" w:rsidRDefault="00CC0747" w:rsidP="00CC0747">
            <w:pPr>
              <w:spacing w:after="0" w:line="240" w:lineRule="auto"/>
              <w:rPr>
                <w:rFonts w:cs="Arial"/>
                <w:b/>
                <w:bCs/>
                <w:color w:val="000000"/>
                <w:szCs w:val="21"/>
                <w:lang w:eastAsia="en-AU"/>
              </w:rPr>
            </w:pPr>
            <w:r w:rsidRPr="00CC0747">
              <w:rPr>
                <w:rFonts w:cs="Arial"/>
                <w:b/>
                <w:bCs/>
                <w:color w:val="000000"/>
                <w:szCs w:val="21"/>
                <w:lang w:eastAsia="en-AU"/>
              </w:rPr>
              <w:t>61%</w:t>
            </w:r>
          </w:p>
        </w:tc>
        <w:tc>
          <w:tcPr>
            <w:tcW w:w="6237" w:type="dxa"/>
            <w:tcBorders>
              <w:top w:val="nil"/>
              <w:left w:val="nil"/>
              <w:bottom w:val="single" w:sz="4" w:space="0" w:color="auto"/>
              <w:right w:val="single" w:sz="4" w:space="0" w:color="auto"/>
            </w:tcBorders>
            <w:vAlign w:val="center"/>
            <w:hideMark/>
          </w:tcPr>
          <w:p w14:paraId="2EF527E8" w14:textId="77777777" w:rsidR="00CC0747" w:rsidRPr="00CC0747" w:rsidRDefault="00CC0747" w:rsidP="00CC0747">
            <w:pPr>
              <w:spacing w:after="0" w:line="240" w:lineRule="auto"/>
              <w:rPr>
                <w:rFonts w:cs="Arial"/>
                <w:color w:val="000000"/>
                <w:szCs w:val="21"/>
                <w:lang w:eastAsia="en-AU"/>
              </w:rPr>
            </w:pPr>
            <w:r w:rsidRPr="00CC0747">
              <w:rPr>
                <w:rFonts w:cs="Arial"/>
                <w:color w:val="000000"/>
                <w:szCs w:val="21"/>
                <w:lang w:eastAsia="en-AU"/>
              </w:rPr>
              <w:t>Living with at least one long-term health condition</w:t>
            </w:r>
          </w:p>
        </w:tc>
      </w:tr>
      <w:tr w:rsidR="00CC0747" w:rsidRPr="00CC0747" w14:paraId="497303F4" w14:textId="77777777" w:rsidTr="001D4CB6">
        <w:trPr>
          <w:trHeight w:val="540"/>
        </w:trPr>
        <w:tc>
          <w:tcPr>
            <w:tcW w:w="2972" w:type="dxa"/>
            <w:tcBorders>
              <w:top w:val="nil"/>
              <w:left w:val="single" w:sz="4" w:space="0" w:color="auto"/>
              <w:bottom w:val="single" w:sz="4" w:space="0" w:color="auto"/>
              <w:right w:val="single" w:sz="4" w:space="0" w:color="auto"/>
            </w:tcBorders>
            <w:vAlign w:val="center"/>
            <w:hideMark/>
          </w:tcPr>
          <w:p w14:paraId="7DD14D34" w14:textId="77777777" w:rsidR="00CC0747" w:rsidRPr="00CC0747" w:rsidRDefault="00CC0747" w:rsidP="00CC0747">
            <w:pPr>
              <w:spacing w:after="0" w:line="240" w:lineRule="auto"/>
              <w:rPr>
                <w:rFonts w:cs="Arial"/>
                <w:b/>
                <w:bCs/>
                <w:color w:val="000000"/>
                <w:szCs w:val="21"/>
                <w:lang w:eastAsia="en-AU"/>
              </w:rPr>
            </w:pPr>
            <w:r w:rsidRPr="00CC0747">
              <w:rPr>
                <w:rFonts w:cs="Arial"/>
                <w:b/>
                <w:bCs/>
                <w:color w:val="000000"/>
                <w:szCs w:val="21"/>
                <w:lang w:eastAsia="en-AU"/>
              </w:rPr>
              <w:t>38%</w:t>
            </w:r>
          </w:p>
        </w:tc>
        <w:tc>
          <w:tcPr>
            <w:tcW w:w="6237" w:type="dxa"/>
            <w:tcBorders>
              <w:top w:val="nil"/>
              <w:left w:val="nil"/>
              <w:bottom w:val="single" w:sz="4" w:space="0" w:color="auto"/>
              <w:right w:val="single" w:sz="4" w:space="0" w:color="auto"/>
            </w:tcBorders>
            <w:vAlign w:val="center"/>
            <w:hideMark/>
          </w:tcPr>
          <w:p w14:paraId="618BC0DF" w14:textId="77777777" w:rsidR="00CC0747" w:rsidRPr="00CC0747" w:rsidRDefault="00CC0747" w:rsidP="00CC0747">
            <w:pPr>
              <w:spacing w:after="0" w:line="240" w:lineRule="auto"/>
              <w:rPr>
                <w:rFonts w:cs="Arial"/>
                <w:color w:val="000000"/>
                <w:szCs w:val="21"/>
                <w:lang w:eastAsia="en-AU"/>
              </w:rPr>
            </w:pPr>
            <w:r w:rsidRPr="00CC0747">
              <w:rPr>
                <w:rFonts w:cs="Arial"/>
                <w:color w:val="000000"/>
                <w:szCs w:val="21"/>
                <w:lang w:eastAsia="en-AU"/>
              </w:rPr>
              <w:t>Living with two or more chronic conditions</w:t>
            </w:r>
          </w:p>
        </w:tc>
      </w:tr>
    </w:tbl>
    <w:p w14:paraId="52DD0031" w14:textId="7F55C31A" w:rsidR="00C30626" w:rsidRDefault="00385EDF" w:rsidP="001568F5">
      <w:pPr>
        <w:pStyle w:val="Heading2"/>
      </w:pPr>
      <w:bookmarkStart w:id="91" w:name="_Toc244166855"/>
      <w:r w:rsidRPr="005020E9">
        <w:t xml:space="preserve">Figure </w:t>
      </w:r>
      <w:r w:rsidR="00651D46">
        <w:t>6.</w:t>
      </w:r>
      <w:r w:rsidRPr="005020E9">
        <w:t xml:space="preserve"> Healthcare consumers are open to AI being used to support care access and navigation</w:t>
      </w:r>
      <w:bookmarkEnd w:id="91"/>
    </w:p>
    <w:p w14:paraId="6E61469B" w14:textId="77777777" w:rsidR="008C3A6B" w:rsidRDefault="008C3A6B">
      <w:pPr>
        <w:spacing w:after="0" w:line="300" w:lineRule="atLeast"/>
        <w:jc w:val="both"/>
        <w:rPr>
          <w:kern w:val="2"/>
          <w:szCs w:val="21"/>
          <w14:ligatures w14:val="standardContextual"/>
        </w:rPr>
      </w:pPr>
      <w:r>
        <w:t>Figure 6 presents two findings about consumers’ comfort with the use of AI for healthcare access and navigation.</w:t>
      </w:r>
    </w:p>
    <w:tbl>
      <w:tblPr>
        <w:tblW w:w="9209" w:type="dxa"/>
        <w:tblLook w:val="04A0" w:firstRow="1" w:lastRow="0" w:firstColumn="1" w:lastColumn="0" w:noHBand="0" w:noVBand="1"/>
      </w:tblPr>
      <w:tblGrid>
        <w:gridCol w:w="1696"/>
        <w:gridCol w:w="7513"/>
      </w:tblGrid>
      <w:tr w:rsidR="004D1C71" w:rsidRPr="004D1C71" w14:paraId="3B324441" w14:textId="77777777" w:rsidTr="0029724C">
        <w:trPr>
          <w:trHeight w:val="403"/>
          <w:tblHeader/>
        </w:trPr>
        <w:tc>
          <w:tcPr>
            <w:tcW w:w="1696" w:type="dxa"/>
            <w:tcBorders>
              <w:top w:val="single" w:sz="4" w:space="0" w:color="auto"/>
              <w:left w:val="single" w:sz="4" w:space="0" w:color="auto"/>
              <w:bottom w:val="single" w:sz="4" w:space="0" w:color="auto"/>
              <w:right w:val="single" w:sz="4" w:space="0" w:color="auto"/>
            </w:tcBorders>
            <w:hideMark/>
          </w:tcPr>
          <w:p w14:paraId="0250E865" w14:textId="77777777" w:rsidR="004D1C71" w:rsidRPr="004D1C71" w:rsidRDefault="004D1C71" w:rsidP="004D1C71">
            <w:pPr>
              <w:spacing w:after="0" w:line="240" w:lineRule="auto"/>
              <w:rPr>
                <w:rFonts w:cs="Arial"/>
                <w:b/>
                <w:bCs/>
                <w:color w:val="000000"/>
                <w:szCs w:val="21"/>
                <w:lang w:eastAsia="en-AU"/>
              </w:rPr>
            </w:pPr>
            <w:r w:rsidRPr="004D1C71">
              <w:rPr>
                <w:rFonts w:cs="Arial"/>
                <w:b/>
                <w:bCs/>
                <w:color w:val="000000"/>
                <w:szCs w:val="21"/>
                <w:lang w:eastAsia="en-AU"/>
              </w:rPr>
              <w:t>Proportion of consumers</w:t>
            </w:r>
          </w:p>
        </w:tc>
        <w:tc>
          <w:tcPr>
            <w:tcW w:w="7513" w:type="dxa"/>
            <w:tcBorders>
              <w:top w:val="single" w:sz="4" w:space="0" w:color="auto"/>
              <w:left w:val="nil"/>
              <w:bottom w:val="single" w:sz="4" w:space="0" w:color="auto"/>
              <w:right w:val="single" w:sz="4" w:space="0" w:color="auto"/>
            </w:tcBorders>
            <w:hideMark/>
          </w:tcPr>
          <w:p w14:paraId="74F02116" w14:textId="77777777" w:rsidR="004D1C71" w:rsidRPr="004D1C71" w:rsidRDefault="004D1C71" w:rsidP="004D1C71">
            <w:pPr>
              <w:spacing w:after="0" w:line="240" w:lineRule="auto"/>
              <w:rPr>
                <w:rFonts w:cs="Arial"/>
                <w:b/>
                <w:bCs/>
                <w:color w:val="000000"/>
                <w:szCs w:val="21"/>
                <w:lang w:eastAsia="en-AU"/>
              </w:rPr>
            </w:pPr>
            <w:r w:rsidRPr="004D1C71">
              <w:rPr>
                <w:rFonts w:cs="Arial"/>
                <w:b/>
                <w:bCs/>
                <w:color w:val="000000"/>
                <w:szCs w:val="21"/>
                <w:lang w:eastAsia="en-AU"/>
              </w:rPr>
              <w:t>Use of AI</w:t>
            </w:r>
          </w:p>
        </w:tc>
      </w:tr>
      <w:tr w:rsidR="004D1C71" w:rsidRPr="004D1C71" w14:paraId="585208A0" w14:textId="77777777" w:rsidTr="0029724C">
        <w:trPr>
          <w:trHeight w:val="565"/>
        </w:trPr>
        <w:tc>
          <w:tcPr>
            <w:tcW w:w="1696" w:type="dxa"/>
            <w:tcBorders>
              <w:top w:val="nil"/>
              <w:left w:val="single" w:sz="4" w:space="0" w:color="auto"/>
              <w:bottom w:val="single" w:sz="4" w:space="0" w:color="auto"/>
              <w:right w:val="single" w:sz="4" w:space="0" w:color="auto"/>
            </w:tcBorders>
            <w:hideMark/>
          </w:tcPr>
          <w:p w14:paraId="12713461" w14:textId="77777777" w:rsidR="004D1C71" w:rsidRPr="004D1C71" w:rsidRDefault="004D1C71" w:rsidP="004D1C71">
            <w:pPr>
              <w:spacing w:after="0" w:line="240" w:lineRule="auto"/>
              <w:rPr>
                <w:rFonts w:cs="Arial"/>
                <w:b/>
                <w:bCs/>
                <w:color w:val="000000"/>
                <w:szCs w:val="21"/>
                <w:lang w:eastAsia="en-AU"/>
              </w:rPr>
            </w:pPr>
            <w:r w:rsidRPr="004D1C71">
              <w:rPr>
                <w:rFonts w:cs="Arial"/>
                <w:b/>
                <w:bCs/>
                <w:color w:val="000000"/>
                <w:szCs w:val="21"/>
                <w:lang w:eastAsia="en-AU"/>
              </w:rPr>
              <w:t>85%</w:t>
            </w:r>
          </w:p>
        </w:tc>
        <w:tc>
          <w:tcPr>
            <w:tcW w:w="7513" w:type="dxa"/>
            <w:tcBorders>
              <w:top w:val="nil"/>
              <w:left w:val="nil"/>
              <w:bottom w:val="single" w:sz="4" w:space="0" w:color="auto"/>
              <w:right w:val="single" w:sz="4" w:space="0" w:color="auto"/>
            </w:tcBorders>
            <w:hideMark/>
          </w:tcPr>
          <w:p w14:paraId="1BF31AA6" w14:textId="77777777" w:rsidR="004D1C71" w:rsidRPr="004D1C71" w:rsidRDefault="004D1C71" w:rsidP="004D1C71">
            <w:pPr>
              <w:spacing w:after="0" w:line="240" w:lineRule="auto"/>
              <w:rPr>
                <w:rFonts w:cs="Arial"/>
                <w:color w:val="000000"/>
                <w:szCs w:val="21"/>
                <w:lang w:eastAsia="en-AU"/>
              </w:rPr>
            </w:pPr>
            <w:r w:rsidRPr="004D1C71">
              <w:rPr>
                <w:rFonts w:cs="Arial"/>
                <w:color w:val="000000"/>
                <w:szCs w:val="21"/>
                <w:lang w:eastAsia="en-AU"/>
              </w:rPr>
              <w:t>Comfortable or very comfortable with AI scheduling their health appointments and sending reminders</w:t>
            </w:r>
          </w:p>
        </w:tc>
      </w:tr>
      <w:tr w:rsidR="004D1C71" w:rsidRPr="004D1C71" w14:paraId="45778036" w14:textId="77777777" w:rsidTr="00B73DEA">
        <w:trPr>
          <w:trHeight w:val="586"/>
        </w:trPr>
        <w:tc>
          <w:tcPr>
            <w:tcW w:w="1696" w:type="dxa"/>
            <w:tcBorders>
              <w:top w:val="nil"/>
              <w:left w:val="single" w:sz="4" w:space="0" w:color="auto"/>
              <w:bottom w:val="single" w:sz="4" w:space="0" w:color="auto"/>
              <w:right w:val="single" w:sz="4" w:space="0" w:color="auto"/>
            </w:tcBorders>
            <w:hideMark/>
          </w:tcPr>
          <w:p w14:paraId="5E21D66A" w14:textId="77777777" w:rsidR="004D1C71" w:rsidRPr="004D1C71" w:rsidRDefault="004D1C71" w:rsidP="004D1C71">
            <w:pPr>
              <w:spacing w:after="0" w:line="240" w:lineRule="auto"/>
              <w:rPr>
                <w:rFonts w:cs="Arial"/>
                <w:b/>
                <w:bCs/>
                <w:color w:val="000000"/>
                <w:szCs w:val="21"/>
                <w:lang w:eastAsia="en-AU"/>
              </w:rPr>
            </w:pPr>
            <w:r w:rsidRPr="004D1C71">
              <w:rPr>
                <w:rFonts w:cs="Arial"/>
                <w:b/>
                <w:bCs/>
                <w:color w:val="000000"/>
                <w:szCs w:val="21"/>
                <w:lang w:eastAsia="en-AU"/>
              </w:rPr>
              <w:t>70%</w:t>
            </w:r>
          </w:p>
        </w:tc>
        <w:tc>
          <w:tcPr>
            <w:tcW w:w="7513" w:type="dxa"/>
            <w:tcBorders>
              <w:top w:val="nil"/>
              <w:left w:val="nil"/>
              <w:bottom w:val="single" w:sz="4" w:space="0" w:color="auto"/>
              <w:right w:val="single" w:sz="4" w:space="0" w:color="auto"/>
            </w:tcBorders>
            <w:hideMark/>
          </w:tcPr>
          <w:p w14:paraId="532B76C0" w14:textId="77777777" w:rsidR="004D1C71" w:rsidRPr="004D1C71" w:rsidRDefault="004D1C71" w:rsidP="004D1C71">
            <w:pPr>
              <w:spacing w:after="0" w:line="240" w:lineRule="auto"/>
              <w:rPr>
                <w:rFonts w:cs="Arial"/>
                <w:color w:val="000000"/>
                <w:szCs w:val="21"/>
                <w:lang w:eastAsia="en-AU"/>
              </w:rPr>
            </w:pPr>
            <w:r w:rsidRPr="004D1C71">
              <w:rPr>
                <w:rFonts w:cs="Arial"/>
                <w:color w:val="000000"/>
                <w:szCs w:val="21"/>
                <w:lang w:eastAsia="en-AU"/>
              </w:rPr>
              <w:t>Comfortable or very comfortable with AI providing simple responses to frequently asked questions about their health or services that may be available</w:t>
            </w:r>
          </w:p>
        </w:tc>
      </w:tr>
    </w:tbl>
    <w:p w14:paraId="56375445" w14:textId="540E2127" w:rsidR="00B01C41" w:rsidRPr="001A460B" w:rsidRDefault="00B01C41">
      <w:pPr>
        <w:spacing w:after="0" w:line="240" w:lineRule="auto"/>
        <w:rPr>
          <w:b/>
          <w:color w:val="53565A"/>
          <w:szCs w:val="21"/>
        </w:rPr>
      </w:pPr>
    </w:p>
    <w:p w14:paraId="754DBCDF" w14:textId="77777777" w:rsidR="00C72D7D" w:rsidRDefault="00C72D7D">
      <w:pPr>
        <w:spacing w:after="0" w:line="240" w:lineRule="auto"/>
        <w:rPr>
          <w:b/>
          <w:color w:val="53565A"/>
          <w:sz w:val="32"/>
          <w:szCs w:val="28"/>
        </w:rPr>
      </w:pPr>
      <w:r>
        <w:br w:type="page"/>
      </w:r>
    </w:p>
    <w:p w14:paraId="4F1C4669" w14:textId="74C2EEBD" w:rsidR="00F9713D" w:rsidRPr="00F9713D" w:rsidRDefault="00F9713D" w:rsidP="0027187C">
      <w:pPr>
        <w:pStyle w:val="Heading2"/>
      </w:pPr>
      <w:bookmarkStart w:id="92" w:name="_Toc244166856"/>
      <w:r w:rsidRPr="00F9713D">
        <w:lastRenderedPageBreak/>
        <w:t xml:space="preserve">Figure 7. </w:t>
      </w:r>
      <w:r w:rsidR="00D4564C">
        <w:t xml:space="preserve">Advances in technology </w:t>
      </w:r>
      <w:r w:rsidR="00B345F5">
        <w:t xml:space="preserve">are enabling </w:t>
      </w:r>
      <w:r w:rsidR="00EE22C6">
        <w:t>c</w:t>
      </w:r>
      <w:r w:rsidRPr="00F9713D">
        <w:t xml:space="preserve">ontinuous </w:t>
      </w:r>
      <w:r w:rsidR="00EE22C6">
        <w:t>p</w:t>
      </w:r>
      <w:r w:rsidRPr="00F9713D">
        <w:t xml:space="preserve">atient </w:t>
      </w:r>
      <w:r w:rsidR="00EE22C6">
        <w:t>m</w:t>
      </w:r>
      <w:r w:rsidRPr="00F9713D">
        <w:t>onitoring</w:t>
      </w:r>
      <w:bookmarkEnd w:id="92"/>
    </w:p>
    <w:p w14:paraId="506843E0" w14:textId="77777777" w:rsidR="00B47880" w:rsidRDefault="00B47880">
      <w:pPr>
        <w:jc w:val="both"/>
        <w:rPr>
          <w:kern w:val="2"/>
          <w:szCs w:val="21"/>
          <w14:ligatures w14:val="standardContextual"/>
        </w:rPr>
      </w:pPr>
      <w:r>
        <w:t xml:space="preserve">Figure 7 presents </w:t>
      </w:r>
      <w:proofErr w:type="spellStart"/>
      <w:r>
        <w:t>AusculPatch</w:t>
      </w:r>
      <w:proofErr w:type="spellEnd"/>
      <w:r>
        <w:t xml:space="preserve"> as an example of an experimental wearable technology that may enable continuous patient monitoring, rather than a capability already in routine use.</w:t>
      </w:r>
    </w:p>
    <w:tbl>
      <w:tblPr>
        <w:tblW w:w="9351" w:type="dxa"/>
        <w:tblLook w:val="04A0" w:firstRow="1" w:lastRow="0" w:firstColumn="1" w:lastColumn="0" w:noHBand="0" w:noVBand="1"/>
      </w:tblPr>
      <w:tblGrid>
        <w:gridCol w:w="2122"/>
        <w:gridCol w:w="7229"/>
      </w:tblGrid>
      <w:tr w:rsidR="00314699" w:rsidRPr="00314699" w14:paraId="4F5AAE8B" w14:textId="77777777" w:rsidTr="00946E1A">
        <w:trPr>
          <w:trHeight w:val="290"/>
          <w:tblHeader/>
        </w:trPr>
        <w:tc>
          <w:tcPr>
            <w:tcW w:w="2122" w:type="dxa"/>
            <w:tcBorders>
              <w:top w:val="single" w:sz="4" w:space="0" w:color="auto"/>
              <w:left w:val="single" w:sz="4" w:space="0" w:color="auto"/>
              <w:bottom w:val="single" w:sz="4" w:space="0" w:color="auto"/>
              <w:right w:val="single" w:sz="4" w:space="0" w:color="auto"/>
            </w:tcBorders>
            <w:hideMark/>
          </w:tcPr>
          <w:p w14:paraId="1C05DC5A" w14:textId="77777777" w:rsidR="00314699" w:rsidRPr="00314699" w:rsidRDefault="00314699" w:rsidP="00314699">
            <w:pPr>
              <w:spacing w:after="0" w:line="240" w:lineRule="auto"/>
              <w:rPr>
                <w:rFonts w:cs="Arial"/>
                <w:b/>
                <w:bCs/>
                <w:color w:val="000000"/>
                <w:szCs w:val="21"/>
                <w:lang w:eastAsia="en-AU"/>
              </w:rPr>
            </w:pPr>
            <w:r w:rsidRPr="00314699">
              <w:rPr>
                <w:rFonts w:cs="Arial"/>
                <w:b/>
                <w:bCs/>
                <w:color w:val="000000"/>
                <w:szCs w:val="21"/>
                <w:lang w:eastAsia="en-AU"/>
              </w:rPr>
              <w:t>Feature</w:t>
            </w:r>
          </w:p>
        </w:tc>
        <w:tc>
          <w:tcPr>
            <w:tcW w:w="7229" w:type="dxa"/>
            <w:tcBorders>
              <w:top w:val="single" w:sz="4" w:space="0" w:color="auto"/>
              <w:left w:val="nil"/>
              <w:bottom w:val="single" w:sz="4" w:space="0" w:color="auto"/>
              <w:right w:val="single" w:sz="4" w:space="0" w:color="auto"/>
            </w:tcBorders>
            <w:hideMark/>
          </w:tcPr>
          <w:p w14:paraId="27E3204B" w14:textId="77777777" w:rsidR="00314699" w:rsidRPr="00314699" w:rsidRDefault="00314699" w:rsidP="00314699">
            <w:pPr>
              <w:spacing w:after="0" w:line="240" w:lineRule="auto"/>
              <w:rPr>
                <w:rFonts w:cs="Arial"/>
                <w:b/>
                <w:bCs/>
                <w:color w:val="000000"/>
                <w:szCs w:val="21"/>
                <w:lang w:eastAsia="en-AU"/>
              </w:rPr>
            </w:pPr>
            <w:r w:rsidRPr="00314699">
              <w:rPr>
                <w:rFonts w:cs="Arial"/>
                <w:b/>
                <w:bCs/>
                <w:color w:val="000000"/>
                <w:szCs w:val="21"/>
                <w:lang w:eastAsia="en-AU"/>
              </w:rPr>
              <w:t>Description</w:t>
            </w:r>
          </w:p>
        </w:tc>
      </w:tr>
      <w:tr w:rsidR="00314699" w:rsidRPr="00314699" w14:paraId="392247EA" w14:textId="77777777" w:rsidTr="00946E1A">
        <w:trPr>
          <w:trHeight w:val="540"/>
        </w:trPr>
        <w:tc>
          <w:tcPr>
            <w:tcW w:w="2122" w:type="dxa"/>
            <w:tcBorders>
              <w:top w:val="nil"/>
              <w:left w:val="single" w:sz="4" w:space="0" w:color="auto"/>
              <w:bottom w:val="single" w:sz="4" w:space="0" w:color="auto"/>
              <w:right w:val="single" w:sz="4" w:space="0" w:color="auto"/>
            </w:tcBorders>
            <w:hideMark/>
          </w:tcPr>
          <w:p w14:paraId="64E6E768" w14:textId="77777777" w:rsidR="00314699" w:rsidRPr="00314699" w:rsidRDefault="00314699" w:rsidP="00314699">
            <w:pPr>
              <w:spacing w:after="0" w:line="240" w:lineRule="auto"/>
              <w:rPr>
                <w:rFonts w:cs="Arial"/>
                <w:b/>
                <w:bCs/>
                <w:color w:val="000000"/>
                <w:szCs w:val="21"/>
                <w:lang w:eastAsia="en-AU"/>
              </w:rPr>
            </w:pPr>
            <w:r w:rsidRPr="00314699">
              <w:rPr>
                <w:rFonts w:cs="Arial"/>
                <w:b/>
                <w:bCs/>
                <w:color w:val="000000"/>
                <w:szCs w:val="21"/>
                <w:lang w:eastAsia="en-AU"/>
              </w:rPr>
              <w:t>Technology</w:t>
            </w:r>
          </w:p>
        </w:tc>
        <w:tc>
          <w:tcPr>
            <w:tcW w:w="7229" w:type="dxa"/>
            <w:tcBorders>
              <w:top w:val="nil"/>
              <w:left w:val="nil"/>
              <w:bottom w:val="single" w:sz="4" w:space="0" w:color="auto"/>
              <w:right w:val="single" w:sz="4" w:space="0" w:color="auto"/>
            </w:tcBorders>
            <w:hideMark/>
          </w:tcPr>
          <w:p w14:paraId="0948639E" w14:textId="77777777" w:rsidR="00314699" w:rsidRPr="00314699" w:rsidRDefault="00314699" w:rsidP="00314699">
            <w:pPr>
              <w:spacing w:after="0" w:line="240" w:lineRule="auto"/>
              <w:rPr>
                <w:rFonts w:cs="Arial"/>
                <w:color w:val="000000"/>
                <w:szCs w:val="21"/>
                <w:lang w:eastAsia="en-AU"/>
              </w:rPr>
            </w:pPr>
            <w:proofErr w:type="spellStart"/>
            <w:r w:rsidRPr="00314699">
              <w:rPr>
                <w:rFonts w:cs="Arial"/>
                <w:color w:val="000000"/>
                <w:szCs w:val="21"/>
                <w:lang w:eastAsia="en-AU"/>
              </w:rPr>
              <w:t>AusculPatch</w:t>
            </w:r>
            <w:proofErr w:type="spellEnd"/>
            <w:r w:rsidRPr="00314699">
              <w:rPr>
                <w:rFonts w:cs="Arial"/>
                <w:color w:val="000000"/>
                <w:szCs w:val="21"/>
                <w:lang w:eastAsia="en-AU"/>
              </w:rPr>
              <w:t>, an experimental wearable sensor developed by researchers at UNSW</w:t>
            </w:r>
          </w:p>
        </w:tc>
      </w:tr>
      <w:tr w:rsidR="00314699" w:rsidRPr="00314699" w14:paraId="77A137C8" w14:textId="77777777" w:rsidTr="00946E1A">
        <w:trPr>
          <w:trHeight w:val="540"/>
        </w:trPr>
        <w:tc>
          <w:tcPr>
            <w:tcW w:w="2122" w:type="dxa"/>
            <w:tcBorders>
              <w:top w:val="nil"/>
              <w:left w:val="single" w:sz="4" w:space="0" w:color="auto"/>
              <w:bottom w:val="single" w:sz="4" w:space="0" w:color="auto"/>
              <w:right w:val="single" w:sz="4" w:space="0" w:color="auto"/>
            </w:tcBorders>
            <w:hideMark/>
          </w:tcPr>
          <w:p w14:paraId="732DB997" w14:textId="77777777" w:rsidR="00314699" w:rsidRPr="00314699" w:rsidRDefault="00314699" w:rsidP="00314699">
            <w:pPr>
              <w:spacing w:after="0" w:line="240" w:lineRule="auto"/>
              <w:rPr>
                <w:rFonts w:cs="Arial"/>
                <w:b/>
                <w:bCs/>
                <w:color w:val="000000"/>
                <w:szCs w:val="21"/>
                <w:lang w:eastAsia="en-AU"/>
              </w:rPr>
            </w:pPr>
            <w:r w:rsidRPr="00314699">
              <w:rPr>
                <w:rFonts w:cs="Arial"/>
                <w:b/>
                <w:bCs/>
                <w:color w:val="000000"/>
                <w:szCs w:val="21"/>
                <w:lang w:eastAsia="en-AU"/>
              </w:rPr>
              <w:t>Monitoring capability</w:t>
            </w:r>
          </w:p>
        </w:tc>
        <w:tc>
          <w:tcPr>
            <w:tcW w:w="7229" w:type="dxa"/>
            <w:tcBorders>
              <w:top w:val="nil"/>
              <w:left w:val="nil"/>
              <w:bottom w:val="single" w:sz="4" w:space="0" w:color="auto"/>
              <w:right w:val="single" w:sz="4" w:space="0" w:color="auto"/>
            </w:tcBorders>
            <w:hideMark/>
          </w:tcPr>
          <w:p w14:paraId="3C35D10A" w14:textId="77777777" w:rsidR="00314699" w:rsidRPr="00314699" w:rsidRDefault="00314699" w:rsidP="00314699">
            <w:pPr>
              <w:spacing w:after="0" w:line="240" w:lineRule="auto"/>
              <w:rPr>
                <w:rFonts w:cs="Arial"/>
                <w:color w:val="000000"/>
                <w:szCs w:val="21"/>
                <w:lang w:eastAsia="en-AU"/>
              </w:rPr>
            </w:pPr>
            <w:r w:rsidRPr="00314699">
              <w:rPr>
                <w:rFonts w:cs="Arial"/>
                <w:color w:val="000000"/>
                <w:szCs w:val="21"/>
                <w:lang w:eastAsia="en-AU"/>
              </w:rPr>
              <w:t>Continuously captures heart sounds, breathing patterns, pulse waves and blood flow vibrations</w:t>
            </w:r>
          </w:p>
        </w:tc>
      </w:tr>
      <w:tr w:rsidR="00314699" w:rsidRPr="00314699" w14:paraId="66B57C09" w14:textId="77777777" w:rsidTr="00946E1A">
        <w:trPr>
          <w:trHeight w:val="279"/>
        </w:trPr>
        <w:tc>
          <w:tcPr>
            <w:tcW w:w="2122" w:type="dxa"/>
            <w:tcBorders>
              <w:top w:val="nil"/>
              <w:left w:val="single" w:sz="4" w:space="0" w:color="auto"/>
              <w:bottom w:val="single" w:sz="4" w:space="0" w:color="auto"/>
              <w:right w:val="single" w:sz="4" w:space="0" w:color="auto"/>
            </w:tcBorders>
            <w:hideMark/>
          </w:tcPr>
          <w:p w14:paraId="7EE5FAF9" w14:textId="77777777" w:rsidR="00314699" w:rsidRPr="00314699" w:rsidRDefault="00314699" w:rsidP="00314699">
            <w:pPr>
              <w:spacing w:after="0" w:line="240" w:lineRule="auto"/>
              <w:rPr>
                <w:rFonts w:cs="Arial"/>
                <w:b/>
                <w:bCs/>
                <w:color w:val="000000"/>
                <w:szCs w:val="21"/>
                <w:lang w:eastAsia="en-AU"/>
              </w:rPr>
            </w:pPr>
            <w:r w:rsidRPr="00314699">
              <w:rPr>
                <w:rFonts w:cs="Arial"/>
                <w:b/>
                <w:bCs/>
                <w:color w:val="000000"/>
                <w:szCs w:val="21"/>
                <w:lang w:eastAsia="en-AU"/>
              </w:rPr>
              <w:t>Size and function</w:t>
            </w:r>
          </w:p>
        </w:tc>
        <w:tc>
          <w:tcPr>
            <w:tcW w:w="7229" w:type="dxa"/>
            <w:tcBorders>
              <w:top w:val="nil"/>
              <w:left w:val="nil"/>
              <w:bottom w:val="single" w:sz="4" w:space="0" w:color="auto"/>
              <w:right w:val="single" w:sz="4" w:space="0" w:color="auto"/>
            </w:tcBorders>
            <w:hideMark/>
          </w:tcPr>
          <w:p w14:paraId="57DA2475" w14:textId="77777777" w:rsidR="00314699" w:rsidRPr="00314699" w:rsidRDefault="00314699" w:rsidP="00314699">
            <w:pPr>
              <w:spacing w:after="0" w:line="240" w:lineRule="auto"/>
              <w:rPr>
                <w:rFonts w:cs="Arial"/>
                <w:color w:val="000000"/>
                <w:szCs w:val="21"/>
                <w:lang w:eastAsia="en-AU"/>
              </w:rPr>
            </w:pPr>
            <w:r w:rsidRPr="00314699">
              <w:rPr>
                <w:rFonts w:cs="Arial"/>
                <w:color w:val="000000"/>
                <w:szCs w:val="21"/>
                <w:lang w:eastAsia="en-AU"/>
              </w:rPr>
              <w:t>Weighs 3.2 grams and acts as a wearable digital stethoscope</w:t>
            </w:r>
          </w:p>
        </w:tc>
      </w:tr>
      <w:tr w:rsidR="00314699" w:rsidRPr="00314699" w14:paraId="415D1ABB" w14:textId="77777777" w:rsidTr="00946E1A">
        <w:trPr>
          <w:trHeight w:val="713"/>
        </w:trPr>
        <w:tc>
          <w:tcPr>
            <w:tcW w:w="2122" w:type="dxa"/>
            <w:tcBorders>
              <w:top w:val="nil"/>
              <w:left w:val="single" w:sz="4" w:space="0" w:color="auto"/>
              <w:bottom w:val="single" w:sz="4" w:space="0" w:color="auto"/>
              <w:right w:val="single" w:sz="4" w:space="0" w:color="auto"/>
            </w:tcBorders>
            <w:hideMark/>
          </w:tcPr>
          <w:p w14:paraId="5B6455CF" w14:textId="77777777" w:rsidR="00314699" w:rsidRPr="00314699" w:rsidRDefault="00314699" w:rsidP="00314699">
            <w:pPr>
              <w:spacing w:after="0" w:line="240" w:lineRule="auto"/>
              <w:rPr>
                <w:rFonts w:cs="Arial"/>
                <w:b/>
                <w:bCs/>
                <w:color w:val="000000"/>
                <w:szCs w:val="21"/>
                <w:lang w:eastAsia="en-AU"/>
              </w:rPr>
            </w:pPr>
            <w:r w:rsidRPr="00314699">
              <w:rPr>
                <w:rFonts w:cs="Arial"/>
                <w:b/>
                <w:bCs/>
                <w:color w:val="000000"/>
                <w:szCs w:val="21"/>
                <w:lang w:eastAsia="en-AU"/>
              </w:rPr>
              <w:t>Potential benefit</w:t>
            </w:r>
          </w:p>
        </w:tc>
        <w:tc>
          <w:tcPr>
            <w:tcW w:w="7229" w:type="dxa"/>
            <w:tcBorders>
              <w:top w:val="nil"/>
              <w:left w:val="nil"/>
              <w:bottom w:val="single" w:sz="4" w:space="0" w:color="auto"/>
              <w:right w:val="single" w:sz="4" w:space="0" w:color="auto"/>
            </w:tcBorders>
            <w:hideMark/>
          </w:tcPr>
          <w:p w14:paraId="333CDFA9" w14:textId="77777777" w:rsidR="00314699" w:rsidRPr="00314699" w:rsidRDefault="00314699" w:rsidP="00314699">
            <w:pPr>
              <w:spacing w:after="0" w:line="240" w:lineRule="auto"/>
              <w:rPr>
                <w:rFonts w:cs="Arial"/>
                <w:color w:val="000000"/>
                <w:szCs w:val="21"/>
                <w:lang w:eastAsia="en-AU"/>
              </w:rPr>
            </w:pPr>
            <w:r w:rsidRPr="00314699">
              <w:rPr>
                <w:rFonts w:cs="Arial"/>
                <w:color w:val="000000"/>
                <w:szCs w:val="21"/>
                <w:lang w:eastAsia="en-AU"/>
              </w:rPr>
              <w:t>Could help people with chronic heart and respiratory conditions monitor their health remotely and alert clinicians when something may be wrong before symptoms become severe</w:t>
            </w:r>
          </w:p>
        </w:tc>
      </w:tr>
    </w:tbl>
    <w:p w14:paraId="4B8EC458" w14:textId="5F887F03" w:rsidR="00F9713D" w:rsidRPr="00F9713D" w:rsidRDefault="00F9713D" w:rsidP="00932525">
      <w:pPr>
        <w:pStyle w:val="Heading2"/>
      </w:pPr>
      <w:bookmarkStart w:id="93" w:name="_Toc244166857"/>
      <w:r w:rsidRPr="00F9713D">
        <w:t xml:space="preserve">Figure 8. </w:t>
      </w:r>
      <w:r w:rsidR="00F82E78">
        <w:t>New l</w:t>
      </w:r>
      <w:r w:rsidRPr="00F9713D">
        <w:t xml:space="preserve">arge </w:t>
      </w:r>
      <w:r w:rsidR="00F82E78">
        <w:t>l</w:t>
      </w:r>
      <w:r w:rsidRPr="00F9713D">
        <w:t xml:space="preserve">anguage </w:t>
      </w:r>
      <w:r w:rsidR="00F82E78">
        <w:t>m</w:t>
      </w:r>
      <w:r w:rsidRPr="00F9713D">
        <w:t xml:space="preserve">odels for </w:t>
      </w:r>
      <w:r w:rsidR="00F82E78">
        <w:t>d</w:t>
      </w:r>
      <w:r w:rsidRPr="00F9713D">
        <w:t xml:space="preserve">isease </w:t>
      </w:r>
      <w:r w:rsidR="00F82E78">
        <w:t>m</w:t>
      </w:r>
      <w:r w:rsidRPr="00F9713D">
        <w:t>anagement</w:t>
      </w:r>
      <w:bookmarkEnd w:id="93"/>
    </w:p>
    <w:p w14:paraId="0E79F398" w14:textId="77777777" w:rsidR="00D640D4" w:rsidRDefault="00D640D4">
      <w:pPr>
        <w:jc w:val="both"/>
        <w:rPr>
          <w:kern w:val="2"/>
          <w:szCs w:val="21"/>
          <w14:ligatures w14:val="standardContextual"/>
        </w:rPr>
      </w:pPr>
      <w:r>
        <w:t>Figure 8 presents AMIE as an example of a research-stage conversational AI system evaluated for supporting disease management.</w:t>
      </w:r>
    </w:p>
    <w:tbl>
      <w:tblPr>
        <w:tblW w:w="9351" w:type="dxa"/>
        <w:tblLook w:val="04A0" w:firstRow="1" w:lastRow="0" w:firstColumn="1" w:lastColumn="0" w:noHBand="0" w:noVBand="1"/>
      </w:tblPr>
      <w:tblGrid>
        <w:gridCol w:w="3114"/>
        <w:gridCol w:w="6237"/>
      </w:tblGrid>
      <w:tr w:rsidR="00D37AF7" w:rsidRPr="00D37AF7" w14:paraId="1F483A13" w14:textId="77777777" w:rsidTr="00D37AF7">
        <w:trPr>
          <w:trHeight w:val="290"/>
        </w:trPr>
        <w:tc>
          <w:tcPr>
            <w:tcW w:w="3114" w:type="dxa"/>
            <w:tcBorders>
              <w:top w:val="single" w:sz="4" w:space="0" w:color="auto"/>
              <w:left w:val="single" w:sz="4" w:space="0" w:color="auto"/>
              <w:bottom w:val="single" w:sz="4" w:space="0" w:color="auto"/>
              <w:right w:val="single" w:sz="4" w:space="0" w:color="auto"/>
            </w:tcBorders>
            <w:hideMark/>
          </w:tcPr>
          <w:p w14:paraId="33789AC6" w14:textId="77777777" w:rsidR="00D37AF7" w:rsidRPr="00D37AF7" w:rsidRDefault="00D37AF7" w:rsidP="00D37AF7">
            <w:pPr>
              <w:spacing w:after="0" w:line="240" w:lineRule="auto"/>
              <w:rPr>
                <w:rFonts w:cs="Arial"/>
                <w:b/>
                <w:bCs/>
                <w:color w:val="000000"/>
                <w:szCs w:val="21"/>
                <w:lang w:eastAsia="en-AU"/>
              </w:rPr>
            </w:pPr>
            <w:r w:rsidRPr="00D37AF7">
              <w:rPr>
                <w:rFonts w:cs="Arial"/>
                <w:b/>
                <w:bCs/>
                <w:color w:val="000000"/>
                <w:szCs w:val="21"/>
                <w:lang w:eastAsia="en-AU"/>
              </w:rPr>
              <w:t>Feature</w:t>
            </w:r>
          </w:p>
        </w:tc>
        <w:tc>
          <w:tcPr>
            <w:tcW w:w="6237" w:type="dxa"/>
            <w:tcBorders>
              <w:top w:val="single" w:sz="4" w:space="0" w:color="auto"/>
              <w:left w:val="nil"/>
              <w:bottom w:val="single" w:sz="4" w:space="0" w:color="auto"/>
              <w:right w:val="single" w:sz="4" w:space="0" w:color="auto"/>
            </w:tcBorders>
            <w:hideMark/>
          </w:tcPr>
          <w:p w14:paraId="34D660B1" w14:textId="77777777" w:rsidR="00D37AF7" w:rsidRPr="00D37AF7" w:rsidRDefault="00D37AF7" w:rsidP="00D37AF7">
            <w:pPr>
              <w:spacing w:after="0" w:line="240" w:lineRule="auto"/>
              <w:rPr>
                <w:rFonts w:cs="Arial"/>
                <w:b/>
                <w:bCs/>
                <w:color w:val="000000"/>
                <w:szCs w:val="21"/>
                <w:lang w:eastAsia="en-AU"/>
              </w:rPr>
            </w:pPr>
            <w:r w:rsidRPr="00D37AF7">
              <w:rPr>
                <w:rFonts w:cs="Arial"/>
                <w:b/>
                <w:bCs/>
                <w:color w:val="000000"/>
                <w:szCs w:val="21"/>
                <w:lang w:eastAsia="en-AU"/>
              </w:rPr>
              <w:t>Description</w:t>
            </w:r>
          </w:p>
        </w:tc>
      </w:tr>
      <w:tr w:rsidR="00D37AF7" w:rsidRPr="00D37AF7" w14:paraId="67393BE1" w14:textId="77777777" w:rsidTr="00EE6C62">
        <w:trPr>
          <w:trHeight w:val="295"/>
        </w:trPr>
        <w:tc>
          <w:tcPr>
            <w:tcW w:w="3114" w:type="dxa"/>
            <w:tcBorders>
              <w:top w:val="nil"/>
              <w:left w:val="single" w:sz="4" w:space="0" w:color="auto"/>
              <w:bottom w:val="single" w:sz="4" w:space="0" w:color="auto"/>
              <w:right w:val="single" w:sz="4" w:space="0" w:color="auto"/>
            </w:tcBorders>
            <w:hideMark/>
          </w:tcPr>
          <w:p w14:paraId="30E8A13A" w14:textId="77777777" w:rsidR="00D37AF7" w:rsidRPr="00D37AF7" w:rsidRDefault="00D37AF7" w:rsidP="00D37AF7">
            <w:pPr>
              <w:spacing w:after="0" w:line="240" w:lineRule="auto"/>
              <w:rPr>
                <w:rFonts w:cs="Arial"/>
                <w:b/>
                <w:bCs/>
                <w:color w:val="000000"/>
                <w:szCs w:val="21"/>
                <w:lang w:eastAsia="en-AU"/>
              </w:rPr>
            </w:pPr>
            <w:r w:rsidRPr="00D37AF7">
              <w:rPr>
                <w:rFonts w:cs="Arial"/>
                <w:b/>
                <w:bCs/>
                <w:color w:val="000000"/>
                <w:szCs w:val="21"/>
                <w:lang w:eastAsia="en-AU"/>
              </w:rPr>
              <w:t>Technology</w:t>
            </w:r>
          </w:p>
        </w:tc>
        <w:tc>
          <w:tcPr>
            <w:tcW w:w="6237" w:type="dxa"/>
            <w:tcBorders>
              <w:top w:val="nil"/>
              <w:left w:val="nil"/>
              <w:bottom w:val="single" w:sz="4" w:space="0" w:color="auto"/>
              <w:right w:val="single" w:sz="4" w:space="0" w:color="auto"/>
            </w:tcBorders>
            <w:hideMark/>
          </w:tcPr>
          <w:p w14:paraId="677DFBFE" w14:textId="20E25A3C" w:rsidR="00D37AF7" w:rsidRPr="00D640D4" w:rsidRDefault="00D37AF7" w:rsidP="00D640D4">
            <w:pPr>
              <w:spacing w:after="0"/>
              <w:rPr>
                <w:rFonts w:cs="Arial"/>
                <w:color w:val="000000"/>
                <w:kern w:val="2"/>
                <w:szCs w:val="21"/>
                <w:lang w:eastAsia="en-AU"/>
                <w14:ligatures w14:val="standardContextual"/>
              </w:rPr>
            </w:pPr>
            <w:r>
              <w:rPr>
                <w:color w:val="000000"/>
              </w:rPr>
              <w:t xml:space="preserve">AMIE, a </w:t>
            </w:r>
            <w:r w:rsidR="00D640D4">
              <w:rPr>
                <w:color w:val="000000"/>
              </w:rPr>
              <w:t xml:space="preserve">research-stage </w:t>
            </w:r>
            <w:r>
              <w:rPr>
                <w:color w:val="000000"/>
              </w:rPr>
              <w:t xml:space="preserve">conversational AI </w:t>
            </w:r>
            <w:r w:rsidR="00D640D4">
              <w:rPr>
                <w:color w:val="000000"/>
              </w:rPr>
              <w:t>system</w:t>
            </w:r>
            <w:r>
              <w:rPr>
                <w:color w:val="000000"/>
              </w:rPr>
              <w:t xml:space="preserve"> for healthcare</w:t>
            </w:r>
          </w:p>
        </w:tc>
      </w:tr>
      <w:tr w:rsidR="00D37AF7" w:rsidRPr="00D37AF7" w14:paraId="7F21BF3F" w14:textId="77777777" w:rsidTr="00D37AF7">
        <w:trPr>
          <w:trHeight w:val="540"/>
        </w:trPr>
        <w:tc>
          <w:tcPr>
            <w:tcW w:w="3114" w:type="dxa"/>
            <w:tcBorders>
              <w:top w:val="nil"/>
              <w:left w:val="single" w:sz="4" w:space="0" w:color="auto"/>
              <w:bottom w:val="single" w:sz="4" w:space="0" w:color="auto"/>
              <w:right w:val="single" w:sz="4" w:space="0" w:color="auto"/>
            </w:tcBorders>
            <w:hideMark/>
          </w:tcPr>
          <w:p w14:paraId="19BB0334" w14:textId="77777777" w:rsidR="00D37AF7" w:rsidRPr="00D37AF7" w:rsidRDefault="00D37AF7" w:rsidP="00D37AF7">
            <w:pPr>
              <w:spacing w:after="0" w:line="240" w:lineRule="auto"/>
              <w:rPr>
                <w:rFonts w:cs="Arial"/>
                <w:b/>
                <w:bCs/>
                <w:color w:val="000000"/>
                <w:szCs w:val="21"/>
                <w:lang w:eastAsia="en-AU"/>
              </w:rPr>
            </w:pPr>
            <w:r w:rsidRPr="00D37AF7">
              <w:rPr>
                <w:rFonts w:cs="Arial"/>
                <w:b/>
                <w:bCs/>
                <w:color w:val="000000"/>
                <w:szCs w:val="21"/>
                <w:lang w:eastAsia="en-AU"/>
              </w:rPr>
              <w:t>Study context</w:t>
            </w:r>
          </w:p>
        </w:tc>
        <w:tc>
          <w:tcPr>
            <w:tcW w:w="6237" w:type="dxa"/>
            <w:tcBorders>
              <w:top w:val="nil"/>
              <w:left w:val="nil"/>
              <w:bottom w:val="single" w:sz="4" w:space="0" w:color="auto"/>
              <w:right w:val="single" w:sz="4" w:space="0" w:color="auto"/>
            </w:tcBorders>
            <w:hideMark/>
          </w:tcPr>
          <w:p w14:paraId="36769AE9" w14:textId="77777777" w:rsidR="00D37AF7" w:rsidRPr="00D37AF7" w:rsidRDefault="00D37AF7" w:rsidP="00D37AF7">
            <w:pPr>
              <w:spacing w:after="0" w:line="240" w:lineRule="auto"/>
              <w:rPr>
                <w:rFonts w:cs="Arial"/>
                <w:color w:val="000000"/>
                <w:szCs w:val="21"/>
                <w:lang w:eastAsia="en-AU"/>
              </w:rPr>
            </w:pPr>
            <w:r w:rsidRPr="00D37AF7">
              <w:rPr>
                <w:rFonts w:cs="Arial"/>
                <w:color w:val="000000"/>
                <w:szCs w:val="21"/>
                <w:lang w:eastAsia="en-AU"/>
              </w:rPr>
              <w:t>Evaluated in a recent study using simulated clinical assessments</w:t>
            </w:r>
          </w:p>
        </w:tc>
      </w:tr>
      <w:tr w:rsidR="00D37AF7" w:rsidRPr="00D37AF7" w14:paraId="627E339D" w14:textId="77777777" w:rsidTr="00805B0A">
        <w:trPr>
          <w:trHeight w:val="624"/>
        </w:trPr>
        <w:tc>
          <w:tcPr>
            <w:tcW w:w="3114" w:type="dxa"/>
            <w:tcBorders>
              <w:top w:val="nil"/>
              <w:left w:val="single" w:sz="4" w:space="0" w:color="auto"/>
              <w:bottom w:val="single" w:sz="4" w:space="0" w:color="auto"/>
              <w:right w:val="single" w:sz="4" w:space="0" w:color="auto"/>
            </w:tcBorders>
            <w:hideMark/>
          </w:tcPr>
          <w:p w14:paraId="4CB2D596" w14:textId="77777777" w:rsidR="00D37AF7" w:rsidRPr="00D37AF7" w:rsidRDefault="00D37AF7" w:rsidP="00D37AF7">
            <w:pPr>
              <w:spacing w:after="0" w:line="240" w:lineRule="auto"/>
              <w:rPr>
                <w:rFonts w:cs="Arial"/>
                <w:b/>
                <w:bCs/>
                <w:color w:val="000000"/>
                <w:szCs w:val="21"/>
                <w:lang w:eastAsia="en-AU"/>
              </w:rPr>
            </w:pPr>
            <w:r w:rsidRPr="00D37AF7">
              <w:rPr>
                <w:rFonts w:cs="Arial"/>
                <w:b/>
                <w:bCs/>
                <w:color w:val="000000"/>
                <w:szCs w:val="21"/>
                <w:lang w:eastAsia="en-AU"/>
              </w:rPr>
              <w:t>Demonstrated capabilities</w:t>
            </w:r>
          </w:p>
        </w:tc>
        <w:tc>
          <w:tcPr>
            <w:tcW w:w="6237" w:type="dxa"/>
            <w:tcBorders>
              <w:top w:val="nil"/>
              <w:left w:val="nil"/>
              <w:bottom w:val="single" w:sz="4" w:space="0" w:color="auto"/>
              <w:right w:val="single" w:sz="4" w:space="0" w:color="auto"/>
            </w:tcBorders>
            <w:hideMark/>
          </w:tcPr>
          <w:p w14:paraId="03B8C585" w14:textId="77777777" w:rsidR="00D37AF7" w:rsidRPr="00D37AF7" w:rsidRDefault="00D37AF7" w:rsidP="00D37AF7">
            <w:pPr>
              <w:spacing w:after="0" w:line="240" w:lineRule="auto"/>
              <w:rPr>
                <w:rFonts w:cs="Arial"/>
                <w:color w:val="000000"/>
                <w:szCs w:val="21"/>
                <w:lang w:eastAsia="en-AU"/>
              </w:rPr>
            </w:pPr>
            <w:r w:rsidRPr="00D37AF7">
              <w:rPr>
                <w:rFonts w:cs="Arial"/>
                <w:color w:val="000000"/>
                <w:szCs w:val="21"/>
                <w:lang w:eastAsia="en-AU"/>
              </w:rPr>
              <w:t>Tracked disease progress, adapted care plans and recommended appropriate follow-up actions over time</w:t>
            </w:r>
          </w:p>
        </w:tc>
      </w:tr>
      <w:tr w:rsidR="00D37AF7" w:rsidRPr="00D37AF7" w14:paraId="5FEB43CB" w14:textId="77777777" w:rsidTr="00805B0A">
        <w:trPr>
          <w:trHeight w:val="367"/>
        </w:trPr>
        <w:tc>
          <w:tcPr>
            <w:tcW w:w="3114" w:type="dxa"/>
            <w:tcBorders>
              <w:top w:val="nil"/>
              <w:left w:val="single" w:sz="4" w:space="0" w:color="auto"/>
              <w:bottom w:val="single" w:sz="4" w:space="0" w:color="auto"/>
              <w:right w:val="single" w:sz="4" w:space="0" w:color="auto"/>
            </w:tcBorders>
            <w:hideMark/>
          </w:tcPr>
          <w:p w14:paraId="1E8F05FF" w14:textId="77777777" w:rsidR="00D37AF7" w:rsidRPr="00D37AF7" w:rsidRDefault="00D37AF7" w:rsidP="00D37AF7">
            <w:pPr>
              <w:spacing w:after="0" w:line="240" w:lineRule="auto"/>
              <w:rPr>
                <w:rFonts w:cs="Arial"/>
                <w:b/>
                <w:bCs/>
                <w:color w:val="000000"/>
                <w:szCs w:val="21"/>
                <w:lang w:eastAsia="en-AU"/>
              </w:rPr>
            </w:pPr>
            <w:r w:rsidRPr="00D37AF7">
              <w:rPr>
                <w:rFonts w:cs="Arial"/>
                <w:b/>
                <w:bCs/>
                <w:color w:val="000000"/>
                <w:szCs w:val="21"/>
                <w:lang w:eastAsia="en-AU"/>
              </w:rPr>
              <w:t>Development status</w:t>
            </w:r>
          </w:p>
        </w:tc>
        <w:tc>
          <w:tcPr>
            <w:tcW w:w="6237" w:type="dxa"/>
            <w:tcBorders>
              <w:top w:val="nil"/>
              <w:left w:val="nil"/>
              <w:bottom w:val="single" w:sz="4" w:space="0" w:color="auto"/>
              <w:right w:val="single" w:sz="4" w:space="0" w:color="auto"/>
            </w:tcBorders>
            <w:hideMark/>
          </w:tcPr>
          <w:p w14:paraId="6FE5DA0E" w14:textId="77777777" w:rsidR="00D37AF7" w:rsidRPr="00D37AF7" w:rsidRDefault="00D37AF7" w:rsidP="00D37AF7">
            <w:pPr>
              <w:spacing w:after="0" w:line="240" w:lineRule="auto"/>
              <w:rPr>
                <w:rFonts w:cs="Arial"/>
                <w:color w:val="000000"/>
                <w:szCs w:val="21"/>
                <w:lang w:eastAsia="en-AU"/>
              </w:rPr>
            </w:pPr>
            <w:r w:rsidRPr="00D37AF7">
              <w:rPr>
                <w:rFonts w:cs="Arial"/>
                <w:color w:val="000000"/>
                <w:szCs w:val="21"/>
                <w:lang w:eastAsia="en-AU"/>
              </w:rPr>
              <w:t>Remains in the research phase</w:t>
            </w:r>
          </w:p>
        </w:tc>
      </w:tr>
      <w:tr w:rsidR="00D37AF7" w:rsidRPr="00D37AF7" w14:paraId="330C99A9" w14:textId="77777777" w:rsidTr="00805B0A">
        <w:trPr>
          <w:trHeight w:val="531"/>
        </w:trPr>
        <w:tc>
          <w:tcPr>
            <w:tcW w:w="3114" w:type="dxa"/>
            <w:tcBorders>
              <w:top w:val="nil"/>
              <w:left w:val="single" w:sz="4" w:space="0" w:color="auto"/>
              <w:bottom w:val="single" w:sz="4" w:space="0" w:color="auto"/>
              <w:right w:val="single" w:sz="4" w:space="0" w:color="auto"/>
            </w:tcBorders>
            <w:hideMark/>
          </w:tcPr>
          <w:p w14:paraId="5F94B490" w14:textId="77777777" w:rsidR="00D37AF7" w:rsidRPr="00D37AF7" w:rsidRDefault="00D37AF7" w:rsidP="00D37AF7">
            <w:pPr>
              <w:spacing w:after="0" w:line="240" w:lineRule="auto"/>
              <w:rPr>
                <w:rFonts w:cs="Arial"/>
                <w:b/>
                <w:bCs/>
                <w:color w:val="000000"/>
                <w:szCs w:val="21"/>
                <w:lang w:eastAsia="en-AU"/>
              </w:rPr>
            </w:pPr>
            <w:r w:rsidRPr="00D37AF7">
              <w:rPr>
                <w:rFonts w:cs="Arial"/>
                <w:b/>
                <w:bCs/>
                <w:color w:val="000000"/>
                <w:szCs w:val="21"/>
                <w:lang w:eastAsia="en-AU"/>
              </w:rPr>
              <w:t>Potential benefit</w:t>
            </w:r>
          </w:p>
        </w:tc>
        <w:tc>
          <w:tcPr>
            <w:tcW w:w="6237" w:type="dxa"/>
            <w:tcBorders>
              <w:top w:val="nil"/>
              <w:left w:val="nil"/>
              <w:bottom w:val="single" w:sz="4" w:space="0" w:color="auto"/>
              <w:right w:val="single" w:sz="4" w:space="0" w:color="auto"/>
            </w:tcBorders>
            <w:hideMark/>
          </w:tcPr>
          <w:p w14:paraId="66DFCEC7" w14:textId="77777777" w:rsidR="00D37AF7" w:rsidRPr="00D37AF7" w:rsidRDefault="00D37AF7" w:rsidP="00D37AF7">
            <w:pPr>
              <w:spacing w:after="0" w:line="240" w:lineRule="auto"/>
              <w:rPr>
                <w:rFonts w:cs="Arial"/>
                <w:color w:val="000000"/>
                <w:szCs w:val="21"/>
                <w:lang w:eastAsia="en-AU"/>
              </w:rPr>
            </w:pPr>
            <w:r w:rsidRPr="00D37AF7">
              <w:rPr>
                <w:rFonts w:cs="Arial"/>
                <w:color w:val="000000"/>
                <w:szCs w:val="21"/>
                <w:lang w:eastAsia="en-AU"/>
              </w:rPr>
              <w:t>Could, with appropriate oversight and governance, support routine care coordination activities alongside clinicians</w:t>
            </w:r>
          </w:p>
        </w:tc>
      </w:tr>
    </w:tbl>
    <w:p w14:paraId="2145DD68" w14:textId="66B89A6C" w:rsidR="00F9713D" w:rsidRPr="00F9713D" w:rsidRDefault="00F9713D" w:rsidP="006D1FE2">
      <w:pPr>
        <w:pStyle w:val="Heading2"/>
      </w:pPr>
      <w:bookmarkStart w:id="94" w:name="_Toc244166858"/>
      <w:r w:rsidRPr="00F9713D">
        <w:t xml:space="preserve">Figure 9. Federated </w:t>
      </w:r>
      <w:r w:rsidR="007D4B13">
        <w:t>h</w:t>
      </w:r>
      <w:r w:rsidRPr="00F9713D">
        <w:t xml:space="preserve">ealth </w:t>
      </w:r>
      <w:r w:rsidR="007D4B13">
        <w:t>d</w:t>
      </w:r>
      <w:r w:rsidRPr="00F9713D">
        <w:t xml:space="preserve">ata </w:t>
      </w:r>
      <w:r w:rsidR="007D4B13">
        <w:t>n</w:t>
      </w:r>
      <w:r w:rsidRPr="00F9713D">
        <w:t>etwork</w:t>
      </w:r>
      <w:r w:rsidR="007D4B13">
        <w:t xml:space="preserve"> enabled by the European </w:t>
      </w:r>
      <w:r w:rsidR="004965C4">
        <w:t>H</w:t>
      </w:r>
      <w:r w:rsidR="007D4B13">
        <w:t xml:space="preserve">ealth </w:t>
      </w:r>
      <w:r w:rsidR="004965C4">
        <w:t>D</w:t>
      </w:r>
      <w:r w:rsidR="004A33AF">
        <w:t xml:space="preserve">ata </w:t>
      </w:r>
      <w:r w:rsidR="004965C4">
        <w:t>S</w:t>
      </w:r>
      <w:r w:rsidR="004A33AF">
        <w:t>pace</w:t>
      </w:r>
      <w:bookmarkEnd w:id="94"/>
    </w:p>
    <w:p w14:paraId="15B230BB" w14:textId="77777777" w:rsidR="000536D1" w:rsidRDefault="000536D1">
      <w:pPr>
        <w:jc w:val="both"/>
        <w:rPr>
          <w:kern w:val="2"/>
          <w:szCs w:val="21"/>
          <w14:ligatures w14:val="standardContextual"/>
        </w:rPr>
      </w:pPr>
      <w:r>
        <w:t>Figure 9 presents the European Health Data Space as an example of a federated health data network. It supports the primary use of health data for healthcare delivery. It also supports the secondary use of health data for purposes such as research, innovation, policy and system planning. Appropriate local stewardship and control are maintained.</w:t>
      </w:r>
    </w:p>
    <w:tbl>
      <w:tblPr>
        <w:tblW w:w="9351" w:type="dxa"/>
        <w:tblCellMar>
          <w:left w:w="0" w:type="dxa"/>
          <w:right w:w="0" w:type="dxa"/>
        </w:tblCellMar>
        <w:tblLook w:val="04A0" w:firstRow="1" w:lastRow="0" w:firstColumn="1" w:lastColumn="0" w:noHBand="0" w:noVBand="1"/>
      </w:tblPr>
      <w:tblGrid>
        <w:gridCol w:w="1555"/>
        <w:gridCol w:w="7796"/>
      </w:tblGrid>
      <w:tr w:rsidR="00DB16B9" w14:paraId="552A1B51" w14:textId="77777777">
        <w:trPr>
          <w:trHeight w:val="290"/>
          <w:tblHeader/>
        </w:trPr>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00D6D" w14:textId="77777777" w:rsidR="00DB16B9" w:rsidRDefault="00DB16B9">
            <w:pPr>
              <w:keepNext/>
              <w:spacing w:after="0"/>
              <w:rPr>
                <w:kern w:val="2"/>
                <w:szCs w:val="21"/>
                <w14:ligatures w14:val="standardContextual"/>
              </w:rPr>
            </w:pPr>
            <w:r>
              <w:rPr>
                <w:b/>
                <w:bCs/>
                <w:color w:val="000000"/>
              </w:rPr>
              <w:t>Feature</w:t>
            </w:r>
          </w:p>
        </w:tc>
        <w:tc>
          <w:tcPr>
            <w:tcW w:w="7796"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220FD9FA" w14:textId="77777777" w:rsidR="00DB16B9" w:rsidRDefault="00DB16B9">
            <w:pPr>
              <w:keepNext/>
              <w:spacing w:after="0"/>
            </w:pPr>
            <w:r>
              <w:rPr>
                <w:b/>
                <w:bCs/>
                <w:color w:val="000000"/>
              </w:rPr>
              <w:t>Description</w:t>
            </w:r>
          </w:p>
        </w:tc>
      </w:tr>
      <w:tr w:rsidR="00DB16B9" w14:paraId="1C93C3EC" w14:textId="77777777">
        <w:trPr>
          <w:trHeight w:val="277"/>
        </w:trPr>
        <w:tc>
          <w:tcPr>
            <w:tcW w:w="1555"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B66E7EA" w14:textId="77777777" w:rsidR="00DB16B9" w:rsidRDefault="00DB16B9">
            <w:pPr>
              <w:spacing w:after="0"/>
            </w:pPr>
            <w:r>
              <w:rPr>
                <w:b/>
                <w:bCs/>
                <w:color w:val="000000"/>
              </w:rPr>
              <w:t>Approach</w:t>
            </w:r>
          </w:p>
        </w:tc>
        <w:tc>
          <w:tcPr>
            <w:tcW w:w="7796" w:type="dxa"/>
            <w:tcBorders>
              <w:top w:val="nil"/>
              <w:left w:val="nil"/>
              <w:bottom w:val="single" w:sz="4" w:space="0" w:color="auto"/>
              <w:right w:val="single" w:sz="4" w:space="0" w:color="auto"/>
            </w:tcBorders>
            <w:tcMar>
              <w:top w:w="0" w:type="dxa"/>
              <w:left w:w="108" w:type="dxa"/>
              <w:bottom w:w="0" w:type="dxa"/>
              <w:right w:w="108" w:type="dxa"/>
            </w:tcMar>
            <w:hideMark/>
          </w:tcPr>
          <w:p w14:paraId="45DBCEA7" w14:textId="77777777" w:rsidR="00DB16B9" w:rsidRDefault="00DB16B9">
            <w:pPr>
              <w:spacing w:after="0"/>
            </w:pPr>
            <w:r>
              <w:rPr>
                <w:color w:val="000000"/>
              </w:rPr>
              <w:t>Federated health data networks across organisations and countries</w:t>
            </w:r>
          </w:p>
        </w:tc>
      </w:tr>
      <w:tr w:rsidR="00DB16B9" w14:paraId="1F277070" w14:textId="77777777">
        <w:tc>
          <w:tcPr>
            <w:tcW w:w="1555"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BCFF3BF" w14:textId="77777777" w:rsidR="00DB16B9" w:rsidRDefault="00DB16B9">
            <w:pPr>
              <w:spacing w:after="0"/>
            </w:pPr>
            <w:r>
              <w:rPr>
                <w:b/>
                <w:bCs/>
                <w:color w:val="000000"/>
              </w:rPr>
              <w:t>Primary use of health data</w:t>
            </w:r>
          </w:p>
        </w:tc>
        <w:tc>
          <w:tcPr>
            <w:tcW w:w="7796" w:type="dxa"/>
            <w:tcBorders>
              <w:top w:val="nil"/>
              <w:left w:val="nil"/>
              <w:bottom w:val="single" w:sz="4" w:space="0" w:color="auto"/>
              <w:right w:val="single" w:sz="4" w:space="0" w:color="auto"/>
            </w:tcBorders>
            <w:tcMar>
              <w:top w:w="0" w:type="dxa"/>
              <w:left w:w="108" w:type="dxa"/>
              <w:bottom w:w="0" w:type="dxa"/>
              <w:right w:w="108" w:type="dxa"/>
            </w:tcMar>
            <w:hideMark/>
          </w:tcPr>
          <w:p w14:paraId="23C6DD60" w14:textId="77777777" w:rsidR="00DB16B9" w:rsidRDefault="00DB16B9">
            <w:pPr>
              <w:spacing w:after="0"/>
            </w:pPr>
            <w:r>
              <w:rPr>
                <w:color w:val="000000"/>
              </w:rPr>
              <w:t>Health data can be accessed and used to support the delivery and continuity of healthcare for individuals</w:t>
            </w:r>
          </w:p>
        </w:tc>
      </w:tr>
      <w:tr w:rsidR="00DB16B9" w14:paraId="7395D696" w14:textId="77777777">
        <w:tc>
          <w:tcPr>
            <w:tcW w:w="1555"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471133E1" w14:textId="77777777" w:rsidR="00DB16B9" w:rsidRDefault="00DB16B9">
            <w:pPr>
              <w:spacing w:after="0"/>
            </w:pPr>
            <w:r>
              <w:rPr>
                <w:b/>
                <w:bCs/>
                <w:color w:val="000000"/>
              </w:rPr>
              <w:t>Secondary use of health data</w:t>
            </w:r>
          </w:p>
        </w:tc>
        <w:tc>
          <w:tcPr>
            <w:tcW w:w="7796" w:type="dxa"/>
            <w:tcBorders>
              <w:top w:val="nil"/>
              <w:left w:val="nil"/>
              <w:bottom w:val="single" w:sz="4" w:space="0" w:color="auto"/>
              <w:right w:val="single" w:sz="4" w:space="0" w:color="auto"/>
            </w:tcBorders>
            <w:tcMar>
              <w:top w:w="0" w:type="dxa"/>
              <w:left w:w="108" w:type="dxa"/>
              <w:bottom w:w="0" w:type="dxa"/>
              <w:right w:w="108" w:type="dxa"/>
            </w:tcMar>
            <w:hideMark/>
          </w:tcPr>
          <w:p w14:paraId="7A002B9B" w14:textId="77777777" w:rsidR="00DB16B9" w:rsidRDefault="00DB16B9">
            <w:pPr>
              <w:spacing w:after="0"/>
            </w:pPr>
            <w:r>
              <w:rPr>
                <w:color w:val="000000"/>
              </w:rPr>
              <w:t>Health data can be accessed and analysed for approved purposes such as research, innovation, policy development and health system planning</w:t>
            </w:r>
          </w:p>
        </w:tc>
      </w:tr>
      <w:tr w:rsidR="00DB16B9" w14:paraId="14647B20" w14:textId="77777777">
        <w:trPr>
          <w:trHeight w:val="271"/>
        </w:trPr>
        <w:tc>
          <w:tcPr>
            <w:tcW w:w="1555"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6562D4E" w14:textId="77777777" w:rsidR="00DB16B9" w:rsidRDefault="00DB16B9">
            <w:pPr>
              <w:spacing w:after="0"/>
            </w:pPr>
            <w:r>
              <w:rPr>
                <w:b/>
                <w:bCs/>
                <w:color w:val="000000"/>
              </w:rPr>
              <w:t>Local control</w:t>
            </w:r>
          </w:p>
        </w:tc>
        <w:tc>
          <w:tcPr>
            <w:tcW w:w="7796" w:type="dxa"/>
            <w:tcBorders>
              <w:top w:val="nil"/>
              <w:left w:val="nil"/>
              <w:bottom w:val="single" w:sz="4" w:space="0" w:color="auto"/>
              <w:right w:val="single" w:sz="4" w:space="0" w:color="auto"/>
            </w:tcBorders>
            <w:tcMar>
              <w:top w:w="0" w:type="dxa"/>
              <w:left w:w="108" w:type="dxa"/>
              <w:bottom w:w="0" w:type="dxa"/>
              <w:right w:w="108" w:type="dxa"/>
            </w:tcMar>
            <w:hideMark/>
          </w:tcPr>
          <w:p w14:paraId="4314EA12" w14:textId="77777777" w:rsidR="00DB16B9" w:rsidRDefault="00DB16B9">
            <w:pPr>
              <w:spacing w:after="0"/>
            </w:pPr>
            <w:r>
              <w:rPr>
                <w:color w:val="000000"/>
              </w:rPr>
              <w:t>Data remains under local stewardship rather than moving into a single repository</w:t>
            </w:r>
          </w:p>
        </w:tc>
      </w:tr>
      <w:tr w:rsidR="00DB16B9" w14:paraId="61B64762" w14:textId="77777777">
        <w:trPr>
          <w:trHeight w:val="542"/>
        </w:trPr>
        <w:tc>
          <w:tcPr>
            <w:tcW w:w="1555"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DD43225" w14:textId="77777777" w:rsidR="00DB16B9" w:rsidRDefault="00DB16B9">
            <w:pPr>
              <w:spacing w:after="0"/>
            </w:pPr>
            <w:r>
              <w:rPr>
                <w:b/>
                <w:bCs/>
                <w:color w:val="000000"/>
              </w:rPr>
              <w:lastRenderedPageBreak/>
              <w:t>Enabling capabilities</w:t>
            </w:r>
          </w:p>
        </w:tc>
        <w:tc>
          <w:tcPr>
            <w:tcW w:w="7796" w:type="dxa"/>
            <w:tcBorders>
              <w:top w:val="nil"/>
              <w:left w:val="nil"/>
              <w:bottom w:val="single" w:sz="4" w:space="0" w:color="auto"/>
              <w:right w:val="single" w:sz="4" w:space="0" w:color="auto"/>
            </w:tcBorders>
            <w:tcMar>
              <w:top w:w="0" w:type="dxa"/>
              <w:left w:w="108" w:type="dxa"/>
              <w:bottom w:w="0" w:type="dxa"/>
              <w:right w:w="108" w:type="dxa"/>
            </w:tcMar>
            <w:hideMark/>
          </w:tcPr>
          <w:p w14:paraId="0094A623" w14:textId="77777777" w:rsidR="00DB16B9" w:rsidRDefault="00DB16B9">
            <w:pPr>
              <w:spacing w:after="0"/>
            </w:pPr>
            <w:r>
              <w:rPr>
                <w:color w:val="000000"/>
              </w:rPr>
              <w:t>Common standards and interoperability frameworks allow data to remain close to where it was created</w:t>
            </w:r>
          </w:p>
        </w:tc>
      </w:tr>
      <w:tr w:rsidR="00DB16B9" w14:paraId="139BA43D" w14:textId="77777777">
        <w:trPr>
          <w:trHeight w:val="566"/>
        </w:trPr>
        <w:tc>
          <w:tcPr>
            <w:tcW w:w="1555"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8DD5D0F" w14:textId="77777777" w:rsidR="00DB16B9" w:rsidRDefault="00DB16B9">
            <w:pPr>
              <w:spacing w:after="0"/>
            </w:pPr>
            <w:r>
              <w:rPr>
                <w:b/>
                <w:bCs/>
                <w:color w:val="000000"/>
              </w:rPr>
              <w:t>Potential benefits</w:t>
            </w:r>
          </w:p>
        </w:tc>
        <w:tc>
          <w:tcPr>
            <w:tcW w:w="7796" w:type="dxa"/>
            <w:tcBorders>
              <w:top w:val="nil"/>
              <w:left w:val="nil"/>
              <w:bottom w:val="single" w:sz="4" w:space="0" w:color="auto"/>
              <w:right w:val="single" w:sz="4" w:space="0" w:color="auto"/>
            </w:tcBorders>
            <w:tcMar>
              <w:top w:w="0" w:type="dxa"/>
              <w:left w:w="108" w:type="dxa"/>
              <w:bottom w:w="0" w:type="dxa"/>
              <w:right w:w="108" w:type="dxa"/>
            </w:tcMar>
            <w:hideMark/>
          </w:tcPr>
          <w:p w14:paraId="4F47E150" w14:textId="77777777" w:rsidR="00DB16B9" w:rsidRDefault="00DB16B9">
            <w:pPr>
              <w:spacing w:after="0"/>
            </w:pPr>
            <w:r>
              <w:rPr>
                <w:color w:val="000000"/>
              </w:rPr>
              <w:t>System-wide intelligence, coordinated decision-making, stronger privacy protections and local control of sensitive information</w:t>
            </w:r>
          </w:p>
        </w:tc>
      </w:tr>
    </w:tbl>
    <w:p w14:paraId="493EF617" w14:textId="60B44FB4" w:rsidR="000536D1" w:rsidRDefault="000536D1" w:rsidP="000536D1">
      <w:pPr>
        <w:pStyle w:val="Heading2"/>
        <w:rPr>
          <w:kern w:val="2"/>
          <w:szCs w:val="32"/>
          <w14:ligatures w14:val="standardContextual"/>
        </w:rPr>
      </w:pPr>
      <w:bookmarkStart w:id="95" w:name="_Toc244166859"/>
      <w:r>
        <w:t xml:space="preserve">Figure 10. Findings from </w:t>
      </w:r>
      <w:r w:rsidR="00B40BE6">
        <w:t xml:space="preserve">the </w:t>
      </w:r>
      <w:r>
        <w:t>clinician and consumer surveys</w:t>
      </w:r>
      <w:bookmarkEnd w:id="95"/>
    </w:p>
    <w:p w14:paraId="0C752F0F" w14:textId="77777777" w:rsidR="003059FE" w:rsidRPr="003059FE" w:rsidRDefault="003059FE" w:rsidP="003059FE">
      <w:pPr>
        <w:jc w:val="both"/>
      </w:pPr>
      <w:r w:rsidRPr="003059FE">
        <w:t>Figure 10 summarises findings from consumer and clinician surveys undertaken during development of the roadmap.</w:t>
      </w:r>
    </w:p>
    <w:tbl>
      <w:tblPr>
        <w:tblW w:w="9351" w:type="dxa"/>
        <w:tblCellMar>
          <w:left w:w="0" w:type="dxa"/>
          <w:right w:w="0" w:type="dxa"/>
        </w:tblCellMar>
        <w:tblLook w:val="04A0" w:firstRow="1" w:lastRow="0" w:firstColumn="1" w:lastColumn="0" w:noHBand="0" w:noVBand="1"/>
      </w:tblPr>
      <w:tblGrid>
        <w:gridCol w:w="1696"/>
        <w:gridCol w:w="1418"/>
        <w:gridCol w:w="6237"/>
      </w:tblGrid>
      <w:tr w:rsidR="00DC4CD6" w14:paraId="2C457131" w14:textId="77777777" w:rsidTr="005A35A0">
        <w:trPr>
          <w:tblHeader/>
        </w:trPr>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309CFF" w14:textId="77777777" w:rsidR="00DC4CD6" w:rsidRDefault="00DC4CD6">
            <w:pPr>
              <w:keepNext/>
              <w:spacing w:after="0"/>
              <w:rPr>
                <w:kern w:val="2"/>
                <w:szCs w:val="21"/>
                <w14:ligatures w14:val="standardContextual"/>
              </w:rPr>
            </w:pPr>
            <w:r>
              <w:rPr>
                <w:b/>
                <w:bCs/>
                <w:color w:val="000000"/>
              </w:rPr>
              <w:t>Survey group</w:t>
            </w:r>
          </w:p>
        </w:tc>
        <w:tc>
          <w:tcPr>
            <w:tcW w:w="141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7C03DE57" w14:textId="77777777" w:rsidR="00DC4CD6" w:rsidRDefault="00DC4CD6">
            <w:pPr>
              <w:keepNext/>
              <w:spacing w:after="0"/>
            </w:pPr>
            <w:r>
              <w:rPr>
                <w:b/>
                <w:bCs/>
                <w:color w:val="000000"/>
              </w:rPr>
              <w:t>Proportion</w:t>
            </w:r>
          </w:p>
        </w:tc>
        <w:tc>
          <w:tcPr>
            <w:tcW w:w="6237"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3B75AB9D" w14:textId="77777777" w:rsidR="00DC4CD6" w:rsidRDefault="00DC4CD6">
            <w:pPr>
              <w:keepNext/>
              <w:spacing w:after="0"/>
            </w:pPr>
            <w:r>
              <w:rPr>
                <w:b/>
                <w:bCs/>
                <w:color w:val="000000"/>
              </w:rPr>
              <w:t>Finding</w:t>
            </w:r>
          </w:p>
        </w:tc>
      </w:tr>
      <w:tr w:rsidR="00DC4CD6" w14:paraId="1462D020" w14:textId="77777777" w:rsidTr="005A35A0">
        <w:tc>
          <w:tcPr>
            <w:tcW w:w="1696"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F141F64" w14:textId="77777777" w:rsidR="00DC4CD6" w:rsidRDefault="00DC4CD6">
            <w:pPr>
              <w:spacing w:after="0"/>
            </w:pPr>
            <w:r>
              <w:rPr>
                <w:color w:val="000000"/>
              </w:rPr>
              <w:t>Consumers (n=519)</w:t>
            </w:r>
          </w:p>
        </w:tc>
        <w:tc>
          <w:tcPr>
            <w:tcW w:w="1418" w:type="dxa"/>
            <w:tcBorders>
              <w:top w:val="nil"/>
              <w:left w:val="nil"/>
              <w:bottom w:val="single" w:sz="4" w:space="0" w:color="auto"/>
              <w:right w:val="single" w:sz="4" w:space="0" w:color="auto"/>
            </w:tcBorders>
            <w:tcMar>
              <w:top w:w="0" w:type="dxa"/>
              <w:left w:w="108" w:type="dxa"/>
              <w:bottom w:w="0" w:type="dxa"/>
              <w:right w:w="108" w:type="dxa"/>
            </w:tcMar>
            <w:hideMark/>
          </w:tcPr>
          <w:p w14:paraId="4205412E" w14:textId="77777777" w:rsidR="00DC4CD6" w:rsidRDefault="00DC4CD6">
            <w:pPr>
              <w:spacing w:after="0"/>
            </w:pPr>
            <w:r>
              <w:rPr>
                <w:b/>
                <w:bCs/>
                <w:color w:val="000000"/>
              </w:rPr>
              <w:t>45%</w:t>
            </w:r>
          </w:p>
        </w:tc>
        <w:tc>
          <w:tcPr>
            <w:tcW w:w="6237" w:type="dxa"/>
            <w:tcBorders>
              <w:top w:val="nil"/>
              <w:left w:val="nil"/>
              <w:bottom w:val="single" w:sz="4" w:space="0" w:color="auto"/>
              <w:right w:val="single" w:sz="4" w:space="0" w:color="auto"/>
            </w:tcBorders>
            <w:tcMar>
              <w:top w:w="0" w:type="dxa"/>
              <w:left w:w="108" w:type="dxa"/>
              <w:bottom w:w="0" w:type="dxa"/>
              <w:right w:w="108" w:type="dxa"/>
            </w:tcMar>
            <w:hideMark/>
          </w:tcPr>
          <w:p w14:paraId="5EA2534E" w14:textId="77777777" w:rsidR="00DC4CD6" w:rsidRDefault="00DC4CD6">
            <w:pPr>
              <w:spacing w:after="0"/>
            </w:pPr>
            <w:r>
              <w:rPr>
                <w:color w:val="000000"/>
              </w:rPr>
              <w:t>Want a new healthcare provider to know about their ongoing health conditions after hospital care</w:t>
            </w:r>
          </w:p>
        </w:tc>
      </w:tr>
      <w:tr w:rsidR="00DC4CD6" w14:paraId="1FCB82D5" w14:textId="77777777" w:rsidTr="005A35A0">
        <w:tc>
          <w:tcPr>
            <w:tcW w:w="1696"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2DD7079C" w14:textId="77777777" w:rsidR="00DC4CD6" w:rsidRDefault="00DC4CD6">
            <w:pPr>
              <w:spacing w:after="0"/>
            </w:pPr>
            <w:r>
              <w:rPr>
                <w:color w:val="000000"/>
              </w:rPr>
              <w:t>Consumers (n=519)</w:t>
            </w:r>
          </w:p>
        </w:tc>
        <w:tc>
          <w:tcPr>
            <w:tcW w:w="1418" w:type="dxa"/>
            <w:tcBorders>
              <w:top w:val="nil"/>
              <w:left w:val="nil"/>
              <w:bottom w:val="single" w:sz="4" w:space="0" w:color="auto"/>
              <w:right w:val="single" w:sz="4" w:space="0" w:color="auto"/>
            </w:tcBorders>
            <w:tcMar>
              <w:top w:w="0" w:type="dxa"/>
              <w:left w:w="108" w:type="dxa"/>
              <w:bottom w:w="0" w:type="dxa"/>
              <w:right w:w="108" w:type="dxa"/>
            </w:tcMar>
            <w:hideMark/>
          </w:tcPr>
          <w:p w14:paraId="2D4BB70D" w14:textId="77777777" w:rsidR="00DC4CD6" w:rsidRDefault="00DC4CD6">
            <w:pPr>
              <w:spacing w:after="0"/>
            </w:pPr>
            <w:r>
              <w:rPr>
                <w:b/>
                <w:bCs/>
                <w:color w:val="000000"/>
              </w:rPr>
              <w:t>78%</w:t>
            </w:r>
          </w:p>
        </w:tc>
        <w:tc>
          <w:tcPr>
            <w:tcW w:w="6237" w:type="dxa"/>
            <w:tcBorders>
              <w:top w:val="nil"/>
              <w:left w:val="nil"/>
              <w:bottom w:val="single" w:sz="4" w:space="0" w:color="auto"/>
              <w:right w:val="single" w:sz="4" w:space="0" w:color="auto"/>
            </w:tcBorders>
            <w:tcMar>
              <w:top w:w="0" w:type="dxa"/>
              <w:left w:w="108" w:type="dxa"/>
              <w:bottom w:w="0" w:type="dxa"/>
              <w:right w:w="108" w:type="dxa"/>
            </w:tcMar>
            <w:hideMark/>
          </w:tcPr>
          <w:p w14:paraId="4CBA3D39" w14:textId="77777777" w:rsidR="00DC4CD6" w:rsidRDefault="00DC4CD6">
            <w:pPr>
              <w:spacing w:after="0"/>
            </w:pPr>
            <w:r>
              <w:rPr>
                <w:color w:val="000000"/>
              </w:rPr>
              <w:t>Were somewhat or very confident in using digital tools</w:t>
            </w:r>
          </w:p>
        </w:tc>
      </w:tr>
      <w:tr w:rsidR="00DC4CD6" w14:paraId="5F1DE43A" w14:textId="77777777" w:rsidTr="005A35A0">
        <w:tc>
          <w:tcPr>
            <w:tcW w:w="1696"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D66F806" w14:textId="77777777" w:rsidR="00DC4CD6" w:rsidRDefault="00DC4CD6">
            <w:pPr>
              <w:spacing w:after="0"/>
            </w:pPr>
            <w:r>
              <w:rPr>
                <w:color w:val="000000"/>
              </w:rPr>
              <w:t>Consumers (n=519)</w:t>
            </w:r>
          </w:p>
        </w:tc>
        <w:tc>
          <w:tcPr>
            <w:tcW w:w="1418" w:type="dxa"/>
            <w:tcBorders>
              <w:top w:val="nil"/>
              <w:left w:val="nil"/>
              <w:bottom w:val="single" w:sz="4" w:space="0" w:color="auto"/>
              <w:right w:val="single" w:sz="4" w:space="0" w:color="auto"/>
            </w:tcBorders>
            <w:tcMar>
              <w:top w:w="0" w:type="dxa"/>
              <w:left w:w="108" w:type="dxa"/>
              <w:bottom w:w="0" w:type="dxa"/>
              <w:right w:w="108" w:type="dxa"/>
            </w:tcMar>
            <w:hideMark/>
          </w:tcPr>
          <w:p w14:paraId="5245E56E" w14:textId="3E10EF69" w:rsidR="00DC4CD6" w:rsidRPr="000536D1" w:rsidRDefault="000536D1" w:rsidP="000536D1">
            <w:pPr>
              <w:spacing w:after="0"/>
              <w:rPr>
                <w:kern w:val="2"/>
                <w:szCs w:val="21"/>
                <w14:ligatures w14:val="standardContextual"/>
              </w:rPr>
            </w:pPr>
            <w:r>
              <w:rPr>
                <w:b/>
                <w:bCs/>
                <w:color w:val="000000"/>
              </w:rPr>
              <w:t>More likely</w:t>
            </w:r>
          </w:p>
        </w:tc>
        <w:tc>
          <w:tcPr>
            <w:tcW w:w="6237" w:type="dxa"/>
            <w:tcBorders>
              <w:top w:val="nil"/>
              <w:left w:val="nil"/>
              <w:bottom w:val="single" w:sz="4" w:space="0" w:color="auto"/>
              <w:right w:val="single" w:sz="4" w:space="0" w:color="auto"/>
            </w:tcBorders>
            <w:tcMar>
              <w:top w:w="0" w:type="dxa"/>
              <w:left w:w="108" w:type="dxa"/>
              <w:bottom w:w="0" w:type="dxa"/>
              <w:right w:w="108" w:type="dxa"/>
            </w:tcMar>
            <w:hideMark/>
          </w:tcPr>
          <w:p w14:paraId="5E7F9256" w14:textId="5479CAC4" w:rsidR="00DC4CD6" w:rsidRPr="006D164B" w:rsidRDefault="006D164B">
            <w:pPr>
              <w:spacing w:after="0"/>
              <w:rPr>
                <w:color w:val="000000"/>
              </w:rPr>
            </w:pPr>
            <w:r w:rsidRPr="006D164B">
              <w:rPr>
                <w:color w:val="000000"/>
              </w:rPr>
              <w:t xml:space="preserve">Consumers with long-term conditions and caring responsibilities were approximately </w:t>
            </w:r>
            <w:r w:rsidRPr="006D164B">
              <w:rPr>
                <w:b/>
                <w:bCs/>
                <w:color w:val="000000"/>
              </w:rPr>
              <w:t>twice as likely</w:t>
            </w:r>
            <w:r w:rsidRPr="006D164B">
              <w:rPr>
                <w:color w:val="000000"/>
              </w:rPr>
              <w:t xml:space="preserve"> to experience challenges navigating care</w:t>
            </w:r>
          </w:p>
        </w:tc>
      </w:tr>
      <w:tr w:rsidR="00DC4CD6" w14:paraId="3A448C62" w14:textId="77777777" w:rsidTr="005A35A0">
        <w:tc>
          <w:tcPr>
            <w:tcW w:w="1696"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18C96FFF" w14:textId="77777777" w:rsidR="00DC4CD6" w:rsidRDefault="00DC4CD6">
            <w:pPr>
              <w:spacing w:after="0"/>
            </w:pPr>
            <w:r>
              <w:rPr>
                <w:color w:val="000000"/>
              </w:rPr>
              <w:t>Clinicians (n=1,341)</w:t>
            </w:r>
          </w:p>
        </w:tc>
        <w:tc>
          <w:tcPr>
            <w:tcW w:w="1418" w:type="dxa"/>
            <w:tcBorders>
              <w:top w:val="nil"/>
              <w:left w:val="nil"/>
              <w:bottom w:val="single" w:sz="4" w:space="0" w:color="auto"/>
              <w:right w:val="single" w:sz="4" w:space="0" w:color="auto"/>
            </w:tcBorders>
            <w:tcMar>
              <w:top w:w="0" w:type="dxa"/>
              <w:left w:w="108" w:type="dxa"/>
              <w:bottom w:w="0" w:type="dxa"/>
              <w:right w:w="108" w:type="dxa"/>
            </w:tcMar>
            <w:hideMark/>
          </w:tcPr>
          <w:p w14:paraId="02DA44D6" w14:textId="77777777" w:rsidR="00DC4CD6" w:rsidRDefault="00DC4CD6">
            <w:pPr>
              <w:spacing w:after="0"/>
            </w:pPr>
            <w:r>
              <w:rPr>
                <w:b/>
                <w:bCs/>
                <w:color w:val="000000"/>
              </w:rPr>
              <w:t>57%</w:t>
            </w:r>
          </w:p>
        </w:tc>
        <w:tc>
          <w:tcPr>
            <w:tcW w:w="6237" w:type="dxa"/>
            <w:tcBorders>
              <w:top w:val="nil"/>
              <w:left w:val="nil"/>
              <w:bottom w:val="single" w:sz="4" w:space="0" w:color="auto"/>
              <w:right w:val="single" w:sz="4" w:space="0" w:color="auto"/>
            </w:tcBorders>
            <w:tcMar>
              <w:top w:w="0" w:type="dxa"/>
              <w:left w:w="108" w:type="dxa"/>
              <w:bottom w:w="0" w:type="dxa"/>
              <w:right w:w="108" w:type="dxa"/>
            </w:tcMar>
            <w:hideMark/>
          </w:tcPr>
          <w:p w14:paraId="0A8F65E4" w14:textId="77777777" w:rsidR="00DC4CD6" w:rsidRDefault="00DC4CD6">
            <w:pPr>
              <w:spacing w:after="0"/>
            </w:pPr>
            <w:r>
              <w:rPr>
                <w:color w:val="000000"/>
              </w:rPr>
              <w:t>Reported that information was not available when needed, frequently limiting their ability to deliver safe, timely and coordinated care</w:t>
            </w:r>
          </w:p>
        </w:tc>
      </w:tr>
      <w:tr w:rsidR="00DC4CD6" w14:paraId="20F7FC60" w14:textId="77777777" w:rsidTr="005A35A0">
        <w:tc>
          <w:tcPr>
            <w:tcW w:w="1696"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2CA710B" w14:textId="77777777" w:rsidR="00DC4CD6" w:rsidRDefault="00DC4CD6">
            <w:pPr>
              <w:spacing w:after="0"/>
            </w:pPr>
            <w:r>
              <w:rPr>
                <w:color w:val="000000"/>
              </w:rPr>
              <w:t>Clinicians (n=1,341)</w:t>
            </w:r>
          </w:p>
        </w:tc>
        <w:tc>
          <w:tcPr>
            <w:tcW w:w="1418" w:type="dxa"/>
            <w:tcBorders>
              <w:top w:val="nil"/>
              <w:left w:val="nil"/>
              <w:bottom w:val="single" w:sz="4" w:space="0" w:color="auto"/>
              <w:right w:val="single" w:sz="4" w:space="0" w:color="auto"/>
            </w:tcBorders>
            <w:tcMar>
              <w:top w:w="0" w:type="dxa"/>
              <w:left w:w="108" w:type="dxa"/>
              <w:bottom w:w="0" w:type="dxa"/>
              <w:right w:w="108" w:type="dxa"/>
            </w:tcMar>
            <w:hideMark/>
          </w:tcPr>
          <w:p w14:paraId="5B5FA1AA" w14:textId="77777777" w:rsidR="00DC4CD6" w:rsidRDefault="00DC4CD6">
            <w:pPr>
              <w:spacing w:after="0"/>
            </w:pPr>
            <w:r>
              <w:rPr>
                <w:b/>
                <w:bCs/>
                <w:color w:val="000000"/>
              </w:rPr>
              <w:t>55%</w:t>
            </w:r>
          </w:p>
        </w:tc>
        <w:tc>
          <w:tcPr>
            <w:tcW w:w="6237" w:type="dxa"/>
            <w:tcBorders>
              <w:top w:val="nil"/>
              <w:left w:val="nil"/>
              <w:bottom w:val="single" w:sz="4" w:space="0" w:color="auto"/>
              <w:right w:val="single" w:sz="4" w:space="0" w:color="auto"/>
            </w:tcBorders>
            <w:tcMar>
              <w:top w:w="0" w:type="dxa"/>
              <w:left w:w="108" w:type="dxa"/>
              <w:bottom w:w="0" w:type="dxa"/>
              <w:right w:w="108" w:type="dxa"/>
            </w:tcMar>
            <w:hideMark/>
          </w:tcPr>
          <w:p w14:paraId="7EC9DB88" w14:textId="77777777" w:rsidR="00DC4CD6" w:rsidRDefault="00DC4CD6">
            <w:pPr>
              <w:spacing w:after="0"/>
            </w:pPr>
            <w:r>
              <w:rPr>
                <w:color w:val="000000"/>
              </w:rPr>
              <w:t>Reported that reducing administrative tasks and duplication would make the biggest difference in day-to-day practice</w:t>
            </w:r>
          </w:p>
        </w:tc>
      </w:tr>
      <w:tr w:rsidR="00DC4CD6" w14:paraId="5EB29710" w14:textId="77777777" w:rsidTr="005A35A0">
        <w:tc>
          <w:tcPr>
            <w:tcW w:w="1696"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6499AE0A" w14:textId="77777777" w:rsidR="00DC4CD6" w:rsidRDefault="00DC4CD6">
            <w:pPr>
              <w:spacing w:after="0"/>
            </w:pPr>
            <w:r>
              <w:rPr>
                <w:color w:val="000000"/>
              </w:rPr>
              <w:t>Clinicians (n=1,341)</w:t>
            </w:r>
          </w:p>
        </w:tc>
        <w:tc>
          <w:tcPr>
            <w:tcW w:w="1418" w:type="dxa"/>
            <w:tcBorders>
              <w:top w:val="nil"/>
              <w:left w:val="nil"/>
              <w:bottom w:val="single" w:sz="4" w:space="0" w:color="auto"/>
              <w:right w:val="single" w:sz="4" w:space="0" w:color="auto"/>
            </w:tcBorders>
            <w:tcMar>
              <w:top w:w="0" w:type="dxa"/>
              <w:left w:w="108" w:type="dxa"/>
              <w:bottom w:w="0" w:type="dxa"/>
              <w:right w:w="108" w:type="dxa"/>
            </w:tcMar>
            <w:hideMark/>
          </w:tcPr>
          <w:p w14:paraId="76B69430" w14:textId="77777777" w:rsidR="00DC4CD6" w:rsidRDefault="00DC4CD6">
            <w:pPr>
              <w:spacing w:after="0"/>
            </w:pPr>
            <w:r>
              <w:rPr>
                <w:b/>
                <w:bCs/>
                <w:color w:val="000000"/>
              </w:rPr>
              <w:t>54%</w:t>
            </w:r>
          </w:p>
        </w:tc>
        <w:tc>
          <w:tcPr>
            <w:tcW w:w="6237" w:type="dxa"/>
            <w:tcBorders>
              <w:top w:val="nil"/>
              <w:left w:val="nil"/>
              <w:bottom w:val="single" w:sz="4" w:space="0" w:color="auto"/>
              <w:right w:val="single" w:sz="4" w:space="0" w:color="auto"/>
            </w:tcBorders>
            <w:tcMar>
              <w:top w:w="0" w:type="dxa"/>
              <w:left w:w="108" w:type="dxa"/>
              <w:bottom w:w="0" w:type="dxa"/>
              <w:right w:w="108" w:type="dxa"/>
            </w:tcMar>
            <w:hideMark/>
          </w:tcPr>
          <w:p w14:paraId="555FFE7B" w14:textId="77777777" w:rsidR="00DC4CD6" w:rsidRDefault="00DC4CD6">
            <w:pPr>
              <w:spacing w:after="0"/>
            </w:pPr>
            <w:r>
              <w:rPr>
                <w:color w:val="000000"/>
              </w:rPr>
              <w:t>Reported that safer clinical decisions improve most when care is well supported by digital information and solutions</w:t>
            </w:r>
          </w:p>
        </w:tc>
      </w:tr>
    </w:tbl>
    <w:p w14:paraId="04DDAB6B" w14:textId="13C131ED" w:rsidR="007D4181" w:rsidRDefault="007D4181" w:rsidP="007D4181">
      <w:pPr>
        <w:pStyle w:val="Heading2"/>
        <w:rPr>
          <w:kern w:val="2"/>
          <w:szCs w:val="32"/>
          <w14:ligatures w14:val="standardContextual"/>
        </w:rPr>
      </w:pPr>
      <w:bookmarkStart w:id="96" w:name="_Toc244166860"/>
      <w:r>
        <w:t>Figure 11. Specialist Care Reform Blueprint – pillars of change</w:t>
      </w:r>
      <w:bookmarkEnd w:id="96"/>
    </w:p>
    <w:p w14:paraId="16698296" w14:textId="77777777" w:rsidR="007D4181" w:rsidRDefault="007D4181">
      <w:pPr>
        <w:spacing w:after="0" w:line="300" w:lineRule="atLeast"/>
        <w:jc w:val="both"/>
      </w:pPr>
      <w:r>
        <w:t>Figure 11 presents the three pillars of change in the Specialist Care Reform Blueprint. Eight example digital capabilities are shown as collectively enabling reform across the pillars. The diagram does not assign individual capabilities to a single pillar.</w:t>
      </w:r>
    </w:p>
    <w:p w14:paraId="56004E84" w14:textId="77777777" w:rsidR="000D1FD8" w:rsidRDefault="000D1FD8" w:rsidP="00F7617C">
      <w:pPr>
        <w:spacing w:after="0" w:line="300" w:lineRule="atLeast"/>
        <w:jc w:val="both"/>
        <w:rPr>
          <w:kern w:val="2"/>
          <w:szCs w:val="21"/>
          <w14:ligatures w14:val="standardContextual"/>
        </w:rPr>
      </w:pPr>
    </w:p>
    <w:tbl>
      <w:tblPr>
        <w:tblW w:w="9209" w:type="dxa"/>
        <w:tblLook w:val="04A0" w:firstRow="1" w:lastRow="0" w:firstColumn="1" w:lastColumn="0" w:noHBand="0" w:noVBand="1"/>
      </w:tblPr>
      <w:tblGrid>
        <w:gridCol w:w="3256"/>
        <w:gridCol w:w="5953"/>
      </w:tblGrid>
      <w:tr w:rsidR="000D1FD8" w:rsidRPr="000D1FD8" w14:paraId="275DAAAA" w14:textId="77777777" w:rsidTr="005A35A0">
        <w:trPr>
          <w:trHeight w:val="270"/>
          <w:tblHeader/>
        </w:trPr>
        <w:tc>
          <w:tcPr>
            <w:tcW w:w="3256" w:type="dxa"/>
            <w:tcBorders>
              <w:top w:val="single" w:sz="4" w:space="0" w:color="auto"/>
              <w:left w:val="single" w:sz="4" w:space="0" w:color="auto"/>
              <w:bottom w:val="single" w:sz="4" w:space="0" w:color="auto"/>
              <w:right w:val="single" w:sz="4" w:space="0" w:color="auto"/>
            </w:tcBorders>
            <w:hideMark/>
          </w:tcPr>
          <w:p w14:paraId="38D83B18" w14:textId="77777777" w:rsidR="000D1FD8" w:rsidRPr="000D1FD8" w:rsidRDefault="000D1FD8" w:rsidP="000D1FD8">
            <w:pPr>
              <w:spacing w:after="0" w:line="240" w:lineRule="auto"/>
              <w:rPr>
                <w:rFonts w:cs="Arial"/>
                <w:b/>
                <w:bCs/>
                <w:color w:val="000000"/>
                <w:szCs w:val="21"/>
                <w:lang w:eastAsia="en-AU"/>
              </w:rPr>
            </w:pPr>
            <w:r w:rsidRPr="000D1FD8">
              <w:rPr>
                <w:rFonts w:cs="Arial"/>
                <w:b/>
                <w:bCs/>
                <w:color w:val="000000"/>
                <w:szCs w:val="21"/>
                <w:lang w:eastAsia="en-AU"/>
              </w:rPr>
              <w:t>Category</w:t>
            </w:r>
          </w:p>
        </w:tc>
        <w:tc>
          <w:tcPr>
            <w:tcW w:w="5953" w:type="dxa"/>
            <w:tcBorders>
              <w:top w:val="single" w:sz="4" w:space="0" w:color="auto"/>
              <w:left w:val="nil"/>
              <w:bottom w:val="single" w:sz="4" w:space="0" w:color="auto"/>
              <w:right w:val="single" w:sz="4" w:space="0" w:color="auto"/>
            </w:tcBorders>
            <w:hideMark/>
          </w:tcPr>
          <w:p w14:paraId="5A5FC6E2" w14:textId="77777777" w:rsidR="000D1FD8" w:rsidRPr="000D1FD8" w:rsidRDefault="000D1FD8" w:rsidP="000D1FD8">
            <w:pPr>
              <w:spacing w:after="0" w:line="240" w:lineRule="auto"/>
              <w:rPr>
                <w:rFonts w:cs="Arial"/>
                <w:b/>
                <w:bCs/>
                <w:color w:val="000000"/>
                <w:szCs w:val="21"/>
                <w:lang w:eastAsia="en-AU"/>
              </w:rPr>
            </w:pPr>
            <w:r w:rsidRPr="000D1FD8">
              <w:rPr>
                <w:rFonts w:cs="Arial"/>
                <w:b/>
                <w:bCs/>
                <w:color w:val="000000"/>
                <w:szCs w:val="21"/>
                <w:lang w:eastAsia="en-AU"/>
              </w:rPr>
              <w:t>Content shown in the diagram</w:t>
            </w:r>
          </w:p>
        </w:tc>
      </w:tr>
      <w:tr w:rsidR="000D1FD8" w:rsidRPr="000D1FD8" w14:paraId="26107E15" w14:textId="77777777" w:rsidTr="006701B8">
        <w:trPr>
          <w:trHeight w:val="492"/>
        </w:trPr>
        <w:tc>
          <w:tcPr>
            <w:tcW w:w="3256" w:type="dxa"/>
            <w:tcBorders>
              <w:top w:val="nil"/>
              <w:left w:val="single" w:sz="4" w:space="0" w:color="auto"/>
              <w:bottom w:val="single" w:sz="4" w:space="0" w:color="auto"/>
              <w:right w:val="single" w:sz="4" w:space="0" w:color="auto"/>
            </w:tcBorders>
            <w:hideMark/>
          </w:tcPr>
          <w:p w14:paraId="4F68F813" w14:textId="77777777" w:rsidR="000D1FD8" w:rsidRPr="000D1FD8" w:rsidRDefault="000D1FD8" w:rsidP="000D1FD8">
            <w:pPr>
              <w:spacing w:after="0" w:line="240" w:lineRule="auto"/>
              <w:rPr>
                <w:rFonts w:cs="Arial"/>
                <w:b/>
                <w:bCs/>
                <w:color w:val="000000"/>
                <w:szCs w:val="21"/>
                <w:lang w:eastAsia="en-AU"/>
              </w:rPr>
            </w:pPr>
            <w:r w:rsidRPr="000D1FD8">
              <w:rPr>
                <w:rFonts w:cs="Arial"/>
                <w:b/>
                <w:bCs/>
                <w:color w:val="000000"/>
                <w:szCs w:val="21"/>
                <w:lang w:eastAsia="en-AU"/>
              </w:rPr>
              <w:t>Pillars of change</w:t>
            </w:r>
          </w:p>
        </w:tc>
        <w:tc>
          <w:tcPr>
            <w:tcW w:w="5953" w:type="dxa"/>
            <w:tcBorders>
              <w:top w:val="nil"/>
              <w:left w:val="nil"/>
              <w:bottom w:val="single" w:sz="4" w:space="0" w:color="auto"/>
              <w:right w:val="single" w:sz="4" w:space="0" w:color="auto"/>
            </w:tcBorders>
            <w:hideMark/>
          </w:tcPr>
          <w:p w14:paraId="0901D336" w14:textId="77777777" w:rsidR="000D1FD8" w:rsidRPr="000D1FD8" w:rsidRDefault="000D1FD8" w:rsidP="000D1FD8">
            <w:pPr>
              <w:spacing w:after="0" w:line="240" w:lineRule="auto"/>
              <w:rPr>
                <w:rFonts w:cs="Arial"/>
                <w:color w:val="000000"/>
                <w:szCs w:val="21"/>
                <w:lang w:eastAsia="en-AU"/>
              </w:rPr>
            </w:pPr>
            <w:r w:rsidRPr="000D1FD8">
              <w:rPr>
                <w:rFonts w:cs="Arial"/>
                <w:color w:val="000000"/>
                <w:szCs w:val="21"/>
                <w:lang w:eastAsia="en-AU"/>
              </w:rPr>
              <w:t>Responsive and high-value care; Efficient and integrated services; Strengthened stewardship</w:t>
            </w:r>
          </w:p>
        </w:tc>
      </w:tr>
      <w:tr w:rsidR="000D1FD8" w:rsidRPr="000D1FD8" w14:paraId="271C5683" w14:textId="77777777" w:rsidTr="006701B8">
        <w:trPr>
          <w:trHeight w:val="840"/>
        </w:trPr>
        <w:tc>
          <w:tcPr>
            <w:tcW w:w="3256" w:type="dxa"/>
            <w:tcBorders>
              <w:top w:val="nil"/>
              <w:left w:val="single" w:sz="4" w:space="0" w:color="auto"/>
              <w:bottom w:val="single" w:sz="4" w:space="0" w:color="auto"/>
              <w:right w:val="single" w:sz="4" w:space="0" w:color="auto"/>
            </w:tcBorders>
            <w:hideMark/>
          </w:tcPr>
          <w:p w14:paraId="61C1BFB2" w14:textId="77777777" w:rsidR="000D1FD8" w:rsidRPr="000D1FD8" w:rsidRDefault="000D1FD8" w:rsidP="000D1FD8">
            <w:pPr>
              <w:spacing w:after="0" w:line="240" w:lineRule="auto"/>
              <w:rPr>
                <w:rFonts w:cs="Arial"/>
                <w:b/>
                <w:bCs/>
                <w:color w:val="000000"/>
                <w:szCs w:val="21"/>
                <w:lang w:eastAsia="en-AU"/>
              </w:rPr>
            </w:pPr>
            <w:r w:rsidRPr="000D1FD8">
              <w:rPr>
                <w:rFonts w:cs="Arial"/>
                <w:b/>
                <w:bCs/>
                <w:color w:val="000000"/>
                <w:szCs w:val="21"/>
                <w:lang w:eastAsia="en-AU"/>
              </w:rPr>
              <w:t>Example enabling digital capabilities</w:t>
            </w:r>
          </w:p>
        </w:tc>
        <w:tc>
          <w:tcPr>
            <w:tcW w:w="5953" w:type="dxa"/>
            <w:tcBorders>
              <w:top w:val="nil"/>
              <w:left w:val="nil"/>
              <w:bottom w:val="single" w:sz="4" w:space="0" w:color="auto"/>
              <w:right w:val="single" w:sz="4" w:space="0" w:color="auto"/>
            </w:tcBorders>
            <w:hideMark/>
          </w:tcPr>
          <w:p w14:paraId="60E40839" w14:textId="77777777" w:rsidR="000D1FD8" w:rsidRPr="000D1FD8" w:rsidRDefault="000D1FD8" w:rsidP="000D1FD8">
            <w:pPr>
              <w:spacing w:after="0" w:line="240" w:lineRule="auto"/>
              <w:rPr>
                <w:rFonts w:cs="Arial"/>
                <w:color w:val="000000"/>
                <w:szCs w:val="21"/>
                <w:lang w:eastAsia="en-AU"/>
              </w:rPr>
            </w:pPr>
            <w:r w:rsidRPr="000D1FD8">
              <w:rPr>
                <w:rFonts w:cs="Arial"/>
                <w:color w:val="000000"/>
                <w:szCs w:val="21"/>
                <w:lang w:eastAsia="en-AU"/>
              </w:rPr>
              <w:t>Electronic Medical Records; Medical Image Sharing; eReferrals; ePrescribing; Performance and Capacity Insights; Consumer Portal; Digital Patient Navigation; Digital Twin</w:t>
            </w:r>
          </w:p>
        </w:tc>
      </w:tr>
    </w:tbl>
    <w:p w14:paraId="5505D345" w14:textId="77777777" w:rsidR="008777FE" w:rsidRDefault="008777FE" w:rsidP="007C0BCD">
      <w:pPr>
        <w:pStyle w:val="Heading2"/>
      </w:pPr>
    </w:p>
    <w:p w14:paraId="62B6272E" w14:textId="77777777" w:rsidR="008777FE" w:rsidRDefault="008777FE">
      <w:pPr>
        <w:spacing w:after="0" w:line="240" w:lineRule="auto"/>
        <w:rPr>
          <w:b/>
          <w:color w:val="53565A"/>
          <w:sz w:val="32"/>
          <w:szCs w:val="28"/>
        </w:rPr>
      </w:pPr>
      <w:r>
        <w:br w:type="page"/>
      </w:r>
    </w:p>
    <w:p w14:paraId="64889517" w14:textId="5B86F01B" w:rsidR="00F9713D" w:rsidRPr="00F9713D" w:rsidRDefault="00F9713D" w:rsidP="007C0BCD">
      <w:pPr>
        <w:pStyle w:val="Heading2"/>
      </w:pPr>
      <w:bookmarkStart w:id="97" w:name="_Toc244166861"/>
      <w:r w:rsidRPr="00F9713D">
        <w:lastRenderedPageBreak/>
        <w:t xml:space="preserve">Figure 12. </w:t>
      </w:r>
      <w:r w:rsidRPr="00BE1F7E">
        <w:t>Target</w:t>
      </w:r>
      <w:r w:rsidR="00637360">
        <w:t xml:space="preserve"> s</w:t>
      </w:r>
      <w:r w:rsidRPr="00BE1F7E">
        <w:t xml:space="preserve">tate </w:t>
      </w:r>
      <w:r w:rsidR="00637360">
        <w:t>a</w:t>
      </w:r>
      <w:r w:rsidRPr="00BE1F7E">
        <w:t xml:space="preserve">rchitecture for Victoria's </w:t>
      </w:r>
      <w:r w:rsidR="00637360">
        <w:t>c</w:t>
      </w:r>
      <w:r w:rsidRPr="00BE1F7E">
        <w:t xml:space="preserve">onnected </w:t>
      </w:r>
      <w:r w:rsidR="00637360">
        <w:t>h</w:t>
      </w:r>
      <w:r w:rsidRPr="00BE1F7E">
        <w:t xml:space="preserve">ealth </w:t>
      </w:r>
      <w:r w:rsidR="00637360">
        <w:t>s</w:t>
      </w:r>
      <w:r w:rsidRPr="00BE1F7E">
        <w:t>ystem</w:t>
      </w:r>
      <w:bookmarkEnd w:id="97"/>
    </w:p>
    <w:p w14:paraId="70D0923B" w14:textId="77777777" w:rsidR="007D4181" w:rsidRDefault="007D4181">
      <w:pPr>
        <w:jc w:val="both"/>
      </w:pPr>
      <w:r>
        <w:t>Figure 12 presents the target state architecture for Victoria’s connected health system. Read from top to bottom, people access digital experiences that are supported by three technology capabilities and common enabling foundations. These capabilities connect to systems of record and external systems and data sources. Information can flow through these connected layers to support digital experiences and informed decision-making.</w:t>
      </w:r>
    </w:p>
    <w:p w14:paraId="2A1C1E3F" w14:textId="77777777" w:rsidR="008A1E98" w:rsidRDefault="008A1E98">
      <w:pPr>
        <w:jc w:val="both"/>
        <w:rPr>
          <w:kern w:val="2"/>
          <w:szCs w:val="21"/>
          <w14:ligatures w14:val="standardContextual"/>
        </w:rPr>
      </w:pPr>
    </w:p>
    <w:tbl>
      <w:tblPr>
        <w:tblW w:w="9209" w:type="dxa"/>
        <w:tblLook w:val="04A0" w:firstRow="1" w:lastRow="0" w:firstColumn="1" w:lastColumn="0" w:noHBand="0" w:noVBand="1"/>
      </w:tblPr>
      <w:tblGrid>
        <w:gridCol w:w="3114"/>
        <w:gridCol w:w="6095"/>
      </w:tblGrid>
      <w:tr w:rsidR="00E2508C" w:rsidRPr="00E2508C" w14:paraId="37F849D0" w14:textId="77777777" w:rsidTr="006701B8">
        <w:trPr>
          <w:trHeight w:val="201"/>
          <w:tblHeader/>
        </w:trPr>
        <w:tc>
          <w:tcPr>
            <w:tcW w:w="3114" w:type="dxa"/>
            <w:tcBorders>
              <w:top w:val="single" w:sz="4" w:space="0" w:color="auto"/>
              <w:left w:val="single" w:sz="4" w:space="0" w:color="auto"/>
              <w:bottom w:val="single" w:sz="4" w:space="0" w:color="auto"/>
              <w:right w:val="single" w:sz="4" w:space="0" w:color="auto"/>
            </w:tcBorders>
            <w:hideMark/>
          </w:tcPr>
          <w:p w14:paraId="478D7DF4" w14:textId="77777777" w:rsidR="00E2508C" w:rsidRPr="00E2508C" w:rsidRDefault="00E2508C" w:rsidP="00E2508C">
            <w:pPr>
              <w:spacing w:after="0" w:line="240" w:lineRule="auto"/>
              <w:rPr>
                <w:rFonts w:cs="Arial"/>
                <w:b/>
                <w:bCs/>
                <w:color w:val="000000"/>
                <w:szCs w:val="21"/>
                <w:lang w:eastAsia="en-AU"/>
              </w:rPr>
            </w:pPr>
            <w:r w:rsidRPr="00E2508C">
              <w:rPr>
                <w:rFonts w:cs="Arial"/>
                <w:b/>
                <w:bCs/>
                <w:color w:val="000000"/>
                <w:szCs w:val="21"/>
                <w:lang w:eastAsia="en-AU"/>
              </w:rPr>
              <w:t>Architecture layer</w:t>
            </w:r>
          </w:p>
        </w:tc>
        <w:tc>
          <w:tcPr>
            <w:tcW w:w="6095" w:type="dxa"/>
            <w:tcBorders>
              <w:top w:val="single" w:sz="4" w:space="0" w:color="auto"/>
              <w:left w:val="nil"/>
              <w:bottom w:val="single" w:sz="4" w:space="0" w:color="auto"/>
              <w:right w:val="single" w:sz="4" w:space="0" w:color="auto"/>
            </w:tcBorders>
            <w:hideMark/>
          </w:tcPr>
          <w:p w14:paraId="1A25D20F" w14:textId="77777777" w:rsidR="00E2508C" w:rsidRPr="00E2508C" w:rsidRDefault="00E2508C" w:rsidP="00E2508C">
            <w:pPr>
              <w:spacing w:after="0" w:line="240" w:lineRule="auto"/>
              <w:rPr>
                <w:rFonts w:cs="Arial"/>
                <w:b/>
                <w:bCs/>
                <w:color w:val="000000"/>
                <w:szCs w:val="21"/>
                <w:lang w:eastAsia="en-AU"/>
              </w:rPr>
            </w:pPr>
            <w:r w:rsidRPr="00E2508C">
              <w:rPr>
                <w:rFonts w:cs="Arial"/>
                <w:b/>
                <w:bCs/>
                <w:color w:val="000000"/>
                <w:szCs w:val="21"/>
                <w:lang w:eastAsia="en-AU"/>
              </w:rPr>
              <w:t>Content shown in the diagram</w:t>
            </w:r>
          </w:p>
        </w:tc>
      </w:tr>
      <w:tr w:rsidR="00E2508C" w:rsidRPr="00E2508C" w14:paraId="683C771A" w14:textId="77777777" w:rsidTr="006701B8">
        <w:trPr>
          <w:trHeight w:val="544"/>
        </w:trPr>
        <w:tc>
          <w:tcPr>
            <w:tcW w:w="3114" w:type="dxa"/>
            <w:tcBorders>
              <w:top w:val="nil"/>
              <w:left w:val="single" w:sz="4" w:space="0" w:color="auto"/>
              <w:bottom w:val="single" w:sz="4" w:space="0" w:color="auto"/>
              <w:right w:val="single" w:sz="4" w:space="0" w:color="auto"/>
            </w:tcBorders>
            <w:hideMark/>
          </w:tcPr>
          <w:p w14:paraId="4B348B86" w14:textId="77777777" w:rsidR="00E2508C" w:rsidRPr="00E2508C" w:rsidRDefault="00E2508C" w:rsidP="00E2508C">
            <w:pPr>
              <w:spacing w:after="0" w:line="240" w:lineRule="auto"/>
              <w:rPr>
                <w:rFonts w:cs="Arial"/>
                <w:b/>
                <w:bCs/>
                <w:color w:val="000000"/>
                <w:szCs w:val="21"/>
                <w:lang w:eastAsia="en-AU"/>
              </w:rPr>
            </w:pPr>
            <w:r w:rsidRPr="00E2508C">
              <w:rPr>
                <w:rFonts w:cs="Arial"/>
                <w:b/>
                <w:bCs/>
                <w:color w:val="000000"/>
                <w:szCs w:val="21"/>
                <w:lang w:eastAsia="en-AU"/>
              </w:rPr>
              <w:t>People</w:t>
            </w:r>
          </w:p>
        </w:tc>
        <w:tc>
          <w:tcPr>
            <w:tcW w:w="6095" w:type="dxa"/>
            <w:tcBorders>
              <w:top w:val="nil"/>
              <w:left w:val="nil"/>
              <w:bottom w:val="single" w:sz="4" w:space="0" w:color="auto"/>
              <w:right w:val="single" w:sz="4" w:space="0" w:color="auto"/>
            </w:tcBorders>
            <w:hideMark/>
          </w:tcPr>
          <w:p w14:paraId="39D98127" w14:textId="77777777" w:rsidR="00E2508C" w:rsidRPr="00E2508C" w:rsidRDefault="00E2508C" w:rsidP="00E2508C">
            <w:pPr>
              <w:spacing w:after="0" w:line="240" w:lineRule="auto"/>
              <w:rPr>
                <w:rFonts w:cs="Arial"/>
                <w:color w:val="000000"/>
                <w:szCs w:val="21"/>
                <w:lang w:eastAsia="en-AU"/>
              </w:rPr>
            </w:pPr>
            <w:r w:rsidRPr="00E2508C">
              <w:rPr>
                <w:rFonts w:cs="Arial"/>
                <w:color w:val="000000"/>
                <w:szCs w:val="21"/>
                <w:lang w:eastAsia="en-AU"/>
              </w:rPr>
              <w:t>Consumers and carers; Healthcare workers; Administrators; Researchers and academics; Government</w:t>
            </w:r>
          </w:p>
        </w:tc>
      </w:tr>
      <w:tr w:rsidR="00E2508C" w:rsidRPr="00E2508C" w14:paraId="09A3A61C" w14:textId="77777777" w:rsidTr="006701B8">
        <w:trPr>
          <w:trHeight w:val="566"/>
        </w:trPr>
        <w:tc>
          <w:tcPr>
            <w:tcW w:w="3114" w:type="dxa"/>
            <w:tcBorders>
              <w:top w:val="nil"/>
              <w:left w:val="single" w:sz="4" w:space="0" w:color="auto"/>
              <w:bottom w:val="single" w:sz="4" w:space="0" w:color="auto"/>
              <w:right w:val="single" w:sz="4" w:space="0" w:color="auto"/>
            </w:tcBorders>
            <w:hideMark/>
          </w:tcPr>
          <w:p w14:paraId="72B21AA7" w14:textId="77777777" w:rsidR="00E2508C" w:rsidRPr="00E2508C" w:rsidRDefault="00E2508C" w:rsidP="00E2508C">
            <w:pPr>
              <w:spacing w:after="0" w:line="240" w:lineRule="auto"/>
              <w:rPr>
                <w:rFonts w:cs="Arial"/>
                <w:b/>
                <w:bCs/>
                <w:color w:val="000000"/>
                <w:szCs w:val="21"/>
                <w:lang w:eastAsia="en-AU"/>
              </w:rPr>
            </w:pPr>
            <w:r w:rsidRPr="00E2508C">
              <w:rPr>
                <w:rFonts w:cs="Arial"/>
                <w:b/>
                <w:bCs/>
                <w:color w:val="000000"/>
                <w:szCs w:val="21"/>
                <w:lang w:eastAsia="en-AU"/>
              </w:rPr>
              <w:t>Experiences</w:t>
            </w:r>
          </w:p>
        </w:tc>
        <w:tc>
          <w:tcPr>
            <w:tcW w:w="6095" w:type="dxa"/>
            <w:tcBorders>
              <w:top w:val="nil"/>
              <w:left w:val="nil"/>
              <w:bottom w:val="single" w:sz="4" w:space="0" w:color="auto"/>
              <w:right w:val="single" w:sz="4" w:space="0" w:color="auto"/>
            </w:tcBorders>
            <w:hideMark/>
          </w:tcPr>
          <w:p w14:paraId="35B55C53" w14:textId="77777777" w:rsidR="00E2508C" w:rsidRPr="00E2508C" w:rsidRDefault="00E2508C" w:rsidP="00E2508C">
            <w:pPr>
              <w:spacing w:after="0" w:line="240" w:lineRule="auto"/>
              <w:rPr>
                <w:rFonts w:cs="Arial"/>
                <w:color w:val="000000"/>
                <w:szCs w:val="21"/>
                <w:lang w:eastAsia="en-AU"/>
              </w:rPr>
            </w:pPr>
            <w:r w:rsidRPr="00E2508C">
              <w:rPr>
                <w:rFonts w:cs="Arial"/>
                <w:color w:val="000000"/>
                <w:szCs w:val="21"/>
                <w:lang w:eastAsia="en-AU"/>
              </w:rPr>
              <w:t>Dashboards; Notifications; Digital Front Door; Applications; Portals; Medical devices</w:t>
            </w:r>
          </w:p>
        </w:tc>
      </w:tr>
      <w:tr w:rsidR="00E2508C" w:rsidRPr="00E2508C" w14:paraId="19B5CE94" w14:textId="77777777" w:rsidTr="006701B8">
        <w:trPr>
          <w:trHeight w:val="559"/>
        </w:trPr>
        <w:tc>
          <w:tcPr>
            <w:tcW w:w="3114" w:type="dxa"/>
            <w:tcBorders>
              <w:top w:val="nil"/>
              <w:left w:val="single" w:sz="4" w:space="0" w:color="auto"/>
              <w:bottom w:val="single" w:sz="4" w:space="0" w:color="auto"/>
              <w:right w:val="single" w:sz="4" w:space="0" w:color="auto"/>
            </w:tcBorders>
            <w:hideMark/>
          </w:tcPr>
          <w:p w14:paraId="66283E5C" w14:textId="77777777" w:rsidR="00E2508C" w:rsidRPr="00E2508C" w:rsidRDefault="00E2508C" w:rsidP="00E2508C">
            <w:pPr>
              <w:spacing w:after="0" w:line="240" w:lineRule="auto"/>
              <w:rPr>
                <w:rFonts w:cs="Arial"/>
                <w:b/>
                <w:bCs/>
                <w:color w:val="000000"/>
                <w:szCs w:val="21"/>
                <w:lang w:eastAsia="en-AU"/>
              </w:rPr>
            </w:pPr>
            <w:r w:rsidRPr="00E2508C">
              <w:rPr>
                <w:rFonts w:cs="Arial"/>
                <w:b/>
                <w:bCs/>
                <w:color w:val="000000"/>
                <w:szCs w:val="21"/>
                <w:lang w:eastAsia="en-AU"/>
              </w:rPr>
              <w:t>Technology</w:t>
            </w:r>
          </w:p>
        </w:tc>
        <w:tc>
          <w:tcPr>
            <w:tcW w:w="6095" w:type="dxa"/>
            <w:tcBorders>
              <w:top w:val="nil"/>
              <w:left w:val="nil"/>
              <w:bottom w:val="single" w:sz="4" w:space="0" w:color="auto"/>
              <w:right w:val="single" w:sz="4" w:space="0" w:color="auto"/>
            </w:tcBorders>
            <w:hideMark/>
          </w:tcPr>
          <w:p w14:paraId="30ED467C" w14:textId="77777777" w:rsidR="00E2508C" w:rsidRPr="00E2508C" w:rsidRDefault="00E2508C" w:rsidP="00E2508C">
            <w:pPr>
              <w:spacing w:after="0" w:line="240" w:lineRule="auto"/>
              <w:rPr>
                <w:rFonts w:cs="Arial"/>
                <w:color w:val="000000"/>
                <w:szCs w:val="21"/>
                <w:lang w:eastAsia="en-AU"/>
              </w:rPr>
            </w:pPr>
            <w:proofErr w:type="spellStart"/>
            <w:r w:rsidRPr="00E2508C">
              <w:rPr>
                <w:rFonts w:cs="Arial"/>
                <w:color w:val="000000"/>
                <w:szCs w:val="21"/>
                <w:lang w:eastAsia="en-AU"/>
              </w:rPr>
              <w:t>CareSync</w:t>
            </w:r>
            <w:proofErr w:type="spellEnd"/>
            <w:r w:rsidRPr="00E2508C">
              <w:rPr>
                <w:rFonts w:cs="Arial"/>
                <w:color w:val="000000"/>
                <w:szCs w:val="21"/>
                <w:lang w:eastAsia="en-AU"/>
              </w:rPr>
              <w:t xml:space="preserve"> Exchange; Connected Health Data Platform; Digital Health Marketplace</w:t>
            </w:r>
          </w:p>
        </w:tc>
      </w:tr>
      <w:tr w:rsidR="00E2508C" w:rsidRPr="00E2508C" w14:paraId="28750D75" w14:textId="77777777" w:rsidTr="006701B8">
        <w:trPr>
          <w:trHeight w:val="836"/>
        </w:trPr>
        <w:tc>
          <w:tcPr>
            <w:tcW w:w="3114" w:type="dxa"/>
            <w:tcBorders>
              <w:top w:val="nil"/>
              <w:left w:val="single" w:sz="4" w:space="0" w:color="auto"/>
              <w:bottom w:val="single" w:sz="4" w:space="0" w:color="auto"/>
              <w:right w:val="single" w:sz="4" w:space="0" w:color="auto"/>
            </w:tcBorders>
            <w:hideMark/>
          </w:tcPr>
          <w:p w14:paraId="6EC2BAD6" w14:textId="77777777" w:rsidR="00E2508C" w:rsidRPr="00E2508C" w:rsidRDefault="00E2508C" w:rsidP="00E2508C">
            <w:pPr>
              <w:spacing w:after="0" w:line="240" w:lineRule="auto"/>
              <w:rPr>
                <w:rFonts w:cs="Arial"/>
                <w:b/>
                <w:bCs/>
                <w:color w:val="000000"/>
                <w:szCs w:val="21"/>
                <w:lang w:eastAsia="en-AU"/>
              </w:rPr>
            </w:pPr>
            <w:r w:rsidRPr="00E2508C">
              <w:rPr>
                <w:rFonts w:cs="Arial"/>
                <w:b/>
                <w:bCs/>
                <w:color w:val="000000"/>
                <w:szCs w:val="21"/>
                <w:lang w:eastAsia="en-AU"/>
              </w:rPr>
              <w:t>Common enabling foundations</w:t>
            </w:r>
          </w:p>
        </w:tc>
        <w:tc>
          <w:tcPr>
            <w:tcW w:w="6095" w:type="dxa"/>
            <w:tcBorders>
              <w:top w:val="nil"/>
              <w:left w:val="nil"/>
              <w:bottom w:val="single" w:sz="4" w:space="0" w:color="auto"/>
              <w:right w:val="single" w:sz="4" w:space="0" w:color="auto"/>
            </w:tcBorders>
            <w:hideMark/>
          </w:tcPr>
          <w:p w14:paraId="3F8690FD" w14:textId="77777777" w:rsidR="00E2508C" w:rsidRPr="00E2508C" w:rsidRDefault="00E2508C" w:rsidP="00E2508C">
            <w:pPr>
              <w:spacing w:after="0" w:line="240" w:lineRule="auto"/>
              <w:rPr>
                <w:rFonts w:cs="Arial"/>
                <w:color w:val="000000"/>
                <w:szCs w:val="21"/>
                <w:lang w:eastAsia="en-AU"/>
              </w:rPr>
            </w:pPr>
            <w:r w:rsidRPr="00E2508C">
              <w:rPr>
                <w:rFonts w:cs="Arial"/>
                <w:color w:val="000000"/>
                <w:szCs w:val="21"/>
                <w:lang w:eastAsia="en-AU"/>
              </w:rPr>
              <w:t>Unique patient identification; Standards-based integration and orchestration; Privacy enhancing technologies; Security controls</w:t>
            </w:r>
          </w:p>
        </w:tc>
      </w:tr>
      <w:tr w:rsidR="00E2508C" w:rsidRPr="00E2508C" w14:paraId="4A1A4D51" w14:textId="77777777" w:rsidTr="006701B8">
        <w:trPr>
          <w:trHeight w:val="834"/>
        </w:trPr>
        <w:tc>
          <w:tcPr>
            <w:tcW w:w="3114" w:type="dxa"/>
            <w:tcBorders>
              <w:top w:val="nil"/>
              <w:left w:val="single" w:sz="4" w:space="0" w:color="auto"/>
              <w:bottom w:val="single" w:sz="4" w:space="0" w:color="auto"/>
              <w:right w:val="single" w:sz="4" w:space="0" w:color="auto"/>
            </w:tcBorders>
            <w:hideMark/>
          </w:tcPr>
          <w:p w14:paraId="2D920949" w14:textId="77777777" w:rsidR="00E2508C" w:rsidRPr="00E2508C" w:rsidRDefault="00E2508C" w:rsidP="00E2508C">
            <w:pPr>
              <w:spacing w:after="0" w:line="240" w:lineRule="auto"/>
              <w:rPr>
                <w:rFonts w:cs="Arial"/>
                <w:b/>
                <w:bCs/>
                <w:color w:val="000000"/>
                <w:szCs w:val="21"/>
                <w:lang w:eastAsia="en-AU"/>
              </w:rPr>
            </w:pPr>
            <w:r w:rsidRPr="00E2508C">
              <w:rPr>
                <w:rFonts w:cs="Arial"/>
                <w:b/>
                <w:bCs/>
                <w:color w:val="000000"/>
                <w:szCs w:val="21"/>
                <w:lang w:eastAsia="en-AU"/>
              </w:rPr>
              <w:t>Systems of record</w:t>
            </w:r>
          </w:p>
        </w:tc>
        <w:tc>
          <w:tcPr>
            <w:tcW w:w="6095" w:type="dxa"/>
            <w:tcBorders>
              <w:top w:val="nil"/>
              <w:left w:val="nil"/>
              <w:bottom w:val="single" w:sz="4" w:space="0" w:color="auto"/>
              <w:right w:val="single" w:sz="4" w:space="0" w:color="auto"/>
            </w:tcBorders>
            <w:hideMark/>
          </w:tcPr>
          <w:p w14:paraId="567B0FCF" w14:textId="0845E115" w:rsidR="00E2508C" w:rsidRPr="007D4181" w:rsidRDefault="007D4181" w:rsidP="007D4181">
            <w:pPr>
              <w:spacing w:after="0"/>
              <w:rPr>
                <w:rFonts w:cs="Arial"/>
                <w:color w:val="000000"/>
                <w:kern w:val="2"/>
                <w:szCs w:val="21"/>
                <w:lang w:eastAsia="en-AU"/>
                <w14:ligatures w14:val="standardContextual"/>
              </w:rPr>
            </w:pPr>
            <w:r>
              <w:rPr>
                <w:color w:val="000000"/>
              </w:rPr>
              <w:t>Electronic medical record (</w:t>
            </w:r>
            <w:r w:rsidR="00E2508C">
              <w:rPr>
                <w:color w:val="000000"/>
              </w:rPr>
              <w:t>EMR</w:t>
            </w:r>
            <w:r>
              <w:rPr>
                <w:color w:val="000000"/>
              </w:rPr>
              <w:t>)</w:t>
            </w:r>
            <w:r w:rsidR="00E2508C">
              <w:rPr>
                <w:color w:val="000000"/>
              </w:rPr>
              <w:t xml:space="preserve"> and </w:t>
            </w:r>
            <w:r>
              <w:rPr>
                <w:color w:val="000000"/>
              </w:rPr>
              <w:t>patient administration system (</w:t>
            </w:r>
            <w:r w:rsidR="00E2508C">
              <w:rPr>
                <w:color w:val="000000"/>
              </w:rPr>
              <w:t>PAS</w:t>
            </w:r>
            <w:r>
              <w:rPr>
                <w:color w:val="000000"/>
              </w:rPr>
              <w:t>);</w:t>
            </w:r>
            <w:r w:rsidR="00E2508C">
              <w:rPr>
                <w:color w:val="000000"/>
              </w:rPr>
              <w:t xml:space="preserve"> Mental Health; </w:t>
            </w:r>
            <w:proofErr w:type="spellStart"/>
            <w:r w:rsidR="00E2508C">
              <w:rPr>
                <w:color w:val="000000"/>
              </w:rPr>
              <w:t>VicKey</w:t>
            </w:r>
            <w:proofErr w:type="spellEnd"/>
            <w:r w:rsidR="00E2508C">
              <w:rPr>
                <w:color w:val="000000"/>
              </w:rPr>
              <w:t>; Virtual care; Referral systems; Imaging and laboratory systems; Patient monitors and devices</w:t>
            </w:r>
          </w:p>
        </w:tc>
      </w:tr>
      <w:tr w:rsidR="00E2508C" w:rsidRPr="00E2508C" w14:paraId="1F3EE92C" w14:textId="77777777" w:rsidTr="006701B8">
        <w:trPr>
          <w:trHeight w:val="1022"/>
        </w:trPr>
        <w:tc>
          <w:tcPr>
            <w:tcW w:w="3114" w:type="dxa"/>
            <w:tcBorders>
              <w:top w:val="nil"/>
              <w:left w:val="single" w:sz="4" w:space="0" w:color="auto"/>
              <w:bottom w:val="single" w:sz="4" w:space="0" w:color="auto"/>
              <w:right w:val="single" w:sz="4" w:space="0" w:color="auto"/>
            </w:tcBorders>
            <w:hideMark/>
          </w:tcPr>
          <w:p w14:paraId="6E150373" w14:textId="77777777" w:rsidR="00E2508C" w:rsidRPr="00E2508C" w:rsidRDefault="00E2508C" w:rsidP="00E2508C">
            <w:pPr>
              <w:spacing w:after="0" w:line="240" w:lineRule="auto"/>
              <w:rPr>
                <w:rFonts w:cs="Arial"/>
                <w:b/>
                <w:bCs/>
                <w:color w:val="000000"/>
                <w:szCs w:val="21"/>
                <w:lang w:eastAsia="en-AU"/>
              </w:rPr>
            </w:pPr>
            <w:r w:rsidRPr="00E2508C">
              <w:rPr>
                <w:rFonts w:cs="Arial"/>
                <w:b/>
                <w:bCs/>
                <w:color w:val="000000"/>
                <w:szCs w:val="21"/>
                <w:lang w:eastAsia="en-AU"/>
              </w:rPr>
              <w:t>External systems and data sources</w:t>
            </w:r>
          </w:p>
        </w:tc>
        <w:tc>
          <w:tcPr>
            <w:tcW w:w="6095" w:type="dxa"/>
            <w:tcBorders>
              <w:top w:val="nil"/>
              <w:left w:val="nil"/>
              <w:bottom w:val="single" w:sz="4" w:space="0" w:color="auto"/>
              <w:right w:val="single" w:sz="4" w:space="0" w:color="auto"/>
            </w:tcBorders>
            <w:hideMark/>
          </w:tcPr>
          <w:p w14:paraId="3732499D" w14:textId="77777777" w:rsidR="00E2508C" w:rsidRPr="00E2508C" w:rsidRDefault="00E2508C" w:rsidP="00E2508C">
            <w:pPr>
              <w:spacing w:after="0" w:line="240" w:lineRule="auto"/>
              <w:rPr>
                <w:rFonts w:cs="Arial"/>
                <w:color w:val="000000"/>
                <w:szCs w:val="21"/>
                <w:lang w:eastAsia="en-AU"/>
              </w:rPr>
            </w:pPr>
            <w:r w:rsidRPr="00E2508C">
              <w:rPr>
                <w:rFonts w:cs="Arial"/>
                <w:color w:val="000000"/>
                <w:szCs w:val="21"/>
                <w:lang w:eastAsia="en-AU"/>
              </w:rPr>
              <w:t>My Health Record; National directories and services; Clinical registries; Primary and private care providers; Consumer-generated information; Other data, including weather, social and media data</w:t>
            </w:r>
          </w:p>
        </w:tc>
      </w:tr>
    </w:tbl>
    <w:p w14:paraId="48331A8A" w14:textId="18AEB0FB" w:rsidR="00F9713D" w:rsidRPr="00F9713D" w:rsidRDefault="00F9713D" w:rsidP="00BD7207">
      <w:pPr>
        <w:pStyle w:val="Heading2"/>
      </w:pPr>
      <w:bookmarkStart w:id="98" w:name="_Toc244166862"/>
      <w:r w:rsidRPr="00F9713D">
        <w:t xml:space="preserve">Figure 13. </w:t>
      </w:r>
      <w:r w:rsidRPr="000A27E9">
        <w:t>Integrated</w:t>
      </w:r>
      <w:r w:rsidR="001B76BA">
        <w:t>,</w:t>
      </w:r>
      <w:r w:rsidRPr="000A27E9">
        <w:t xml:space="preserve"> </w:t>
      </w:r>
      <w:r w:rsidR="00BE6E9F">
        <w:t>p</w:t>
      </w:r>
      <w:r w:rsidRPr="000A27E9">
        <w:t xml:space="preserve">ersonalised </w:t>
      </w:r>
      <w:r w:rsidR="00BE6E9F">
        <w:t>c</w:t>
      </w:r>
      <w:r w:rsidRPr="000A27E9">
        <w:t xml:space="preserve">onsumer </w:t>
      </w:r>
      <w:r w:rsidR="00BE6E9F">
        <w:t>a</w:t>
      </w:r>
      <w:r w:rsidRPr="000A27E9">
        <w:t>pplication</w:t>
      </w:r>
      <w:bookmarkEnd w:id="98"/>
    </w:p>
    <w:p w14:paraId="652EE5AD" w14:textId="77777777" w:rsidR="00A91A51" w:rsidRDefault="00A91A51">
      <w:pPr>
        <w:jc w:val="both"/>
      </w:pPr>
      <w:r>
        <w:t>Figure 13 illustrates a future concept for an integrated, personalised consumer application, rather than an existing application. The screen displays personal and health information. It also shows functions available to the consumer, including access to services, portals and action options. A separate illustrative conversational exchange demonstrates how a health assistant could help a consumer describe symptoms and identify a possible next step.</w:t>
      </w:r>
    </w:p>
    <w:p w14:paraId="400B12DE" w14:textId="77777777" w:rsidR="00364F28" w:rsidRDefault="00364F28">
      <w:pPr>
        <w:jc w:val="both"/>
        <w:rPr>
          <w:kern w:val="2"/>
          <w:szCs w:val="21"/>
          <w14:ligatures w14:val="standardContextual"/>
        </w:rPr>
      </w:pPr>
    </w:p>
    <w:tbl>
      <w:tblPr>
        <w:tblW w:w="9209" w:type="dxa"/>
        <w:tblLook w:val="04A0" w:firstRow="1" w:lastRow="0" w:firstColumn="1" w:lastColumn="0" w:noHBand="0" w:noVBand="1"/>
      </w:tblPr>
      <w:tblGrid>
        <w:gridCol w:w="3114"/>
        <w:gridCol w:w="6095"/>
      </w:tblGrid>
      <w:tr w:rsidR="00792E3A" w:rsidRPr="00792E3A" w14:paraId="0624592A" w14:textId="77777777" w:rsidTr="00364F28">
        <w:trPr>
          <w:trHeight w:val="296"/>
          <w:tblHeader/>
        </w:trPr>
        <w:tc>
          <w:tcPr>
            <w:tcW w:w="3114" w:type="dxa"/>
            <w:tcBorders>
              <w:top w:val="single" w:sz="4" w:space="0" w:color="auto"/>
              <w:left w:val="single" w:sz="4" w:space="0" w:color="auto"/>
              <w:bottom w:val="single" w:sz="4" w:space="0" w:color="auto"/>
              <w:right w:val="single" w:sz="4" w:space="0" w:color="auto"/>
            </w:tcBorders>
            <w:hideMark/>
          </w:tcPr>
          <w:p w14:paraId="74667A47" w14:textId="77777777" w:rsidR="00792E3A" w:rsidRPr="00792E3A" w:rsidRDefault="00792E3A" w:rsidP="00792E3A">
            <w:pPr>
              <w:spacing w:after="0" w:line="240" w:lineRule="auto"/>
              <w:rPr>
                <w:rFonts w:cs="Arial"/>
                <w:b/>
                <w:bCs/>
                <w:color w:val="000000"/>
                <w:szCs w:val="21"/>
                <w:lang w:eastAsia="en-AU"/>
              </w:rPr>
            </w:pPr>
            <w:r w:rsidRPr="00792E3A">
              <w:rPr>
                <w:rFonts w:cs="Arial"/>
                <w:b/>
                <w:bCs/>
                <w:color w:val="000000"/>
                <w:szCs w:val="21"/>
                <w:lang w:eastAsia="en-AU"/>
              </w:rPr>
              <w:t>Application area</w:t>
            </w:r>
          </w:p>
        </w:tc>
        <w:tc>
          <w:tcPr>
            <w:tcW w:w="6095" w:type="dxa"/>
            <w:tcBorders>
              <w:top w:val="single" w:sz="4" w:space="0" w:color="auto"/>
              <w:left w:val="nil"/>
              <w:bottom w:val="single" w:sz="4" w:space="0" w:color="auto"/>
              <w:right w:val="single" w:sz="4" w:space="0" w:color="auto"/>
            </w:tcBorders>
            <w:hideMark/>
          </w:tcPr>
          <w:p w14:paraId="1A6DECDB" w14:textId="77777777" w:rsidR="00792E3A" w:rsidRPr="00792E3A" w:rsidRDefault="00792E3A" w:rsidP="00792E3A">
            <w:pPr>
              <w:spacing w:after="0" w:line="240" w:lineRule="auto"/>
              <w:rPr>
                <w:rFonts w:cs="Arial"/>
                <w:b/>
                <w:bCs/>
                <w:color w:val="000000"/>
                <w:szCs w:val="21"/>
                <w:lang w:eastAsia="en-AU"/>
              </w:rPr>
            </w:pPr>
            <w:r w:rsidRPr="00792E3A">
              <w:rPr>
                <w:rFonts w:cs="Arial"/>
                <w:b/>
                <w:bCs/>
                <w:color w:val="000000"/>
                <w:szCs w:val="21"/>
                <w:lang w:eastAsia="en-AU"/>
              </w:rPr>
              <w:t>Content shown in the diagram</w:t>
            </w:r>
          </w:p>
        </w:tc>
      </w:tr>
      <w:tr w:rsidR="00792E3A" w:rsidRPr="00792E3A" w14:paraId="74196A10" w14:textId="77777777" w:rsidTr="006701B8">
        <w:trPr>
          <w:trHeight w:val="570"/>
        </w:trPr>
        <w:tc>
          <w:tcPr>
            <w:tcW w:w="3114" w:type="dxa"/>
            <w:tcBorders>
              <w:top w:val="nil"/>
              <w:left w:val="single" w:sz="4" w:space="0" w:color="auto"/>
              <w:bottom w:val="single" w:sz="4" w:space="0" w:color="auto"/>
              <w:right w:val="single" w:sz="4" w:space="0" w:color="auto"/>
            </w:tcBorders>
            <w:hideMark/>
          </w:tcPr>
          <w:p w14:paraId="3B7D5E4D" w14:textId="77777777" w:rsidR="00792E3A" w:rsidRPr="00792E3A" w:rsidRDefault="00792E3A" w:rsidP="00792E3A">
            <w:pPr>
              <w:spacing w:after="0" w:line="240" w:lineRule="auto"/>
              <w:rPr>
                <w:rFonts w:cs="Arial"/>
                <w:b/>
                <w:bCs/>
                <w:color w:val="000000"/>
                <w:szCs w:val="21"/>
                <w:lang w:eastAsia="en-AU"/>
              </w:rPr>
            </w:pPr>
            <w:r w:rsidRPr="00792E3A">
              <w:rPr>
                <w:rFonts w:cs="Arial"/>
                <w:b/>
                <w:bCs/>
                <w:color w:val="000000"/>
                <w:szCs w:val="21"/>
                <w:lang w:eastAsia="en-AU"/>
              </w:rPr>
              <w:t>Personal profile</w:t>
            </w:r>
          </w:p>
        </w:tc>
        <w:tc>
          <w:tcPr>
            <w:tcW w:w="6095" w:type="dxa"/>
            <w:tcBorders>
              <w:top w:val="nil"/>
              <w:left w:val="nil"/>
              <w:bottom w:val="single" w:sz="4" w:space="0" w:color="auto"/>
              <w:right w:val="single" w:sz="4" w:space="0" w:color="auto"/>
            </w:tcBorders>
            <w:hideMark/>
          </w:tcPr>
          <w:p w14:paraId="539772BC" w14:textId="77777777" w:rsidR="00792E3A" w:rsidRPr="00792E3A" w:rsidRDefault="00792E3A" w:rsidP="00792E3A">
            <w:pPr>
              <w:spacing w:after="0" w:line="240" w:lineRule="auto"/>
              <w:rPr>
                <w:rFonts w:cs="Arial"/>
                <w:color w:val="000000"/>
                <w:szCs w:val="21"/>
                <w:lang w:eastAsia="en-AU"/>
              </w:rPr>
            </w:pPr>
            <w:r w:rsidRPr="00792E3A">
              <w:rPr>
                <w:rFonts w:cs="Arial"/>
                <w:color w:val="000000"/>
                <w:szCs w:val="21"/>
                <w:lang w:eastAsia="en-AU"/>
              </w:rPr>
              <w:t>Consumer name, verified health ID, date of birth, sex and access to manage personal details</w:t>
            </w:r>
          </w:p>
        </w:tc>
      </w:tr>
      <w:tr w:rsidR="00792E3A" w:rsidRPr="00792E3A" w14:paraId="7FFE43BA" w14:textId="77777777" w:rsidTr="006701B8">
        <w:trPr>
          <w:trHeight w:val="550"/>
        </w:trPr>
        <w:tc>
          <w:tcPr>
            <w:tcW w:w="3114" w:type="dxa"/>
            <w:tcBorders>
              <w:top w:val="nil"/>
              <w:left w:val="single" w:sz="4" w:space="0" w:color="auto"/>
              <w:bottom w:val="single" w:sz="4" w:space="0" w:color="auto"/>
              <w:right w:val="single" w:sz="4" w:space="0" w:color="auto"/>
            </w:tcBorders>
            <w:hideMark/>
          </w:tcPr>
          <w:p w14:paraId="0E06EADE" w14:textId="77777777" w:rsidR="00792E3A" w:rsidRPr="00792E3A" w:rsidRDefault="00792E3A" w:rsidP="00792E3A">
            <w:pPr>
              <w:spacing w:after="0" w:line="240" w:lineRule="auto"/>
              <w:rPr>
                <w:rFonts w:cs="Arial"/>
                <w:b/>
                <w:bCs/>
                <w:color w:val="000000"/>
                <w:szCs w:val="21"/>
                <w:lang w:eastAsia="en-AU"/>
              </w:rPr>
            </w:pPr>
            <w:r w:rsidRPr="00792E3A">
              <w:rPr>
                <w:rFonts w:cs="Arial"/>
                <w:b/>
                <w:bCs/>
                <w:color w:val="000000"/>
                <w:szCs w:val="21"/>
                <w:lang w:eastAsia="en-AU"/>
              </w:rPr>
              <w:t>My health</w:t>
            </w:r>
          </w:p>
        </w:tc>
        <w:tc>
          <w:tcPr>
            <w:tcW w:w="6095" w:type="dxa"/>
            <w:tcBorders>
              <w:top w:val="nil"/>
              <w:left w:val="nil"/>
              <w:bottom w:val="single" w:sz="4" w:space="0" w:color="auto"/>
              <w:right w:val="single" w:sz="4" w:space="0" w:color="auto"/>
            </w:tcBorders>
            <w:hideMark/>
          </w:tcPr>
          <w:p w14:paraId="3A6CEE49" w14:textId="77777777" w:rsidR="00792E3A" w:rsidRPr="00792E3A" w:rsidRDefault="00792E3A" w:rsidP="00792E3A">
            <w:pPr>
              <w:spacing w:after="0" w:line="240" w:lineRule="auto"/>
              <w:rPr>
                <w:rFonts w:cs="Arial"/>
                <w:color w:val="000000"/>
                <w:szCs w:val="21"/>
                <w:lang w:eastAsia="en-AU"/>
              </w:rPr>
            </w:pPr>
            <w:r w:rsidRPr="00792E3A">
              <w:rPr>
                <w:rFonts w:cs="Arial"/>
                <w:color w:val="000000"/>
                <w:szCs w:val="21"/>
                <w:lang w:eastAsia="en-AU"/>
              </w:rPr>
              <w:t>Upcoming appointments, including a GP video consultation; active prescriptions and next refill information; new test results</w:t>
            </w:r>
          </w:p>
        </w:tc>
      </w:tr>
      <w:tr w:rsidR="00792E3A" w:rsidRPr="00792E3A" w14:paraId="68AD5664" w14:textId="77777777" w:rsidTr="006701B8">
        <w:trPr>
          <w:trHeight w:val="559"/>
        </w:trPr>
        <w:tc>
          <w:tcPr>
            <w:tcW w:w="3114" w:type="dxa"/>
            <w:tcBorders>
              <w:top w:val="nil"/>
              <w:left w:val="single" w:sz="4" w:space="0" w:color="auto"/>
              <w:bottom w:val="single" w:sz="4" w:space="0" w:color="auto"/>
              <w:right w:val="single" w:sz="4" w:space="0" w:color="auto"/>
            </w:tcBorders>
            <w:hideMark/>
          </w:tcPr>
          <w:p w14:paraId="58793546" w14:textId="77777777" w:rsidR="00792E3A" w:rsidRPr="00792E3A" w:rsidRDefault="00792E3A" w:rsidP="00792E3A">
            <w:pPr>
              <w:spacing w:after="0" w:line="240" w:lineRule="auto"/>
              <w:rPr>
                <w:rFonts w:cs="Arial"/>
                <w:b/>
                <w:bCs/>
                <w:color w:val="000000"/>
                <w:szCs w:val="21"/>
                <w:lang w:eastAsia="en-AU"/>
              </w:rPr>
            </w:pPr>
            <w:r w:rsidRPr="00792E3A">
              <w:rPr>
                <w:rFonts w:cs="Arial"/>
                <w:b/>
                <w:bCs/>
                <w:color w:val="000000"/>
                <w:szCs w:val="21"/>
                <w:lang w:eastAsia="en-AU"/>
              </w:rPr>
              <w:t>Quick access</w:t>
            </w:r>
          </w:p>
        </w:tc>
        <w:tc>
          <w:tcPr>
            <w:tcW w:w="6095" w:type="dxa"/>
            <w:tcBorders>
              <w:top w:val="nil"/>
              <w:left w:val="nil"/>
              <w:bottom w:val="single" w:sz="4" w:space="0" w:color="auto"/>
              <w:right w:val="single" w:sz="4" w:space="0" w:color="auto"/>
            </w:tcBorders>
            <w:hideMark/>
          </w:tcPr>
          <w:p w14:paraId="3CFD9E43" w14:textId="77777777" w:rsidR="00792E3A" w:rsidRPr="00792E3A" w:rsidRDefault="00792E3A" w:rsidP="00792E3A">
            <w:pPr>
              <w:spacing w:after="0" w:line="240" w:lineRule="auto"/>
              <w:rPr>
                <w:rFonts w:cs="Arial"/>
                <w:color w:val="000000"/>
                <w:szCs w:val="21"/>
                <w:lang w:eastAsia="en-AU"/>
              </w:rPr>
            </w:pPr>
            <w:r w:rsidRPr="00792E3A">
              <w:rPr>
                <w:rFonts w:cs="Arial"/>
                <w:color w:val="000000"/>
                <w:szCs w:val="21"/>
                <w:lang w:eastAsia="en-AU"/>
              </w:rPr>
              <w:t>Virtual care; Mental health support; Allied health; Prescriptions; Immunisations; Find care</w:t>
            </w:r>
          </w:p>
        </w:tc>
      </w:tr>
      <w:tr w:rsidR="00792E3A" w:rsidRPr="00792E3A" w14:paraId="2904AF8D" w14:textId="77777777" w:rsidTr="006701B8">
        <w:trPr>
          <w:trHeight w:val="553"/>
        </w:trPr>
        <w:tc>
          <w:tcPr>
            <w:tcW w:w="3114" w:type="dxa"/>
            <w:tcBorders>
              <w:top w:val="nil"/>
              <w:left w:val="single" w:sz="4" w:space="0" w:color="auto"/>
              <w:bottom w:val="single" w:sz="4" w:space="0" w:color="auto"/>
              <w:right w:val="single" w:sz="4" w:space="0" w:color="auto"/>
            </w:tcBorders>
            <w:hideMark/>
          </w:tcPr>
          <w:p w14:paraId="5CD8234D" w14:textId="77777777" w:rsidR="00792E3A" w:rsidRPr="00792E3A" w:rsidRDefault="00792E3A" w:rsidP="00792E3A">
            <w:pPr>
              <w:spacing w:after="0" w:line="240" w:lineRule="auto"/>
              <w:rPr>
                <w:rFonts w:cs="Arial"/>
                <w:b/>
                <w:bCs/>
                <w:color w:val="000000"/>
                <w:szCs w:val="21"/>
                <w:lang w:eastAsia="en-AU"/>
              </w:rPr>
            </w:pPr>
            <w:r w:rsidRPr="00792E3A">
              <w:rPr>
                <w:rFonts w:cs="Arial"/>
                <w:b/>
                <w:bCs/>
                <w:color w:val="000000"/>
                <w:szCs w:val="21"/>
                <w:lang w:eastAsia="en-AU"/>
              </w:rPr>
              <w:t>Health Assistant</w:t>
            </w:r>
          </w:p>
        </w:tc>
        <w:tc>
          <w:tcPr>
            <w:tcW w:w="6095" w:type="dxa"/>
            <w:tcBorders>
              <w:top w:val="nil"/>
              <w:left w:val="nil"/>
              <w:bottom w:val="single" w:sz="4" w:space="0" w:color="auto"/>
              <w:right w:val="single" w:sz="4" w:space="0" w:color="auto"/>
            </w:tcBorders>
            <w:hideMark/>
          </w:tcPr>
          <w:p w14:paraId="6ACF2D2B" w14:textId="77777777" w:rsidR="00792E3A" w:rsidRPr="00792E3A" w:rsidRDefault="00792E3A" w:rsidP="00792E3A">
            <w:pPr>
              <w:spacing w:after="0" w:line="240" w:lineRule="auto"/>
              <w:rPr>
                <w:rFonts w:cs="Arial"/>
                <w:color w:val="000000"/>
                <w:szCs w:val="21"/>
                <w:lang w:eastAsia="en-AU"/>
              </w:rPr>
            </w:pPr>
            <w:r w:rsidRPr="00792E3A">
              <w:rPr>
                <w:rFonts w:cs="Arial"/>
                <w:color w:val="000000"/>
                <w:szCs w:val="21"/>
                <w:lang w:eastAsia="en-AU"/>
              </w:rPr>
              <w:t>Access to an assistant that can help the consumer understand symptoms and identify appropriate care</w:t>
            </w:r>
          </w:p>
        </w:tc>
      </w:tr>
      <w:tr w:rsidR="00792E3A" w:rsidRPr="00792E3A" w14:paraId="2F6769CE" w14:textId="77777777" w:rsidTr="006701B8">
        <w:trPr>
          <w:trHeight w:val="560"/>
        </w:trPr>
        <w:tc>
          <w:tcPr>
            <w:tcW w:w="3114" w:type="dxa"/>
            <w:tcBorders>
              <w:top w:val="nil"/>
              <w:left w:val="single" w:sz="4" w:space="0" w:color="auto"/>
              <w:bottom w:val="single" w:sz="4" w:space="0" w:color="auto"/>
              <w:right w:val="single" w:sz="4" w:space="0" w:color="auto"/>
            </w:tcBorders>
            <w:hideMark/>
          </w:tcPr>
          <w:p w14:paraId="33CF817A" w14:textId="77777777" w:rsidR="00792E3A" w:rsidRPr="00792E3A" w:rsidRDefault="00792E3A" w:rsidP="00792E3A">
            <w:pPr>
              <w:spacing w:after="0" w:line="240" w:lineRule="auto"/>
              <w:rPr>
                <w:rFonts w:cs="Arial"/>
                <w:b/>
                <w:bCs/>
                <w:color w:val="000000"/>
                <w:szCs w:val="21"/>
                <w:lang w:eastAsia="en-AU"/>
              </w:rPr>
            </w:pPr>
            <w:r w:rsidRPr="00792E3A">
              <w:rPr>
                <w:rFonts w:cs="Arial"/>
                <w:b/>
                <w:bCs/>
                <w:color w:val="000000"/>
                <w:szCs w:val="21"/>
                <w:lang w:eastAsia="en-AU"/>
              </w:rPr>
              <w:t>Health service portals</w:t>
            </w:r>
          </w:p>
        </w:tc>
        <w:tc>
          <w:tcPr>
            <w:tcW w:w="6095" w:type="dxa"/>
            <w:tcBorders>
              <w:top w:val="nil"/>
              <w:left w:val="nil"/>
              <w:bottom w:val="single" w:sz="4" w:space="0" w:color="auto"/>
              <w:right w:val="single" w:sz="4" w:space="0" w:color="auto"/>
            </w:tcBorders>
            <w:hideMark/>
          </w:tcPr>
          <w:p w14:paraId="3AA6E336" w14:textId="77777777" w:rsidR="00792E3A" w:rsidRPr="00792E3A" w:rsidRDefault="00792E3A" w:rsidP="00792E3A">
            <w:pPr>
              <w:spacing w:after="0" w:line="240" w:lineRule="auto"/>
              <w:rPr>
                <w:rFonts w:cs="Arial"/>
                <w:color w:val="000000"/>
                <w:szCs w:val="21"/>
                <w:lang w:eastAsia="en-AU"/>
              </w:rPr>
            </w:pPr>
            <w:r w:rsidRPr="00792E3A">
              <w:rPr>
                <w:rFonts w:cs="Arial"/>
                <w:color w:val="000000"/>
                <w:szCs w:val="21"/>
                <w:lang w:eastAsia="en-AU"/>
              </w:rPr>
              <w:t>Access to linked health service portals through the application, with an option to add or link another portal</w:t>
            </w:r>
          </w:p>
        </w:tc>
      </w:tr>
      <w:tr w:rsidR="00792E3A" w:rsidRPr="00792E3A" w14:paraId="5C9A5189" w14:textId="77777777" w:rsidTr="006701B8">
        <w:trPr>
          <w:trHeight w:val="838"/>
        </w:trPr>
        <w:tc>
          <w:tcPr>
            <w:tcW w:w="3114" w:type="dxa"/>
            <w:tcBorders>
              <w:top w:val="nil"/>
              <w:left w:val="single" w:sz="4" w:space="0" w:color="auto"/>
              <w:bottom w:val="single" w:sz="4" w:space="0" w:color="auto"/>
              <w:right w:val="single" w:sz="4" w:space="0" w:color="auto"/>
            </w:tcBorders>
            <w:hideMark/>
          </w:tcPr>
          <w:p w14:paraId="2D52DFD9" w14:textId="77777777" w:rsidR="00792E3A" w:rsidRPr="00792E3A" w:rsidRDefault="00792E3A" w:rsidP="00792E3A">
            <w:pPr>
              <w:spacing w:after="0" w:line="240" w:lineRule="auto"/>
              <w:rPr>
                <w:rFonts w:cs="Arial"/>
                <w:b/>
                <w:bCs/>
                <w:color w:val="000000"/>
                <w:szCs w:val="21"/>
                <w:lang w:eastAsia="en-AU"/>
              </w:rPr>
            </w:pPr>
            <w:r w:rsidRPr="00792E3A">
              <w:rPr>
                <w:rFonts w:cs="Arial"/>
                <w:b/>
                <w:bCs/>
                <w:color w:val="000000"/>
                <w:szCs w:val="21"/>
                <w:lang w:eastAsia="en-AU"/>
              </w:rPr>
              <w:lastRenderedPageBreak/>
              <w:t>Conversational support</w:t>
            </w:r>
          </w:p>
        </w:tc>
        <w:tc>
          <w:tcPr>
            <w:tcW w:w="6095" w:type="dxa"/>
            <w:tcBorders>
              <w:top w:val="nil"/>
              <w:left w:val="nil"/>
              <w:bottom w:val="single" w:sz="4" w:space="0" w:color="auto"/>
              <w:right w:val="single" w:sz="4" w:space="0" w:color="auto"/>
            </w:tcBorders>
            <w:hideMark/>
          </w:tcPr>
          <w:p w14:paraId="5F6263C4" w14:textId="77777777" w:rsidR="00792E3A" w:rsidRPr="00792E3A" w:rsidRDefault="00792E3A" w:rsidP="00792E3A">
            <w:pPr>
              <w:spacing w:after="0" w:line="240" w:lineRule="auto"/>
              <w:rPr>
                <w:rFonts w:cs="Arial"/>
                <w:color w:val="000000"/>
                <w:szCs w:val="21"/>
                <w:lang w:eastAsia="en-AU"/>
              </w:rPr>
            </w:pPr>
            <w:r w:rsidRPr="00792E3A">
              <w:rPr>
                <w:rFonts w:cs="Arial"/>
                <w:color w:val="000000"/>
                <w:szCs w:val="21"/>
                <w:lang w:eastAsia="en-AU"/>
              </w:rPr>
              <w:t>A chat-based interaction in which the consumer describes symptoms, provides further information and receives guidance on a possible next step</w:t>
            </w:r>
          </w:p>
        </w:tc>
      </w:tr>
      <w:tr w:rsidR="00792E3A" w:rsidRPr="00792E3A" w14:paraId="7A09CE73" w14:textId="77777777" w:rsidTr="006701B8">
        <w:trPr>
          <w:trHeight w:val="540"/>
        </w:trPr>
        <w:tc>
          <w:tcPr>
            <w:tcW w:w="3114" w:type="dxa"/>
            <w:tcBorders>
              <w:top w:val="nil"/>
              <w:left w:val="single" w:sz="4" w:space="0" w:color="auto"/>
              <w:bottom w:val="single" w:sz="4" w:space="0" w:color="auto"/>
              <w:right w:val="single" w:sz="4" w:space="0" w:color="auto"/>
            </w:tcBorders>
            <w:hideMark/>
          </w:tcPr>
          <w:p w14:paraId="2736CDDC" w14:textId="77777777" w:rsidR="00792E3A" w:rsidRPr="00792E3A" w:rsidRDefault="00792E3A" w:rsidP="00792E3A">
            <w:pPr>
              <w:spacing w:after="0" w:line="240" w:lineRule="auto"/>
              <w:rPr>
                <w:rFonts w:cs="Arial"/>
                <w:b/>
                <w:bCs/>
                <w:color w:val="000000"/>
                <w:szCs w:val="21"/>
                <w:lang w:eastAsia="en-AU"/>
              </w:rPr>
            </w:pPr>
            <w:r w:rsidRPr="00792E3A">
              <w:rPr>
                <w:rFonts w:cs="Arial"/>
                <w:b/>
                <w:bCs/>
                <w:color w:val="000000"/>
                <w:szCs w:val="21"/>
                <w:lang w:eastAsia="en-AU"/>
              </w:rPr>
              <w:t>Action options</w:t>
            </w:r>
          </w:p>
        </w:tc>
        <w:tc>
          <w:tcPr>
            <w:tcW w:w="6095" w:type="dxa"/>
            <w:tcBorders>
              <w:top w:val="nil"/>
              <w:left w:val="nil"/>
              <w:bottom w:val="single" w:sz="4" w:space="0" w:color="auto"/>
              <w:right w:val="single" w:sz="4" w:space="0" w:color="auto"/>
            </w:tcBorders>
            <w:hideMark/>
          </w:tcPr>
          <w:p w14:paraId="7C8449A2" w14:textId="77777777" w:rsidR="00792E3A" w:rsidRPr="00792E3A" w:rsidRDefault="00792E3A" w:rsidP="00792E3A">
            <w:pPr>
              <w:spacing w:after="0" w:line="240" w:lineRule="auto"/>
              <w:rPr>
                <w:rFonts w:cs="Arial"/>
                <w:color w:val="000000"/>
                <w:szCs w:val="21"/>
                <w:lang w:eastAsia="en-AU"/>
              </w:rPr>
            </w:pPr>
            <w:r w:rsidRPr="00792E3A">
              <w:rPr>
                <w:rFonts w:cs="Arial"/>
                <w:color w:val="000000"/>
                <w:szCs w:val="21"/>
                <w:lang w:eastAsia="en-AU"/>
              </w:rPr>
              <w:t>The consumer can choose to book an appointment or view other care options</w:t>
            </w:r>
          </w:p>
        </w:tc>
      </w:tr>
    </w:tbl>
    <w:p w14:paraId="237F01CD" w14:textId="77777777" w:rsidR="003B44FC" w:rsidRPr="002C1890" w:rsidRDefault="003B44FC" w:rsidP="0043043A">
      <w:pPr>
        <w:pStyle w:val="Body"/>
      </w:pPr>
    </w:p>
    <w:p w14:paraId="0EA4B739" w14:textId="5A74E39F" w:rsidR="00A966F5" w:rsidRDefault="00A966F5" w:rsidP="00027211">
      <w:pPr>
        <w:pStyle w:val="Heading2"/>
        <w:rPr>
          <w:kern w:val="2"/>
          <w:szCs w:val="32"/>
          <w14:ligatures w14:val="standardContextual"/>
        </w:rPr>
      </w:pPr>
      <w:bookmarkStart w:id="99" w:name="_Toc244166863"/>
      <w:r w:rsidRPr="00A966F5">
        <w:t xml:space="preserve">Figure 14. Roadmap </w:t>
      </w:r>
      <w:r w:rsidR="00EC086F">
        <w:t>a</w:t>
      </w:r>
      <w:r w:rsidRPr="00A966F5">
        <w:t>ccelerators</w:t>
      </w:r>
      <w:bookmarkEnd w:id="99"/>
    </w:p>
    <w:p w14:paraId="555219DC" w14:textId="77777777" w:rsidR="00AB5250" w:rsidRPr="00AB5250" w:rsidRDefault="00AB5250" w:rsidP="00AB5250">
      <w:pPr>
        <w:jc w:val="both"/>
      </w:pPr>
      <w:r w:rsidRPr="00AB5250">
        <w:t xml:space="preserve">Figure 14 presents </w:t>
      </w:r>
      <w:r w:rsidR="00A966F5" w:rsidRPr="00A966F5">
        <w:t xml:space="preserve">three cross-cutting </w:t>
      </w:r>
      <w:r w:rsidRPr="00AB5250">
        <w:t xml:space="preserve">roadmap </w:t>
      </w:r>
      <w:r w:rsidR="00A966F5" w:rsidRPr="00A966F5">
        <w:t>accelerators</w:t>
      </w:r>
      <w:r w:rsidRPr="00AB5250">
        <w:t>. Each accelerator includes a purpose, three focus areas</w:t>
      </w:r>
      <w:r w:rsidR="00A966F5" w:rsidRPr="00A966F5">
        <w:t xml:space="preserve"> and </w:t>
      </w:r>
      <w:r w:rsidRPr="00AB5250">
        <w:t>one foundational initiative.</w:t>
      </w:r>
    </w:p>
    <w:p w14:paraId="5AC8CAF7" w14:textId="77777777" w:rsidR="000536D1" w:rsidRDefault="000536D1" w:rsidP="000536D1">
      <w:pPr>
        <w:pStyle w:val="Heading3"/>
        <w:rPr>
          <w:kern w:val="2"/>
          <w:szCs w:val="30"/>
          <w14:ligatures w14:val="standardContextual"/>
        </w:rPr>
      </w:pPr>
      <w:r>
        <w:t>Workforce Enablement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2"/>
        <w:gridCol w:w="7374"/>
      </w:tblGrid>
      <w:tr w:rsidR="00D47A9B" w14:paraId="7001A398" w14:textId="77777777">
        <w:tc>
          <w:tcPr>
            <w:tcW w:w="0" w:type="auto"/>
            <w:tcBorders>
              <w:top w:val="single" w:sz="4" w:space="0" w:color="auto"/>
              <w:left w:val="single" w:sz="4" w:space="0" w:color="auto"/>
              <w:bottom w:val="single" w:sz="4" w:space="0" w:color="auto"/>
              <w:right w:val="single" w:sz="4" w:space="0" w:color="auto"/>
            </w:tcBorders>
            <w:hideMark/>
          </w:tcPr>
          <w:p w14:paraId="56B721BA" w14:textId="77777777" w:rsidR="00D47A9B" w:rsidRDefault="00D47A9B">
            <w:pPr>
              <w:rPr>
                <w:kern w:val="2"/>
                <w:szCs w:val="21"/>
                <w14:ligatures w14:val="standardContextual"/>
              </w:rPr>
            </w:pPr>
            <w:r>
              <w:rPr>
                <w:b/>
                <w:bCs/>
              </w:rPr>
              <w:t>Purpose</w:t>
            </w:r>
          </w:p>
        </w:tc>
        <w:tc>
          <w:tcPr>
            <w:tcW w:w="0" w:type="auto"/>
            <w:tcBorders>
              <w:top w:val="single" w:sz="4" w:space="0" w:color="auto"/>
              <w:left w:val="single" w:sz="4" w:space="0" w:color="auto"/>
              <w:bottom w:val="single" w:sz="4" w:space="0" w:color="auto"/>
              <w:right w:val="single" w:sz="4" w:space="0" w:color="auto"/>
            </w:tcBorders>
            <w:hideMark/>
          </w:tcPr>
          <w:p w14:paraId="4A95CDB6" w14:textId="77777777" w:rsidR="00D47A9B" w:rsidRDefault="00D47A9B">
            <w:r>
              <w:t>A health workforce with the knowledge, skills and confidence to design, deliver and adopt digital solutions and realise the benefits of digital investment.</w:t>
            </w:r>
          </w:p>
        </w:tc>
      </w:tr>
      <w:tr w:rsidR="00D47A9B" w14:paraId="0F69988A" w14:textId="77777777">
        <w:tc>
          <w:tcPr>
            <w:tcW w:w="0" w:type="auto"/>
            <w:tcBorders>
              <w:top w:val="single" w:sz="4" w:space="0" w:color="auto"/>
              <w:left w:val="single" w:sz="4" w:space="0" w:color="auto"/>
              <w:bottom w:val="single" w:sz="4" w:space="0" w:color="auto"/>
              <w:right w:val="single" w:sz="4" w:space="0" w:color="auto"/>
            </w:tcBorders>
            <w:hideMark/>
          </w:tcPr>
          <w:p w14:paraId="09EDEE51" w14:textId="77777777" w:rsidR="00D47A9B" w:rsidRDefault="00D47A9B">
            <w:r>
              <w:rPr>
                <w:b/>
                <w:bCs/>
              </w:rPr>
              <w:t>Focus areas</w:t>
            </w:r>
          </w:p>
        </w:tc>
        <w:tc>
          <w:tcPr>
            <w:tcW w:w="0" w:type="auto"/>
            <w:tcBorders>
              <w:top w:val="single" w:sz="4" w:space="0" w:color="auto"/>
              <w:left w:val="single" w:sz="4" w:space="0" w:color="auto"/>
              <w:bottom w:val="single" w:sz="4" w:space="0" w:color="auto"/>
              <w:right w:val="single" w:sz="4" w:space="0" w:color="auto"/>
            </w:tcBorders>
            <w:hideMark/>
          </w:tcPr>
          <w:p w14:paraId="07DC42B7" w14:textId="77777777" w:rsidR="00D47A9B" w:rsidRDefault="00D47A9B">
            <w:r>
              <w:rPr>
                <w:b/>
                <w:bCs/>
              </w:rPr>
              <w:t>Workforce capability:</w:t>
            </w:r>
            <w:r>
              <w:t xml:space="preserve"> Building digital fluency and technical capability across the health workforce to support system-wide digital transformation, in partnership with academia and aligned to Victoria’s Health Workforce Strategy.</w:t>
            </w:r>
          </w:p>
          <w:p w14:paraId="27F81D2E" w14:textId="77777777" w:rsidR="00D47A9B" w:rsidRDefault="00D47A9B">
            <w:r>
              <w:rPr>
                <w:b/>
                <w:bCs/>
              </w:rPr>
              <w:t>Change and adoption at scale:</w:t>
            </w:r>
            <w:r>
              <w:t xml:space="preserve"> Establishing consistent approaches to change, adoption and co-design that can be applied across programs and services.</w:t>
            </w:r>
          </w:p>
          <w:p w14:paraId="7484381D" w14:textId="77777777" w:rsidR="00D47A9B" w:rsidRDefault="00D47A9B">
            <w:r>
              <w:rPr>
                <w:b/>
                <w:bCs/>
              </w:rPr>
              <w:t>Roles, ways of working and workforce models:</w:t>
            </w:r>
            <w:r>
              <w:t xml:space="preserve"> Enabling the evolution of roles, workflows and team structures to support digitally enabled and virtual models of care.</w:t>
            </w:r>
          </w:p>
        </w:tc>
      </w:tr>
      <w:tr w:rsidR="00D47A9B" w14:paraId="13CF25CD" w14:textId="77777777">
        <w:tc>
          <w:tcPr>
            <w:tcW w:w="0" w:type="auto"/>
            <w:tcBorders>
              <w:top w:val="single" w:sz="4" w:space="0" w:color="auto"/>
              <w:left w:val="single" w:sz="4" w:space="0" w:color="auto"/>
              <w:bottom w:val="single" w:sz="4" w:space="0" w:color="auto"/>
              <w:right w:val="single" w:sz="4" w:space="0" w:color="auto"/>
            </w:tcBorders>
            <w:hideMark/>
          </w:tcPr>
          <w:p w14:paraId="610D9E1A" w14:textId="77777777" w:rsidR="00D47A9B" w:rsidRDefault="00D47A9B">
            <w:r>
              <w:rPr>
                <w:b/>
                <w:bCs/>
              </w:rPr>
              <w:t>Foundational initiative</w:t>
            </w:r>
          </w:p>
        </w:tc>
        <w:tc>
          <w:tcPr>
            <w:tcW w:w="0" w:type="auto"/>
            <w:tcBorders>
              <w:top w:val="single" w:sz="4" w:space="0" w:color="auto"/>
              <w:left w:val="single" w:sz="4" w:space="0" w:color="auto"/>
              <w:bottom w:val="single" w:sz="4" w:space="0" w:color="auto"/>
              <w:right w:val="single" w:sz="4" w:space="0" w:color="auto"/>
            </w:tcBorders>
            <w:hideMark/>
          </w:tcPr>
          <w:p w14:paraId="62773F95" w14:textId="77777777" w:rsidR="00D47A9B" w:rsidRDefault="00D47A9B">
            <w:r>
              <w:t>Establish and scale shared statewide digital and data learning modules, including experiential and applied capability development.</w:t>
            </w:r>
          </w:p>
        </w:tc>
      </w:tr>
    </w:tbl>
    <w:p w14:paraId="1B11B244" w14:textId="77777777" w:rsidR="00A91A51" w:rsidRDefault="00A91A51">
      <w:pPr>
        <w:rPr>
          <w:kern w:val="2"/>
          <w:szCs w:val="21"/>
          <w14:ligatures w14:val="standardContextual"/>
        </w:rPr>
      </w:pPr>
    </w:p>
    <w:p w14:paraId="3DD2E835" w14:textId="77777777" w:rsidR="00A91A51" w:rsidRDefault="00A91A51">
      <w:pPr>
        <w:pStyle w:val="Heading3"/>
        <w:rPr>
          <w:kern w:val="2"/>
          <w:szCs w:val="30"/>
          <w14:ligatures w14:val="standardContextual"/>
        </w:rPr>
      </w:pPr>
      <w:r>
        <w:t>Scaling Innovation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7412"/>
      </w:tblGrid>
      <w:tr w:rsidR="00D47A9B" w14:paraId="7A5AAC21" w14:textId="77777777">
        <w:tc>
          <w:tcPr>
            <w:tcW w:w="0" w:type="auto"/>
            <w:tcBorders>
              <w:top w:val="single" w:sz="4" w:space="0" w:color="auto"/>
              <w:left w:val="single" w:sz="4" w:space="0" w:color="auto"/>
              <w:bottom w:val="single" w:sz="4" w:space="0" w:color="auto"/>
              <w:right w:val="single" w:sz="4" w:space="0" w:color="auto"/>
            </w:tcBorders>
            <w:hideMark/>
          </w:tcPr>
          <w:p w14:paraId="24DBCEFF" w14:textId="77777777" w:rsidR="00D47A9B" w:rsidRDefault="00D47A9B">
            <w:pPr>
              <w:rPr>
                <w:kern w:val="2"/>
                <w:szCs w:val="21"/>
                <w14:ligatures w14:val="standardContextual"/>
              </w:rPr>
            </w:pPr>
            <w:r>
              <w:rPr>
                <w:b/>
                <w:bCs/>
              </w:rPr>
              <w:t>Purpose</w:t>
            </w:r>
          </w:p>
        </w:tc>
        <w:tc>
          <w:tcPr>
            <w:tcW w:w="0" w:type="auto"/>
            <w:tcBorders>
              <w:top w:val="single" w:sz="4" w:space="0" w:color="auto"/>
              <w:left w:val="single" w:sz="4" w:space="0" w:color="auto"/>
              <w:bottom w:val="single" w:sz="4" w:space="0" w:color="auto"/>
              <w:right w:val="single" w:sz="4" w:space="0" w:color="auto"/>
            </w:tcBorders>
            <w:hideMark/>
          </w:tcPr>
          <w:p w14:paraId="1FA0E415" w14:textId="77777777" w:rsidR="00D47A9B" w:rsidRDefault="00D47A9B">
            <w:r>
              <w:t>Pathways that enable locally developed digital solutions to be shared and scaled efficiently, delivering system-wide value and equitable outcomes.</w:t>
            </w:r>
          </w:p>
        </w:tc>
      </w:tr>
      <w:tr w:rsidR="00D47A9B" w14:paraId="13E2F56C" w14:textId="77777777">
        <w:tc>
          <w:tcPr>
            <w:tcW w:w="0" w:type="auto"/>
            <w:tcBorders>
              <w:top w:val="single" w:sz="4" w:space="0" w:color="auto"/>
              <w:left w:val="single" w:sz="4" w:space="0" w:color="auto"/>
              <w:bottom w:val="single" w:sz="4" w:space="0" w:color="auto"/>
              <w:right w:val="single" w:sz="4" w:space="0" w:color="auto"/>
            </w:tcBorders>
            <w:hideMark/>
          </w:tcPr>
          <w:p w14:paraId="038A582A" w14:textId="77777777" w:rsidR="00D47A9B" w:rsidRDefault="00D47A9B">
            <w:r>
              <w:rPr>
                <w:b/>
                <w:bCs/>
              </w:rPr>
              <w:t>Focus areas</w:t>
            </w:r>
          </w:p>
        </w:tc>
        <w:tc>
          <w:tcPr>
            <w:tcW w:w="0" w:type="auto"/>
            <w:tcBorders>
              <w:top w:val="single" w:sz="4" w:space="0" w:color="auto"/>
              <w:left w:val="single" w:sz="4" w:space="0" w:color="auto"/>
              <w:bottom w:val="single" w:sz="4" w:space="0" w:color="auto"/>
              <w:right w:val="single" w:sz="4" w:space="0" w:color="auto"/>
            </w:tcBorders>
            <w:hideMark/>
          </w:tcPr>
          <w:p w14:paraId="6D650591" w14:textId="77777777" w:rsidR="00D47A9B" w:rsidRDefault="00D47A9B">
            <w:r>
              <w:rPr>
                <w:b/>
                <w:bCs/>
              </w:rPr>
              <w:t>Standards and architecture:</w:t>
            </w:r>
            <w:r>
              <w:t xml:space="preserve"> Developing and maintaining a shared reference architecture to guide consistent approaches to integration, data, security and platform use, providing the technical environment for innovation to be applied consistently across the system.</w:t>
            </w:r>
          </w:p>
          <w:p w14:paraId="5793825C" w14:textId="77777777" w:rsidR="00D47A9B" w:rsidRDefault="00D47A9B">
            <w:r>
              <w:rPr>
                <w:b/>
                <w:bCs/>
              </w:rPr>
              <w:t>Innovation partnerships:</w:t>
            </w:r>
            <w:r>
              <w:t xml:space="preserve"> Strengthening collaboration with academia and industry to co-design, test and scale digital health solutions that address real-world challenges.</w:t>
            </w:r>
          </w:p>
          <w:p w14:paraId="50FCF8D5" w14:textId="77777777" w:rsidR="00D47A9B" w:rsidRDefault="00D47A9B">
            <w:r>
              <w:rPr>
                <w:b/>
                <w:bCs/>
              </w:rPr>
              <w:lastRenderedPageBreak/>
              <w:t>Innovation pathways:</w:t>
            </w:r>
            <w:r>
              <w:t xml:space="preserve"> Establishing coordinated mechanisms to rapidly test, evaluate and scale innovations, with shared learning and clear pathways for adoption at health services.</w:t>
            </w:r>
          </w:p>
        </w:tc>
      </w:tr>
      <w:tr w:rsidR="00D47A9B" w14:paraId="14E07F31" w14:textId="77777777">
        <w:tc>
          <w:tcPr>
            <w:tcW w:w="0" w:type="auto"/>
            <w:tcBorders>
              <w:top w:val="single" w:sz="4" w:space="0" w:color="auto"/>
              <w:left w:val="single" w:sz="4" w:space="0" w:color="auto"/>
              <w:bottom w:val="single" w:sz="4" w:space="0" w:color="auto"/>
              <w:right w:val="single" w:sz="4" w:space="0" w:color="auto"/>
            </w:tcBorders>
            <w:hideMark/>
          </w:tcPr>
          <w:p w14:paraId="04EDF53F" w14:textId="77777777" w:rsidR="00D47A9B" w:rsidRDefault="00D47A9B">
            <w:r>
              <w:rPr>
                <w:b/>
                <w:bCs/>
              </w:rPr>
              <w:lastRenderedPageBreak/>
              <w:t>Foundational initiative</w:t>
            </w:r>
          </w:p>
        </w:tc>
        <w:tc>
          <w:tcPr>
            <w:tcW w:w="0" w:type="auto"/>
            <w:tcBorders>
              <w:top w:val="single" w:sz="4" w:space="0" w:color="auto"/>
              <w:left w:val="single" w:sz="4" w:space="0" w:color="auto"/>
              <w:bottom w:val="single" w:sz="4" w:space="0" w:color="auto"/>
              <w:right w:val="single" w:sz="4" w:space="0" w:color="auto"/>
            </w:tcBorders>
            <w:hideMark/>
          </w:tcPr>
          <w:p w14:paraId="37E63087" w14:textId="77777777" w:rsidR="00D47A9B" w:rsidRDefault="00D47A9B">
            <w:r>
              <w:t>Develop and maintain a statewide digital health reference architecture to enable scalable, secure and consistent digital solutions.</w:t>
            </w:r>
          </w:p>
        </w:tc>
      </w:tr>
    </w:tbl>
    <w:p w14:paraId="1BF53687" w14:textId="77777777" w:rsidR="00A91A51" w:rsidRDefault="00A91A51">
      <w:pPr>
        <w:pStyle w:val="Heading3"/>
        <w:rPr>
          <w:kern w:val="2"/>
          <w:szCs w:val="30"/>
          <w14:ligatures w14:val="standardContextual"/>
        </w:rPr>
      </w:pPr>
      <w:r>
        <w:t>Safe and Responsible AI</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7406"/>
      </w:tblGrid>
      <w:tr w:rsidR="00D47A9B" w14:paraId="37777EAB" w14:textId="77777777">
        <w:tc>
          <w:tcPr>
            <w:tcW w:w="0" w:type="auto"/>
            <w:tcBorders>
              <w:top w:val="single" w:sz="4" w:space="0" w:color="auto"/>
              <w:left w:val="single" w:sz="4" w:space="0" w:color="auto"/>
              <w:bottom w:val="single" w:sz="4" w:space="0" w:color="auto"/>
              <w:right w:val="single" w:sz="4" w:space="0" w:color="auto"/>
            </w:tcBorders>
            <w:hideMark/>
          </w:tcPr>
          <w:p w14:paraId="39093D0C" w14:textId="77777777" w:rsidR="00D47A9B" w:rsidRDefault="00D47A9B">
            <w:pPr>
              <w:rPr>
                <w:kern w:val="2"/>
                <w:szCs w:val="21"/>
                <w14:ligatures w14:val="standardContextual"/>
              </w:rPr>
            </w:pPr>
            <w:r>
              <w:rPr>
                <w:b/>
                <w:bCs/>
              </w:rPr>
              <w:t>Purpose</w:t>
            </w:r>
          </w:p>
        </w:tc>
        <w:tc>
          <w:tcPr>
            <w:tcW w:w="0" w:type="auto"/>
            <w:tcBorders>
              <w:top w:val="single" w:sz="4" w:space="0" w:color="auto"/>
              <w:left w:val="single" w:sz="4" w:space="0" w:color="auto"/>
              <w:bottom w:val="single" w:sz="4" w:space="0" w:color="auto"/>
              <w:right w:val="single" w:sz="4" w:space="0" w:color="auto"/>
            </w:tcBorders>
            <w:hideMark/>
          </w:tcPr>
          <w:p w14:paraId="3277C2C3" w14:textId="77777777" w:rsidR="00D47A9B" w:rsidRDefault="00D47A9B">
            <w:r>
              <w:t>Standards, governance and technology foundations that ensure safe, trusted and consistent use of AI across the health system.</w:t>
            </w:r>
          </w:p>
        </w:tc>
      </w:tr>
      <w:tr w:rsidR="00D47A9B" w14:paraId="4879CE3D" w14:textId="77777777">
        <w:tc>
          <w:tcPr>
            <w:tcW w:w="0" w:type="auto"/>
            <w:tcBorders>
              <w:top w:val="single" w:sz="4" w:space="0" w:color="auto"/>
              <w:left w:val="single" w:sz="4" w:space="0" w:color="auto"/>
              <w:bottom w:val="single" w:sz="4" w:space="0" w:color="auto"/>
              <w:right w:val="single" w:sz="4" w:space="0" w:color="auto"/>
            </w:tcBorders>
            <w:hideMark/>
          </w:tcPr>
          <w:p w14:paraId="7E433910" w14:textId="77777777" w:rsidR="00D47A9B" w:rsidRDefault="00D47A9B">
            <w:r>
              <w:rPr>
                <w:b/>
                <w:bCs/>
              </w:rPr>
              <w:t>Focus areas</w:t>
            </w:r>
          </w:p>
        </w:tc>
        <w:tc>
          <w:tcPr>
            <w:tcW w:w="0" w:type="auto"/>
            <w:tcBorders>
              <w:top w:val="single" w:sz="4" w:space="0" w:color="auto"/>
              <w:left w:val="single" w:sz="4" w:space="0" w:color="auto"/>
              <w:bottom w:val="single" w:sz="4" w:space="0" w:color="auto"/>
              <w:right w:val="single" w:sz="4" w:space="0" w:color="auto"/>
            </w:tcBorders>
            <w:hideMark/>
          </w:tcPr>
          <w:p w14:paraId="73F11DEF" w14:textId="77777777" w:rsidR="00D47A9B" w:rsidRDefault="00D47A9B">
            <w:r>
              <w:rPr>
                <w:b/>
                <w:bCs/>
              </w:rPr>
              <w:t>Governance and guardrails:</w:t>
            </w:r>
            <w:r>
              <w:t xml:space="preserve"> Defining decision rights, accountability and system-level guardrails to ensure AI use is safe, aligned to system priorities and meets regulatory requirements. This includes how data is protected and managed.</w:t>
            </w:r>
          </w:p>
          <w:p w14:paraId="0416553C" w14:textId="77777777" w:rsidR="00D47A9B" w:rsidRDefault="00D47A9B">
            <w:r>
              <w:rPr>
                <w:b/>
                <w:bCs/>
              </w:rPr>
              <w:t>Solution selection:</w:t>
            </w:r>
            <w:r>
              <w:t xml:space="preserve"> Establishing a coordinated approach to selecting and procuring AI solutions across health services to reduce duplication, improve alignment and support scalable implementation.</w:t>
            </w:r>
          </w:p>
          <w:p w14:paraId="67D09891" w14:textId="77777777" w:rsidR="00D47A9B" w:rsidRDefault="00D47A9B">
            <w:r>
              <w:rPr>
                <w:b/>
                <w:bCs/>
              </w:rPr>
              <w:t>Time to value:</w:t>
            </w:r>
            <w:r>
              <w:t xml:space="preserve"> Establishing a shared AI orchestration platform to support faster and more consistent implementation through automated application of standards and guardrails, system-wide visibility of AI use and improved sharing across health services.</w:t>
            </w:r>
          </w:p>
        </w:tc>
      </w:tr>
      <w:tr w:rsidR="00D47A9B" w14:paraId="74FC8ED7" w14:textId="77777777">
        <w:tc>
          <w:tcPr>
            <w:tcW w:w="0" w:type="auto"/>
            <w:tcBorders>
              <w:top w:val="single" w:sz="4" w:space="0" w:color="auto"/>
              <w:left w:val="single" w:sz="4" w:space="0" w:color="auto"/>
              <w:bottom w:val="single" w:sz="4" w:space="0" w:color="auto"/>
              <w:right w:val="single" w:sz="4" w:space="0" w:color="auto"/>
            </w:tcBorders>
            <w:hideMark/>
          </w:tcPr>
          <w:p w14:paraId="03E9D2A8" w14:textId="77777777" w:rsidR="00D47A9B" w:rsidRDefault="00D47A9B">
            <w:r>
              <w:rPr>
                <w:b/>
                <w:bCs/>
              </w:rPr>
              <w:t>Foundational initiative</w:t>
            </w:r>
          </w:p>
        </w:tc>
        <w:tc>
          <w:tcPr>
            <w:tcW w:w="0" w:type="auto"/>
            <w:tcBorders>
              <w:top w:val="single" w:sz="4" w:space="0" w:color="auto"/>
              <w:left w:val="single" w:sz="4" w:space="0" w:color="auto"/>
              <w:bottom w:val="single" w:sz="4" w:space="0" w:color="auto"/>
              <w:right w:val="single" w:sz="4" w:space="0" w:color="auto"/>
            </w:tcBorders>
            <w:hideMark/>
          </w:tcPr>
          <w:p w14:paraId="3C431800" w14:textId="77777777" w:rsidR="00D47A9B" w:rsidRDefault="00D47A9B">
            <w:r>
              <w:t>Establish a shared AI orchestration platform to support safe, scalable and reusable AI solutions.</w:t>
            </w:r>
          </w:p>
        </w:tc>
      </w:tr>
    </w:tbl>
    <w:p w14:paraId="4547B5B1" w14:textId="77777777" w:rsidR="00A91A51" w:rsidRDefault="00A91A51">
      <w:pPr>
        <w:rPr>
          <w:kern w:val="2"/>
          <w:szCs w:val="21"/>
          <w14:ligatures w14:val="standardContextual"/>
        </w:rPr>
      </w:pPr>
    </w:p>
    <w:p w14:paraId="5868CD0B" w14:textId="77777777" w:rsidR="00A966F5" w:rsidRDefault="00A966F5" w:rsidP="00561116">
      <w:pPr>
        <w:pStyle w:val="Heading2"/>
        <w:rPr>
          <w:kern w:val="2"/>
          <w:szCs w:val="32"/>
          <w14:ligatures w14:val="standardContextual"/>
        </w:rPr>
      </w:pPr>
      <w:bookmarkStart w:id="100" w:name="_Toc244166864"/>
      <w:r w:rsidRPr="00A966F5">
        <w:t xml:space="preserve">Figure 15. Benefit </w:t>
      </w:r>
      <w:r w:rsidR="00C42E04">
        <w:t>c</w:t>
      </w:r>
      <w:r w:rsidRPr="00A966F5">
        <w:t xml:space="preserve">ategories </w:t>
      </w:r>
      <w:r w:rsidR="00C42E04">
        <w:t>a</w:t>
      </w:r>
      <w:r w:rsidRPr="00A966F5">
        <w:t xml:space="preserve">ligned to </w:t>
      </w:r>
      <w:r w:rsidR="00C42E04">
        <w:t>p</w:t>
      </w:r>
      <w:r w:rsidRPr="00A966F5">
        <w:t xml:space="preserve">riority </w:t>
      </w:r>
      <w:r w:rsidR="00C42E04">
        <w:t>o</w:t>
      </w:r>
      <w:r w:rsidRPr="00A966F5">
        <w:t>utcomes</w:t>
      </w:r>
      <w:bookmarkEnd w:id="100"/>
    </w:p>
    <w:p w14:paraId="5450FD46" w14:textId="77777777" w:rsidR="00A4073D" w:rsidRPr="00A4073D" w:rsidRDefault="00A4073D" w:rsidP="00A4073D">
      <w:pPr>
        <w:jc w:val="both"/>
      </w:pPr>
      <w:r w:rsidRPr="00A4073D">
        <w:t xml:space="preserve">Figure 15 is presented in accessible table format within the main body of the document under </w:t>
      </w:r>
      <w:r w:rsidRPr="00A4073D">
        <w:rPr>
          <w:i/>
          <w:iCs/>
        </w:rPr>
        <w:t>Measuring success</w:t>
      </w:r>
      <w:r w:rsidRPr="00A4073D">
        <w:t>. No additional information is conveyed by the original figure.</w:t>
      </w:r>
    </w:p>
    <w:p w14:paraId="1015336C" w14:textId="77777777" w:rsidR="00047D97" w:rsidRPr="00A24A61" w:rsidRDefault="00047D97" w:rsidP="00A24A61">
      <w:pPr>
        <w:jc w:val="both"/>
      </w:pPr>
    </w:p>
    <w:p w14:paraId="75CC80DA" w14:textId="6E824B1B" w:rsidR="00C30626" w:rsidRDefault="0072387E" w:rsidP="00A8712E">
      <w:pPr>
        <w:pStyle w:val="Heading2"/>
        <w:rPr>
          <w:kern w:val="2"/>
          <w:szCs w:val="32"/>
          <w14:ligatures w14:val="standardContextual"/>
        </w:rPr>
      </w:pPr>
      <w:bookmarkStart w:id="101" w:name="_Toc244166865"/>
      <w:r>
        <w:t>Figure 16. Delineation of roles across national, state and the sector</w:t>
      </w:r>
      <w:bookmarkEnd w:id="101"/>
    </w:p>
    <w:p w14:paraId="0E5195D2" w14:textId="77777777" w:rsidR="00FA1D7F" w:rsidRDefault="00FA1D7F">
      <w:pPr>
        <w:jc w:val="both"/>
      </w:pPr>
      <w:r>
        <w:t>Figure 16 shows a three-level hierarchy of responsibility across national, state and sector levels. National bodies establish the policy, regulatory, standards and shared infrastructure foundations. The state translates these foundations into statewide strategy, investment priorities, governance, standards and shared capabilities. Healthcare providers and Local Health Service Networks implement, adopt and optimise digital capability in service delivery. Accountability flows through alignment with national and statewide requirements, while information about delivery, benefits, outcomes and digital maturity informs state and national oversight and future priorities.</w:t>
      </w:r>
    </w:p>
    <w:p w14:paraId="5C35B847" w14:textId="77777777" w:rsidR="008F7584" w:rsidRPr="006A6012" w:rsidRDefault="008F7584" w:rsidP="006A6012">
      <w:pPr>
        <w:jc w:val="both"/>
      </w:pPr>
    </w:p>
    <w:tbl>
      <w:tblPr>
        <w:tblStyle w:val="TableGrid"/>
        <w:tblW w:w="9072" w:type="dxa"/>
        <w:tblInd w:w="-5" w:type="dxa"/>
        <w:tblLook w:val="04A0" w:firstRow="1" w:lastRow="0" w:firstColumn="1" w:lastColumn="0" w:noHBand="0" w:noVBand="1"/>
      </w:tblPr>
      <w:tblGrid>
        <w:gridCol w:w="1133"/>
        <w:gridCol w:w="1314"/>
        <w:gridCol w:w="6625"/>
      </w:tblGrid>
      <w:tr w:rsidR="004C4FAB" w14:paraId="1F3EADCB" w14:textId="77777777" w:rsidTr="00B6365C">
        <w:trPr>
          <w:tblHeader/>
        </w:trPr>
        <w:tc>
          <w:tcPr>
            <w:tcW w:w="1133" w:type="dxa"/>
          </w:tcPr>
          <w:p w14:paraId="13FD0742" w14:textId="77777777" w:rsidR="004C4FAB" w:rsidRPr="004C4FAB" w:rsidRDefault="004C4FAB" w:rsidP="000A27E9">
            <w:pPr>
              <w:rPr>
                <w:b/>
                <w:bCs/>
              </w:rPr>
            </w:pPr>
            <w:r w:rsidRPr="004C4FAB">
              <w:rPr>
                <w:b/>
                <w:bCs/>
              </w:rPr>
              <w:lastRenderedPageBreak/>
              <w:t>Level</w:t>
            </w:r>
          </w:p>
        </w:tc>
        <w:tc>
          <w:tcPr>
            <w:tcW w:w="1314" w:type="dxa"/>
          </w:tcPr>
          <w:p w14:paraId="6D0C2825" w14:textId="77777777" w:rsidR="004C4FAB" w:rsidRPr="004C4FAB" w:rsidRDefault="004C4FAB" w:rsidP="000A27E9">
            <w:pPr>
              <w:rPr>
                <w:b/>
                <w:bCs/>
              </w:rPr>
            </w:pPr>
            <w:r w:rsidRPr="004C4FAB">
              <w:rPr>
                <w:b/>
                <w:bCs/>
              </w:rPr>
              <w:t>Role</w:t>
            </w:r>
          </w:p>
        </w:tc>
        <w:tc>
          <w:tcPr>
            <w:tcW w:w="6625" w:type="dxa"/>
          </w:tcPr>
          <w:p w14:paraId="066D03FD" w14:textId="77777777" w:rsidR="004C4FAB" w:rsidRPr="00CE356D" w:rsidRDefault="008F5871" w:rsidP="000A27E9">
            <w:pPr>
              <w:rPr>
                <w:b/>
                <w:bCs/>
              </w:rPr>
            </w:pPr>
            <w:r>
              <w:rPr>
                <w:b/>
                <w:bCs/>
              </w:rPr>
              <w:t>R</w:t>
            </w:r>
            <w:r w:rsidR="004C4FAB" w:rsidRPr="00CE356D">
              <w:rPr>
                <w:b/>
                <w:bCs/>
              </w:rPr>
              <w:t>esponsibilities</w:t>
            </w:r>
            <w:r>
              <w:rPr>
                <w:b/>
                <w:bCs/>
              </w:rPr>
              <w:t xml:space="preserve"> shown in the diagram</w:t>
            </w:r>
          </w:p>
        </w:tc>
      </w:tr>
      <w:tr w:rsidR="004C4FAB" w14:paraId="1BAF600E" w14:textId="77777777" w:rsidTr="00B6365C">
        <w:tc>
          <w:tcPr>
            <w:tcW w:w="1133" w:type="dxa"/>
          </w:tcPr>
          <w:p w14:paraId="429E1704" w14:textId="77777777" w:rsidR="004C4FAB" w:rsidRPr="00CE356D" w:rsidRDefault="00EF3FB4" w:rsidP="000A27E9">
            <w:pPr>
              <w:rPr>
                <w:b/>
                <w:bCs/>
              </w:rPr>
            </w:pPr>
            <w:r w:rsidRPr="00CE356D">
              <w:rPr>
                <w:b/>
                <w:bCs/>
              </w:rPr>
              <w:t>National</w:t>
            </w:r>
          </w:p>
        </w:tc>
        <w:tc>
          <w:tcPr>
            <w:tcW w:w="1314" w:type="dxa"/>
          </w:tcPr>
          <w:p w14:paraId="45E5DF3A" w14:textId="77777777" w:rsidR="004C4FAB" w:rsidRDefault="008F7584" w:rsidP="000A27E9">
            <w:r w:rsidRPr="008F7584">
              <w:t>Sets the foundations</w:t>
            </w:r>
          </w:p>
        </w:tc>
        <w:tc>
          <w:tcPr>
            <w:tcW w:w="6625" w:type="dxa"/>
          </w:tcPr>
          <w:p w14:paraId="1EB187B1" w14:textId="77777777" w:rsidR="004C4FAB" w:rsidRDefault="00842879" w:rsidP="000A27E9">
            <w:r w:rsidRPr="00842879">
              <w:t>National strategy, policy, regulation and legislation; standards, including interoperability and ICT procurement; national identifiers; national shared infrastructure, digital health platforms and services</w:t>
            </w:r>
          </w:p>
        </w:tc>
      </w:tr>
      <w:tr w:rsidR="004C4FAB" w14:paraId="5029C07A" w14:textId="77777777" w:rsidTr="00B6365C">
        <w:tc>
          <w:tcPr>
            <w:tcW w:w="1133" w:type="dxa"/>
          </w:tcPr>
          <w:p w14:paraId="3204A8E4" w14:textId="77777777" w:rsidR="004C4FAB" w:rsidRPr="00CE356D" w:rsidRDefault="00EF3FB4" w:rsidP="000A27E9">
            <w:pPr>
              <w:rPr>
                <w:b/>
                <w:bCs/>
              </w:rPr>
            </w:pPr>
            <w:r w:rsidRPr="00CE356D">
              <w:rPr>
                <w:b/>
                <w:bCs/>
              </w:rPr>
              <w:t xml:space="preserve">State </w:t>
            </w:r>
          </w:p>
        </w:tc>
        <w:tc>
          <w:tcPr>
            <w:tcW w:w="1314" w:type="dxa"/>
          </w:tcPr>
          <w:p w14:paraId="77D00851" w14:textId="77777777" w:rsidR="004C4FAB" w:rsidRDefault="00C3213D" w:rsidP="000A27E9">
            <w:r w:rsidRPr="00C3213D">
              <w:t>Enables scale and consistency</w:t>
            </w:r>
          </w:p>
        </w:tc>
        <w:tc>
          <w:tcPr>
            <w:tcW w:w="6625" w:type="dxa"/>
          </w:tcPr>
          <w:p w14:paraId="02DC154C" w14:textId="77777777" w:rsidR="004C4FAB" w:rsidRDefault="00783861" w:rsidP="000A27E9">
            <w:r w:rsidRPr="00783861">
              <w:t>Digital health strategy and stewardship; statewide digital investment and prioritisation; statewide digital and technology standards, including cyber and architecture, and governance; shared digital platforms and reusable capabilities; monitoring benefits, outcomes and digital maturity</w:t>
            </w:r>
          </w:p>
        </w:tc>
      </w:tr>
      <w:tr w:rsidR="004C4FAB" w14:paraId="1E03A86C" w14:textId="77777777" w:rsidTr="00B6365C">
        <w:tc>
          <w:tcPr>
            <w:tcW w:w="1133" w:type="dxa"/>
          </w:tcPr>
          <w:p w14:paraId="6CC9E72E" w14:textId="77777777" w:rsidR="004C4FAB" w:rsidRPr="00CE356D" w:rsidRDefault="00C3213D" w:rsidP="000A27E9">
            <w:pPr>
              <w:rPr>
                <w:b/>
                <w:bCs/>
              </w:rPr>
            </w:pPr>
            <w:r w:rsidRPr="00CE356D">
              <w:rPr>
                <w:b/>
                <w:bCs/>
              </w:rPr>
              <w:t>Sector</w:t>
            </w:r>
          </w:p>
        </w:tc>
        <w:tc>
          <w:tcPr>
            <w:tcW w:w="1314" w:type="dxa"/>
          </w:tcPr>
          <w:p w14:paraId="18B6BEE8" w14:textId="77777777" w:rsidR="004C4FAB" w:rsidRDefault="00C3213D" w:rsidP="000A27E9">
            <w:r w:rsidRPr="00C3213D">
              <w:t>Innovates and realises value</w:t>
            </w:r>
          </w:p>
        </w:tc>
        <w:tc>
          <w:tcPr>
            <w:tcW w:w="6625" w:type="dxa"/>
          </w:tcPr>
          <w:p w14:paraId="35C6930A" w14:textId="77777777" w:rsidR="004C4FAB" w:rsidRDefault="003A4A41" w:rsidP="000A27E9">
            <w:r w:rsidRPr="003A4A41">
              <w:t>Local digital strategy and investment; digital solution implementation, adoption and optimisation; workforce and change management; local data stewardship and governance; benefits realisation and outcomes achievement; digital innovation and continuous improvement; alignment to statewide strategy, standards and shared platforms</w:t>
            </w:r>
          </w:p>
        </w:tc>
      </w:tr>
    </w:tbl>
    <w:p w14:paraId="764DE3E4" w14:textId="77777777" w:rsidR="00BC7EEC" w:rsidRDefault="00BC7EEC">
      <w:pPr>
        <w:jc w:val="both"/>
        <w:rPr>
          <w:kern w:val="2"/>
          <w:szCs w:val="21"/>
          <w14:ligatures w14:val="standardContextual"/>
        </w:rPr>
      </w:pPr>
    </w:p>
    <w:p w14:paraId="5B4FE9B0" w14:textId="22C0723D" w:rsidR="009628A2" w:rsidRPr="009628A2" w:rsidRDefault="00385EDF" w:rsidP="00A40727">
      <w:pPr>
        <w:pStyle w:val="Heading2"/>
      </w:pPr>
      <w:bookmarkStart w:id="102" w:name="_Toc244166866"/>
      <w:r w:rsidRPr="00385EDF">
        <w:t>Figure 17. Governance framework supporting delivery of the roadmap</w:t>
      </w:r>
      <w:bookmarkEnd w:id="102"/>
    </w:p>
    <w:p w14:paraId="16A5FF8A" w14:textId="77777777" w:rsidR="00FA1D7F" w:rsidRDefault="00FA1D7F">
      <w:pPr>
        <w:jc w:val="both"/>
      </w:pPr>
      <w:r>
        <w:t>Figure 17 presents the governance hierarchy supporting delivery of the Digital Health Roadmap. The roadmap’s priority outcomes provide the strategic direction for the pillars, programs of work, initiatives and cross-cutting accelerators. Delivery information, risks, dependencies, performance and benefits are reported through governance forums for oversight and decision-making. Accountability extends from individual initiatives through programs and pillars to roadmap-level governance. The annual review cycle uses evidence about progress, outcomes, digital maturity and benefits realisation to recommend adjustments to priorities, sequencing and investment, refreshing the roadmap where required.</w:t>
      </w:r>
    </w:p>
    <w:p w14:paraId="77C71308" w14:textId="77777777" w:rsidR="00BC7EEC" w:rsidRDefault="00BC7EEC">
      <w:pPr>
        <w:jc w:val="both"/>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515"/>
      </w:tblGrid>
      <w:tr w:rsidR="00A140D0" w:rsidRPr="00A140D0" w14:paraId="0FCAA163" w14:textId="77777777" w:rsidTr="00BC7EEC">
        <w:trPr>
          <w:trHeight w:val="325"/>
          <w:tblHeader/>
        </w:trPr>
        <w:tc>
          <w:tcPr>
            <w:tcW w:w="2547" w:type="dxa"/>
            <w:hideMark/>
          </w:tcPr>
          <w:p w14:paraId="669504BA" w14:textId="2085B277" w:rsidR="00A140D0" w:rsidRPr="00A140D0" w:rsidRDefault="00B0353C" w:rsidP="00A140D0">
            <w:pPr>
              <w:spacing w:after="0" w:line="240" w:lineRule="auto"/>
              <w:rPr>
                <w:rFonts w:cs="Arial"/>
                <w:b/>
                <w:bCs/>
                <w:color w:val="000000"/>
                <w:szCs w:val="21"/>
                <w:lang w:eastAsia="en-AU"/>
              </w:rPr>
            </w:pPr>
            <w:r>
              <w:rPr>
                <w:rFonts w:cs="Arial"/>
                <w:b/>
                <w:bCs/>
                <w:color w:val="000000"/>
                <w:szCs w:val="21"/>
                <w:lang w:eastAsia="en-AU"/>
              </w:rPr>
              <w:t>C</w:t>
            </w:r>
            <w:r w:rsidR="00A140D0" w:rsidRPr="00A140D0">
              <w:rPr>
                <w:rFonts w:cs="Arial"/>
                <w:b/>
                <w:bCs/>
                <w:color w:val="000000"/>
                <w:szCs w:val="21"/>
                <w:lang w:eastAsia="en-AU"/>
              </w:rPr>
              <w:t>omponent</w:t>
            </w:r>
          </w:p>
        </w:tc>
        <w:tc>
          <w:tcPr>
            <w:tcW w:w="6515" w:type="dxa"/>
            <w:hideMark/>
          </w:tcPr>
          <w:p w14:paraId="7DE3308E"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Content shown in the diagram</w:t>
            </w:r>
          </w:p>
        </w:tc>
      </w:tr>
      <w:tr w:rsidR="00A140D0" w:rsidRPr="00A140D0" w14:paraId="1E14F612" w14:textId="77777777" w:rsidTr="007C325C">
        <w:trPr>
          <w:trHeight w:val="840"/>
        </w:trPr>
        <w:tc>
          <w:tcPr>
            <w:tcW w:w="2547" w:type="dxa"/>
            <w:hideMark/>
          </w:tcPr>
          <w:p w14:paraId="6B9E18B9"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Priority outcomes</w:t>
            </w:r>
          </w:p>
        </w:tc>
        <w:tc>
          <w:tcPr>
            <w:tcW w:w="6515" w:type="dxa"/>
            <w:hideMark/>
          </w:tcPr>
          <w:p w14:paraId="2B274F2B" w14:textId="77777777" w:rsidR="00A140D0" w:rsidRPr="00A140D0" w:rsidRDefault="00A140D0" w:rsidP="00A140D0">
            <w:pPr>
              <w:spacing w:after="0" w:line="240" w:lineRule="auto"/>
              <w:rPr>
                <w:rFonts w:cs="Arial"/>
                <w:color w:val="000000"/>
                <w:szCs w:val="21"/>
                <w:lang w:eastAsia="en-AU"/>
              </w:rPr>
            </w:pPr>
            <w:r w:rsidRPr="00A140D0">
              <w:rPr>
                <w:rFonts w:cs="Arial"/>
                <w:color w:val="000000"/>
                <w:szCs w:val="21"/>
                <w:lang w:eastAsia="en-AU"/>
              </w:rPr>
              <w:t>Provide the overarching outcomes that guide roadmap delivery and are informed by governance, benefits realisation and the annual review cycle.</w:t>
            </w:r>
          </w:p>
        </w:tc>
      </w:tr>
      <w:tr w:rsidR="00A140D0" w:rsidRPr="00A140D0" w14:paraId="25414D32" w14:textId="77777777" w:rsidTr="007C325C">
        <w:trPr>
          <w:trHeight w:val="554"/>
        </w:trPr>
        <w:tc>
          <w:tcPr>
            <w:tcW w:w="2547" w:type="dxa"/>
            <w:hideMark/>
          </w:tcPr>
          <w:p w14:paraId="2530D507"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Digital Health Roadmap</w:t>
            </w:r>
          </w:p>
        </w:tc>
        <w:tc>
          <w:tcPr>
            <w:tcW w:w="6515" w:type="dxa"/>
            <w:hideMark/>
          </w:tcPr>
          <w:p w14:paraId="5D6921C4"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Strategic pillars:</w:t>
            </w:r>
            <w:r w:rsidRPr="00A140D0">
              <w:rPr>
                <w:rFonts w:cs="Arial"/>
                <w:color w:val="000000"/>
                <w:szCs w:val="21"/>
                <w:lang w:eastAsia="en-AU"/>
              </w:rPr>
              <w:t xml:space="preserve"> Key domains of transformation aligned to priority outcomes.</w:t>
            </w:r>
          </w:p>
        </w:tc>
      </w:tr>
      <w:tr w:rsidR="00A140D0" w:rsidRPr="00A140D0" w14:paraId="0CD9B079" w14:textId="77777777" w:rsidTr="007C325C">
        <w:trPr>
          <w:trHeight w:val="562"/>
        </w:trPr>
        <w:tc>
          <w:tcPr>
            <w:tcW w:w="2547" w:type="dxa"/>
            <w:hideMark/>
          </w:tcPr>
          <w:p w14:paraId="553B4DB5"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Digital Health Roadmap</w:t>
            </w:r>
          </w:p>
        </w:tc>
        <w:tc>
          <w:tcPr>
            <w:tcW w:w="6515" w:type="dxa"/>
            <w:hideMark/>
          </w:tcPr>
          <w:p w14:paraId="5F20EAB9"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Programs of work:</w:t>
            </w:r>
            <w:r w:rsidRPr="00A140D0">
              <w:rPr>
                <w:rFonts w:cs="Arial"/>
                <w:color w:val="000000"/>
                <w:szCs w:val="21"/>
                <w:lang w:eastAsia="en-AU"/>
              </w:rPr>
              <w:t xml:space="preserve"> Coherent groupings of initiatives that deliver capability and change.</w:t>
            </w:r>
          </w:p>
        </w:tc>
      </w:tr>
      <w:tr w:rsidR="00A140D0" w:rsidRPr="00A140D0" w14:paraId="32DD2F0C" w14:textId="77777777" w:rsidTr="007C325C">
        <w:trPr>
          <w:trHeight w:val="570"/>
        </w:trPr>
        <w:tc>
          <w:tcPr>
            <w:tcW w:w="2547" w:type="dxa"/>
            <w:hideMark/>
          </w:tcPr>
          <w:p w14:paraId="1653CFB3"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Digital Health Roadmap</w:t>
            </w:r>
          </w:p>
        </w:tc>
        <w:tc>
          <w:tcPr>
            <w:tcW w:w="6515" w:type="dxa"/>
            <w:hideMark/>
          </w:tcPr>
          <w:p w14:paraId="2853D348"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Initiatives:</w:t>
            </w:r>
            <w:r w:rsidRPr="00A140D0">
              <w:rPr>
                <w:rFonts w:cs="Arial"/>
                <w:color w:val="000000"/>
                <w:szCs w:val="21"/>
                <w:lang w:eastAsia="en-AU"/>
              </w:rPr>
              <w:t xml:space="preserve"> Specific, deliverable pieces of work that build capability and deliver outcomes.</w:t>
            </w:r>
          </w:p>
        </w:tc>
      </w:tr>
      <w:tr w:rsidR="00A140D0" w:rsidRPr="00A140D0" w14:paraId="2D130EF3" w14:textId="77777777" w:rsidTr="007C325C">
        <w:trPr>
          <w:trHeight w:val="550"/>
        </w:trPr>
        <w:tc>
          <w:tcPr>
            <w:tcW w:w="2547" w:type="dxa"/>
            <w:hideMark/>
          </w:tcPr>
          <w:p w14:paraId="6A62BA8B"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Digital Health Roadmap</w:t>
            </w:r>
          </w:p>
        </w:tc>
        <w:tc>
          <w:tcPr>
            <w:tcW w:w="6515" w:type="dxa"/>
            <w:hideMark/>
          </w:tcPr>
          <w:p w14:paraId="689B68DF"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Accelerators:</w:t>
            </w:r>
            <w:r w:rsidRPr="00A140D0">
              <w:rPr>
                <w:rFonts w:cs="Arial"/>
                <w:color w:val="000000"/>
                <w:szCs w:val="21"/>
                <w:lang w:eastAsia="en-AU"/>
              </w:rPr>
              <w:t xml:space="preserve"> Shared capabilities that help maximise the impact of investments.</w:t>
            </w:r>
          </w:p>
        </w:tc>
      </w:tr>
      <w:tr w:rsidR="00A140D0" w:rsidRPr="00A140D0" w14:paraId="459D9189" w14:textId="77777777" w:rsidTr="005D35A8">
        <w:trPr>
          <w:trHeight w:val="578"/>
        </w:trPr>
        <w:tc>
          <w:tcPr>
            <w:tcW w:w="2547" w:type="dxa"/>
            <w:hideMark/>
          </w:tcPr>
          <w:p w14:paraId="4F31553F"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Governance</w:t>
            </w:r>
          </w:p>
        </w:tc>
        <w:tc>
          <w:tcPr>
            <w:tcW w:w="6515" w:type="dxa"/>
            <w:hideMark/>
          </w:tcPr>
          <w:p w14:paraId="32A02AFA" w14:textId="77777777" w:rsidR="00A140D0" w:rsidRPr="00A140D0" w:rsidRDefault="00A140D0" w:rsidP="00A140D0">
            <w:pPr>
              <w:spacing w:after="0" w:line="240" w:lineRule="auto"/>
              <w:rPr>
                <w:rFonts w:cs="Arial"/>
                <w:color w:val="000000"/>
                <w:szCs w:val="21"/>
                <w:lang w:eastAsia="en-AU"/>
              </w:rPr>
            </w:pPr>
            <w:r w:rsidRPr="00A140D0">
              <w:rPr>
                <w:rFonts w:cs="Arial"/>
                <w:color w:val="000000"/>
                <w:szCs w:val="21"/>
                <w:lang w:eastAsia="en-AU"/>
              </w:rPr>
              <w:t>Decision rights; prioritisation and sequencing; investment oversight; escalation and accountability; First Peoples decision-making.</w:t>
            </w:r>
          </w:p>
        </w:tc>
      </w:tr>
      <w:tr w:rsidR="00A140D0" w:rsidRPr="00A140D0" w14:paraId="68A76DDB" w14:textId="77777777" w:rsidTr="007C325C">
        <w:trPr>
          <w:trHeight w:val="550"/>
        </w:trPr>
        <w:tc>
          <w:tcPr>
            <w:tcW w:w="2547" w:type="dxa"/>
            <w:hideMark/>
          </w:tcPr>
          <w:p w14:paraId="48E51102"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Benefits realisation</w:t>
            </w:r>
          </w:p>
        </w:tc>
        <w:tc>
          <w:tcPr>
            <w:tcW w:w="6515" w:type="dxa"/>
            <w:hideMark/>
          </w:tcPr>
          <w:p w14:paraId="16CA4435" w14:textId="77777777" w:rsidR="00A140D0" w:rsidRPr="00A140D0" w:rsidRDefault="00A140D0" w:rsidP="00A140D0">
            <w:pPr>
              <w:spacing w:after="0" w:line="240" w:lineRule="auto"/>
              <w:rPr>
                <w:rFonts w:cs="Arial"/>
                <w:color w:val="000000"/>
                <w:szCs w:val="21"/>
                <w:lang w:eastAsia="en-AU"/>
              </w:rPr>
            </w:pPr>
            <w:r w:rsidRPr="00A140D0">
              <w:rPr>
                <w:rFonts w:cs="Arial"/>
                <w:color w:val="000000"/>
                <w:szCs w:val="21"/>
                <w:lang w:eastAsia="en-AU"/>
              </w:rPr>
              <w:t>Benefit owners and measures; outcome tracking; benefits assurance.</w:t>
            </w:r>
          </w:p>
        </w:tc>
      </w:tr>
      <w:tr w:rsidR="00A140D0" w:rsidRPr="00A140D0" w14:paraId="26F56882" w14:textId="77777777" w:rsidTr="002436E1">
        <w:trPr>
          <w:trHeight w:val="566"/>
        </w:trPr>
        <w:tc>
          <w:tcPr>
            <w:tcW w:w="2547" w:type="dxa"/>
            <w:hideMark/>
          </w:tcPr>
          <w:p w14:paraId="7A2E6B22"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t>Annual roadmap review cycle</w:t>
            </w:r>
          </w:p>
        </w:tc>
        <w:tc>
          <w:tcPr>
            <w:tcW w:w="6515" w:type="dxa"/>
            <w:hideMark/>
          </w:tcPr>
          <w:p w14:paraId="61D0EBDD" w14:textId="77777777" w:rsidR="00A140D0" w:rsidRPr="00A140D0" w:rsidRDefault="00A140D0" w:rsidP="00A140D0">
            <w:pPr>
              <w:spacing w:after="0" w:line="240" w:lineRule="auto"/>
              <w:rPr>
                <w:rFonts w:cs="Arial"/>
                <w:color w:val="000000"/>
                <w:szCs w:val="21"/>
                <w:lang w:eastAsia="en-AU"/>
              </w:rPr>
            </w:pPr>
            <w:r w:rsidRPr="00A140D0">
              <w:rPr>
                <w:rFonts w:cs="Arial"/>
                <w:color w:val="000000"/>
                <w:szCs w:val="21"/>
                <w:lang w:eastAsia="en-AU"/>
              </w:rPr>
              <w:t>Review progress; assess outcomes; recommend adjustments; refresh roadmap.</w:t>
            </w:r>
          </w:p>
        </w:tc>
      </w:tr>
      <w:tr w:rsidR="00A140D0" w:rsidRPr="00A140D0" w14:paraId="11919E45" w14:textId="77777777" w:rsidTr="007C325C">
        <w:trPr>
          <w:trHeight w:val="991"/>
        </w:trPr>
        <w:tc>
          <w:tcPr>
            <w:tcW w:w="2547" w:type="dxa"/>
            <w:hideMark/>
          </w:tcPr>
          <w:p w14:paraId="2FB71A4B" w14:textId="77777777" w:rsidR="00A140D0" w:rsidRPr="00A140D0" w:rsidRDefault="00A140D0" w:rsidP="00A140D0">
            <w:pPr>
              <w:spacing w:after="0" w:line="240" w:lineRule="auto"/>
              <w:rPr>
                <w:rFonts w:cs="Arial"/>
                <w:b/>
                <w:bCs/>
                <w:color w:val="000000"/>
                <w:szCs w:val="21"/>
                <w:lang w:eastAsia="en-AU"/>
              </w:rPr>
            </w:pPr>
            <w:r w:rsidRPr="00A140D0">
              <w:rPr>
                <w:rFonts w:cs="Arial"/>
                <w:b/>
                <w:bCs/>
                <w:color w:val="000000"/>
                <w:szCs w:val="21"/>
                <w:lang w:eastAsia="en-AU"/>
              </w:rPr>
              <w:lastRenderedPageBreak/>
              <w:t>Continuous feedback</w:t>
            </w:r>
          </w:p>
        </w:tc>
        <w:tc>
          <w:tcPr>
            <w:tcW w:w="6515" w:type="dxa"/>
            <w:hideMark/>
          </w:tcPr>
          <w:p w14:paraId="1E788BA3" w14:textId="026D75FA" w:rsidR="00A140D0" w:rsidRPr="00A140D0" w:rsidRDefault="000646FD" w:rsidP="00A140D0">
            <w:pPr>
              <w:spacing w:after="0" w:line="240" w:lineRule="auto"/>
              <w:rPr>
                <w:rFonts w:cs="Arial"/>
                <w:color w:val="000000"/>
                <w:szCs w:val="21"/>
                <w:lang w:eastAsia="en-AU"/>
              </w:rPr>
            </w:pPr>
            <w:r w:rsidRPr="000646FD">
              <w:rPr>
                <w:rFonts w:cs="Arial"/>
                <w:color w:val="000000"/>
                <w:szCs w:val="21"/>
                <w:lang w:eastAsia="en-AU"/>
              </w:rPr>
              <w:t>Governance and benefits realisation inform roadmap delivery. The annual review cycle considers progress and outcomes. It recommends adjustments, refreshes the roadmap and maintains alignment with the priority outcomes.</w:t>
            </w:r>
          </w:p>
        </w:tc>
      </w:tr>
    </w:tbl>
    <w:p w14:paraId="0C40B0E9" w14:textId="77777777" w:rsidR="004E0779" w:rsidRDefault="004E0779">
      <w:pPr>
        <w:jc w:val="both"/>
        <w:rPr>
          <w:kern w:val="2"/>
          <w:szCs w:val="21"/>
          <w14:ligatures w14:val="standardContextual"/>
        </w:rPr>
      </w:pPr>
    </w:p>
    <w:p w14:paraId="22FD8076" w14:textId="5E5B6265" w:rsidR="00C438EC" w:rsidRPr="00C438EC" w:rsidRDefault="001166C3" w:rsidP="00387DC1">
      <w:pPr>
        <w:pStyle w:val="Heading2"/>
      </w:pPr>
      <w:bookmarkStart w:id="103" w:name="_Toc244166867"/>
      <w:r>
        <w:rPr>
          <w:bCs/>
        </w:rPr>
        <w:t>Table 1</w:t>
      </w:r>
      <w:r w:rsidR="00582CAE">
        <w:rPr>
          <w:bCs/>
        </w:rPr>
        <w:t>.</w:t>
      </w:r>
      <w:r>
        <w:rPr>
          <w:bCs/>
        </w:rPr>
        <w:t xml:space="preserve"> </w:t>
      </w:r>
      <w:r w:rsidR="00C438EC" w:rsidRPr="00C438EC">
        <w:t xml:space="preserve">Connecting </w:t>
      </w:r>
      <w:r w:rsidR="009D5EB7">
        <w:t>h</w:t>
      </w:r>
      <w:r w:rsidR="00C438EC" w:rsidRPr="00C438EC">
        <w:t xml:space="preserve">ealth </w:t>
      </w:r>
      <w:r w:rsidR="009D5EB7">
        <w:t>p</w:t>
      </w:r>
      <w:r w:rsidR="00C438EC" w:rsidRPr="00C438EC">
        <w:t xml:space="preserve">rograms and </w:t>
      </w:r>
      <w:r w:rsidR="009D5EB7">
        <w:t>i</w:t>
      </w:r>
      <w:r w:rsidR="00C438EC" w:rsidRPr="00C438EC">
        <w:t>nitiatives</w:t>
      </w:r>
      <w:bookmarkEnd w:id="103"/>
    </w:p>
    <w:p w14:paraId="072CCECD" w14:textId="77777777" w:rsidR="00337B13" w:rsidRPr="00337B13" w:rsidRDefault="00337B13" w:rsidP="00337B13">
      <w:pPr>
        <w:spacing w:after="0" w:line="240" w:lineRule="auto"/>
        <w:jc w:val="both"/>
        <w:rPr>
          <w:rFonts w:eastAsia="Times"/>
        </w:rPr>
      </w:pPr>
      <w:r w:rsidRPr="00337B13">
        <w:rPr>
          <w:rFonts w:eastAsia="Times"/>
        </w:rPr>
        <w:t>Table 1 presents 14 initiatives grouped under three Connecting Health programs of work: 1.1 Digitised Clinical Records, 1.2 Seamless Health Information Sharing and 1.3 Trusted Data Foundations. Each initiative is mapped across three planning horizons: Defined initiatives (2026–2028), Emerging priorities (2028–2030) and Future direction (2030 onwards). Funding status is shown as either funded or subject to investment decisions. Initiatives progress through the planning horizons in different ways: some span all three horizons, some conclude during the Emerging priorities horizon, some are limited to Defined initiatives, and the Digital Health Marketplace (1.3.2) commences in the Future direction horizon. The following table provides the planning horizon and investment status for each initiative.</w:t>
      </w:r>
    </w:p>
    <w:p w14:paraId="61A4BC1E" w14:textId="77777777" w:rsidR="00DC6BB6" w:rsidRDefault="00DC6BB6">
      <w:pPr>
        <w:spacing w:after="0" w:line="240" w:lineRule="auto"/>
      </w:pPr>
    </w:p>
    <w:tbl>
      <w:tblPr>
        <w:tblW w:w="9067" w:type="dxa"/>
        <w:tblLook w:val="04A0" w:firstRow="1" w:lastRow="0" w:firstColumn="1" w:lastColumn="0" w:noHBand="0" w:noVBand="1"/>
      </w:tblPr>
      <w:tblGrid>
        <w:gridCol w:w="1373"/>
        <w:gridCol w:w="2774"/>
        <w:gridCol w:w="2807"/>
        <w:gridCol w:w="2113"/>
      </w:tblGrid>
      <w:tr w:rsidR="00DC6BB6" w:rsidRPr="00DC6BB6" w14:paraId="4BEEEC2C" w14:textId="77777777" w:rsidTr="00DC6BB6">
        <w:trPr>
          <w:trHeight w:val="290"/>
          <w:tblHeader/>
        </w:trPr>
        <w:tc>
          <w:tcPr>
            <w:tcW w:w="1313" w:type="dxa"/>
            <w:tcBorders>
              <w:top w:val="single" w:sz="4" w:space="0" w:color="auto"/>
              <w:left w:val="single" w:sz="4" w:space="0" w:color="auto"/>
              <w:bottom w:val="single" w:sz="4" w:space="0" w:color="auto"/>
              <w:right w:val="single" w:sz="4" w:space="0" w:color="auto"/>
            </w:tcBorders>
            <w:hideMark/>
          </w:tcPr>
          <w:p w14:paraId="29D79419" w14:textId="77777777" w:rsidR="00DC6BB6" w:rsidRPr="005B48A1" w:rsidRDefault="00DC6BB6" w:rsidP="00DC6BB6">
            <w:pPr>
              <w:spacing w:after="0" w:line="240" w:lineRule="auto"/>
              <w:rPr>
                <w:rFonts w:cs="Arial"/>
                <w:b/>
                <w:bCs/>
                <w:color w:val="000000"/>
                <w:szCs w:val="21"/>
                <w:lang w:eastAsia="en-AU"/>
              </w:rPr>
            </w:pPr>
            <w:r w:rsidRPr="005B48A1">
              <w:rPr>
                <w:rFonts w:cs="Arial"/>
                <w:b/>
                <w:bCs/>
                <w:color w:val="000000"/>
                <w:szCs w:val="21"/>
                <w:lang w:eastAsia="en-AU"/>
              </w:rPr>
              <w:t>Program</w:t>
            </w:r>
          </w:p>
        </w:tc>
        <w:tc>
          <w:tcPr>
            <w:tcW w:w="2793" w:type="dxa"/>
            <w:tcBorders>
              <w:top w:val="single" w:sz="4" w:space="0" w:color="auto"/>
              <w:left w:val="nil"/>
              <w:bottom w:val="single" w:sz="4" w:space="0" w:color="auto"/>
              <w:right w:val="single" w:sz="4" w:space="0" w:color="auto"/>
            </w:tcBorders>
            <w:hideMark/>
          </w:tcPr>
          <w:p w14:paraId="4E595115" w14:textId="77777777" w:rsidR="00DC6BB6" w:rsidRPr="005B48A1" w:rsidRDefault="00DC6BB6" w:rsidP="00DC6BB6">
            <w:pPr>
              <w:spacing w:after="0" w:line="240" w:lineRule="auto"/>
              <w:rPr>
                <w:rFonts w:cs="Arial"/>
                <w:b/>
                <w:bCs/>
                <w:color w:val="000000"/>
                <w:szCs w:val="21"/>
                <w:lang w:eastAsia="en-AU"/>
              </w:rPr>
            </w:pPr>
            <w:r w:rsidRPr="005B48A1">
              <w:rPr>
                <w:rFonts w:cs="Arial"/>
                <w:b/>
                <w:bCs/>
                <w:color w:val="000000"/>
                <w:szCs w:val="21"/>
                <w:lang w:eastAsia="en-AU"/>
              </w:rPr>
              <w:t>Initiative</w:t>
            </w:r>
          </w:p>
        </w:tc>
        <w:tc>
          <w:tcPr>
            <w:tcW w:w="2835" w:type="dxa"/>
            <w:tcBorders>
              <w:top w:val="single" w:sz="4" w:space="0" w:color="auto"/>
              <w:left w:val="nil"/>
              <w:bottom w:val="single" w:sz="4" w:space="0" w:color="auto"/>
              <w:right w:val="single" w:sz="4" w:space="0" w:color="auto"/>
            </w:tcBorders>
            <w:hideMark/>
          </w:tcPr>
          <w:p w14:paraId="53886FD7" w14:textId="77777777" w:rsidR="00DC6BB6" w:rsidRPr="005B48A1" w:rsidRDefault="00DC6BB6" w:rsidP="00DC6BB6">
            <w:pPr>
              <w:spacing w:after="0" w:line="240" w:lineRule="auto"/>
              <w:rPr>
                <w:rFonts w:cs="Arial"/>
                <w:b/>
                <w:bCs/>
                <w:color w:val="000000"/>
                <w:szCs w:val="21"/>
                <w:lang w:eastAsia="en-AU"/>
              </w:rPr>
            </w:pPr>
            <w:r w:rsidRPr="005B48A1">
              <w:rPr>
                <w:rFonts w:cs="Arial"/>
                <w:b/>
                <w:bCs/>
                <w:color w:val="000000"/>
                <w:szCs w:val="21"/>
                <w:lang w:eastAsia="en-AU"/>
              </w:rPr>
              <w:t>Planning horizon</w:t>
            </w:r>
          </w:p>
        </w:tc>
        <w:tc>
          <w:tcPr>
            <w:tcW w:w="2126" w:type="dxa"/>
            <w:tcBorders>
              <w:top w:val="single" w:sz="4" w:space="0" w:color="auto"/>
              <w:left w:val="nil"/>
              <w:bottom w:val="single" w:sz="4" w:space="0" w:color="auto"/>
              <w:right w:val="single" w:sz="4" w:space="0" w:color="auto"/>
            </w:tcBorders>
            <w:hideMark/>
          </w:tcPr>
          <w:p w14:paraId="34376372" w14:textId="77777777" w:rsidR="00DC6BB6" w:rsidRPr="005B48A1" w:rsidRDefault="00DC6BB6" w:rsidP="00DC6BB6">
            <w:pPr>
              <w:spacing w:after="0" w:line="240" w:lineRule="auto"/>
              <w:rPr>
                <w:rFonts w:cs="Arial"/>
                <w:b/>
                <w:bCs/>
                <w:color w:val="000000"/>
                <w:szCs w:val="21"/>
                <w:lang w:eastAsia="en-AU"/>
              </w:rPr>
            </w:pPr>
            <w:r w:rsidRPr="005B48A1">
              <w:rPr>
                <w:rFonts w:cs="Arial"/>
                <w:b/>
                <w:bCs/>
                <w:color w:val="000000"/>
                <w:szCs w:val="21"/>
                <w:lang w:eastAsia="en-AU"/>
              </w:rPr>
              <w:t>Investment status</w:t>
            </w:r>
          </w:p>
        </w:tc>
      </w:tr>
      <w:tr w:rsidR="00DC6BB6" w:rsidRPr="00DC6BB6" w14:paraId="735E60A8" w14:textId="77777777" w:rsidTr="00DC6BB6">
        <w:trPr>
          <w:trHeight w:val="1133"/>
        </w:trPr>
        <w:tc>
          <w:tcPr>
            <w:tcW w:w="1313" w:type="dxa"/>
            <w:tcBorders>
              <w:top w:val="nil"/>
              <w:left w:val="single" w:sz="4" w:space="0" w:color="auto"/>
              <w:bottom w:val="single" w:sz="4" w:space="0" w:color="auto"/>
              <w:right w:val="single" w:sz="4" w:space="0" w:color="auto"/>
            </w:tcBorders>
            <w:hideMark/>
          </w:tcPr>
          <w:p w14:paraId="27E73312"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1.1 Digitised Clinical Records</w:t>
            </w:r>
          </w:p>
        </w:tc>
        <w:tc>
          <w:tcPr>
            <w:tcW w:w="2793" w:type="dxa"/>
            <w:tcBorders>
              <w:top w:val="nil"/>
              <w:left w:val="nil"/>
              <w:bottom w:val="single" w:sz="4" w:space="0" w:color="auto"/>
              <w:right w:val="single" w:sz="4" w:space="0" w:color="auto"/>
            </w:tcBorders>
            <w:hideMark/>
          </w:tcPr>
          <w:p w14:paraId="6B9F0045"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1.1.1 Implement, expand and optimise EMR solutions</w:t>
            </w:r>
          </w:p>
        </w:tc>
        <w:tc>
          <w:tcPr>
            <w:tcW w:w="2835" w:type="dxa"/>
            <w:tcBorders>
              <w:top w:val="nil"/>
              <w:left w:val="nil"/>
              <w:bottom w:val="single" w:sz="4" w:space="0" w:color="auto"/>
              <w:right w:val="single" w:sz="4" w:space="0" w:color="auto"/>
            </w:tcBorders>
            <w:hideMark/>
          </w:tcPr>
          <w:p w14:paraId="4DDA42E3"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 emerging priorities 2028–2030; future direction 2030 onwards</w:t>
            </w:r>
          </w:p>
        </w:tc>
        <w:tc>
          <w:tcPr>
            <w:tcW w:w="2126" w:type="dxa"/>
            <w:tcBorders>
              <w:top w:val="nil"/>
              <w:left w:val="nil"/>
              <w:bottom w:val="single" w:sz="4" w:space="0" w:color="auto"/>
              <w:right w:val="single" w:sz="4" w:space="0" w:color="auto"/>
            </w:tcBorders>
            <w:hideMark/>
          </w:tcPr>
          <w:p w14:paraId="4944E6FD"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Subject to investment decisions across all three horizons</w:t>
            </w:r>
          </w:p>
        </w:tc>
      </w:tr>
      <w:tr w:rsidR="00DC6BB6" w:rsidRPr="00DC6BB6" w14:paraId="0B00F658" w14:textId="77777777" w:rsidTr="00DC6BB6">
        <w:trPr>
          <w:trHeight w:val="1135"/>
        </w:trPr>
        <w:tc>
          <w:tcPr>
            <w:tcW w:w="1313" w:type="dxa"/>
            <w:tcBorders>
              <w:top w:val="nil"/>
              <w:left w:val="single" w:sz="4" w:space="0" w:color="auto"/>
              <w:bottom w:val="single" w:sz="4" w:space="0" w:color="auto"/>
              <w:right w:val="single" w:sz="4" w:space="0" w:color="auto"/>
            </w:tcBorders>
            <w:hideMark/>
          </w:tcPr>
          <w:p w14:paraId="06AF0AB1"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1.1 Digitised Clinical Records</w:t>
            </w:r>
          </w:p>
        </w:tc>
        <w:tc>
          <w:tcPr>
            <w:tcW w:w="2793" w:type="dxa"/>
            <w:tcBorders>
              <w:top w:val="nil"/>
              <w:left w:val="nil"/>
              <w:bottom w:val="single" w:sz="4" w:space="0" w:color="auto"/>
              <w:right w:val="single" w:sz="4" w:space="0" w:color="auto"/>
            </w:tcBorders>
            <w:hideMark/>
          </w:tcPr>
          <w:p w14:paraId="0439CCF2"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1.1.2 Transition legacy patient administration systems to contemporary solutions</w:t>
            </w:r>
          </w:p>
        </w:tc>
        <w:tc>
          <w:tcPr>
            <w:tcW w:w="2835" w:type="dxa"/>
            <w:tcBorders>
              <w:top w:val="nil"/>
              <w:left w:val="nil"/>
              <w:bottom w:val="single" w:sz="4" w:space="0" w:color="auto"/>
              <w:right w:val="single" w:sz="4" w:space="0" w:color="auto"/>
            </w:tcBorders>
            <w:hideMark/>
          </w:tcPr>
          <w:p w14:paraId="38780C92"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 emerging priorities 2028–2030; future direction 2030 onwards</w:t>
            </w:r>
          </w:p>
        </w:tc>
        <w:tc>
          <w:tcPr>
            <w:tcW w:w="2126" w:type="dxa"/>
            <w:tcBorders>
              <w:top w:val="nil"/>
              <w:left w:val="nil"/>
              <w:bottom w:val="single" w:sz="4" w:space="0" w:color="auto"/>
              <w:right w:val="single" w:sz="4" w:space="0" w:color="auto"/>
            </w:tcBorders>
            <w:hideMark/>
          </w:tcPr>
          <w:p w14:paraId="708720C4"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Subject to investment decisions across all three horizons</w:t>
            </w:r>
          </w:p>
        </w:tc>
      </w:tr>
      <w:tr w:rsidR="00DC6BB6" w:rsidRPr="00DC6BB6" w14:paraId="1E74D759" w14:textId="77777777" w:rsidTr="00DC6BB6">
        <w:trPr>
          <w:trHeight w:val="968"/>
        </w:trPr>
        <w:tc>
          <w:tcPr>
            <w:tcW w:w="1313" w:type="dxa"/>
            <w:tcBorders>
              <w:top w:val="nil"/>
              <w:left w:val="single" w:sz="4" w:space="0" w:color="auto"/>
              <w:bottom w:val="single" w:sz="4" w:space="0" w:color="auto"/>
              <w:right w:val="single" w:sz="4" w:space="0" w:color="auto"/>
            </w:tcBorders>
            <w:hideMark/>
          </w:tcPr>
          <w:p w14:paraId="3EF73A40"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1.1 Digitised Clinical Records</w:t>
            </w:r>
          </w:p>
        </w:tc>
        <w:tc>
          <w:tcPr>
            <w:tcW w:w="2793" w:type="dxa"/>
            <w:tcBorders>
              <w:top w:val="nil"/>
              <w:left w:val="nil"/>
              <w:bottom w:val="single" w:sz="4" w:space="0" w:color="auto"/>
              <w:right w:val="single" w:sz="4" w:space="0" w:color="auto"/>
            </w:tcBorders>
            <w:hideMark/>
          </w:tcPr>
          <w:p w14:paraId="2D829081"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1.1.3 Establish a shared statewide mental health and wellbeing record</w:t>
            </w:r>
          </w:p>
        </w:tc>
        <w:tc>
          <w:tcPr>
            <w:tcW w:w="2835" w:type="dxa"/>
            <w:tcBorders>
              <w:top w:val="nil"/>
              <w:left w:val="nil"/>
              <w:bottom w:val="single" w:sz="4" w:space="0" w:color="auto"/>
              <w:right w:val="single" w:sz="4" w:space="0" w:color="auto"/>
            </w:tcBorders>
            <w:hideMark/>
          </w:tcPr>
          <w:p w14:paraId="04EE63E2"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Emerging priorities 2028–2030</w:t>
            </w:r>
          </w:p>
        </w:tc>
        <w:tc>
          <w:tcPr>
            <w:tcW w:w="2126" w:type="dxa"/>
            <w:tcBorders>
              <w:top w:val="nil"/>
              <w:left w:val="nil"/>
              <w:bottom w:val="single" w:sz="4" w:space="0" w:color="auto"/>
              <w:right w:val="single" w:sz="4" w:space="0" w:color="auto"/>
            </w:tcBorders>
            <w:hideMark/>
          </w:tcPr>
          <w:p w14:paraId="487A7F5C" w14:textId="55334AE9" w:rsidR="00DC6BB6" w:rsidRPr="005B48A1" w:rsidRDefault="008D6715" w:rsidP="00DC6BB6">
            <w:pPr>
              <w:spacing w:after="0" w:line="240" w:lineRule="auto"/>
              <w:rPr>
                <w:rFonts w:cs="Arial"/>
                <w:color w:val="000000"/>
                <w:szCs w:val="21"/>
                <w:lang w:eastAsia="en-AU"/>
              </w:rPr>
            </w:pPr>
            <w:proofErr w:type="spellStart"/>
            <w:r w:rsidRPr="005B48A1">
              <w:rPr>
                <w:rFonts w:cs="Arial"/>
                <w:color w:val="000000"/>
                <w:szCs w:val="21"/>
                <w:lang w:eastAsia="en-AU"/>
              </w:rPr>
              <w:t>Funded</w:t>
            </w:r>
            <w:proofErr w:type="spellEnd"/>
            <w:r w:rsidRPr="005B48A1">
              <w:rPr>
                <w:rFonts w:cs="Arial"/>
                <w:color w:val="000000"/>
                <w:szCs w:val="21"/>
                <w:lang w:eastAsia="en-AU"/>
              </w:rPr>
              <w:t xml:space="preserve"> in 2026–2028; subject to investment decisions from 2028 onwards</w:t>
            </w:r>
          </w:p>
        </w:tc>
      </w:tr>
      <w:tr w:rsidR="00DC6BB6" w:rsidRPr="00DC6BB6" w14:paraId="10AE4BB4" w14:textId="77777777" w:rsidTr="00DC6BB6">
        <w:trPr>
          <w:trHeight w:val="1392"/>
        </w:trPr>
        <w:tc>
          <w:tcPr>
            <w:tcW w:w="1313" w:type="dxa"/>
            <w:tcBorders>
              <w:top w:val="nil"/>
              <w:left w:val="single" w:sz="4" w:space="0" w:color="auto"/>
              <w:bottom w:val="single" w:sz="4" w:space="0" w:color="auto"/>
              <w:right w:val="single" w:sz="4" w:space="0" w:color="auto"/>
            </w:tcBorders>
            <w:hideMark/>
          </w:tcPr>
          <w:p w14:paraId="03762C88"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1.2 Seamless Health Information Sharing</w:t>
            </w:r>
          </w:p>
        </w:tc>
        <w:tc>
          <w:tcPr>
            <w:tcW w:w="2793" w:type="dxa"/>
            <w:tcBorders>
              <w:top w:val="nil"/>
              <w:left w:val="nil"/>
              <w:bottom w:val="single" w:sz="4" w:space="0" w:color="auto"/>
              <w:right w:val="single" w:sz="4" w:space="0" w:color="auto"/>
            </w:tcBorders>
            <w:hideMark/>
          </w:tcPr>
          <w:p w14:paraId="6796FD8C"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 xml:space="preserve">1.2.1 Expand statewide access to connected clinical information through </w:t>
            </w:r>
            <w:proofErr w:type="spellStart"/>
            <w:r w:rsidRPr="005B48A1">
              <w:rPr>
                <w:rFonts w:cs="Arial"/>
                <w:color w:val="000000"/>
                <w:szCs w:val="21"/>
                <w:lang w:eastAsia="en-AU"/>
              </w:rPr>
              <w:t>CareSync</w:t>
            </w:r>
            <w:proofErr w:type="spellEnd"/>
            <w:r w:rsidRPr="005B48A1">
              <w:rPr>
                <w:rFonts w:cs="Arial"/>
                <w:color w:val="000000"/>
                <w:szCs w:val="21"/>
                <w:lang w:eastAsia="en-AU"/>
              </w:rPr>
              <w:t xml:space="preserve"> Exchange</w:t>
            </w:r>
          </w:p>
        </w:tc>
        <w:tc>
          <w:tcPr>
            <w:tcW w:w="2835" w:type="dxa"/>
            <w:tcBorders>
              <w:top w:val="nil"/>
              <w:left w:val="nil"/>
              <w:bottom w:val="single" w:sz="4" w:space="0" w:color="auto"/>
              <w:right w:val="single" w:sz="4" w:space="0" w:color="auto"/>
            </w:tcBorders>
            <w:hideMark/>
          </w:tcPr>
          <w:p w14:paraId="2689E124"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w:t>
            </w:r>
          </w:p>
        </w:tc>
        <w:tc>
          <w:tcPr>
            <w:tcW w:w="2126" w:type="dxa"/>
            <w:tcBorders>
              <w:top w:val="nil"/>
              <w:left w:val="nil"/>
              <w:bottom w:val="single" w:sz="4" w:space="0" w:color="auto"/>
              <w:right w:val="single" w:sz="4" w:space="0" w:color="auto"/>
            </w:tcBorders>
            <w:hideMark/>
          </w:tcPr>
          <w:p w14:paraId="128EF088"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Funded</w:t>
            </w:r>
          </w:p>
        </w:tc>
      </w:tr>
      <w:tr w:rsidR="00DC6BB6" w:rsidRPr="00DC6BB6" w14:paraId="393D7AB8" w14:textId="77777777" w:rsidTr="00DC6BB6">
        <w:trPr>
          <w:trHeight w:val="1392"/>
        </w:trPr>
        <w:tc>
          <w:tcPr>
            <w:tcW w:w="1313" w:type="dxa"/>
            <w:tcBorders>
              <w:top w:val="nil"/>
              <w:left w:val="single" w:sz="4" w:space="0" w:color="auto"/>
              <w:bottom w:val="single" w:sz="4" w:space="0" w:color="auto"/>
              <w:right w:val="single" w:sz="4" w:space="0" w:color="auto"/>
            </w:tcBorders>
            <w:hideMark/>
          </w:tcPr>
          <w:p w14:paraId="099AF802"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1.2 Seamless Health Information Sharing</w:t>
            </w:r>
          </w:p>
        </w:tc>
        <w:tc>
          <w:tcPr>
            <w:tcW w:w="2793" w:type="dxa"/>
            <w:tcBorders>
              <w:top w:val="nil"/>
              <w:left w:val="nil"/>
              <w:bottom w:val="single" w:sz="4" w:space="0" w:color="auto"/>
              <w:right w:val="single" w:sz="4" w:space="0" w:color="auto"/>
            </w:tcBorders>
            <w:hideMark/>
          </w:tcPr>
          <w:p w14:paraId="1929205F"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1.2.2 Expand adoption of National Healthcare Identifiers</w:t>
            </w:r>
          </w:p>
        </w:tc>
        <w:tc>
          <w:tcPr>
            <w:tcW w:w="2835" w:type="dxa"/>
            <w:tcBorders>
              <w:top w:val="nil"/>
              <w:left w:val="nil"/>
              <w:bottom w:val="single" w:sz="4" w:space="0" w:color="auto"/>
              <w:right w:val="single" w:sz="4" w:space="0" w:color="auto"/>
            </w:tcBorders>
            <w:hideMark/>
          </w:tcPr>
          <w:p w14:paraId="59CBA677"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 emerging priorities 2028–2030</w:t>
            </w:r>
          </w:p>
        </w:tc>
        <w:tc>
          <w:tcPr>
            <w:tcW w:w="2126" w:type="dxa"/>
            <w:tcBorders>
              <w:top w:val="nil"/>
              <w:left w:val="nil"/>
              <w:bottom w:val="single" w:sz="4" w:space="0" w:color="auto"/>
              <w:right w:val="single" w:sz="4" w:space="0" w:color="auto"/>
            </w:tcBorders>
            <w:hideMark/>
          </w:tcPr>
          <w:p w14:paraId="74BE07C8"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Subject to investment decisions</w:t>
            </w:r>
          </w:p>
        </w:tc>
      </w:tr>
      <w:tr w:rsidR="00DC6BB6" w:rsidRPr="00DC6BB6" w14:paraId="09918C77" w14:textId="77777777" w:rsidTr="00DC6BB6">
        <w:trPr>
          <w:trHeight w:val="1345"/>
        </w:trPr>
        <w:tc>
          <w:tcPr>
            <w:tcW w:w="1313" w:type="dxa"/>
            <w:tcBorders>
              <w:top w:val="nil"/>
              <w:left w:val="single" w:sz="4" w:space="0" w:color="auto"/>
              <w:bottom w:val="single" w:sz="4" w:space="0" w:color="auto"/>
              <w:right w:val="single" w:sz="4" w:space="0" w:color="auto"/>
            </w:tcBorders>
            <w:hideMark/>
          </w:tcPr>
          <w:p w14:paraId="0699B073"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1.2 Seamless Health Information Sharing</w:t>
            </w:r>
          </w:p>
        </w:tc>
        <w:tc>
          <w:tcPr>
            <w:tcW w:w="2793" w:type="dxa"/>
            <w:tcBorders>
              <w:top w:val="nil"/>
              <w:left w:val="nil"/>
              <w:bottom w:val="single" w:sz="4" w:space="0" w:color="auto"/>
              <w:right w:val="single" w:sz="4" w:space="0" w:color="auto"/>
            </w:tcBorders>
            <w:hideMark/>
          </w:tcPr>
          <w:p w14:paraId="5112E9D1"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1.2.3 Expand digital referral and referral management capability</w:t>
            </w:r>
          </w:p>
        </w:tc>
        <w:tc>
          <w:tcPr>
            <w:tcW w:w="2835" w:type="dxa"/>
            <w:tcBorders>
              <w:top w:val="nil"/>
              <w:left w:val="nil"/>
              <w:bottom w:val="single" w:sz="4" w:space="0" w:color="auto"/>
              <w:right w:val="single" w:sz="4" w:space="0" w:color="auto"/>
            </w:tcBorders>
            <w:hideMark/>
          </w:tcPr>
          <w:p w14:paraId="5DA0E00C"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 emerging priorities 2028–2030</w:t>
            </w:r>
          </w:p>
        </w:tc>
        <w:tc>
          <w:tcPr>
            <w:tcW w:w="2126" w:type="dxa"/>
            <w:tcBorders>
              <w:top w:val="nil"/>
              <w:left w:val="nil"/>
              <w:bottom w:val="single" w:sz="4" w:space="0" w:color="auto"/>
              <w:right w:val="single" w:sz="4" w:space="0" w:color="auto"/>
            </w:tcBorders>
            <w:hideMark/>
          </w:tcPr>
          <w:p w14:paraId="7FC0267D"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Subject to investment decisions</w:t>
            </w:r>
          </w:p>
        </w:tc>
      </w:tr>
      <w:tr w:rsidR="00DC6BB6" w:rsidRPr="00DC6BB6" w14:paraId="45AC6D51" w14:textId="77777777" w:rsidTr="00DC6BB6">
        <w:trPr>
          <w:trHeight w:val="1407"/>
        </w:trPr>
        <w:tc>
          <w:tcPr>
            <w:tcW w:w="1313" w:type="dxa"/>
            <w:tcBorders>
              <w:top w:val="nil"/>
              <w:left w:val="single" w:sz="4" w:space="0" w:color="auto"/>
              <w:bottom w:val="single" w:sz="4" w:space="0" w:color="auto"/>
              <w:right w:val="single" w:sz="4" w:space="0" w:color="auto"/>
            </w:tcBorders>
            <w:hideMark/>
          </w:tcPr>
          <w:p w14:paraId="2FC658DE"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lastRenderedPageBreak/>
              <w:t>1.2 Seamless Health Information Sharing</w:t>
            </w:r>
          </w:p>
        </w:tc>
        <w:tc>
          <w:tcPr>
            <w:tcW w:w="2793" w:type="dxa"/>
            <w:tcBorders>
              <w:top w:val="nil"/>
              <w:left w:val="nil"/>
              <w:bottom w:val="single" w:sz="4" w:space="0" w:color="auto"/>
              <w:right w:val="single" w:sz="4" w:space="0" w:color="auto"/>
            </w:tcBorders>
            <w:hideMark/>
          </w:tcPr>
          <w:p w14:paraId="674C19DB"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 xml:space="preserve">1.2.4 Implement Program </w:t>
            </w:r>
            <w:proofErr w:type="spellStart"/>
            <w:r w:rsidRPr="005B48A1">
              <w:rPr>
                <w:rFonts w:cs="Arial"/>
                <w:color w:val="000000"/>
                <w:szCs w:val="21"/>
                <w:lang w:eastAsia="en-AU"/>
              </w:rPr>
              <w:t>Wominjeka</w:t>
            </w:r>
            <w:proofErr w:type="spellEnd"/>
            <w:r w:rsidRPr="005B48A1">
              <w:rPr>
                <w:rFonts w:cs="Arial"/>
                <w:color w:val="000000"/>
                <w:szCs w:val="21"/>
                <w:lang w:eastAsia="en-AU"/>
              </w:rPr>
              <w:t xml:space="preserve"> client and data management capability across ACCOs</w:t>
            </w:r>
          </w:p>
        </w:tc>
        <w:tc>
          <w:tcPr>
            <w:tcW w:w="2835" w:type="dxa"/>
            <w:tcBorders>
              <w:top w:val="nil"/>
              <w:left w:val="nil"/>
              <w:bottom w:val="single" w:sz="4" w:space="0" w:color="auto"/>
              <w:right w:val="single" w:sz="4" w:space="0" w:color="auto"/>
            </w:tcBorders>
            <w:hideMark/>
          </w:tcPr>
          <w:p w14:paraId="6D88E543"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 emerging priorities 2028–2030; future direction 2030 onwards</w:t>
            </w:r>
          </w:p>
        </w:tc>
        <w:tc>
          <w:tcPr>
            <w:tcW w:w="2126" w:type="dxa"/>
            <w:tcBorders>
              <w:top w:val="nil"/>
              <w:left w:val="nil"/>
              <w:bottom w:val="single" w:sz="4" w:space="0" w:color="auto"/>
              <w:right w:val="single" w:sz="4" w:space="0" w:color="auto"/>
            </w:tcBorders>
            <w:hideMark/>
          </w:tcPr>
          <w:p w14:paraId="37D01B19" w14:textId="77777777" w:rsidR="00DC6BB6" w:rsidRPr="005B48A1" w:rsidRDefault="00DC6BB6" w:rsidP="00DC6BB6">
            <w:pPr>
              <w:spacing w:after="0" w:line="240" w:lineRule="auto"/>
              <w:rPr>
                <w:rFonts w:cs="Arial"/>
                <w:color w:val="000000"/>
                <w:szCs w:val="21"/>
                <w:lang w:eastAsia="en-AU"/>
              </w:rPr>
            </w:pPr>
            <w:proofErr w:type="spellStart"/>
            <w:r w:rsidRPr="005B48A1">
              <w:rPr>
                <w:rFonts w:cs="Arial"/>
                <w:color w:val="000000"/>
                <w:szCs w:val="21"/>
                <w:lang w:eastAsia="en-AU"/>
              </w:rPr>
              <w:t>Funded</w:t>
            </w:r>
            <w:proofErr w:type="spellEnd"/>
            <w:r w:rsidRPr="005B48A1">
              <w:rPr>
                <w:rFonts w:cs="Arial"/>
                <w:color w:val="000000"/>
                <w:szCs w:val="21"/>
                <w:lang w:eastAsia="en-AU"/>
              </w:rPr>
              <w:t xml:space="preserve"> in 2026–2028; subject to investment decisions from 2028 onwards</w:t>
            </w:r>
          </w:p>
        </w:tc>
      </w:tr>
      <w:tr w:rsidR="00DC6BB6" w:rsidRPr="00DC6BB6" w14:paraId="68E9A3EB" w14:textId="77777777" w:rsidTr="00DC6BB6">
        <w:trPr>
          <w:trHeight w:val="1129"/>
        </w:trPr>
        <w:tc>
          <w:tcPr>
            <w:tcW w:w="1313" w:type="dxa"/>
            <w:tcBorders>
              <w:top w:val="nil"/>
              <w:left w:val="single" w:sz="4" w:space="0" w:color="auto"/>
              <w:bottom w:val="single" w:sz="4" w:space="0" w:color="auto"/>
              <w:right w:val="single" w:sz="4" w:space="0" w:color="auto"/>
            </w:tcBorders>
            <w:hideMark/>
          </w:tcPr>
          <w:p w14:paraId="02EA9119"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 Trusted Data Foundations</w:t>
            </w:r>
          </w:p>
        </w:tc>
        <w:tc>
          <w:tcPr>
            <w:tcW w:w="2793" w:type="dxa"/>
            <w:tcBorders>
              <w:top w:val="nil"/>
              <w:left w:val="nil"/>
              <w:bottom w:val="single" w:sz="4" w:space="0" w:color="auto"/>
              <w:right w:val="single" w:sz="4" w:space="0" w:color="auto"/>
            </w:tcBorders>
            <w:hideMark/>
          </w:tcPr>
          <w:p w14:paraId="7BCD294C" w14:textId="7FC22178"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1.3.1</w:t>
            </w:r>
            <w:r w:rsidR="00EA4300">
              <w:rPr>
                <w:rFonts w:cs="Arial"/>
                <w:color w:val="000000"/>
                <w:szCs w:val="21"/>
                <w:lang w:eastAsia="en-AU"/>
              </w:rPr>
              <w:t>.</w:t>
            </w:r>
            <w:r w:rsidRPr="005B48A1">
              <w:rPr>
                <w:rFonts w:cs="Arial"/>
                <w:color w:val="000000"/>
                <w:szCs w:val="21"/>
                <w:lang w:eastAsia="en-AU"/>
              </w:rPr>
              <w:t xml:space="preserve"> </w:t>
            </w:r>
            <w:r w:rsidR="005C29A5" w:rsidRPr="005C29A5">
              <w:rPr>
                <w:rFonts w:cs="Arial"/>
                <w:color w:val="000000"/>
                <w:szCs w:val="21"/>
                <w:lang w:eastAsia="en-AU"/>
              </w:rPr>
              <w:t xml:space="preserve">Establish a statewide health data platform </w:t>
            </w:r>
            <w:r w:rsidR="005C29A5" w:rsidRPr="005C29A5">
              <w:rPr>
                <w:rFonts w:cs="Arial"/>
                <w:b/>
                <w:bCs/>
                <w:color w:val="000000"/>
                <w:szCs w:val="21"/>
                <w:lang w:eastAsia="en-AU"/>
              </w:rPr>
              <w:t>–</w:t>
            </w:r>
            <w:r w:rsidR="005C29A5" w:rsidRPr="005C29A5">
              <w:rPr>
                <w:rFonts w:cs="Arial"/>
                <w:color w:val="000000"/>
                <w:szCs w:val="21"/>
                <w:lang w:eastAsia="en-AU"/>
              </w:rPr>
              <w:t xml:space="preserve"> Connected Health Data Platform</w:t>
            </w:r>
          </w:p>
        </w:tc>
        <w:tc>
          <w:tcPr>
            <w:tcW w:w="2835" w:type="dxa"/>
            <w:tcBorders>
              <w:top w:val="nil"/>
              <w:left w:val="nil"/>
              <w:bottom w:val="single" w:sz="4" w:space="0" w:color="auto"/>
              <w:right w:val="single" w:sz="4" w:space="0" w:color="auto"/>
            </w:tcBorders>
            <w:hideMark/>
          </w:tcPr>
          <w:p w14:paraId="08B631D1"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 emerging priorities 2028–2030; future direction 2030 onwards</w:t>
            </w:r>
          </w:p>
        </w:tc>
        <w:tc>
          <w:tcPr>
            <w:tcW w:w="2126" w:type="dxa"/>
            <w:tcBorders>
              <w:top w:val="nil"/>
              <w:left w:val="nil"/>
              <w:bottom w:val="single" w:sz="4" w:space="0" w:color="auto"/>
              <w:right w:val="single" w:sz="4" w:space="0" w:color="auto"/>
            </w:tcBorders>
            <w:hideMark/>
          </w:tcPr>
          <w:p w14:paraId="50A1C404"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Subject to investment decisions across all three horizons</w:t>
            </w:r>
          </w:p>
        </w:tc>
      </w:tr>
      <w:tr w:rsidR="00DC6BB6" w:rsidRPr="00DC6BB6" w14:paraId="1A8726A7" w14:textId="77777777" w:rsidTr="00DC6BB6">
        <w:trPr>
          <w:trHeight w:val="1685"/>
        </w:trPr>
        <w:tc>
          <w:tcPr>
            <w:tcW w:w="1313" w:type="dxa"/>
            <w:tcBorders>
              <w:top w:val="nil"/>
              <w:left w:val="single" w:sz="4" w:space="0" w:color="auto"/>
              <w:bottom w:val="single" w:sz="4" w:space="0" w:color="auto"/>
              <w:right w:val="single" w:sz="4" w:space="0" w:color="auto"/>
            </w:tcBorders>
            <w:hideMark/>
          </w:tcPr>
          <w:p w14:paraId="66425FBC"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 Trusted Data Foundations</w:t>
            </w:r>
          </w:p>
        </w:tc>
        <w:tc>
          <w:tcPr>
            <w:tcW w:w="2793" w:type="dxa"/>
            <w:tcBorders>
              <w:top w:val="nil"/>
              <w:left w:val="nil"/>
              <w:bottom w:val="single" w:sz="4" w:space="0" w:color="auto"/>
              <w:right w:val="single" w:sz="4" w:space="0" w:color="auto"/>
            </w:tcBorders>
            <w:hideMark/>
          </w:tcPr>
          <w:p w14:paraId="1B5FA8AF"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1.3.2 Establish a digital health marketplace for health services to evaluate, adopt and scale interoperable digital solutions</w:t>
            </w:r>
          </w:p>
        </w:tc>
        <w:tc>
          <w:tcPr>
            <w:tcW w:w="2835" w:type="dxa"/>
            <w:tcBorders>
              <w:top w:val="nil"/>
              <w:left w:val="nil"/>
              <w:bottom w:val="single" w:sz="4" w:space="0" w:color="auto"/>
              <w:right w:val="single" w:sz="4" w:space="0" w:color="auto"/>
            </w:tcBorders>
            <w:hideMark/>
          </w:tcPr>
          <w:p w14:paraId="3FD6FEF1"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Future direction 2030 onwards</w:t>
            </w:r>
          </w:p>
        </w:tc>
        <w:tc>
          <w:tcPr>
            <w:tcW w:w="2126" w:type="dxa"/>
            <w:tcBorders>
              <w:top w:val="nil"/>
              <w:left w:val="nil"/>
              <w:bottom w:val="single" w:sz="4" w:space="0" w:color="auto"/>
              <w:right w:val="single" w:sz="4" w:space="0" w:color="auto"/>
            </w:tcBorders>
            <w:hideMark/>
          </w:tcPr>
          <w:p w14:paraId="35FF3453"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Subject to investment decisions</w:t>
            </w:r>
          </w:p>
        </w:tc>
      </w:tr>
      <w:tr w:rsidR="00DC6BB6" w:rsidRPr="00DC6BB6" w14:paraId="3BC67453" w14:textId="77777777" w:rsidTr="00DC6BB6">
        <w:trPr>
          <w:trHeight w:val="1141"/>
        </w:trPr>
        <w:tc>
          <w:tcPr>
            <w:tcW w:w="1313" w:type="dxa"/>
            <w:tcBorders>
              <w:top w:val="nil"/>
              <w:left w:val="single" w:sz="4" w:space="0" w:color="auto"/>
              <w:bottom w:val="single" w:sz="4" w:space="0" w:color="auto"/>
              <w:right w:val="single" w:sz="4" w:space="0" w:color="auto"/>
            </w:tcBorders>
            <w:hideMark/>
          </w:tcPr>
          <w:p w14:paraId="4DE2879E"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 Trusted Data Foundations</w:t>
            </w:r>
          </w:p>
        </w:tc>
        <w:tc>
          <w:tcPr>
            <w:tcW w:w="2793" w:type="dxa"/>
            <w:tcBorders>
              <w:top w:val="nil"/>
              <w:left w:val="nil"/>
              <w:bottom w:val="single" w:sz="4" w:space="0" w:color="auto"/>
              <w:right w:val="single" w:sz="4" w:space="0" w:color="auto"/>
            </w:tcBorders>
            <w:hideMark/>
          </w:tcPr>
          <w:p w14:paraId="0679A606"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1.3.3 Modernise statewide mandatory reporting requirements and capabilities</w:t>
            </w:r>
          </w:p>
        </w:tc>
        <w:tc>
          <w:tcPr>
            <w:tcW w:w="2835" w:type="dxa"/>
            <w:tcBorders>
              <w:top w:val="nil"/>
              <w:left w:val="nil"/>
              <w:bottom w:val="single" w:sz="4" w:space="0" w:color="auto"/>
              <w:right w:val="single" w:sz="4" w:space="0" w:color="auto"/>
            </w:tcBorders>
            <w:hideMark/>
          </w:tcPr>
          <w:p w14:paraId="03E2DDB2"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 emerging priorities 2028–2030</w:t>
            </w:r>
          </w:p>
        </w:tc>
        <w:tc>
          <w:tcPr>
            <w:tcW w:w="2126" w:type="dxa"/>
            <w:tcBorders>
              <w:top w:val="nil"/>
              <w:left w:val="nil"/>
              <w:bottom w:val="single" w:sz="4" w:space="0" w:color="auto"/>
              <w:right w:val="single" w:sz="4" w:space="0" w:color="auto"/>
            </w:tcBorders>
            <w:hideMark/>
          </w:tcPr>
          <w:p w14:paraId="315F9AE8"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Subject to investment decisions</w:t>
            </w:r>
          </w:p>
        </w:tc>
      </w:tr>
      <w:tr w:rsidR="00DC6BB6" w:rsidRPr="00DC6BB6" w14:paraId="6DE52F69" w14:textId="77777777" w:rsidTr="00DC6BB6">
        <w:trPr>
          <w:trHeight w:val="1116"/>
        </w:trPr>
        <w:tc>
          <w:tcPr>
            <w:tcW w:w="1313" w:type="dxa"/>
            <w:tcBorders>
              <w:top w:val="nil"/>
              <w:left w:val="single" w:sz="4" w:space="0" w:color="auto"/>
              <w:bottom w:val="single" w:sz="4" w:space="0" w:color="auto"/>
              <w:right w:val="single" w:sz="4" w:space="0" w:color="auto"/>
            </w:tcBorders>
            <w:hideMark/>
          </w:tcPr>
          <w:p w14:paraId="476956EA"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 Trusted Data Foundations</w:t>
            </w:r>
          </w:p>
        </w:tc>
        <w:tc>
          <w:tcPr>
            <w:tcW w:w="2793" w:type="dxa"/>
            <w:tcBorders>
              <w:top w:val="nil"/>
              <w:left w:val="nil"/>
              <w:bottom w:val="single" w:sz="4" w:space="0" w:color="auto"/>
              <w:right w:val="single" w:sz="4" w:space="0" w:color="auto"/>
            </w:tcBorders>
            <w:hideMark/>
          </w:tcPr>
          <w:p w14:paraId="2F3822C7"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1.3.4 Establish a digital platform to support the statewide medicines formulary</w:t>
            </w:r>
          </w:p>
        </w:tc>
        <w:tc>
          <w:tcPr>
            <w:tcW w:w="2835" w:type="dxa"/>
            <w:tcBorders>
              <w:top w:val="nil"/>
              <w:left w:val="nil"/>
              <w:bottom w:val="single" w:sz="4" w:space="0" w:color="auto"/>
              <w:right w:val="single" w:sz="4" w:space="0" w:color="auto"/>
            </w:tcBorders>
            <w:hideMark/>
          </w:tcPr>
          <w:p w14:paraId="179B08FB"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 emerging priorities 2028–2030</w:t>
            </w:r>
          </w:p>
        </w:tc>
        <w:tc>
          <w:tcPr>
            <w:tcW w:w="2126" w:type="dxa"/>
            <w:tcBorders>
              <w:top w:val="nil"/>
              <w:left w:val="nil"/>
              <w:bottom w:val="single" w:sz="4" w:space="0" w:color="auto"/>
              <w:right w:val="single" w:sz="4" w:space="0" w:color="auto"/>
            </w:tcBorders>
            <w:hideMark/>
          </w:tcPr>
          <w:p w14:paraId="31B4531C"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Funded</w:t>
            </w:r>
          </w:p>
        </w:tc>
      </w:tr>
      <w:tr w:rsidR="00DC6BB6" w:rsidRPr="00DC6BB6" w14:paraId="4E7877AE" w14:textId="77777777" w:rsidTr="00DC6BB6">
        <w:trPr>
          <w:trHeight w:val="976"/>
        </w:trPr>
        <w:tc>
          <w:tcPr>
            <w:tcW w:w="1313" w:type="dxa"/>
            <w:tcBorders>
              <w:top w:val="nil"/>
              <w:left w:val="single" w:sz="4" w:space="0" w:color="auto"/>
              <w:bottom w:val="single" w:sz="4" w:space="0" w:color="auto"/>
              <w:right w:val="single" w:sz="4" w:space="0" w:color="auto"/>
            </w:tcBorders>
            <w:hideMark/>
          </w:tcPr>
          <w:p w14:paraId="0C58D1F9"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 Trusted Data Foundations</w:t>
            </w:r>
          </w:p>
        </w:tc>
        <w:tc>
          <w:tcPr>
            <w:tcW w:w="2793" w:type="dxa"/>
            <w:tcBorders>
              <w:top w:val="nil"/>
              <w:left w:val="nil"/>
              <w:bottom w:val="single" w:sz="4" w:space="0" w:color="auto"/>
              <w:right w:val="single" w:sz="4" w:space="0" w:color="auto"/>
            </w:tcBorders>
            <w:hideMark/>
          </w:tcPr>
          <w:p w14:paraId="467BF6A1"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1.3.5 Transform Victorian clinical costing data through increased standardisation</w:t>
            </w:r>
          </w:p>
        </w:tc>
        <w:tc>
          <w:tcPr>
            <w:tcW w:w="2835" w:type="dxa"/>
            <w:tcBorders>
              <w:top w:val="nil"/>
              <w:left w:val="nil"/>
              <w:bottom w:val="single" w:sz="4" w:space="0" w:color="auto"/>
              <w:right w:val="single" w:sz="4" w:space="0" w:color="auto"/>
            </w:tcBorders>
            <w:hideMark/>
          </w:tcPr>
          <w:p w14:paraId="1CB148AB"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 emerging priorities 2028–2030</w:t>
            </w:r>
          </w:p>
        </w:tc>
        <w:tc>
          <w:tcPr>
            <w:tcW w:w="2126" w:type="dxa"/>
            <w:tcBorders>
              <w:top w:val="nil"/>
              <w:left w:val="nil"/>
              <w:bottom w:val="single" w:sz="4" w:space="0" w:color="auto"/>
              <w:right w:val="single" w:sz="4" w:space="0" w:color="auto"/>
            </w:tcBorders>
            <w:hideMark/>
          </w:tcPr>
          <w:p w14:paraId="583D9B37"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Subject to investment decisions</w:t>
            </w:r>
          </w:p>
        </w:tc>
      </w:tr>
      <w:tr w:rsidR="00DC6BB6" w:rsidRPr="00DC6BB6" w14:paraId="217EFF4D" w14:textId="77777777" w:rsidTr="00DC6BB6">
        <w:trPr>
          <w:trHeight w:val="854"/>
        </w:trPr>
        <w:tc>
          <w:tcPr>
            <w:tcW w:w="1313" w:type="dxa"/>
            <w:tcBorders>
              <w:top w:val="nil"/>
              <w:left w:val="single" w:sz="4" w:space="0" w:color="auto"/>
              <w:bottom w:val="single" w:sz="4" w:space="0" w:color="auto"/>
              <w:right w:val="single" w:sz="4" w:space="0" w:color="auto"/>
            </w:tcBorders>
            <w:hideMark/>
          </w:tcPr>
          <w:p w14:paraId="7E941ADC"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 Trusted Data Foundations</w:t>
            </w:r>
          </w:p>
        </w:tc>
        <w:tc>
          <w:tcPr>
            <w:tcW w:w="2793" w:type="dxa"/>
            <w:tcBorders>
              <w:top w:val="nil"/>
              <w:left w:val="nil"/>
              <w:bottom w:val="single" w:sz="4" w:space="0" w:color="auto"/>
              <w:right w:val="single" w:sz="4" w:space="0" w:color="auto"/>
            </w:tcBorders>
            <w:hideMark/>
          </w:tcPr>
          <w:p w14:paraId="12D76329"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1.3.6 Transition legacy genomics solutions to a statewide genomics platform</w:t>
            </w:r>
          </w:p>
        </w:tc>
        <w:tc>
          <w:tcPr>
            <w:tcW w:w="2835" w:type="dxa"/>
            <w:tcBorders>
              <w:top w:val="nil"/>
              <w:left w:val="nil"/>
              <w:bottom w:val="single" w:sz="4" w:space="0" w:color="auto"/>
              <w:right w:val="single" w:sz="4" w:space="0" w:color="auto"/>
            </w:tcBorders>
            <w:hideMark/>
          </w:tcPr>
          <w:p w14:paraId="6C03CB79"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w:t>
            </w:r>
          </w:p>
        </w:tc>
        <w:tc>
          <w:tcPr>
            <w:tcW w:w="2126" w:type="dxa"/>
            <w:tcBorders>
              <w:top w:val="nil"/>
              <w:left w:val="nil"/>
              <w:bottom w:val="single" w:sz="4" w:space="0" w:color="auto"/>
              <w:right w:val="single" w:sz="4" w:space="0" w:color="auto"/>
            </w:tcBorders>
            <w:hideMark/>
          </w:tcPr>
          <w:p w14:paraId="68A1C7E8"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Funded</w:t>
            </w:r>
          </w:p>
        </w:tc>
      </w:tr>
      <w:tr w:rsidR="00DC6BB6" w:rsidRPr="00DC6BB6" w14:paraId="1B5BE703" w14:textId="77777777" w:rsidTr="00DC6BB6">
        <w:trPr>
          <w:trHeight w:val="1959"/>
        </w:trPr>
        <w:tc>
          <w:tcPr>
            <w:tcW w:w="1313" w:type="dxa"/>
            <w:tcBorders>
              <w:top w:val="nil"/>
              <w:left w:val="single" w:sz="4" w:space="0" w:color="auto"/>
              <w:bottom w:val="single" w:sz="4" w:space="0" w:color="auto"/>
              <w:right w:val="single" w:sz="4" w:space="0" w:color="auto"/>
            </w:tcBorders>
            <w:hideMark/>
          </w:tcPr>
          <w:p w14:paraId="2014F5A8"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 Trusted Data Foundations</w:t>
            </w:r>
          </w:p>
        </w:tc>
        <w:tc>
          <w:tcPr>
            <w:tcW w:w="2793" w:type="dxa"/>
            <w:tcBorders>
              <w:top w:val="nil"/>
              <w:left w:val="nil"/>
              <w:bottom w:val="single" w:sz="4" w:space="0" w:color="auto"/>
              <w:right w:val="single" w:sz="4" w:space="0" w:color="auto"/>
            </w:tcBorders>
            <w:hideMark/>
          </w:tcPr>
          <w:p w14:paraId="5F20E8D9"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1.3.7 Establish and embed Indigenous data sovereignty and governance across Victoria’s health system, aligned to the National Indigenous Australians Agency framework</w:t>
            </w:r>
          </w:p>
        </w:tc>
        <w:tc>
          <w:tcPr>
            <w:tcW w:w="2835" w:type="dxa"/>
            <w:tcBorders>
              <w:top w:val="nil"/>
              <w:left w:val="nil"/>
              <w:bottom w:val="single" w:sz="4" w:space="0" w:color="auto"/>
              <w:right w:val="single" w:sz="4" w:space="0" w:color="auto"/>
            </w:tcBorders>
            <w:hideMark/>
          </w:tcPr>
          <w:p w14:paraId="0C91BD3A"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Defined initiatives 2026–2028; emerging priorities 2028–2030; future direction 2030 onwards</w:t>
            </w:r>
          </w:p>
        </w:tc>
        <w:tc>
          <w:tcPr>
            <w:tcW w:w="2126" w:type="dxa"/>
            <w:tcBorders>
              <w:top w:val="nil"/>
              <w:left w:val="nil"/>
              <w:bottom w:val="single" w:sz="4" w:space="0" w:color="auto"/>
              <w:right w:val="single" w:sz="4" w:space="0" w:color="auto"/>
            </w:tcBorders>
            <w:hideMark/>
          </w:tcPr>
          <w:p w14:paraId="4E151F3B" w14:textId="77777777" w:rsidR="00DC6BB6" w:rsidRPr="005B48A1" w:rsidRDefault="00DC6BB6" w:rsidP="00DC6BB6">
            <w:pPr>
              <w:spacing w:after="0" w:line="240" w:lineRule="auto"/>
              <w:rPr>
                <w:rFonts w:cs="Arial"/>
                <w:color w:val="000000"/>
                <w:szCs w:val="21"/>
                <w:lang w:eastAsia="en-AU"/>
              </w:rPr>
            </w:pPr>
            <w:r w:rsidRPr="005B48A1">
              <w:rPr>
                <w:rFonts w:cs="Arial"/>
                <w:color w:val="000000"/>
                <w:szCs w:val="21"/>
                <w:lang w:eastAsia="en-AU"/>
              </w:rPr>
              <w:t>Subject to investment decisions across all three horizons</w:t>
            </w:r>
          </w:p>
        </w:tc>
      </w:tr>
    </w:tbl>
    <w:p w14:paraId="1959A1C4" w14:textId="77777777" w:rsidR="003D3088" w:rsidRDefault="003D3088" w:rsidP="004D3A25">
      <w:pPr>
        <w:pStyle w:val="Body"/>
        <w:jc w:val="both"/>
      </w:pPr>
    </w:p>
    <w:p w14:paraId="68B00CDE" w14:textId="77777777" w:rsidR="00512CC0" w:rsidRDefault="00512CC0">
      <w:pPr>
        <w:spacing w:after="0" w:line="240" w:lineRule="auto"/>
        <w:rPr>
          <w:b/>
          <w:color w:val="53565A"/>
          <w:sz w:val="32"/>
          <w:szCs w:val="28"/>
        </w:rPr>
      </w:pPr>
      <w:r>
        <w:br w:type="page"/>
      </w:r>
    </w:p>
    <w:p w14:paraId="1A4D6EBF" w14:textId="1CD2AE91" w:rsidR="00CA107B" w:rsidRPr="00210D63" w:rsidRDefault="00CA107B" w:rsidP="00387DC1">
      <w:pPr>
        <w:pStyle w:val="Heading2"/>
      </w:pPr>
      <w:bookmarkStart w:id="104" w:name="_Toc244166868"/>
      <w:r w:rsidRPr="00210D63">
        <w:lastRenderedPageBreak/>
        <w:t>Table 2</w:t>
      </w:r>
      <w:r w:rsidR="00666483">
        <w:t>.</w:t>
      </w:r>
      <w:r w:rsidRPr="00210D63">
        <w:t xml:space="preserve"> Care Anywhere </w:t>
      </w:r>
      <w:r w:rsidR="007958B6">
        <w:t>p</w:t>
      </w:r>
      <w:r w:rsidRPr="00210D63">
        <w:t xml:space="preserve">rograms and </w:t>
      </w:r>
      <w:r w:rsidR="007958B6">
        <w:t>i</w:t>
      </w:r>
      <w:r w:rsidRPr="00210D63">
        <w:t>nitiatives</w:t>
      </w:r>
      <w:bookmarkEnd w:id="104"/>
    </w:p>
    <w:p w14:paraId="56465484" w14:textId="77777777" w:rsidR="00576D84" w:rsidRPr="00576D84" w:rsidRDefault="00576D84" w:rsidP="00576D84">
      <w:pPr>
        <w:jc w:val="both"/>
      </w:pPr>
      <w:r w:rsidRPr="00576D84">
        <w:t>Table 2 presents nine initiatives grouped under three Care Anywhere programs of work: 2.1 Virtual Hospital Care, 2.2 Digital and Virtual Care Journeys and 2.3 Virtual Care Digital Foundations. Each initiative is mapped across three planning horizons: Defined initiatives (2026–2028), Emerging priorities (2028–2030) and Future direction (2030 onwards). Funding status is shown as either funded or subject to investment decisions. Some initiatives are funded during the Defined initiatives horizon and are subject to investment decisions from 2028 onwards. The following table provides the planning horizon and investment status for each initiative.</w:t>
      </w:r>
    </w:p>
    <w:p w14:paraId="66E3B384" w14:textId="77777777" w:rsidR="00300223" w:rsidRDefault="00300223" w:rsidP="00300223">
      <w:pPr>
        <w:jc w:val="both"/>
      </w:pPr>
    </w:p>
    <w:tbl>
      <w:tblPr>
        <w:tblW w:w="9067" w:type="dxa"/>
        <w:tblLook w:val="04A0" w:firstRow="1" w:lastRow="0" w:firstColumn="1" w:lastColumn="0" w:noHBand="0" w:noVBand="1"/>
      </w:tblPr>
      <w:tblGrid>
        <w:gridCol w:w="1372"/>
        <w:gridCol w:w="2782"/>
        <w:gridCol w:w="2663"/>
        <w:gridCol w:w="2250"/>
      </w:tblGrid>
      <w:tr w:rsidR="006F4E43" w:rsidRPr="006F4E43" w14:paraId="702922F5" w14:textId="77777777" w:rsidTr="00830633">
        <w:trPr>
          <w:trHeight w:val="290"/>
          <w:tblHeader/>
        </w:trPr>
        <w:tc>
          <w:tcPr>
            <w:tcW w:w="1300" w:type="dxa"/>
            <w:tcBorders>
              <w:top w:val="single" w:sz="4" w:space="0" w:color="auto"/>
              <w:left w:val="single" w:sz="4" w:space="0" w:color="auto"/>
              <w:bottom w:val="single" w:sz="4" w:space="0" w:color="auto"/>
              <w:right w:val="single" w:sz="4" w:space="0" w:color="auto"/>
            </w:tcBorders>
            <w:hideMark/>
          </w:tcPr>
          <w:p w14:paraId="69C2E4E3" w14:textId="77777777" w:rsidR="006F4E43" w:rsidRPr="00CF40BB" w:rsidRDefault="006F4E43" w:rsidP="006F4E43">
            <w:pPr>
              <w:spacing w:after="0" w:line="240" w:lineRule="auto"/>
              <w:rPr>
                <w:rFonts w:cs="Arial"/>
                <w:b/>
                <w:bCs/>
                <w:color w:val="000000"/>
                <w:szCs w:val="21"/>
                <w:lang w:eastAsia="en-AU"/>
              </w:rPr>
            </w:pPr>
            <w:r w:rsidRPr="00CF40BB">
              <w:rPr>
                <w:rFonts w:cs="Arial"/>
                <w:b/>
                <w:bCs/>
                <w:color w:val="000000"/>
                <w:szCs w:val="21"/>
                <w:lang w:eastAsia="en-AU"/>
              </w:rPr>
              <w:t>Program</w:t>
            </w:r>
          </w:p>
        </w:tc>
        <w:tc>
          <w:tcPr>
            <w:tcW w:w="2806" w:type="dxa"/>
            <w:tcBorders>
              <w:top w:val="single" w:sz="4" w:space="0" w:color="auto"/>
              <w:left w:val="nil"/>
              <w:bottom w:val="single" w:sz="4" w:space="0" w:color="auto"/>
              <w:right w:val="single" w:sz="4" w:space="0" w:color="auto"/>
            </w:tcBorders>
            <w:hideMark/>
          </w:tcPr>
          <w:p w14:paraId="74D3C87B" w14:textId="77777777" w:rsidR="006F4E43" w:rsidRPr="00CF40BB" w:rsidRDefault="006F4E43" w:rsidP="006F4E43">
            <w:pPr>
              <w:spacing w:after="0" w:line="240" w:lineRule="auto"/>
              <w:rPr>
                <w:rFonts w:cs="Arial"/>
                <w:b/>
                <w:bCs/>
                <w:color w:val="000000"/>
                <w:szCs w:val="21"/>
                <w:lang w:eastAsia="en-AU"/>
              </w:rPr>
            </w:pPr>
            <w:r w:rsidRPr="00CF40BB">
              <w:rPr>
                <w:rFonts w:cs="Arial"/>
                <w:b/>
                <w:bCs/>
                <w:color w:val="000000"/>
                <w:szCs w:val="21"/>
                <w:lang w:eastAsia="en-AU"/>
              </w:rPr>
              <w:t>Initiative</w:t>
            </w:r>
          </w:p>
        </w:tc>
        <w:tc>
          <w:tcPr>
            <w:tcW w:w="2693" w:type="dxa"/>
            <w:tcBorders>
              <w:top w:val="single" w:sz="4" w:space="0" w:color="auto"/>
              <w:left w:val="nil"/>
              <w:bottom w:val="single" w:sz="4" w:space="0" w:color="auto"/>
              <w:right w:val="single" w:sz="4" w:space="0" w:color="auto"/>
            </w:tcBorders>
            <w:hideMark/>
          </w:tcPr>
          <w:p w14:paraId="7BBF05B9" w14:textId="77777777" w:rsidR="006F4E43" w:rsidRPr="00CF40BB" w:rsidRDefault="006F4E43" w:rsidP="006F4E43">
            <w:pPr>
              <w:spacing w:after="0" w:line="240" w:lineRule="auto"/>
              <w:rPr>
                <w:rFonts w:cs="Arial"/>
                <w:b/>
                <w:bCs/>
                <w:color w:val="000000"/>
                <w:szCs w:val="21"/>
                <w:lang w:eastAsia="en-AU"/>
              </w:rPr>
            </w:pPr>
            <w:r w:rsidRPr="00CF40BB">
              <w:rPr>
                <w:rFonts w:cs="Arial"/>
                <w:b/>
                <w:bCs/>
                <w:color w:val="000000"/>
                <w:szCs w:val="21"/>
                <w:lang w:eastAsia="en-AU"/>
              </w:rPr>
              <w:t>Planning horizon</w:t>
            </w:r>
          </w:p>
        </w:tc>
        <w:tc>
          <w:tcPr>
            <w:tcW w:w="2268" w:type="dxa"/>
            <w:tcBorders>
              <w:top w:val="single" w:sz="4" w:space="0" w:color="auto"/>
              <w:left w:val="nil"/>
              <w:bottom w:val="single" w:sz="4" w:space="0" w:color="auto"/>
              <w:right w:val="single" w:sz="4" w:space="0" w:color="auto"/>
            </w:tcBorders>
            <w:hideMark/>
          </w:tcPr>
          <w:p w14:paraId="6A4B91E6" w14:textId="77777777" w:rsidR="006F4E43" w:rsidRPr="00CF40BB" w:rsidRDefault="006F4E43" w:rsidP="006F4E43">
            <w:pPr>
              <w:spacing w:after="0" w:line="240" w:lineRule="auto"/>
              <w:rPr>
                <w:rFonts w:cs="Arial"/>
                <w:b/>
                <w:bCs/>
                <w:color w:val="000000"/>
                <w:szCs w:val="21"/>
                <w:lang w:eastAsia="en-AU"/>
              </w:rPr>
            </w:pPr>
            <w:r w:rsidRPr="00CF40BB">
              <w:rPr>
                <w:rFonts w:cs="Arial"/>
                <w:b/>
                <w:bCs/>
                <w:color w:val="000000"/>
                <w:szCs w:val="21"/>
                <w:lang w:eastAsia="en-AU"/>
              </w:rPr>
              <w:t>Investment status</w:t>
            </w:r>
          </w:p>
        </w:tc>
      </w:tr>
      <w:tr w:rsidR="006F4E43" w:rsidRPr="006F4E43" w14:paraId="53963926" w14:textId="77777777" w:rsidTr="00F94590">
        <w:trPr>
          <w:trHeight w:val="1122"/>
        </w:trPr>
        <w:tc>
          <w:tcPr>
            <w:tcW w:w="1300" w:type="dxa"/>
            <w:tcBorders>
              <w:top w:val="nil"/>
              <w:left w:val="single" w:sz="4" w:space="0" w:color="auto"/>
              <w:bottom w:val="single" w:sz="4" w:space="0" w:color="auto"/>
              <w:right w:val="single" w:sz="4" w:space="0" w:color="auto"/>
            </w:tcBorders>
            <w:hideMark/>
          </w:tcPr>
          <w:p w14:paraId="752EFB40"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2.1 Virtual Hospital Care</w:t>
            </w:r>
          </w:p>
        </w:tc>
        <w:tc>
          <w:tcPr>
            <w:tcW w:w="2806" w:type="dxa"/>
            <w:tcBorders>
              <w:top w:val="nil"/>
              <w:left w:val="nil"/>
              <w:bottom w:val="single" w:sz="4" w:space="0" w:color="auto"/>
              <w:right w:val="single" w:sz="4" w:space="0" w:color="auto"/>
            </w:tcBorders>
            <w:hideMark/>
          </w:tcPr>
          <w:p w14:paraId="2669B5F8"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2.1.1 Deliver and scale the Virtual Hospital program</w:t>
            </w:r>
          </w:p>
        </w:tc>
        <w:tc>
          <w:tcPr>
            <w:tcW w:w="2693" w:type="dxa"/>
            <w:tcBorders>
              <w:top w:val="nil"/>
              <w:left w:val="nil"/>
              <w:bottom w:val="single" w:sz="4" w:space="0" w:color="auto"/>
              <w:right w:val="single" w:sz="4" w:space="0" w:color="auto"/>
            </w:tcBorders>
            <w:hideMark/>
          </w:tcPr>
          <w:p w14:paraId="4076BE57"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6B7DD129" w14:textId="19C7DB9C" w:rsidR="00A7479C" w:rsidRPr="00CF40BB" w:rsidRDefault="00D674E1" w:rsidP="00A7479C">
            <w:pPr>
              <w:spacing w:after="0" w:line="240" w:lineRule="auto"/>
              <w:rPr>
                <w:rFonts w:cs="Arial"/>
                <w:color w:val="000000"/>
                <w:szCs w:val="21"/>
                <w:lang w:eastAsia="en-AU"/>
              </w:rPr>
            </w:pPr>
            <w:r>
              <w:rPr>
                <w:rFonts w:cs="Arial"/>
                <w:color w:val="000000"/>
                <w:szCs w:val="21"/>
                <w:lang w:eastAsia="en-AU"/>
              </w:rPr>
              <w:t>Partially funded then s</w:t>
            </w:r>
            <w:r w:rsidR="00A7479C" w:rsidRPr="00CF40BB">
              <w:rPr>
                <w:rFonts w:cs="Arial"/>
                <w:color w:val="000000"/>
                <w:szCs w:val="21"/>
                <w:lang w:eastAsia="en-AU"/>
              </w:rPr>
              <w:t>ubject to investment decision</w:t>
            </w:r>
          </w:p>
          <w:p w14:paraId="2670E1E1" w14:textId="6DD3A56A" w:rsidR="006F4E43" w:rsidRPr="00CF40BB" w:rsidRDefault="006F4E43" w:rsidP="006F4E43">
            <w:pPr>
              <w:spacing w:after="0" w:line="240" w:lineRule="auto"/>
              <w:rPr>
                <w:rFonts w:cs="Arial"/>
                <w:color w:val="000000"/>
                <w:szCs w:val="21"/>
                <w:lang w:eastAsia="en-AU"/>
              </w:rPr>
            </w:pPr>
          </w:p>
        </w:tc>
      </w:tr>
      <w:tr w:rsidR="006F4E43" w:rsidRPr="006F4E43" w14:paraId="3B90A4C7" w14:textId="77777777" w:rsidTr="00F94590">
        <w:trPr>
          <w:trHeight w:val="1265"/>
        </w:trPr>
        <w:tc>
          <w:tcPr>
            <w:tcW w:w="1300" w:type="dxa"/>
            <w:tcBorders>
              <w:top w:val="nil"/>
              <w:left w:val="single" w:sz="4" w:space="0" w:color="auto"/>
              <w:bottom w:val="single" w:sz="4" w:space="0" w:color="auto"/>
              <w:right w:val="single" w:sz="4" w:space="0" w:color="auto"/>
            </w:tcBorders>
            <w:hideMark/>
          </w:tcPr>
          <w:p w14:paraId="451B3A6D"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2.1 Virtual Hospital Care</w:t>
            </w:r>
          </w:p>
        </w:tc>
        <w:tc>
          <w:tcPr>
            <w:tcW w:w="2806" w:type="dxa"/>
            <w:tcBorders>
              <w:top w:val="nil"/>
              <w:left w:val="nil"/>
              <w:bottom w:val="single" w:sz="4" w:space="0" w:color="auto"/>
              <w:right w:val="single" w:sz="4" w:space="0" w:color="auto"/>
            </w:tcBorders>
            <w:hideMark/>
          </w:tcPr>
          <w:p w14:paraId="409D3659"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2.1.2 Expand Residential in Reach services across rural and regional Victoria and into post-hospitalisation support models</w:t>
            </w:r>
          </w:p>
        </w:tc>
        <w:tc>
          <w:tcPr>
            <w:tcW w:w="2693" w:type="dxa"/>
            <w:tcBorders>
              <w:top w:val="nil"/>
              <w:left w:val="nil"/>
              <w:bottom w:val="single" w:sz="4" w:space="0" w:color="auto"/>
              <w:right w:val="single" w:sz="4" w:space="0" w:color="auto"/>
            </w:tcBorders>
            <w:hideMark/>
          </w:tcPr>
          <w:p w14:paraId="6A3ACA7F"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Defined initiatives 2026–2028</w:t>
            </w:r>
          </w:p>
        </w:tc>
        <w:tc>
          <w:tcPr>
            <w:tcW w:w="2268" w:type="dxa"/>
            <w:tcBorders>
              <w:top w:val="nil"/>
              <w:left w:val="nil"/>
              <w:bottom w:val="single" w:sz="4" w:space="0" w:color="auto"/>
              <w:right w:val="single" w:sz="4" w:space="0" w:color="auto"/>
            </w:tcBorders>
            <w:hideMark/>
          </w:tcPr>
          <w:p w14:paraId="6C7765FE"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Funded</w:t>
            </w:r>
          </w:p>
        </w:tc>
      </w:tr>
      <w:tr w:rsidR="006F4E43" w:rsidRPr="006F4E43" w14:paraId="7A6291C8" w14:textId="77777777" w:rsidTr="00F94590">
        <w:trPr>
          <w:trHeight w:val="1185"/>
        </w:trPr>
        <w:tc>
          <w:tcPr>
            <w:tcW w:w="1300" w:type="dxa"/>
            <w:tcBorders>
              <w:top w:val="nil"/>
              <w:left w:val="single" w:sz="4" w:space="0" w:color="auto"/>
              <w:bottom w:val="single" w:sz="4" w:space="0" w:color="auto"/>
              <w:right w:val="single" w:sz="4" w:space="0" w:color="auto"/>
            </w:tcBorders>
            <w:hideMark/>
          </w:tcPr>
          <w:p w14:paraId="370E4886"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2.1 Virtual Hospital Care</w:t>
            </w:r>
          </w:p>
        </w:tc>
        <w:tc>
          <w:tcPr>
            <w:tcW w:w="2806" w:type="dxa"/>
            <w:tcBorders>
              <w:top w:val="nil"/>
              <w:left w:val="nil"/>
              <w:bottom w:val="single" w:sz="4" w:space="0" w:color="auto"/>
              <w:right w:val="single" w:sz="4" w:space="0" w:color="auto"/>
            </w:tcBorders>
            <w:hideMark/>
          </w:tcPr>
          <w:p w14:paraId="3A011B8A"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2.1.3 Develop and scale virtual capabilities that augment care delivery within inpatient settings</w:t>
            </w:r>
          </w:p>
        </w:tc>
        <w:tc>
          <w:tcPr>
            <w:tcW w:w="2693" w:type="dxa"/>
            <w:tcBorders>
              <w:top w:val="nil"/>
              <w:left w:val="nil"/>
              <w:bottom w:val="single" w:sz="4" w:space="0" w:color="auto"/>
              <w:right w:val="single" w:sz="4" w:space="0" w:color="auto"/>
            </w:tcBorders>
            <w:hideMark/>
          </w:tcPr>
          <w:p w14:paraId="578A5553"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637E8084" w14:textId="77777777" w:rsidR="001B5379" w:rsidRPr="00CF40BB" w:rsidRDefault="001B5379" w:rsidP="001B5379">
            <w:pPr>
              <w:spacing w:after="0" w:line="240" w:lineRule="auto"/>
              <w:rPr>
                <w:rFonts w:cs="Arial"/>
                <w:color w:val="000000"/>
                <w:szCs w:val="21"/>
                <w:lang w:eastAsia="en-AU"/>
              </w:rPr>
            </w:pPr>
            <w:r w:rsidRPr="00CF40BB">
              <w:rPr>
                <w:rFonts w:cs="Arial"/>
                <w:color w:val="000000"/>
                <w:szCs w:val="21"/>
                <w:lang w:eastAsia="en-AU"/>
              </w:rPr>
              <w:t>Funded across all three horizons</w:t>
            </w:r>
          </w:p>
          <w:p w14:paraId="70F822F9" w14:textId="1A0C434C" w:rsidR="006F4E43" w:rsidRPr="00CF40BB" w:rsidRDefault="006F4E43" w:rsidP="006F4E43">
            <w:pPr>
              <w:spacing w:after="0" w:line="240" w:lineRule="auto"/>
              <w:rPr>
                <w:rFonts w:cs="Arial"/>
                <w:color w:val="000000"/>
                <w:szCs w:val="21"/>
                <w:lang w:eastAsia="en-AU"/>
              </w:rPr>
            </w:pPr>
          </w:p>
        </w:tc>
      </w:tr>
      <w:tr w:rsidR="006F4E43" w:rsidRPr="006F4E43" w14:paraId="2D347219" w14:textId="77777777" w:rsidTr="00F94590">
        <w:trPr>
          <w:trHeight w:val="1259"/>
        </w:trPr>
        <w:tc>
          <w:tcPr>
            <w:tcW w:w="1300" w:type="dxa"/>
            <w:tcBorders>
              <w:top w:val="nil"/>
              <w:left w:val="single" w:sz="4" w:space="0" w:color="auto"/>
              <w:bottom w:val="single" w:sz="4" w:space="0" w:color="auto"/>
              <w:right w:val="single" w:sz="4" w:space="0" w:color="auto"/>
            </w:tcBorders>
            <w:hideMark/>
          </w:tcPr>
          <w:p w14:paraId="327F9214"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2.2 Digital and Virtual Care Journeys</w:t>
            </w:r>
          </w:p>
        </w:tc>
        <w:tc>
          <w:tcPr>
            <w:tcW w:w="2806" w:type="dxa"/>
            <w:tcBorders>
              <w:top w:val="nil"/>
              <w:left w:val="nil"/>
              <w:bottom w:val="single" w:sz="4" w:space="0" w:color="auto"/>
              <w:right w:val="single" w:sz="4" w:space="0" w:color="auto"/>
            </w:tcBorders>
            <w:hideMark/>
          </w:tcPr>
          <w:p w14:paraId="6313DCCF"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2.2.1 Deliver and scale the Assisted Self-Management program for proactive home-based care</w:t>
            </w:r>
          </w:p>
        </w:tc>
        <w:tc>
          <w:tcPr>
            <w:tcW w:w="2693" w:type="dxa"/>
            <w:tcBorders>
              <w:top w:val="nil"/>
              <w:left w:val="nil"/>
              <w:bottom w:val="single" w:sz="4" w:space="0" w:color="auto"/>
              <w:right w:val="single" w:sz="4" w:space="0" w:color="auto"/>
            </w:tcBorders>
            <w:hideMark/>
          </w:tcPr>
          <w:p w14:paraId="0C0ADF59"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18270D43" w14:textId="77777777" w:rsidR="006F4E43" w:rsidRPr="00CF40BB" w:rsidRDefault="006F4E43" w:rsidP="006F4E43">
            <w:pPr>
              <w:spacing w:after="0" w:line="240" w:lineRule="auto"/>
              <w:rPr>
                <w:rFonts w:cs="Arial"/>
                <w:color w:val="000000"/>
                <w:szCs w:val="21"/>
                <w:lang w:eastAsia="en-AU"/>
              </w:rPr>
            </w:pPr>
            <w:proofErr w:type="spellStart"/>
            <w:r w:rsidRPr="00CF40BB">
              <w:rPr>
                <w:rFonts w:cs="Arial"/>
                <w:color w:val="000000"/>
                <w:szCs w:val="21"/>
                <w:lang w:eastAsia="en-AU"/>
              </w:rPr>
              <w:t>Funded</w:t>
            </w:r>
            <w:proofErr w:type="spellEnd"/>
            <w:r w:rsidRPr="00CF40BB">
              <w:rPr>
                <w:rFonts w:cs="Arial"/>
                <w:color w:val="000000"/>
                <w:szCs w:val="21"/>
                <w:lang w:eastAsia="en-AU"/>
              </w:rPr>
              <w:t xml:space="preserve"> in 2026–2028; subject to investment decisions from 2028 onwards</w:t>
            </w:r>
          </w:p>
        </w:tc>
      </w:tr>
      <w:tr w:rsidR="006F4E43" w:rsidRPr="006F4E43" w14:paraId="4012F963" w14:textId="77777777" w:rsidTr="00F94590">
        <w:trPr>
          <w:trHeight w:val="1135"/>
        </w:trPr>
        <w:tc>
          <w:tcPr>
            <w:tcW w:w="1300" w:type="dxa"/>
            <w:tcBorders>
              <w:top w:val="nil"/>
              <w:left w:val="single" w:sz="4" w:space="0" w:color="auto"/>
              <w:bottom w:val="single" w:sz="4" w:space="0" w:color="auto"/>
              <w:right w:val="single" w:sz="4" w:space="0" w:color="auto"/>
            </w:tcBorders>
            <w:hideMark/>
          </w:tcPr>
          <w:p w14:paraId="5009E9BF"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2.2 Digital and Virtual Care Journeys</w:t>
            </w:r>
          </w:p>
        </w:tc>
        <w:tc>
          <w:tcPr>
            <w:tcW w:w="2806" w:type="dxa"/>
            <w:tcBorders>
              <w:top w:val="nil"/>
              <w:left w:val="nil"/>
              <w:bottom w:val="single" w:sz="4" w:space="0" w:color="auto"/>
              <w:right w:val="single" w:sz="4" w:space="0" w:color="auto"/>
            </w:tcBorders>
            <w:hideMark/>
          </w:tcPr>
          <w:p w14:paraId="275914DD"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2.2.2 Establish and scale Specialist Advice Now specialist consultation services</w:t>
            </w:r>
          </w:p>
        </w:tc>
        <w:tc>
          <w:tcPr>
            <w:tcW w:w="2693" w:type="dxa"/>
            <w:tcBorders>
              <w:top w:val="nil"/>
              <w:left w:val="nil"/>
              <w:bottom w:val="single" w:sz="4" w:space="0" w:color="auto"/>
              <w:right w:val="single" w:sz="4" w:space="0" w:color="auto"/>
            </w:tcBorders>
            <w:hideMark/>
          </w:tcPr>
          <w:p w14:paraId="1F8218E9"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Defined initiatives 2026–2028; emerging priorities 2028–2030</w:t>
            </w:r>
          </w:p>
        </w:tc>
        <w:tc>
          <w:tcPr>
            <w:tcW w:w="2268" w:type="dxa"/>
            <w:tcBorders>
              <w:top w:val="nil"/>
              <w:left w:val="nil"/>
              <w:bottom w:val="single" w:sz="4" w:space="0" w:color="auto"/>
              <w:right w:val="single" w:sz="4" w:space="0" w:color="auto"/>
            </w:tcBorders>
            <w:hideMark/>
          </w:tcPr>
          <w:p w14:paraId="5D026614"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Funded</w:t>
            </w:r>
          </w:p>
        </w:tc>
      </w:tr>
      <w:tr w:rsidR="006F4E43" w:rsidRPr="006F4E43" w14:paraId="0165822D" w14:textId="77777777" w:rsidTr="00830633">
        <w:trPr>
          <w:trHeight w:val="1160"/>
        </w:trPr>
        <w:tc>
          <w:tcPr>
            <w:tcW w:w="1300" w:type="dxa"/>
            <w:tcBorders>
              <w:top w:val="nil"/>
              <w:left w:val="single" w:sz="4" w:space="0" w:color="auto"/>
              <w:bottom w:val="single" w:sz="4" w:space="0" w:color="auto"/>
              <w:right w:val="single" w:sz="4" w:space="0" w:color="auto"/>
            </w:tcBorders>
            <w:hideMark/>
          </w:tcPr>
          <w:p w14:paraId="32F628ED"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2.2 Digital and Virtual Care Journeys</w:t>
            </w:r>
          </w:p>
        </w:tc>
        <w:tc>
          <w:tcPr>
            <w:tcW w:w="2806" w:type="dxa"/>
            <w:tcBorders>
              <w:top w:val="nil"/>
              <w:left w:val="nil"/>
              <w:bottom w:val="single" w:sz="4" w:space="0" w:color="auto"/>
              <w:right w:val="single" w:sz="4" w:space="0" w:color="auto"/>
            </w:tcBorders>
            <w:hideMark/>
          </w:tcPr>
          <w:p w14:paraId="288CDD66"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2.2.3 Expand digital mental health access across regional Victoria</w:t>
            </w:r>
          </w:p>
        </w:tc>
        <w:tc>
          <w:tcPr>
            <w:tcW w:w="2693" w:type="dxa"/>
            <w:tcBorders>
              <w:top w:val="nil"/>
              <w:left w:val="nil"/>
              <w:bottom w:val="single" w:sz="4" w:space="0" w:color="auto"/>
              <w:right w:val="single" w:sz="4" w:space="0" w:color="auto"/>
            </w:tcBorders>
            <w:hideMark/>
          </w:tcPr>
          <w:p w14:paraId="3F16489A"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Defined initiatives 2026–2028; emerging priorities 2028–2030</w:t>
            </w:r>
          </w:p>
        </w:tc>
        <w:tc>
          <w:tcPr>
            <w:tcW w:w="2268" w:type="dxa"/>
            <w:tcBorders>
              <w:top w:val="nil"/>
              <w:left w:val="nil"/>
              <w:bottom w:val="single" w:sz="4" w:space="0" w:color="auto"/>
              <w:right w:val="single" w:sz="4" w:space="0" w:color="auto"/>
            </w:tcBorders>
            <w:hideMark/>
          </w:tcPr>
          <w:p w14:paraId="54EC1EC6"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Subject to investment decisions</w:t>
            </w:r>
          </w:p>
        </w:tc>
      </w:tr>
      <w:tr w:rsidR="006F4E43" w:rsidRPr="006F4E43" w14:paraId="16F57991" w14:textId="77777777" w:rsidTr="00F94590">
        <w:trPr>
          <w:trHeight w:val="1495"/>
        </w:trPr>
        <w:tc>
          <w:tcPr>
            <w:tcW w:w="1300" w:type="dxa"/>
            <w:tcBorders>
              <w:top w:val="nil"/>
              <w:left w:val="single" w:sz="4" w:space="0" w:color="auto"/>
              <w:bottom w:val="single" w:sz="4" w:space="0" w:color="auto"/>
              <w:right w:val="single" w:sz="4" w:space="0" w:color="auto"/>
            </w:tcBorders>
            <w:hideMark/>
          </w:tcPr>
          <w:p w14:paraId="2E3FAF92"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2.2 Digital and Virtual Care Journeys</w:t>
            </w:r>
          </w:p>
        </w:tc>
        <w:tc>
          <w:tcPr>
            <w:tcW w:w="2806" w:type="dxa"/>
            <w:tcBorders>
              <w:top w:val="nil"/>
              <w:left w:val="nil"/>
              <w:bottom w:val="single" w:sz="4" w:space="0" w:color="auto"/>
              <w:right w:val="single" w:sz="4" w:space="0" w:color="auto"/>
            </w:tcBorders>
            <w:hideMark/>
          </w:tcPr>
          <w:p w14:paraId="5C3F48DC"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2.2.4 Support and share learnings from virtual care integration and coordination activities led by Local Health Service Networks</w:t>
            </w:r>
          </w:p>
        </w:tc>
        <w:tc>
          <w:tcPr>
            <w:tcW w:w="2693" w:type="dxa"/>
            <w:tcBorders>
              <w:top w:val="nil"/>
              <w:left w:val="nil"/>
              <w:bottom w:val="single" w:sz="4" w:space="0" w:color="auto"/>
              <w:right w:val="single" w:sz="4" w:space="0" w:color="auto"/>
            </w:tcBorders>
            <w:hideMark/>
          </w:tcPr>
          <w:p w14:paraId="02DAF695"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2532550C"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Funded across all three horizons</w:t>
            </w:r>
          </w:p>
        </w:tc>
      </w:tr>
      <w:tr w:rsidR="006F4E43" w:rsidRPr="006F4E43" w14:paraId="3FCC4887" w14:textId="77777777" w:rsidTr="00F94590">
        <w:trPr>
          <w:trHeight w:val="1109"/>
        </w:trPr>
        <w:tc>
          <w:tcPr>
            <w:tcW w:w="1300" w:type="dxa"/>
            <w:tcBorders>
              <w:top w:val="nil"/>
              <w:left w:val="single" w:sz="4" w:space="0" w:color="auto"/>
              <w:bottom w:val="single" w:sz="4" w:space="0" w:color="auto"/>
              <w:right w:val="single" w:sz="4" w:space="0" w:color="auto"/>
            </w:tcBorders>
            <w:hideMark/>
          </w:tcPr>
          <w:p w14:paraId="62456FBD"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2.2 Digital and Virtual Care Journeys</w:t>
            </w:r>
          </w:p>
        </w:tc>
        <w:tc>
          <w:tcPr>
            <w:tcW w:w="2806" w:type="dxa"/>
            <w:tcBorders>
              <w:top w:val="nil"/>
              <w:left w:val="nil"/>
              <w:bottom w:val="single" w:sz="4" w:space="0" w:color="auto"/>
              <w:right w:val="single" w:sz="4" w:space="0" w:color="auto"/>
            </w:tcBorders>
            <w:hideMark/>
          </w:tcPr>
          <w:p w14:paraId="1CDC8B1E"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2.2.5 Develop population risk stratification and proactive care capabilities</w:t>
            </w:r>
          </w:p>
        </w:tc>
        <w:tc>
          <w:tcPr>
            <w:tcW w:w="2693" w:type="dxa"/>
            <w:tcBorders>
              <w:top w:val="nil"/>
              <w:left w:val="nil"/>
              <w:bottom w:val="single" w:sz="4" w:space="0" w:color="auto"/>
              <w:right w:val="single" w:sz="4" w:space="0" w:color="auto"/>
            </w:tcBorders>
            <w:hideMark/>
          </w:tcPr>
          <w:p w14:paraId="53D1AF20"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Emerging priorities 2028–2030; future direction 2030 onwards</w:t>
            </w:r>
          </w:p>
        </w:tc>
        <w:tc>
          <w:tcPr>
            <w:tcW w:w="2268" w:type="dxa"/>
            <w:tcBorders>
              <w:top w:val="nil"/>
              <w:left w:val="nil"/>
              <w:bottom w:val="single" w:sz="4" w:space="0" w:color="auto"/>
              <w:right w:val="single" w:sz="4" w:space="0" w:color="auto"/>
            </w:tcBorders>
            <w:hideMark/>
          </w:tcPr>
          <w:p w14:paraId="2E38456E"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Subject to investment decisions</w:t>
            </w:r>
          </w:p>
        </w:tc>
      </w:tr>
      <w:tr w:rsidR="006F4E43" w:rsidRPr="006F4E43" w14:paraId="340A2D97" w14:textId="77777777" w:rsidTr="00F94590">
        <w:trPr>
          <w:trHeight w:val="684"/>
        </w:trPr>
        <w:tc>
          <w:tcPr>
            <w:tcW w:w="1300" w:type="dxa"/>
            <w:tcBorders>
              <w:top w:val="nil"/>
              <w:left w:val="single" w:sz="4" w:space="0" w:color="auto"/>
              <w:bottom w:val="single" w:sz="4" w:space="0" w:color="auto"/>
              <w:right w:val="single" w:sz="4" w:space="0" w:color="auto"/>
            </w:tcBorders>
            <w:hideMark/>
          </w:tcPr>
          <w:p w14:paraId="1B074C65"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2.3 Virtual Care Digital Foundations</w:t>
            </w:r>
          </w:p>
        </w:tc>
        <w:tc>
          <w:tcPr>
            <w:tcW w:w="2806" w:type="dxa"/>
            <w:tcBorders>
              <w:top w:val="nil"/>
              <w:left w:val="nil"/>
              <w:bottom w:val="single" w:sz="4" w:space="0" w:color="auto"/>
              <w:right w:val="single" w:sz="4" w:space="0" w:color="auto"/>
            </w:tcBorders>
            <w:hideMark/>
          </w:tcPr>
          <w:p w14:paraId="020A8102"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2.3.1 Establish shared virtual care technology and interoperability foundations</w:t>
            </w:r>
          </w:p>
        </w:tc>
        <w:tc>
          <w:tcPr>
            <w:tcW w:w="2693" w:type="dxa"/>
            <w:tcBorders>
              <w:top w:val="nil"/>
              <w:left w:val="nil"/>
              <w:bottom w:val="single" w:sz="4" w:space="0" w:color="auto"/>
              <w:right w:val="single" w:sz="4" w:space="0" w:color="auto"/>
            </w:tcBorders>
            <w:hideMark/>
          </w:tcPr>
          <w:p w14:paraId="6803D3AF" w14:textId="77777777" w:rsidR="006F4E43" w:rsidRPr="00CF40BB" w:rsidRDefault="006F4E43" w:rsidP="006F4E43">
            <w:pPr>
              <w:spacing w:after="0" w:line="240" w:lineRule="auto"/>
              <w:rPr>
                <w:rFonts w:cs="Arial"/>
                <w:color w:val="000000"/>
                <w:szCs w:val="21"/>
                <w:lang w:eastAsia="en-AU"/>
              </w:rPr>
            </w:pPr>
            <w:r w:rsidRPr="00CF40BB">
              <w:rPr>
                <w:rFonts w:cs="Arial"/>
                <w:color w:val="000000"/>
                <w:szCs w:val="21"/>
                <w:lang w:eastAsia="en-AU"/>
              </w:rPr>
              <w:t xml:space="preserve">Defined initiatives 2026–2028; emerging priorities </w:t>
            </w:r>
            <w:r w:rsidRPr="00CF40BB">
              <w:rPr>
                <w:rFonts w:cs="Arial"/>
                <w:color w:val="000000"/>
                <w:szCs w:val="21"/>
                <w:lang w:eastAsia="en-AU"/>
              </w:rPr>
              <w:lastRenderedPageBreak/>
              <w:t>2028–2030; future direction 2030 onwards</w:t>
            </w:r>
          </w:p>
        </w:tc>
        <w:tc>
          <w:tcPr>
            <w:tcW w:w="2268" w:type="dxa"/>
            <w:tcBorders>
              <w:top w:val="nil"/>
              <w:left w:val="nil"/>
              <w:bottom w:val="single" w:sz="4" w:space="0" w:color="auto"/>
              <w:right w:val="single" w:sz="4" w:space="0" w:color="auto"/>
            </w:tcBorders>
            <w:hideMark/>
          </w:tcPr>
          <w:p w14:paraId="75DCD5FC" w14:textId="77777777" w:rsidR="006F4E43" w:rsidRPr="00CF40BB" w:rsidRDefault="006F4E43" w:rsidP="006F4E43">
            <w:pPr>
              <w:spacing w:after="0" w:line="240" w:lineRule="auto"/>
              <w:rPr>
                <w:rFonts w:cs="Arial"/>
                <w:color w:val="000000"/>
                <w:szCs w:val="21"/>
                <w:lang w:eastAsia="en-AU"/>
              </w:rPr>
            </w:pPr>
            <w:proofErr w:type="spellStart"/>
            <w:r w:rsidRPr="00CF40BB">
              <w:rPr>
                <w:rFonts w:cs="Arial"/>
                <w:color w:val="000000"/>
                <w:szCs w:val="21"/>
                <w:lang w:eastAsia="en-AU"/>
              </w:rPr>
              <w:lastRenderedPageBreak/>
              <w:t>Funded</w:t>
            </w:r>
            <w:proofErr w:type="spellEnd"/>
            <w:r w:rsidRPr="00CF40BB">
              <w:rPr>
                <w:rFonts w:cs="Arial"/>
                <w:color w:val="000000"/>
                <w:szCs w:val="21"/>
                <w:lang w:eastAsia="en-AU"/>
              </w:rPr>
              <w:t xml:space="preserve"> in 2026–2028; subject to </w:t>
            </w:r>
            <w:r w:rsidRPr="00CF40BB">
              <w:rPr>
                <w:rFonts w:cs="Arial"/>
                <w:color w:val="000000"/>
                <w:szCs w:val="21"/>
                <w:lang w:eastAsia="en-AU"/>
              </w:rPr>
              <w:lastRenderedPageBreak/>
              <w:t>investment decisions from 2028 onwards</w:t>
            </w:r>
          </w:p>
        </w:tc>
      </w:tr>
    </w:tbl>
    <w:p w14:paraId="71F31F7E" w14:textId="77777777" w:rsidR="00797BFF" w:rsidRDefault="00797BFF" w:rsidP="00115B0E">
      <w:pPr>
        <w:jc w:val="both"/>
      </w:pPr>
    </w:p>
    <w:p w14:paraId="79105030" w14:textId="140AD857" w:rsidR="00507E69" w:rsidRPr="0049005A" w:rsidRDefault="00507E69" w:rsidP="00387DC1">
      <w:pPr>
        <w:pStyle w:val="Heading2"/>
      </w:pPr>
      <w:bookmarkStart w:id="105" w:name="_Toc244166869"/>
      <w:r w:rsidRPr="00507E69">
        <w:t>Table 3</w:t>
      </w:r>
      <w:r w:rsidR="00666483">
        <w:t>.</w:t>
      </w:r>
      <w:r w:rsidRPr="00507E69">
        <w:t xml:space="preserve"> Engaged </w:t>
      </w:r>
      <w:r w:rsidRPr="0049005A">
        <w:t xml:space="preserve">Consumers </w:t>
      </w:r>
      <w:r w:rsidR="00DD00BF">
        <w:t>p</w:t>
      </w:r>
      <w:r w:rsidRPr="0049005A">
        <w:t xml:space="preserve">rograms and </w:t>
      </w:r>
      <w:r w:rsidR="00DD00BF">
        <w:t>i</w:t>
      </w:r>
      <w:r w:rsidRPr="0049005A">
        <w:t>nitiatives</w:t>
      </w:r>
      <w:bookmarkEnd w:id="105"/>
    </w:p>
    <w:p w14:paraId="39AEA5EC" w14:textId="77777777" w:rsidR="00F074C6" w:rsidRPr="00F074C6" w:rsidRDefault="00F074C6" w:rsidP="00F074C6">
      <w:pPr>
        <w:jc w:val="both"/>
        <w:rPr>
          <w:bCs/>
        </w:rPr>
      </w:pPr>
      <w:r w:rsidRPr="00F074C6">
        <w:rPr>
          <w:bCs/>
        </w:rPr>
        <w:t>Table 3 presents seven initiatives grouped under two Engaged Consumers programs of work: 3.1 Informed Consumers and 3.2 Accessible Health System. Each initiative is mapped across three planning horizons: Defined initiatives (2026–2028), Emerging priorities (2028–2030) and Future direction (2030 onwards). Funding status is shown as either funded or subject to investment decisions. Some initiatives change investment status across the planning horizons. The following table provides the planning horizon and investment status for each initiative.</w:t>
      </w:r>
    </w:p>
    <w:p w14:paraId="51BEFEFC" w14:textId="77777777" w:rsidR="00704523" w:rsidRDefault="00704523" w:rsidP="007E1BC2">
      <w:pPr>
        <w:jc w:val="both"/>
        <w:rPr>
          <w:bCs/>
        </w:rPr>
      </w:pPr>
    </w:p>
    <w:tbl>
      <w:tblPr>
        <w:tblW w:w="9067" w:type="dxa"/>
        <w:tblLook w:val="04A0" w:firstRow="1" w:lastRow="0" w:firstColumn="1" w:lastColumn="0" w:noHBand="0" w:noVBand="1"/>
      </w:tblPr>
      <w:tblGrid>
        <w:gridCol w:w="1291"/>
        <w:gridCol w:w="2815"/>
        <w:gridCol w:w="2693"/>
        <w:gridCol w:w="2268"/>
      </w:tblGrid>
      <w:tr w:rsidR="00632C1A" w:rsidRPr="00632C1A" w14:paraId="76D8D6D7" w14:textId="77777777" w:rsidTr="00D44785">
        <w:trPr>
          <w:trHeight w:val="290"/>
          <w:tblHeader/>
        </w:trPr>
        <w:tc>
          <w:tcPr>
            <w:tcW w:w="1291" w:type="dxa"/>
            <w:tcBorders>
              <w:top w:val="single" w:sz="4" w:space="0" w:color="auto"/>
              <w:left w:val="single" w:sz="4" w:space="0" w:color="auto"/>
              <w:bottom w:val="single" w:sz="4" w:space="0" w:color="auto"/>
              <w:right w:val="single" w:sz="4" w:space="0" w:color="auto"/>
            </w:tcBorders>
            <w:hideMark/>
          </w:tcPr>
          <w:p w14:paraId="2FF5066D" w14:textId="77777777" w:rsidR="00632C1A" w:rsidRPr="00632C1A" w:rsidRDefault="00632C1A" w:rsidP="00632C1A">
            <w:pPr>
              <w:spacing w:after="0" w:line="240" w:lineRule="auto"/>
              <w:rPr>
                <w:rFonts w:cs="Arial"/>
                <w:b/>
                <w:bCs/>
                <w:color w:val="000000"/>
                <w:szCs w:val="21"/>
                <w:lang w:eastAsia="en-AU"/>
              </w:rPr>
            </w:pPr>
            <w:r w:rsidRPr="00632C1A">
              <w:rPr>
                <w:rFonts w:cs="Arial"/>
                <w:b/>
                <w:bCs/>
                <w:color w:val="000000"/>
                <w:szCs w:val="21"/>
                <w:lang w:eastAsia="en-AU"/>
              </w:rPr>
              <w:t>Program</w:t>
            </w:r>
          </w:p>
        </w:tc>
        <w:tc>
          <w:tcPr>
            <w:tcW w:w="2815" w:type="dxa"/>
            <w:tcBorders>
              <w:top w:val="single" w:sz="4" w:space="0" w:color="auto"/>
              <w:left w:val="nil"/>
              <w:bottom w:val="single" w:sz="4" w:space="0" w:color="auto"/>
              <w:right w:val="single" w:sz="4" w:space="0" w:color="auto"/>
            </w:tcBorders>
            <w:hideMark/>
          </w:tcPr>
          <w:p w14:paraId="66044EAC" w14:textId="77777777" w:rsidR="00632C1A" w:rsidRPr="00632C1A" w:rsidRDefault="00632C1A" w:rsidP="00632C1A">
            <w:pPr>
              <w:spacing w:after="0" w:line="240" w:lineRule="auto"/>
              <w:rPr>
                <w:rFonts w:cs="Arial"/>
                <w:b/>
                <w:bCs/>
                <w:color w:val="000000"/>
                <w:szCs w:val="21"/>
                <w:lang w:eastAsia="en-AU"/>
              </w:rPr>
            </w:pPr>
            <w:r w:rsidRPr="00632C1A">
              <w:rPr>
                <w:rFonts w:cs="Arial"/>
                <w:b/>
                <w:bCs/>
                <w:color w:val="000000"/>
                <w:szCs w:val="21"/>
                <w:lang w:eastAsia="en-AU"/>
              </w:rPr>
              <w:t>Initiative</w:t>
            </w:r>
          </w:p>
        </w:tc>
        <w:tc>
          <w:tcPr>
            <w:tcW w:w="2693" w:type="dxa"/>
            <w:tcBorders>
              <w:top w:val="single" w:sz="4" w:space="0" w:color="auto"/>
              <w:left w:val="nil"/>
              <w:bottom w:val="single" w:sz="4" w:space="0" w:color="auto"/>
              <w:right w:val="single" w:sz="4" w:space="0" w:color="auto"/>
            </w:tcBorders>
            <w:hideMark/>
          </w:tcPr>
          <w:p w14:paraId="4E4B1CD6" w14:textId="77777777" w:rsidR="00632C1A" w:rsidRPr="00632C1A" w:rsidRDefault="00632C1A" w:rsidP="00632C1A">
            <w:pPr>
              <w:spacing w:after="0" w:line="240" w:lineRule="auto"/>
              <w:rPr>
                <w:rFonts w:cs="Arial"/>
                <w:b/>
                <w:bCs/>
                <w:color w:val="000000"/>
                <w:szCs w:val="21"/>
                <w:lang w:eastAsia="en-AU"/>
              </w:rPr>
            </w:pPr>
            <w:r w:rsidRPr="00632C1A">
              <w:rPr>
                <w:rFonts w:cs="Arial"/>
                <w:b/>
                <w:bCs/>
                <w:color w:val="000000"/>
                <w:szCs w:val="21"/>
                <w:lang w:eastAsia="en-AU"/>
              </w:rPr>
              <w:t>Planning horizon</w:t>
            </w:r>
          </w:p>
        </w:tc>
        <w:tc>
          <w:tcPr>
            <w:tcW w:w="2268" w:type="dxa"/>
            <w:tcBorders>
              <w:top w:val="single" w:sz="4" w:space="0" w:color="auto"/>
              <w:left w:val="nil"/>
              <w:bottom w:val="single" w:sz="4" w:space="0" w:color="auto"/>
              <w:right w:val="single" w:sz="4" w:space="0" w:color="auto"/>
            </w:tcBorders>
            <w:hideMark/>
          </w:tcPr>
          <w:p w14:paraId="329E1D5A" w14:textId="77777777" w:rsidR="00632C1A" w:rsidRPr="00632C1A" w:rsidRDefault="00632C1A" w:rsidP="00632C1A">
            <w:pPr>
              <w:spacing w:after="0" w:line="240" w:lineRule="auto"/>
              <w:rPr>
                <w:rFonts w:cs="Arial"/>
                <w:b/>
                <w:bCs/>
                <w:color w:val="000000"/>
                <w:szCs w:val="21"/>
                <w:lang w:eastAsia="en-AU"/>
              </w:rPr>
            </w:pPr>
            <w:r w:rsidRPr="00632C1A">
              <w:rPr>
                <w:rFonts w:cs="Arial"/>
                <w:b/>
                <w:bCs/>
                <w:color w:val="000000"/>
                <w:szCs w:val="21"/>
                <w:lang w:eastAsia="en-AU"/>
              </w:rPr>
              <w:t>Investment status</w:t>
            </w:r>
          </w:p>
        </w:tc>
      </w:tr>
      <w:tr w:rsidR="00632C1A" w:rsidRPr="00632C1A" w14:paraId="06F23BFD" w14:textId="77777777" w:rsidTr="00B71540">
        <w:trPr>
          <w:trHeight w:val="1062"/>
        </w:trPr>
        <w:tc>
          <w:tcPr>
            <w:tcW w:w="1291" w:type="dxa"/>
            <w:tcBorders>
              <w:top w:val="nil"/>
              <w:left w:val="single" w:sz="4" w:space="0" w:color="auto"/>
              <w:bottom w:val="single" w:sz="4" w:space="0" w:color="auto"/>
              <w:right w:val="single" w:sz="4" w:space="0" w:color="auto"/>
            </w:tcBorders>
            <w:hideMark/>
          </w:tcPr>
          <w:p w14:paraId="77B6EB71"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3.1 Informed Consumers</w:t>
            </w:r>
          </w:p>
        </w:tc>
        <w:tc>
          <w:tcPr>
            <w:tcW w:w="2815" w:type="dxa"/>
            <w:tcBorders>
              <w:top w:val="nil"/>
              <w:left w:val="nil"/>
              <w:bottom w:val="single" w:sz="4" w:space="0" w:color="auto"/>
              <w:right w:val="single" w:sz="4" w:space="0" w:color="auto"/>
            </w:tcBorders>
            <w:hideMark/>
          </w:tcPr>
          <w:p w14:paraId="3F733946"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3.1.1 Expand local consumer portal services and establish a statewide consumer portal foundation</w:t>
            </w:r>
          </w:p>
        </w:tc>
        <w:tc>
          <w:tcPr>
            <w:tcW w:w="2693" w:type="dxa"/>
            <w:tcBorders>
              <w:top w:val="nil"/>
              <w:left w:val="nil"/>
              <w:bottom w:val="single" w:sz="4" w:space="0" w:color="auto"/>
              <w:right w:val="single" w:sz="4" w:space="0" w:color="auto"/>
            </w:tcBorders>
            <w:hideMark/>
          </w:tcPr>
          <w:p w14:paraId="42690992"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52A10965" w14:textId="77D3B1A9" w:rsidR="00632C1A" w:rsidRPr="00632C1A" w:rsidRDefault="00A0151E" w:rsidP="00632C1A">
            <w:pPr>
              <w:spacing w:after="0" w:line="240" w:lineRule="auto"/>
              <w:rPr>
                <w:rFonts w:cs="Arial"/>
                <w:color w:val="000000"/>
                <w:szCs w:val="21"/>
                <w:lang w:eastAsia="en-AU"/>
              </w:rPr>
            </w:pPr>
            <w:r>
              <w:rPr>
                <w:rFonts w:cs="Arial"/>
                <w:color w:val="000000"/>
                <w:szCs w:val="21"/>
                <w:lang w:eastAsia="en-AU"/>
              </w:rPr>
              <w:t>Partially funded then subject to investment decision</w:t>
            </w:r>
          </w:p>
        </w:tc>
      </w:tr>
      <w:tr w:rsidR="00632C1A" w:rsidRPr="00632C1A" w14:paraId="58A328D5" w14:textId="77777777" w:rsidTr="00B71540">
        <w:trPr>
          <w:trHeight w:val="992"/>
        </w:trPr>
        <w:tc>
          <w:tcPr>
            <w:tcW w:w="1291" w:type="dxa"/>
            <w:tcBorders>
              <w:top w:val="nil"/>
              <w:left w:val="single" w:sz="4" w:space="0" w:color="auto"/>
              <w:bottom w:val="single" w:sz="4" w:space="0" w:color="auto"/>
              <w:right w:val="single" w:sz="4" w:space="0" w:color="auto"/>
            </w:tcBorders>
            <w:hideMark/>
          </w:tcPr>
          <w:p w14:paraId="15F419A7"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3.1 Informed Consumers</w:t>
            </w:r>
          </w:p>
        </w:tc>
        <w:tc>
          <w:tcPr>
            <w:tcW w:w="2815" w:type="dxa"/>
            <w:tcBorders>
              <w:top w:val="nil"/>
              <w:left w:val="nil"/>
              <w:bottom w:val="single" w:sz="4" w:space="0" w:color="auto"/>
              <w:right w:val="single" w:sz="4" w:space="0" w:color="auto"/>
            </w:tcBorders>
            <w:hideMark/>
          </w:tcPr>
          <w:p w14:paraId="5088CCBF"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3.1.2 Expand sharing of consumer health information through My Health Record</w:t>
            </w:r>
          </w:p>
        </w:tc>
        <w:tc>
          <w:tcPr>
            <w:tcW w:w="2693" w:type="dxa"/>
            <w:tcBorders>
              <w:top w:val="nil"/>
              <w:left w:val="nil"/>
              <w:bottom w:val="single" w:sz="4" w:space="0" w:color="auto"/>
              <w:right w:val="single" w:sz="4" w:space="0" w:color="auto"/>
            </w:tcBorders>
            <w:hideMark/>
          </w:tcPr>
          <w:p w14:paraId="2B239441"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Defined initiatives 2026–2028</w:t>
            </w:r>
          </w:p>
        </w:tc>
        <w:tc>
          <w:tcPr>
            <w:tcW w:w="2268" w:type="dxa"/>
            <w:tcBorders>
              <w:top w:val="nil"/>
              <w:left w:val="nil"/>
              <w:bottom w:val="single" w:sz="4" w:space="0" w:color="auto"/>
              <w:right w:val="single" w:sz="4" w:space="0" w:color="auto"/>
            </w:tcBorders>
            <w:hideMark/>
          </w:tcPr>
          <w:p w14:paraId="0EFB456D"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Funded</w:t>
            </w:r>
          </w:p>
        </w:tc>
      </w:tr>
      <w:tr w:rsidR="00632C1A" w:rsidRPr="00632C1A" w14:paraId="761C8929" w14:textId="77777777" w:rsidTr="00B71540">
        <w:trPr>
          <w:trHeight w:val="1119"/>
        </w:trPr>
        <w:tc>
          <w:tcPr>
            <w:tcW w:w="1291" w:type="dxa"/>
            <w:tcBorders>
              <w:top w:val="nil"/>
              <w:left w:val="single" w:sz="4" w:space="0" w:color="auto"/>
              <w:bottom w:val="single" w:sz="4" w:space="0" w:color="auto"/>
              <w:right w:val="single" w:sz="4" w:space="0" w:color="auto"/>
            </w:tcBorders>
            <w:hideMark/>
          </w:tcPr>
          <w:p w14:paraId="0662631A"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3.1 Informed Consumers</w:t>
            </w:r>
          </w:p>
        </w:tc>
        <w:tc>
          <w:tcPr>
            <w:tcW w:w="2815" w:type="dxa"/>
            <w:tcBorders>
              <w:top w:val="nil"/>
              <w:left w:val="nil"/>
              <w:bottom w:val="single" w:sz="4" w:space="0" w:color="auto"/>
              <w:right w:val="single" w:sz="4" w:space="0" w:color="auto"/>
            </w:tcBorders>
            <w:hideMark/>
          </w:tcPr>
          <w:p w14:paraId="07808942"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3.1.3 Establish electronic prescribing and ordering capabilities across public health services</w:t>
            </w:r>
          </w:p>
        </w:tc>
        <w:tc>
          <w:tcPr>
            <w:tcW w:w="2693" w:type="dxa"/>
            <w:tcBorders>
              <w:top w:val="nil"/>
              <w:left w:val="nil"/>
              <w:bottom w:val="single" w:sz="4" w:space="0" w:color="auto"/>
              <w:right w:val="single" w:sz="4" w:space="0" w:color="auto"/>
            </w:tcBorders>
            <w:hideMark/>
          </w:tcPr>
          <w:p w14:paraId="691E4DEA"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4A9FF8E7" w14:textId="6D1581EE" w:rsidR="00632C1A" w:rsidRPr="00632C1A" w:rsidRDefault="00A0151E" w:rsidP="00632C1A">
            <w:pPr>
              <w:spacing w:after="0" w:line="240" w:lineRule="auto"/>
              <w:rPr>
                <w:rFonts w:cs="Arial"/>
                <w:color w:val="000000"/>
                <w:szCs w:val="21"/>
                <w:lang w:eastAsia="en-AU"/>
              </w:rPr>
            </w:pPr>
            <w:r>
              <w:rPr>
                <w:rFonts w:cs="Arial"/>
                <w:color w:val="000000"/>
                <w:szCs w:val="21"/>
                <w:lang w:eastAsia="en-AU"/>
              </w:rPr>
              <w:t>Partially funded then subject to investment decision</w:t>
            </w:r>
          </w:p>
        </w:tc>
      </w:tr>
      <w:tr w:rsidR="00632C1A" w:rsidRPr="00632C1A" w14:paraId="4AAD243F" w14:textId="77777777" w:rsidTr="00B71540">
        <w:trPr>
          <w:trHeight w:val="870"/>
        </w:trPr>
        <w:tc>
          <w:tcPr>
            <w:tcW w:w="1291" w:type="dxa"/>
            <w:tcBorders>
              <w:top w:val="nil"/>
              <w:left w:val="single" w:sz="4" w:space="0" w:color="auto"/>
              <w:bottom w:val="single" w:sz="4" w:space="0" w:color="auto"/>
              <w:right w:val="single" w:sz="4" w:space="0" w:color="auto"/>
            </w:tcBorders>
            <w:hideMark/>
          </w:tcPr>
          <w:p w14:paraId="3FC6E288"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3.2 Accessible Health System</w:t>
            </w:r>
          </w:p>
        </w:tc>
        <w:tc>
          <w:tcPr>
            <w:tcW w:w="2815" w:type="dxa"/>
            <w:tcBorders>
              <w:top w:val="nil"/>
              <w:left w:val="nil"/>
              <w:bottom w:val="single" w:sz="4" w:space="0" w:color="auto"/>
              <w:right w:val="single" w:sz="4" w:space="0" w:color="auto"/>
            </w:tcBorders>
            <w:hideMark/>
          </w:tcPr>
          <w:p w14:paraId="4BED3FF7"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 xml:space="preserve">3.2.1 Complete statewide implementation of </w:t>
            </w:r>
            <w:proofErr w:type="spellStart"/>
            <w:r w:rsidRPr="00632C1A">
              <w:rPr>
                <w:rFonts w:cs="Arial"/>
                <w:color w:val="000000"/>
                <w:szCs w:val="21"/>
                <w:lang w:eastAsia="en-AU"/>
              </w:rPr>
              <w:t>VicKey</w:t>
            </w:r>
            <w:proofErr w:type="spellEnd"/>
            <w:r w:rsidRPr="00632C1A">
              <w:rPr>
                <w:rFonts w:cs="Arial"/>
                <w:color w:val="000000"/>
                <w:szCs w:val="21"/>
                <w:lang w:eastAsia="en-AU"/>
              </w:rPr>
              <w:t xml:space="preserve"> core planned care modules</w:t>
            </w:r>
          </w:p>
        </w:tc>
        <w:tc>
          <w:tcPr>
            <w:tcW w:w="2693" w:type="dxa"/>
            <w:tcBorders>
              <w:top w:val="nil"/>
              <w:left w:val="nil"/>
              <w:bottom w:val="single" w:sz="4" w:space="0" w:color="auto"/>
              <w:right w:val="single" w:sz="4" w:space="0" w:color="auto"/>
            </w:tcBorders>
            <w:hideMark/>
          </w:tcPr>
          <w:p w14:paraId="67BBC849"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Defined initiatives 2026–2028</w:t>
            </w:r>
          </w:p>
        </w:tc>
        <w:tc>
          <w:tcPr>
            <w:tcW w:w="2268" w:type="dxa"/>
            <w:tcBorders>
              <w:top w:val="nil"/>
              <w:left w:val="nil"/>
              <w:bottom w:val="single" w:sz="4" w:space="0" w:color="auto"/>
              <w:right w:val="single" w:sz="4" w:space="0" w:color="auto"/>
            </w:tcBorders>
            <w:hideMark/>
          </w:tcPr>
          <w:p w14:paraId="29FF8564"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Funded</w:t>
            </w:r>
          </w:p>
        </w:tc>
      </w:tr>
      <w:tr w:rsidR="00632C1A" w:rsidRPr="00632C1A" w14:paraId="079F6E3F" w14:textId="77777777" w:rsidTr="00B71540">
        <w:trPr>
          <w:trHeight w:val="1135"/>
        </w:trPr>
        <w:tc>
          <w:tcPr>
            <w:tcW w:w="1291" w:type="dxa"/>
            <w:tcBorders>
              <w:top w:val="nil"/>
              <w:left w:val="single" w:sz="4" w:space="0" w:color="auto"/>
              <w:bottom w:val="single" w:sz="4" w:space="0" w:color="auto"/>
              <w:right w:val="single" w:sz="4" w:space="0" w:color="auto"/>
            </w:tcBorders>
            <w:hideMark/>
          </w:tcPr>
          <w:p w14:paraId="6F545356"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3.2 Accessible Health System</w:t>
            </w:r>
          </w:p>
        </w:tc>
        <w:tc>
          <w:tcPr>
            <w:tcW w:w="2815" w:type="dxa"/>
            <w:tcBorders>
              <w:top w:val="nil"/>
              <w:left w:val="nil"/>
              <w:bottom w:val="single" w:sz="4" w:space="0" w:color="auto"/>
              <w:right w:val="single" w:sz="4" w:space="0" w:color="auto"/>
            </w:tcBorders>
            <w:hideMark/>
          </w:tcPr>
          <w:p w14:paraId="110DEAE7"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 xml:space="preserve">3.2.2 Evolve </w:t>
            </w:r>
            <w:proofErr w:type="spellStart"/>
            <w:r w:rsidRPr="00632C1A">
              <w:rPr>
                <w:rFonts w:cs="Arial"/>
                <w:color w:val="000000"/>
                <w:szCs w:val="21"/>
                <w:lang w:eastAsia="en-AU"/>
              </w:rPr>
              <w:t>VicKey</w:t>
            </w:r>
            <w:proofErr w:type="spellEnd"/>
            <w:r w:rsidRPr="00632C1A">
              <w:rPr>
                <w:rFonts w:cs="Arial"/>
                <w:color w:val="000000"/>
                <w:szCs w:val="21"/>
                <w:lang w:eastAsia="en-AU"/>
              </w:rPr>
              <w:t xml:space="preserve"> into a sustainable statewide care coordination platform</w:t>
            </w:r>
          </w:p>
        </w:tc>
        <w:tc>
          <w:tcPr>
            <w:tcW w:w="2693" w:type="dxa"/>
            <w:tcBorders>
              <w:top w:val="nil"/>
              <w:left w:val="nil"/>
              <w:bottom w:val="single" w:sz="4" w:space="0" w:color="auto"/>
              <w:right w:val="single" w:sz="4" w:space="0" w:color="auto"/>
            </w:tcBorders>
            <w:hideMark/>
          </w:tcPr>
          <w:p w14:paraId="5DF95FAE"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42D88627"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Funded across all three horizons</w:t>
            </w:r>
          </w:p>
        </w:tc>
      </w:tr>
      <w:tr w:rsidR="00632C1A" w:rsidRPr="00632C1A" w14:paraId="75B0B6D1" w14:textId="77777777" w:rsidTr="00B71540">
        <w:trPr>
          <w:trHeight w:val="870"/>
        </w:trPr>
        <w:tc>
          <w:tcPr>
            <w:tcW w:w="1291" w:type="dxa"/>
            <w:tcBorders>
              <w:top w:val="nil"/>
              <w:left w:val="single" w:sz="4" w:space="0" w:color="auto"/>
              <w:bottom w:val="single" w:sz="4" w:space="0" w:color="auto"/>
              <w:right w:val="single" w:sz="4" w:space="0" w:color="auto"/>
            </w:tcBorders>
            <w:hideMark/>
          </w:tcPr>
          <w:p w14:paraId="0A5525D5"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3.2 Accessible Health System</w:t>
            </w:r>
          </w:p>
        </w:tc>
        <w:tc>
          <w:tcPr>
            <w:tcW w:w="2815" w:type="dxa"/>
            <w:tcBorders>
              <w:top w:val="nil"/>
              <w:left w:val="nil"/>
              <w:bottom w:val="single" w:sz="4" w:space="0" w:color="auto"/>
              <w:right w:val="single" w:sz="4" w:space="0" w:color="auto"/>
            </w:tcBorders>
            <w:hideMark/>
          </w:tcPr>
          <w:p w14:paraId="7F98FFAB"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3.2.3 Establish digital navigation and triage capabilities</w:t>
            </w:r>
          </w:p>
        </w:tc>
        <w:tc>
          <w:tcPr>
            <w:tcW w:w="2693" w:type="dxa"/>
            <w:tcBorders>
              <w:top w:val="nil"/>
              <w:left w:val="nil"/>
              <w:bottom w:val="single" w:sz="4" w:space="0" w:color="auto"/>
              <w:right w:val="single" w:sz="4" w:space="0" w:color="auto"/>
            </w:tcBorders>
            <w:hideMark/>
          </w:tcPr>
          <w:p w14:paraId="2B95322B"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Emerging priorities 2028–2030; future direction 2030 onwards</w:t>
            </w:r>
          </w:p>
        </w:tc>
        <w:tc>
          <w:tcPr>
            <w:tcW w:w="2268" w:type="dxa"/>
            <w:tcBorders>
              <w:top w:val="nil"/>
              <w:left w:val="nil"/>
              <w:bottom w:val="single" w:sz="4" w:space="0" w:color="auto"/>
              <w:right w:val="single" w:sz="4" w:space="0" w:color="auto"/>
            </w:tcBorders>
            <w:hideMark/>
          </w:tcPr>
          <w:p w14:paraId="15B25698"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Subject to investment decisions</w:t>
            </w:r>
          </w:p>
        </w:tc>
      </w:tr>
      <w:tr w:rsidR="00632C1A" w:rsidRPr="00632C1A" w14:paraId="45E57169" w14:textId="77777777" w:rsidTr="00B71540">
        <w:trPr>
          <w:trHeight w:val="870"/>
        </w:trPr>
        <w:tc>
          <w:tcPr>
            <w:tcW w:w="1291" w:type="dxa"/>
            <w:tcBorders>
              <w:top w:val="nil"/>
              <w:left w:val="single" w:sz="4" w:space="0" w:color="auto"/>
              <w:bottom w:val="single" w:sz="4" w:space="0" w:color="auto"/>
              <w:right w:val="single" w:sz="4" w:space="0" w:color="auto"/>
            </w:tcBorders>
            <w:hideMark/>
          </w:tcPr>
          <w:p w14:paraId="17627992"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3.2 Accessible Health System</w:t>
            </w:r>
          </w:p>
        </w:tc>
        <w:tc>
          <w:tcPr>
            <w:tcW w:w="2815" w:type="dxa"/>
            <w:tcBorders>
              <w:top w:val="nil"/>
              <w:left w:val="nil"/>
              <w:bottom w:val="single" w:sz="4" w:space="0" w:color="auto"/>
              <w:right w:val="single" w:sz="4" w:space="0" w:color="auto"/>
            </w:tcBorders>
            <w:hideMark/>
          </w:tcPr>
          <w:p w14:paraId="37DEA371"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3.2.4 Implement a statewide digital aged care assessment platform</w:t>
            </w:r>
          </w:p>
        </w:tc>
        <w:tc>
          <w:tcPr>
            <w:tcW w:w="2693" w:type="dxa"/>
            <w:tcBorders>
              <w:top w:val="nil"/>
              <w:left w:val="nil"/>
              <w:bottom w:val="single" w:sz="4" w:space="0" w:color="auto"/>
              <w:right w:val="single" w:sz="4" w:space="0" w:color="auto"/>
            </w:tcBorders>
            <w:hideMark/>
          </w:tcPr>
          <w:p w14:paraId="7330F1E0"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Defined initiatives 2026–2028</w:t>
            </w:r>
          </w:p>
        </w:tc>
        <w:tc>
          <w:tcPr>
            <w:tcW w:w="2268" w:type="dxa"/>
            <w:tcBorders>
              <w:top w:val="nil"/>
              <w:left w:val="nil"/>
              <w:bottom w:val="single" w:sz="4" w:space="0" w:color="auto"/>
              <w:right w:val="single" w:sz="4" w:space="0" w:color="auto"/>
            </w:tcBorders>
            <w:hideMark/>
          </w:tcPr>
          <w:p w14:paraId="37BC17AF" w14:textId="77777777" w:rsidR="00632C1A" w:rsidRPr="00632C1A" w:rsidRDefault="00632C1A" w:rsidP="00632C1A">
            <w:pPr>
              <w:spacing w:after="0" w:line="240" w:lineRule="auto"/>
              <w:rPr>
                <w:rFonts w:cs="Arial"/>
                <w:color w:val="000000"/>
                <w:szCs w:val="21"/>
                <w:lang w:eastAsia="en-AU"/>
              </w:rPr>
            </w:pPr>
            <w:r w:rsidRPr="00632C1A">
              <w:rPr>
                <w:rFonts w:cs="Arial"/>
                <w:color w:val="000000"/>
                <w:szCs w:val="21"/>
                <w:lang w:eastAsia="en-AU"/>
              </w:rPr>
              <w:t>Funded</w:t>
            </w:r>
          </w:p>
        </w:tc>
      </w:tr>
    </w:tbl>
    <w:p w14:paraId="0BAF775D" w14:textId="77777777" w:rsidR="00DD2C80" w:rsidRPr="007E1BC2" w:rsidRDefault="00DD2C80" w:rsidP="007E1BC2">
      <w:pPr>
        <w:jc w:val="both"/>
        <w:rPr>
          <w:bCs/>
        </w:rPr>
      </w:pPr>
    </w:p>
    <w:p w14:paraId="648BEC50" w14:textId="77777777" w:rsidR="00200D86" w:rsidRDefault="00200D86">
      <w:pPr>
        <w:spacing w:after="0" w:line="240" w:lineRule="auto"/>
        <w:rPr>
          <w:b/>
          <w:color w:val="53565A"/>
          <w:sz w:val="32"/>
          <w:szCs w:val="28"/>
        </w:rPr>
      </w:pPr>
      <w:r>
        <w:br w:type="page"/>
      </w:r>
    </w:p>
    <w:p w14:paraId="36CACE2F" w14:textId="2A81C32A" w:rsidR="00A04C14" w:rsidRPr="00A04C14" w:rsidRDefault="00A04C14" w:rsidP="00387DC1">
      <w:pPr>
        <w:pStyle w:val="Heading2"/>
      </w:pPr>
      <w:bookmarkStart w:id="106" w:name="_Toc244166870"/>
      <w:r w:rsidRPr="00A04C14">
        <w:lastRenderedPageBreak/>
        <w:t>Table 4</w:t>
      </w:r>
      <w:r w:rsidR="00666483">
        <w:t>.</w:t>
      </w:r>
      <w:r w:rsidRPr="00A04C14">
        <w:t xml:space="preserve"> Sustainable Operations </w:t>
      </w:r>
      <w:r w:rsidR="000B2E1C">
        <w:t>p</w:t>
      </w:r>
      <w:r w:rsidRPr="00A04C14">
        <w:t xml:space="preserve">rograms and </w:t>
      </w:r>
      <w:r w:rsidR="000B2E1C">
        <w:t>i</w:t>
      </w:r>
      <w:r w:rsidRPr="00A04C14">
        <w:t>nitiatives</w:t>
      </w:r>
      <w:bookmarkEnd w:id="106"/>
    </w:p>
    <w:p w14:paraId="15DD0E2B" w14:textId="77777777" w:rsidR="00266C13" w:rsidRPr="00266C13" w:rsidRDefault="00266C13" w:rsidP="000B2E1C">
      <w:pPr>
        <w:jc w:val="both"/>
      </w:pPr>
      <w:r w:rsidRPr="00266C13">
        <w:t>Table 4 presents 11 initiatives grouped under three Sustainable Operations programs of work: 4.1 Decision Intelligence, 4.2 Operational Efficiency and 4.3 Safer Digital Healthcare. Each initiative is mapped across three planning horizons: Defined initiatives (2026–2028), Emerging priorities (2028–2030) and Future direction (2030 onwards). Funding status is shown as either funded or subject to investment decisions. Some initiatives change investment status across the planning horizons. The following table provides the planning horizon and investment status for each initiative.</w:t>
      </w:r>
    </w:p>
    <w:p w14:paraId="4FEAFF11" w14:textId="77777777" w:rsidR="00F1502E" w:rsidRDefault="00F1502E" w:rsidP="00414D92"/>
    <w:tbl>
      <w:tblPr>
        <w:tblW w:w="8926" w:type="dxa"/>
        <w:tblLook w:val="04A0" w:firstRow="1" w:lastRow="0" w:firstColumn="1" w:lastColumn="0" w:noHBand="0" w:noVBand="1"/>
      </w:tblPr>
      <w:tblGrid>
        <w:gridCol w:w="1302"/>
        <w:gridCol w:w="2662"/>
        <w:gridCol w:w="2694"/>
        <w:gridCol w:w="2268"/>
      </w:tblGrid>
      <w:tr w:rsidR="00FC229A" w:rsidRPr="00FC229A" w14:paraId="37FEA38E" w14:textId="77777777" w:rsidTr="007E5A3F">
        <w:trPr>
          <w:trHeight w:val="290"/>
          <w:tblHeader/>
        </w:trPr>
        <w:tc>
          <w:tcPr>
            <w:tcW w:w="1302" w:type="dxa"/>
            <w:tcBorders>
              <w:top w:val="single" w:sz="4" w:space="0" w:color="auto"/>
              <w:left w:val="single" w:sz="4" w:space="0" w:color="auto"/>
              <w:bottom w:val="single" w:sz="4" w:space="0" w:color="auto"/>
              <w:right w:val="single" w:sz="4" w:space="0" w:color="auto"/>
            </w:tcBorders>
            <w:hideMark/>
          </w:tcPr>
          <w:p w14:paraId="1114E19D" w14:textId="77777777" w:rsidR="00FC229A" w:rsidRPr="00FC229A" w:rsidRDefault="00FC229A" w:rsidP="00FC229A">
            <w:pPr>
              <w:spacing w:after="0" w:line="240" w:lineRule="auto"/>
              <w:rPr>
                <w:rFonts w:cs="Arial"/>
                <w:b/>
                <w:bCs/>
                <w:color w:val="000000"/>
                <w:szCs w:val="21"/>
                <w:lang w:eastAsia="en-AU"/>
              </w:rPr>
            </w:pPr>
            <w:r w:rsidRPr="00FC229A">
              <w:rPr>
                <w:rFonts w:cs="Arial"/>
                <w:b/>
                <w:bCs/>
                <w:color w:val="000000"/>
                <w:szCs w:val="21"/>
                <w:lang w:eastAsia="en-AU"/>
              </w:rPr>
              <w:t>Program</w:t>
            </w:r>
          </w:p>
        </w:tc>
        <w:tc>
          <w:tcPr>
            <w:tcW w:w="2662" w:type="dxa"/>
            <w:tcBorders>
              <w:top w:val="single" w:sz="4" w:space="0" w:color="auto"/>
              <w:left w:val="nil"/>
              <w:bottom w:val="single" w:sz="4" w:space="0" w:color="auto"/>
              <w:right w:val="single" w:sz="4" w:space="0" w:color="auto"/>
            </w:tcBorders>
            <w:hideMark/>
          </w:tcPr>
          <w:p w14:paraId="69200D17" w14:textId="77777777" w:rsidR="00FC229A" w:rsidRPr="00FC229A" w:rsidRDefault="00FC229A" w:rsidP="00FC229A">
            <w:pPr>
              <w:spacing w:after="0" w:line="240" w:lineRule="auto"/>
              <w:rPr>
                <w:rFonts w:cs="Arial"/>
                <w:b/>
                <w:bCs/>
                <w:color w:val="000000"/>
                <w:szCs w:val="21"/>
                <w:lang w:eastAsia="en-AU"/>
              </w:rPr>
            </w:pPr>
            <w:r w:rsidRPr="00FC229A">
              <w:rPr>
                <w:rFonts w:cs="Arial"/>
                <w:b/>
                <w:bCs/>
                <w:color w:val="000000"/>
                <w:szCs w:val="21"/>
                <w:lang w:eastAsia="en-AU"/>
              </w:rPr>
              <w:t>Initiative</w:t>
            </w:r>
          </w:p>
        </w:tc>
        <w:tc>
          <w:tcPr>
            <w:tcW w:w="2694" w:type="dxa"/>
            <w:tcBorders>
              <w:top w:val="single" w:sz="4" w:space="0" w:color="auto"/>
              <w:left w:val="nil"/>
              <w:bottom w:val="single" w:sz="4" w:space="0" w:color="auto"/>
              <w:right w:val="single" w:sz="4" w:space="0" w:color="auto"/>
            </w:tcBorders>
            <w:hideMark/>
          </w:tcPr>
          <w:p w14:paraId="0DA30905" w14:textId="77777777" w:rsidR="00FC229A" w:rsidRPr="00FC229A" w:rsidRDefault="00FC229A" w:rsidP="00FC229A">
            <w:pPr>
              <w:spacing w:after="0" w:line="240" w:lineRule="auto"/>
              <w:rPr>
                <w:rFonts w:cs="Arial"/>
                <w:b/>
                <w:bCs/>
                <w:color w:val="000000"/>
                <w:szCs w:val="21"/>
                <w:lang w:eastAsia="en-AU"/>
              </w:rPr>
            </w:pPr>
            <w:r w:rsidRPr="00FC229A">
              <w:rPr>
                <w:rFonts w:cs="Arial"/>
                <w:b/>
                <w:bCs/>
                <w:color w:val="000000"/>
                <w:szCs w:val="21"/>
                <w:lang w:eastAsia="en-AU"/>
              </w:rPr>
              <w:t>Planning horizon</w:t>
            </w:r>
          </w:p>
        </w:tc>
        <w:tc>
          <w:tcPr>
            <w:tcW w:w="2268" w:type="dxa"/>
            <w:tcBorders>
              <w:top w:val="single" w:sz="4" w:space="0" w:color="auto"/>
              <w:left w:val="nil"/>
              <w:bottom w:val="single" w:sz="4" w:space="0" w:color="auto"/>
              <w:right w:val="single" w:sz="4" w:space="0" w:color="auto"/>
            </w:tcBorders>
            <w:hideMark/>
          </w:tcPr>
          <w:p w14:paraId="429DBA3E" w14:textId="77777777" w:rsidR="00FC229A" w:rsidRPr="00FC229A" w:rsidRDefault="00FC229A" w:rsidP="00FC229A">
            <w:pPr>
              <w:spacing w:after="0" w:line="240" w:lineRule="auto"/>
              <w:rPr>
                <w:rFonts w:cs="Arial"/>
                <w:b/>
                <w:bCs/>
                <w:color w:val="000000"/>
                <w:szCs w:val="21"/>
                <w:lang w:eastAsia="en-AU"/>
              </w:rPr>
            </w:pPr>
            <w:r w:rsidRPr="00FC229A">
              <w:rPr>
                <w:rFonts w:cs="Arial"/>
                <w:b/>
                <w:bCs/>
                <w:color w:val="000000"/>
                <w:szCs w:val="21"/>
                <w:lang w:eastAsia="en-AU"/>
              </w:rPr>
              <w:t>Investment status</w:t>
            </w:r>
          </w:p>
        </w:tc>
      </w:tr>
      <w:tr w:rsidR="00FC229A" w:rsidRPr="00FC229A" w14:paraId="56097B96" w14:textId="77777777" w:rsidTr="00FC229A">
        <w:trPr>
          <w:trHeight w:val="1080"/>
        </w:trPr>
        <w:tc>
          <w:tcPr>
            <w:tcW w:w="1302" w:type="dxa"/>
            <w:tcBorders>
              <w:top w:val="nil"/>
              <w:left w:val="single" w:sz="4" w:space="0" w:color="auto"/>
              <w:bottom w:val="single" w:sz="4" w:space="0" w:color="auto"/>
              <w:right w:val="single" w:sz="4" w:space="0" w:color="auto"/>
            </w:tcBorders>
            <w:hideMark/>
          </w:tcPr>
          <w:p w14:paraId="3ED55FEB"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4.1 Decision Intelligence</w:t>
            </w:r>
          </w:p>
        </w:tc>
        <w:tc>
          <w:tcPr>
            <w:tcW w:w="2662" w:type="dxa"/>
            <w:tcBorders>
              <w:top w:val="nil"/>
              <w:left w:val="nil"/>
              <w:bottom w:val="single" w:sz="4" w:space="0" w:color="auto"/>
              <w:right w:val="single" w:sz="4" w:space="0" w:color="auto"/>
            </w:tcBorders>
            <w:hideMark/>
          </w:tcPr>
          <w:p w14:paraId="1ACD9257"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4.1.1 Expand and embed digital twin capability for planning and forecasting</w:t>
            </w:r>
          </w:p>
        </w:tc>
        <w:tc>
          <w:tcPr>
            <w:tcW w:w="2694" w:type="dxa"/>
            <w:tcBorders>
              <w:top w:val="nil"/>
              <w:left w:val="nil"/>
              <w:bottom w:val="single" w:sz="4" w:space="0" w:color="auto"/>
              <w:right w:val="single" w:sz="4" w:space="0" w:color="auto"/>
            </w:tcBorders>
            <w:hideMark/>
          </w:tcPr>
          <w:p w14:paraId="5B73D085"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05137202" w14:textId="7332C54A" w:rsidR="00FC229A" w:rsidRPr="00FC229A" w:rsidRDefault="00A0151E" w:rsidP="00FC229A">
            <w:pPr>
              <w:spacing w:after="0" w:line="240" w:lineRule="auto"/>
              <w:rPr>
                <w:rFonts w:cs="Arial"/>
                <w:color w:val="000000"/>
                <w:szCs w:val="21"/>
                <w:lang w:eastAsia="en-AU"/>
              </w:rPr>
            </w:pPr>
            <w:r>
              <w:rPr>
                <w:rFonts w:cs="Arial"/>
                <w:color w:val="000000"/>
                <w:szCs w:val="21"/>
                <w:lang w:eastAsia="en-AU"/>
              </w:rPr>
              <w:t>Partially funded then subject to investment decision</w:t>
            </w:r>
          </w:p>
        </w:tc>
      </w:tr>
      <w:tr w:rsidR="00FC229A" w:rsidRPr="00FC229A" w14:paraId="6E161970" w14:textId="77777777" w:rsidTr="00FC229A">
        <w:trPr>
          <w:trHeight w:val="1080"/>
        </w:trPr>
        <w:tc>
          <w:tcPr>
            <w:tcW w:w="1302" w:type="dxa"/>
            <w:tcBorders>
              <w:top w:val="nil"/>
              <w:left w:val="single" w:sz="4" w:space="0" w:color="auto"/>
              <w:bottom w:val="single" w:sz="4" w:space="0" w:color="auto"/>
              <w:right w:val="single" w:sz="4" w:space="0" w:color="auto"/>
            </w:tcBorders>
            <w:hideMark/>
          </w:tcPr>
          <w:p w14:paraId="44D7008F"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4.1 Decision Intelligence</w:t>
            </w:r>
          </w:p>
        </w:tc>
        <w:tc>
          <w:tcPr>
            <w:tcW w:w="2662" w:type="dxa"/>
            <w:tcBorders>
              <w:top w:val="nil"/>
              <w:left w:val="nil"/>
              <w:bottom w:val="single" w:sz="4" w:space="0" w:color="auto"/>
              <w:right w:val="single" w:sz="4" w:space="0" w:color="auto"/>
            </w:tcBorders>
            <w:hideMark/>
          </w:tcPr>
          <w:p w14:paraId="073D4A57"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4.1.2 Establish and scale predictive demand and flow capabilities for emergency and planned care</w:t>
            </w:r>
          </w:p>
        </w:tc>
        <w:tc>
          <w:tcPr>
            <w:tcW w:w="2694" w:type="dxa"/>
            <w:tcBorders>
              <w:top w:val="nil"/>
              <w:left w:val="nil"/>
              <w:bottom w:val="single" w:sz="4" w:space="0" w:color="auto"/>
              <w:right w:val="single" w:sz="4" w:space="0" w:color="auto"/>
            </w:tcBorders>
            <w:hideMark/>
          </w:tcPr>
          <w:p w14:paraId="55599DA8"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6A021CC1" w14:textId="3F52145C" w:rsidR="00FC229A" w:rsidRPr="00FC229A" w:rsidRDefault="00A0151E" w:rsidP="00FC229A">
            <w:pPr>
              <w:spacing w:after="0" w:line="240" w:lineRule="auto"/>
              <w:rPr>
                <w:rFonts w:cs="Arial"/>
                <w:color w:val="000000"/>
                <w:szCs w:val="21"/>
                <w:lang w:eastAsia="en-AU"/>
              </w:rPr>
            </w:pPr>
            <w:r>
              <w:rPr>
                <w:rFonts w:cs="Arial"/>
                <w:color w:val="000000"/>
                <w:szCs w:val="21"/>
                <w:lang w:eastAsia="en-AU"/>
              </w:rPr>
              <w:t xml:space="preserve">Partially funded then subject to investment decision </w:t>
            </w:r>
          </w:p>
        </w:tc>
      </w:tr>
      <w:tr w:rsidR="00FC229A" w:rsidRPr="00FC229A" w14:paraId="5B042FCA" w14:textId="77777777" w:rsidTr="00FC229A">
        <w:trPr>
          <w:trHeight w:val="1080"/>
        </w:trPr>
        <w:tc>
          <w:tcPr>
            <w:tcW w:w="1302" w:type="dxa"/>
            <w:tcBorders>
              <w:top w:val="nil"/>
              <w:left w:val="single" w:sz="4" w:space="0" w:color="auto"/>
              <w:bottom w:val="single" w:sz="4" w:space="0" w:color="auto"/>
              <w:right w:val="single" w:sz="4" w:space="0" w:color="auto"/>
            </w:tcBorders>
            <w:hideMark/>
          </w:tcPr>
          <w:p w14:paraId="60DACB28"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4.1 Decision Intelligence</w:t>
            </w:r>
          </w:p>
        </w:tc>
        <w:tc>
          <w:tcPr>
            <w:tcW w:w="2662" w:type="dxa"/>
            <w:tcBorders>
              <w:top w:val="nil"/>
              <w:left w:val="nil"/>
              <w:bottom w:val="single" w:sz="4" w:space="0" w:color="auto"/>
              <w:right w:val="single" w:sz="4" w:space="0" w:color="auto"/>
            </w:tcBorders>
            <w:hideMark/>
          </w:tcPr>
          <w:p w14:paraId="44B0A5E8"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4.1.3 Establish, optimise and scale real-time operations intelligence across the health system</w:t>
            </w:r>
          </w:p>
        </w:tc>
        <w:tc>
          <w:tcPr>
            <w:tcW w:w="2694" w:type="dxa"/>
            <w:tcBorders>
              <w:top w:val="nil"/>
              <w:left w:val="nil"/>
              <w:bottom w:val="single" w:sz="4" w:space="0" w:color="auto"/>
              <w:right w:val="single" w:sz="4" w:space="0" w:color="auto"/>
            </w:tcBorders>
            <w:hideMark/>
          </w:tcPr>
          <w:p w14:paraId="47D99018"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Emerging priorities 2028–2030; future direction 2030 onwards</w:t>
            </w:r>
          </w:p>
        </w:tc>
        <w:tc>
          <w:tcPr>
            <w:tcW w:w="2268" w:type="dxa"/>
            <w:tcBorders>
              <w:top w:val="nil"/>
              <w:left w:val="nil"/>
              <w:bottom w:val="single" w:sz="4" w:space="0" w:color="auto"/>
              <w:right w:val="single" w:sz="4" w:space="0" w:color="auto"/>
            </w:tcBorders>
            <w:hideMark/>
          </w:tcPr>
          <w:p w14:paraId="0079C842"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Subject to investment decisions</w:t>
            </w:r>
          </w:p>
        </w:tc>
      </w:tr>
      <w:tr w:rsidR="00FC229A" w:rsidRPr="00FC229A" w14:paraId="30DB49FA" w14:textId="77777777" w:rsidTr="00FC229A">
        <w:trPr>
          <w:trHeight w:val="1080"/>
        </w:trPr>
        <w:tc>
          <w:tcPr>
            <w:tcW w:w="1302" w:type="dxa"/>
            <w:tcBorders>
              <w:top w:val="nil"/>
              <w:left w:val="single" w:sz="4" w:space="0" w:color="auto"/>
              <w:bottom w:val="single" w:sz="4" w:space="0" w:color="auto"/>
              <w:right w:val="single" w:sz="4" w:space="0" w:color="auto"/>
            </w:tcBorders>
            <w:hideMark/>
          </w:tcPr>
          <w:p w14:paraId="4AAA51D8"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4.1 Decision Intelligence</w:t>
            </w:r>
          </w:p>
        </w:tc>
        <w:tc>
          <w:tcPr>
            <w:tcW w:w="2662" w:type="dxa"/>
            <w:tcBorders>
              <w:top w:val="nil"/>
              <w:left w:val="nil"/>
              <w:bottom w:val="single" w:sz="4" w:space="0" w:color="auto"/>
              <w:right w:val="single" w:sz="4" w:space="0" w:color="auto"/>
            </w:tcBorders>
            <w:hideMark/>
          </w:tcPr>
          <w:p w14:paraId="03129B45"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4.1.4 Develop and share regional data insights and dashboards to support ACCO planning, service delivery and local decision-making</w:t>
            </w:r>
          </w:p>
        </w:tc>
        <w:tc>
          <w:tcPr>
            <w:tcW w:w="2694" w:type="dxa"/>
            <w:tcBorders>
              <w:top w:val="nil"/>
              <w:left w:val="nil"/>
              <w:bottom w:val="single" w:sz="4" w:space="0" w:color="auto"/>
              <w:right w:val="single" w:sz="4" w:space="0" w:color="auto"/>
            </w:tcBorders>
            <w:hideMark/>
          </w:tcPr>
          <w:p w14:paraId="7BDB6AB3"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2B993D8E" w14:textId="0EE307CF" w:rsidR="00FC229A" w:rsidRPr="00FC229A" w:rsidRDefault="000364AA" w:rsidP="00FC229A">
            <w:pPr>
              <w:spacing w:after="0" w:line="240" w:lineRule="auto"/>
              <w:rPr>
                <w:rFonts w:cs="Arial"/>
                <w:color w:val="000000"/>
                <w:szCs w:val="21"/>
                <w:lang w:eastAsia="en-AU"/>
              </w:rPr>
            </w:pPr>
            <w:r>
              <w:rPr>
                <w:rFonts w:cs="Arial"/>
                <w:color w:val="000000"/>
                <w:szCs w:val="21"/>
                <w:lang w:eastAsia="en-AU"/>
              </w:rPr>
              <w:t>Partially funded then subject to investment decision</w:t>
            </w:r>
          </w:p>
        </w:tc>
      </w:tr>
      <w:tr w:rsidR="00FC229A" w:rsidRPr="00FC229A" w14:paraId="33B8568D" w14:textId="77777777" w:rsidTr="00FC229A">
        <w:trPr>
          <w:trHeight w:val="1080"/>
        </w:trPr>
        <w:tc>
          <w:tcPr>
            <w:tcW w:w="1302" w:type="dxa"/>
            <w:tcBorders>
              <w:top w:val="nil"/>
              <w:left w:val="single" w:sz="4" w:space="0" w:color="auto"/>
              <w:bottom w:val="single" w:sz="4" w:space="0" w:color="auto"/>
              <w:right w:val="single" w:sz="4" w:space="0" w:color="auto"/>
            </w:tcBorders>
            <w:hideMark/>
          </w:tcPr>
          <w:p w14:paraId="67B1CA0B"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4.2 Operational Efficiency</w:t>
            </w:r>
          </w:p>
        </w:tc>
        <w:tc>
          <w:tcPr>
            <w:tcW w:w="2662" w:type="dxa"/>
            <w:tcBorders>
              <w:top w:val="nil"/>
              <w:left w:val="nil"/>
              <w:bottom w:val="single" w:sz="4" w:space="0" w:color="auto"/>
              <w:right w:val="single" w:sz="4" w:space="0" w:color="auto"/>
            </w:tcBorders>
            <w:hideMark/>
          </w:tcPr>
          <w:p w14:paraId="2AA0FA1D"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4.2.1 Modernise and expand the statewide financial management platform</w:t>
            </w:r>
          </w:p>
        </w:tc>
        <w:tc>
          <w:tcPr>
            <w:tcW w:w="2694" w:type="dxa"/>
            <w:tcBorders>
              <w:top w:val="nil"/>
              <w:left w:val="nil"/>
              <w:bottom w:val="single" w:sz="4" w:space="0" w:color="auto"/>
              <w:right w:val="single" w:sz="4" w:space="0" w:color="auto"/>
            </w:tcBorders>
            <w:hideMark/>
          </w:tcPr>
          <w:p w14:paraId="7CA7F682"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52A8E079"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Subject to investment decisions across all three horizons</w:t>
            </w:r>
          </w:p>
        </w:tc>
      </w:tr>
      <w:tr w:rsidR="00FC229A" w:rsidRPr="00FC229A" w14:paraId="0724756B" w14:textId="77777777" w:rsidTr="00FC229A">
        <w:trPr>
          <w:trHeight w:val="1080"/>
        </w:trPr>
        <w:tc>
          <w:tcPr>
            <w:tcW w:w="1302" w:type="dxa"/>
            <w:tcBorders>
              <w:top w:val="nil"/>
              <w:left w:val="single" w:sz="4" w:space="0" w:color="auto"/>
              <w:bottom w:val="single" w:sz="4" w:space="0" w:color="auto"/>
              <w:right w:val="single" w:sz="4" w:space="0" w:color="auto"/>
            </w:tcBorders>
            <w:hideMark/>
          </w:tcPr>
          <w:p w14:paraId="41DD3BD6"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4.2 Operational Efficiency</w:t>
            </w:r>
          </w:p>
        </w:tc>
        <w:tc>
          <w:tcPr>
            <w:tcW w:w="2662" w:type="dxa"/>
            <w:tcBorders>
              <w:top w:val="nil"/>
              <w:left w:val="nil"/>
              <w:bottom w:val="single" w:sz="4" w:space="0" w:color="auto"/>
              <w:right w:val="single" w:sz="4" w:space="0" w:color="auto"/>
            </w:tcBorders>
            <w:hideMark/>
          </w:tcPr>
          <w:p w14:paraId="5F4D47B3"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4.2.2 Establish a statewide workforce digital identity and access management capability</w:t>
            </w:r>
          </w:p>
        </w:tc>
        <w:tc>
          <w:tcPr>
            <w:tcW w:w="2694" w:type="dxa"/>
            <w:tcBorders>
              <w:top w:val="nil"/>
              <w:left w:val="nil"/>
              <w:bottom w:val="single" w:sz="4" w:space="0" w:color="auto"/>
              <w:right w:val="single" w:sz="4" w:space="0" w:color="auto"/>
            </w:tcBorders>
            <w:hideMark/>
          </w:tcPr>
          <w:p w14:paraId="32C47864"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364B706A" w14:textId="7F5657E6" w:rsidR="00FC229A" w:rsidRPr="00FC229A" w:rsidRDefault="000364AA" w:rsidP="00FC229A">
            <w:pPr>
              <w:spacing w:after="0" w:line="240" w:lineRule="auto"/>
              <w:rPr>
                <w:rFonts w:cs="Arial"/>
                <w:color w:val="000000"/>
                <w:szCs w:val="21"/>
                <w:lang w:eastAsia="en-AU"/>
              </w:rPr>
            </w:pPr>
            <w:r>
              <w:rPr>
                <w:rFonts w:cs="Arial"/>
                <w:color w:val="000000"/>
                <w:szCs w:val="21"/>
                <w:lang w:eastAsia="en-AU"/>
              </w:rPr>
              <w:t>Partially funded then subject to investment decision</w:t>
            </w:r>
          </w:p>
        </w:tc>
      </w:tr>
      <w:tr w:rsidR="00FC229A" w:rsidRPr="00FC229A" w14:paraId="2F793F14" w14:textId="77777777" w:rsidTr="00FC229A">
        <w:trPr>
          <w:trHeight w:val="1080"/>
        </w:trPr>
        <w:tc>
          <w:tcPr>
            <w:tcW w:w="1302" w:type="dxa"/>
            <w:tcBorders>
              <w:top w:val="nil"/>
              <w:left w:val="single" w:sz="4" w:space="0" w:color="auto"/>
              <w:bottom w:val="nil"/>
              <w:right w:val="single" w:sz="4" w:space="0" w:color="auto"/>
            </w:tcBorders>
            <w:hideMark/>
          </w:tcPr>
          <w:p w14:paraId="1CB9345C"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4.2 Operational Efficiency</w:t>
            </w:r>
          </w:p>
        </w:tc>
        <w:tc>
          <w:tcPr>
            <w:tcW w:w="2662" w:type="dxa"/>
            <w:tcBorders>
              <w:top w:val="nil"/>
              <w:left w:val="nil"/>
              <w:bottom w:val="nil"/>
              <w:right w:val="single" w:sz="4" w:space="0" w:color="auto"/>
            </w:tcBorders>
            <w:hideMark/>
          </w:tcPr>
          <w:p w14:paraId="081A6087"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4.2.3 Establish and scale automation for administrative workflows and processes</w:t>
            </w:r>
          </w:p>
        </w:tc>
        <w:tc>
          <w:tcPr>
            <w:tcW w:w="2694" w:type="dxa"/>
            <w:tcBorders>
              <w:top w:val="nil"/>
              <w:left w:val="nil"/>
              <w:bottom w:val="nil"/>
              <w:right w:val="single" w:sz="4" w:space="0" w:color="auto"/>
            </w:tcBorders>
            <w:hideMark/>
          </w:tcPr>
          <w:p w14:paraId="76F5C9DF"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Defined initiatives 2026–2028; emerging priorities 2028–2030; future direction 2030 onwards</w:t>
            </w:r>
          </w:p>
        </w:tc>
        <w:tc>
          <w:tcPr>
            <w:tcW w:w="2268" w:type="dxa"/>
            <w:tcBorders>
              <w:top w:val="nil"/>
              <w:left w:val="nil"/>
              <w:bottom w:val="nil"/>
              <w:right w:val="single" w:sz="4" w:space="0" w:color="auto"/>
            </w:tcBorders>
            <w:hideMark/>
          </w:tcPr>
          <w:p w14:paraId="4E4E5E02" w14:textId="2B537490" w:rsidR="00FC229A" w:rsidRPr="00FC229A" w:rsidRDefault="000364AA" w:rsidP="00FC229A">
            <w:pPr>
              <w:spacing w:after="0" w:line="240" w:lineRule="auto"/>
              <w:rPr>
                <w:rFonts w:cs="Arial"/>
                <w:color w:val="000000"/>
                <w:szCs w:val="21"/>
                <w:lang w:eastAsia="en-AU"/>
              </w:rPr>
            </w:pPr>
            <w:r>
              <w:rPr>
                <w:rFonts w:cs="Arial"/>
                <w:color w:val="000000"/>
                <w:szCs w:val="21"/>
                <w:lang w:eastAsia="en-AU"/>
              </w:rPr>
              <w:t>Partially funded then subject to investment decision</w:t>
            </w:r>
          </w:p>
        </w:tc>
      </w:tr>
      <w:tr w:rsidR="00FC229A" w:rsidRPr="00FC229A" w14:paraId="58894815" w14:textId="77777777" w:rsidTr="00FC229A">
        <w:trPr>
          <w:trHeight w:val="1080"/>
        </w:trPr>
        <w:tc>
          <w:tcPr>
            <w:tcW w:w="1302" w:type="dxa"/>
            <w:tcBorders>
              <w:top w:val="single" w:sz="4" w:space="0" w:color="auto"/>
              <w:left w:val="single" w:sz="4" w:space="0" w:color="auto"/>
              <w:bottom w:val="single" w:sz="4" w:space="0" w:color="auto"/>
              <w:right w:val="single" w:sz="4" w:space="0" w:color="auto"/>
            </w:tcBorders>
            <w:hideMark/>
          </w:tcPr>
          <w:p w14:paraId="5975BFA0" w14:textId="77777777" w:rsidR="00FC229A" w:rsidRPr="00FC229A" w:rsidRDefault="00FC229A" w:rsidP="00FC229A">
            <w:pPr>
              <w:spacing w:after="0" w:line="300" w:lineRule="atLeast"/>
              <w:rPr>
                <w:rFonts w:cs="Arial"/>
                <w:color w:val="000000"/>
                <w:szCs w:val="21"/>
                <w:lang w:eastAsia="en-AU"/>
              </w:rPr>
            </w:pPr>
            <w:r w:rsidRPr="00FC229A">
              <w:rPr>
                <w:rFonts w:cs="Arial"/>
                <w:color w:val="000000"/>
                <w:szCs w:val="21"/>
                <w:lang w:eastAsia="en-AU"/>
              </w:rPr>
              <w:t>4.2 Operational Efficiency</w:t>
            </w:r>
          </w:p>
        </w:tc>
        <w:tc>
          <w:tcPr>
            <w:tcW w:w="2662" w:type="dxa"/>
            <w:tcBorders>
              <w:top w:val="single" w:sz="4" w:space="0" w:color="auto"/>
              <w:left w:val="nil"/>
              <w:bottom w:val="single" w:sz="4" w:space="0" w:color="auto"/>
              <w:right w:val="single" w:sz="4" w:space="0" w:color="auto"/>
            </w:tcBorders>
            <w:hideMark/>
          </w:tcPr>
          <w:p w14:paraId="15454368"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4.2.4 Establish and scale clinically governed automation for clinical administrative tasks</w:t>
            </w:r>
          </w:p>
        </w:tc>
        <w:tc>
          <w:tcPr>
            <w:tcW w:w="2694" w:type="dxa"/>
            <w:tcBorders>
              <w:top w:val="single" w:sz="4" w:space="0" w:color="auto"/>
              <w:left w:val="nil"/>
              <w:bottom w:val="single" w:sz="4" w:space="0" w:color="auto"/>
              <w:right w:val="single" w:sz="4" w:space="0" w:color="auto"/>
            </w:tcBorders>
            <w:hideMark/>
          </w:tcPr>
          <w:p w14:paraId="1D379DF0"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Defined initiatives 2026–2028; emerging priorities 2028–2030; future direction 2030 onwards</w:t>
            </w:r>
          </w:p>
        </w:tc>
        <w:tc>
          <w:tcPr>
            <w:tcW w:w="2268" w:type="dxa"/>
            <w:tcBorders>
              <w:top w:val="single" w:sz="4" w:space="0" w:color="auto"/>
              <w:left w:val="nil"/>
              <w:bottom w:val="single" w:sz="4" w:space="0" w:color="auto"/>
              <w:right w:val="single" w:sz="4" w:space="0" w:color="auto"/>
            </w:tcBorders>
            <w:hideMark/>
          </w:tcPr>
          <w:p w14:paraId="79B2B9A8" w14:textId="39FC6EBB" w:rsidR="00FC229A" w:rsidRPr="00FC229A" w:rsidRDefault="00F3185B" w:rsidP="00FC229A">
            <w:pPr>
              <w:spacing w:after="0" w:line="240" w:lineRule="auto"/>
              <w:rPr>
                <w:rFonts w:cs="Arial"/>
                <w:color w:val="000000"/>
                <w:szCs w:val="21"/>
                <w:lang w:eastAsia="en-AU"/>
              </w:rPr>
            </w:pPr>
            <w:r>
              <w:rPr>
                <w:rFonts w:cs="Arial"/>
                <w:color w:val="000000"/>
                <w:szCs w:val="21"/>
                <w:lang w:eastAsia="en-AU"/>
              </w:rPr>
              <w:t>Partially funded then subject to investment decision</w:t>
            </w:r>
          </w:p>
        </w:tc>
      </w:tr>
      <w:tr w:rsidR="00FC229A" w:rsidRPr="00FC229A" w14:paraId="13506EF2" w14:textId="77777777" w:rsidTr="00E745D4">
        <w:trPr>
          <w:trHeight w:val="1080"/>
        </w:trPr>
        <w:tc>
          <w:tcPr>
            <w:tcW w:w="1302" w:type="dxa"/>
            <w:tcBorders>
              <w:top w:val="nil"/>
              <w:left w:val="single" w:sz="4" w:space="0" w:color="auto"/>
              <w:bottom w:val="single" w:sz="8" w:space="0" w:color="auto"/>
              <w:right w:val="single" w:sz="4" w:space="0" w:color="auto"/>
            </w:tcBorders>
            <w:hideMark/>
          </w:tcPr>
          <w:p w14:paraId="259F36C1"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4.3 Safer Digital Healthcare</w:t>
            </w:r>
          </w:p>
        </w:tc>
        <w:tc>
          <w:tcPr>
            <w:tcW w:w="2662" w:type="dxa"/>
            <w:tcBorders>
              <w:top w:val="nil"/>
              <w:left w:val="nil"/>
              <w:bottom w:val="single" w:sz="8" w:space="0" w:color="auto"/>
              <w:right w:val="single" w:sz="4" w:space="0" w:color="auto"/>
            </w:tcBorders>
            <w:hideMark/>
          </w:tcPr>
          <w:p w14:paraId="68045DE2"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4.3.1 Strengthen statewide health sector cyber resilience and security capability</w:t>
            </w:r>
          </w:p>
        </w:tc>
        <w:tc>
          <w:tcPr>
            <w:tcW w:w="2694" w:type="dxa"/>
            <w:tcBorders>
              <w:top w:val="nil"/>
              <w:left w:val="nil"/>
              <w:bottom w:val="single" w:sz="8" w:space="0" w:color="auto"/>
              <w:right w:val="single" w:sz="4" w:space="0" w:color="auto"/>
            </w:tcBorders>
            <w:hideMark/>
          </w:tcPr>
          <w:p w14:paraId="0A9283CB"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Defined initiatives 2026–2028; emerging priorities 2028–2030; future direction 2030 onwards</w:t>
            </w:r>
          </w:p>
        </w:tc>
        <w:tc>
          <w:tcPr>
            <w:tcW w:w="2268" w:type="dxa"/>
            <w:tcBorders>
              <w:top w:val="nil"/>
              <w:left w:val="nil"/>
              <w:bottom w:val="single" w:sz="8" w:space="0" w:color="auto"/>
              <w:right w:val="single" w:sz="4" w:space="0" w:color="auto"/>
            </w:tcBorders>
            <w:hideMark/>
          </w:tcPr>
          <w:p w14:paraId="31D6AA4F" w14:textId="7FF06553" w:rsidR="00FC229A" w:rsidRPr="00FC229A" w:rsidRDefault="00F3185B" w:rsidP="00FC229A">
            <w:pPr>
              <w:spacing w:after="0" w:line="240" w:lineRule="auto"/>
              <w:rPr>
                <w:rFonts w:cs="Arial"/>
                <w:color w:val="000000"/>
                <w:szCs w:val="21"/>
                <w:lang w:eastAsia="en-AU"/>
              </w:rPr>
            </w:pPr>
            <w:r>
              <w:rPr>
                <w:rFonts w:cs="Arial"/>
                <w:color w:val="000000"/>
                <w:szCs w:val="21"/>
                <w:lang w:eastAsia="en-AU"/>
              </w:rPr>
              <w:t>Partially funded then subject to investment decision</w:t>
            </w:r>
          </w:p>
        </w:tc>
      </w:tr>
      <w:tr w:rsidR="00FC229A" w:rsidRPr="00FC229A" w14:paraId="2392CB41" w14:textId="77777777" w:rsidTr="00E745D4">
        <w:trPr>
          <w:trHeight w:val="1350"/>
        </w:trPr>
        <w:tc>
          <w:tcPr>
            <w:tcW w:w="1302" w:type="dxa"/>
            <w:tcBorders>
              <w:top w:val="single" w:sz="8" w:space="0" w:color="auto"/>
              <w:left w:val="single" w:sz="4" w:space="0" w:color="auto"/>
              <w:bottom w:val="single" w:sz="4" w:space="0" w:color="auto"/>
              <w:right w:val="single" w:sz="4" w:space="0" w:color="auto"/>
            </w:tcBorders>
            <w:hideMark/>
          </w:tcPr>
          <w:p w14:paraId="0FBCF004"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lastRenderedPageBreak/>
              <w:t>4.3 Safer Digital Healthcare</w:t>
            </w:r>
          </w:p>
        </w:tc>
        <w:tc>
          <w:tcPr>
            <w:tcW w:w="2662" w:type="dxa"/>
            <w:tcBorders>
              <w:top w:val="single" w:sz="8" w:space="0" w:color="auto"/>
              <w:left w:val="nil"/>
              <w:bottom w:val="single" w:sz="4" w:space="0" w:color="auto"/>
              <w:right w:val="single" w:sz="4" w:space="0" w:color="auto"/>
            </w:tcBorders>
            <w:hideMark/>
          </w:tcPr>
          <w:p w14:paraId="5E508279"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4.3.2 Migrate core Health Technology Services systems from legacy data centres to modern cloud and hosting platforms</w:t>
            </w:r>
          </w:p>
        </w:tc>
        <w:tc>
          <w:tcPr>
            <w:tcW w:w="2694" w:type="dxa"/>
            <w:tcBorders>
              <w:top w:val="single" w:sz="8" w:space="0" w:color="auto"/>
              <w:left w:val="nil"/>
              <w:bottom w:val="single" w:sz="4" w:space="0" w:color="auto"/>
              <w:right w:val="single" w:sz="4" w:space="0" w:color="auto"/>
            </w:tcBorders>
            <w:hideMark/>
          </w:tcPr>
          <w:p w14:paraId="51AA3E90"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Defined initiatives 2026–2028</w:t>
            </w:r>
          </w:p>
        </w:tc>
        <w:tc>
          <w:tcPr>
            <w:tcW w:w="2268" w:type="dxa"/>
            <w:tcBorders>
              <w:top w:val="single" w:sz="8" w:space="0" w:color="auto"/>
              <w:left w:val="nil"/>
              <w:bottom w:val="single" w:sz="4" w:space="0" w:color="auto"/>
              <w:right w:val="single" w:sz="4" w:space="0" w:color="auto"/>
            </w:tcBorders>
            <w:hideMark/>
          </w:tcPr>
          <w:p w14:paraId="0B2EF5A7"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Funded</w:t>
            </w:r>
          </w:p>
        </w:tc>
      </w:tr>
      <w:tr w:rsidR="00FC229A" w:rsidRPr="00FC229A" w14:paraId="73AA934A" w14:textId="77777777" w:rsidTr="00FC229A">
        <w:trPr>
          <w:trHeight w:val="1080"/>
        </w:trPr>
        <w:tc>
          <w:tcPr>
            <w:tcW w:w="1302" w:type="dxa"/>
            <w:tcBorders>
              <w:top w:val="nil"/>
              <w:left w:val="single" w:sz="4" w:space="0" w:color="auto"/>
              <w:bottom w:val="single" w:sz="4" w:space="0" w:color="auto"/>
              <w:right w:val="single" w:sz="4" w:space="0" w:color="auto"/>
            </w:tcBorders>
            <w:hideMark/>
          </w:tcPr>
          <w:p w14:paraId="518C504F"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4.3 Safer Digital Healthcare</w:t>
            </w:r>
          </w:p>
        </w:tc>
        <w:tc>
          <w:tcPr>
            <w:tcW w:w="2662" w:type="dxa"/>
            <w:tcBorders>
              <w:top w:val="nil"/>
              <w:left w:val="nil"/>
              <w:bottom w:val="single" w:sz="4" w:space="0" w:color="auto"/>
              <w:right w:val="single" w:sz="4" w:space="0" w:color="auto"/>
            </w:tcBorders>
            <w:hideMark/>
          </w:tcPr>
          <w:p w14:paraId="0EF1BC6C"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4.3.3 Modernise and refresh digital infrastructure across the health system</w:t>
            </w:r>
          </w:p>
        </w:tc>
        <w:tc>
          <w:tcPr>
            <w:tcW w:w="2694" w:type="dxa"/>
            <w:tcBorders>
              <w:top w:val="nil"/>
              <w:left w:val="nil"/>
              <w:bottom w:val="single" w:sz="4" w:space="0" w:color="auto"/>
              <w:right w:val="single" w:sz="4" w:space="0" w:color="auto"/>
            </w:tcBorders>
            <w:hideMark/>
          </w:tcPr>
          <w:p w14:paraId="6AD626EA"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Defined initiatives 2026–2028; emerging priorities 2028–2030; future direction 2030 onwards</w:t>
            </w:r>
          </w:p>
        </w:tc>
        <w:tc>
          <w:tcPr>
            <w:tcW w:w="2268" w:type="dxa"/>
            <w:tcBorders>
              <w:top w:val="nil"/>
              <w:left w:val="nil"/>
              <w:bottom w:val="single" w:sz="4" w:space="0" w:color="auto"/>
              <w:right w:val="single" w:sz="4" w:space="0" w:color="auto"/>
            </w:tcBorders>
            <w:hideMark/>
          </w:tcPr>
          <w:p w14:paraId="349FDB3D" w14:textId="77777777" w:rsidR="00FC229A" w:rsidRPr="00FC229A" w:rsidRDefault="00FC229A" w:rsidP="00FC229A">
            <w:pPr>
              <w:spacing w:after="0" w:line="240" w:lineRule="auto"/>
              <w:rPr>
                <w:rFonts w:cs="Arial"/>
                <w:color w:val="000000"/>
                <w:szCs w:val="21"/>
                <w:lang w:eastAsia="en-AU"/>
              </w:rPr>
            </w:pPr>
            <w:r w:rsidRPr="00FC229A">
              <w:rPr>
                <w:rFonts w:cs="Arial"/>
                <w:color w:val="000000"/>
                <w:szCs w:val="21"/>
                <w:lang w:eastAsia="en-AU"/>
              </w:rPr>
              <w:t>Subject to investment decisions across all three horizons</w:t>
            </w:r>
          </w:p>
        </w:tc>
      </w:tr>
    </w:tbl>
    <w:p w14:paraId="4A84C929" w14:textId="5548942D" w:rsidR="00A04C14" w:rsidRDefault="00A04C14" w:rsidP="00387DC1"/>
    <w:sectPr w:rsidR="00A04C14" w:rsidSect="00614670">
      <w:pgSz w:w="11906" w:h="16838" w:code="9"/>
      <w:pgMar w:top="1418" w:right="1416" w:bottom="1134" w:left="1304" w:header="680" w:footer="851" w:gutter="0"/>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2F22D" w14:textId="77777777" w:rsidR="00AA5543" w:rsidRDefault="00AA5543">
      <w:r>
        <w:separator/>
      </w:r>
    </w:p>
    <w:p w14:paraId="379173F3" w14:textId="77777777" w:rsidR="00AA5543" w:rsidRDefault="00AA5543"/>
  </w:endnote>
  <w:endnote w:type="continuationSeparator" w:id="0">
    <w:p w14:paraId="1DBE9D56" w14:textId="77777777" w:rsidR="00AA5543" w:rsidRDefault="00AA5543">
      <w:r>
        <w:continuationSeparator/>
      </w:r>
    </w:p>
    <w:p w14:paraId="34A6C003" w14:textId="77777777" w:rsidR="00AA5543" w:rsidRDefault="00AA55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4D4CA" w14:textId="77777777" w:rsidR="00EB4BC7" w:rsidRDefault="00EB4BC7">
    <w:pPr>
      <w:pStyle w:val="Footer"/>
    </w:pPr>
    <w:r>
      <w:rPr>
        <w:noProof/>
      </w:rPr>
      <mc:AlternateContent>
        <mc:Choice Requires="wps">
          <w:drawing>
            <wp:anchor distT="0" distB="0" distL="114300" distR="114300" simplePos="0" relativeHeight="251658242" behindDoc="0" locked="0" layoutInCell="0" allowOverlap="1" wp14:anchorId="6B397589" wp14:editId="165EF4D2">
              <wp:simplePos x="0" y="0"/>
              <wp:positionH relativeFrom="page">
                <wp:posOffset>0</wp:posOffset>
              </wp:positionH>
              <wp:positionV relativeFrom="page">
                <wp:posOffset>10189845</wp:posOffset>
              </wp:positionV>
              <wp:extent cx="7560310" cy="311785"/>
              <wp:effectExtent l="0" t="0" r="0" b="12065"/>
              <wp:wrapNone/>
              <wp:docPr id="7" name="MSIPCM9dd54572b391b968e538fedc" descr="{&quot;HashCode&quot;:904758361,&quot;Height&quot;:841.0,&quot;Width&quot;:595.0,&quot;Placement&quot;:&quot;Foot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9BC826C" w14:textId="77777777" w:rsidR="00EB4BC7" w:rsidRPr="00EB4BC7" w:rsidRDefault="00EB4BC7" w:rsidP="00EB4BC7">
                          <w:pPr>
                            <w:spacing w:after="0"/>
                            <w:jc w:val="center"/>
                            <w:rPr>
                              <w:rFonts w:ascii="Arial Black" w:hAnsi="Arial Black"/>
                              <w:color w:val="000000"/>
                              <w:sz w:val="20"/>
                            </w:rPr>
                          </w:pPr>
                          <w:r w:rsidRPr="00EB4BC7">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B397589" id="_x0000_t202" coordsize="21600,21600" o:spt="202" path="m,l,21600r21600,l21600,xe">
              <v:stroke joinstyle="miter"/>
              <v:path gradientshapeok="t" o:connecttype="rect"/>
            </v:shapetype>
            <v:shape id="MSIPCM9dd54572b391b968e538fedc" o:spid="_x0000_s1026" type="#_x0000_t202" alt="{&quot;HashCode&quot;:904758361,&quot;Height&quot;:841.0,&quot;Width&quot;:595.0,&quot;Placement&quot;:&quot;Footer&quot;,&quot;Index&quot;:&quot;OddAndEven&quot;,&quot;Section&quot;:1,&quot;Top&quot;:0.0,&quot;Left&quot;:0.0}" style="position:absolute;left:0;text-align:left;margin-left:0;margin-top:802.35pt;width:595.3pt;height:24.5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" o:allowincell="f" filled="f" stroked="f" strokeweight=".5pt">
              <v:textbox inset=",0,,0">
                <w:txbxContent>
                  <w:p w14:paraId="79BC826C" w14:textId="77777777" w:rsidR="00EB4BC7" w:rsidRPr="00EB4BC7" w:rsidRDefault="00EB4BC7" w:rsidP="00EB4BC7">
                    <w:pPr>
                      <w:spacing w:after="0"/>
                      <w:jc w:val="center"/>
                      <w:rPr>
                        <w:rFonts w:ascii="Arial Black" w:hAnsi="Arial Black"/>
                        <w:color w:val="000000"/>
                        <w:sz w:val="20"/>
                      </w:rPr>
                    </w:pPr>
                    <w:r w:rsidRPr="00EB4BC7">
                      <w:rPr>
                        <w:rFonts w:ascii="Arial Black" w:hAnsi="Arial Black"/>
                        <w:color w:val="000000"/>
                        <w:sz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621DD" w14:textId="77777777" w:rsidR="00431A70" w:rsidRDefault="00EB4BC7">
    <w:pPr>
      <w:pStyle w:val="Footer"/>
    </w:pPr>
    <w:r>
      <w:rPr>
        <w:noProof/>
        <w:lang w:eastAsia="en-AU"/>
      </w:rPr>
      <mc:AlternateContent>
        <mc:Choice Requires="wps">
          <w:drawing>
            <wp:anchor distT="0" distB="0" distL="114300" distR="114300" simplePos="0" relativeHeight="251658240" behindDoc="0" locked="0" layoutInCell="0" allowOverlap="1" wp14:anchorId="53E2CD11" wp14:editId="3EE1E888">
              <wp:simplePos x="0" y="0"/>
              <wp:positionH relativeFrom="page">
                <wp:posOffset>0</wp:posOffset>
              </wp:positionH>
              <wp:positionV relativeFrom="page">
                <wp:posOffset>10189687</wp:posOffset>
              </wp:positionV>
              <wp:extent cx="7560310" cy="311785"/>
              <wp:effectExtent l="0" t="0" r="0" b="12065"/>
              <wp:wrapNone/>
              <wp:docPr id="5" name="MSIPCM36724fdbb2a52fcfc05f86a5" descr="{&quot;HashCode&quot;:904758361,&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7045294" w14:textId="77777777" w:rsidR="00EB4BC7" w:rsidRPr="00EB4BC7" w:rsidRDefault="00EB4BC7" w:rsidP="002C5B7C">
                          <w:pPr>
                            <w:spacing w:after="0"/>
                            <w:jc w:val="center"/>
                            <w:rPr>
                              <w:rFonts w:ascii="Arial Black" w:hAnsi="Arial Black"/>
                              <w:color w:val="000000"/>
                              <w:sz w:val="20"/>
                            </w:rPr>
                          </w:pPr>
                          <w:r w:rsidRPr="00EB4BC7">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53E2CD11" id="_x0000_t202" coordsize="21600,21600" o:spt="202" path="m,l,21600r21600,l21600,xe">
              <v:stroke joinstyle="miter"/>
              <v:path gradientshapeok="t" o:connecttype="rect"/>
            </v:shapetype>
            <v:shape id="MSIPCM36724fdbb2a52fcfc05f86a5" o:spid="_x0000_s1027" type="#_x0000_t202" alt="{&quot;HashCode&quot;:904758361,&quot;Height&quot;:841.0,&quot;Width&quot;:595.0,&quot;Placement&quot;:&quot;Footer&quot;,&quot;Index&quot;:&quot;Primary&quot;,&quot;Section&quot;:1,&quot;Top&quot;:0.0,&quot;Left&quot;:0.0}" style="position:absolute;left:0;text-align:left;margin-left:0;margin-top:802.35pt;width:595.3pt;height:24.5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" o:allowincell="f" filled="f" stroked="f" strokeweight=".5pt">
              <v:textbox inset=",0,,0">
                <w:txbxContent>
                  <w:p w14:paraId="07045294" w14:textId="77777777" w:rsidR="00EB4BC7" w:rsidRPr="00EB4BC7" w:rsidRDefault="00EB4BC7" w:rsidP="002C5B7C">
                    <w:pPr>
                      <w:spacing w:after="0"/>
                      <w:jc w:val="center"/>
                      <w:rPr>
                        <w:rFonts w:ascii="Arial Black" w:hAnsi="Arial Black"/>
                        <w:color w:val="000000"/>
                        <w:sz w:val="20"/>
                      </w:rPr>
                    </w:pPr>
                    <w:r w:rsidRPr="00EB4BC7">
                      <w:rPr>
                        <w:rFonts w:ascii="Arial Black" w:hAnsi="Arial Black"/>
                        <w:color w:val="000000"/>
                        <w:sz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F2741" w14:textId="77777777" w:rsidR="00EB4BC7" w:rsidRDefault="00EB4BC7">
    <w:pPr>
      <w:pStyle w:val="Footer"/>
    </w:pPr>
    <w:r>
      <w:rPr>
        <w:noProof/>
      </w:rPr>
      <mc:AlternateContent>
        <mc:Choice Requires="wps">
          <w:drawing>
            <wp:anchor distT="0" distB="0" distL="114300" distR="114300" simplePos="0" relativeHeight="251658241" behindDoc="0" locked="0" layoutInCell="0" allowOverlap="1" wp14:anchorId="7BA27DB2" wp14:editId="23BD2321">
              <wp:simplePos x="0" y="0"/>
              <wp:positionH relativeFrom="page">
                <wp:posOffset>0</wp:posOffset>
              </wp:positionH>
              <wp:positionV relativeFrom="page">
                <wp:posOffset>10189845</wp:posOffset>
              </wp:positionV>
              <wp:extent cx="7560310" cy="311785"/>
              <wp:effectExtent l="0" t="0" r="0" b="12065"/>
              <wp:wrapNone/>
              <wp:docPr id="6" name="MSIPCMf6504bf684e4519137a7274a" descr="{&quot;HashCode&quot;:904758361,&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57AD6AC" w14:textId="77777777" w:rsidR="00EB4BC7" w:rsidRPr="00EB4BC7" w:rsidRDefault="00EB4BC7" w:rsidP="00EB4BC7">
                          <w:pPr>
                            <w:spacing w:after="0"/>
                            <w:jc w:val="center"/>
                            <w:rPr>
                              <w:rFonts w:ascii="Arial Black" w:hAnsi="Arial Black"/>
                              <w:color w:val="000000"/>
                              <w:sz w:val="20"/>
                            </w:rPr>
                          </w:pPr>
                          <w:r w:rsidRPr="00EB4BC7">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BA27DB2" id="_x0000_t202" coordsize="21600,21600" o:spt="202" path="m,l,21600r21600,l21600,xe">
              <v:stroke joinstyle="miter"/>
              <v:path gradientshapeok="t" o:connecttype="rect"/>
            </v:shapetype>
            <v:shape id="MSIPCMf6504bf684e4519137a7274a" o:spid="_x0000_s1028" type="#_x0000_t202" alt="{&quot;HashCode&quot;:904758361,&quot;Height&quot;:841.0,&quot;Width&quot;:595.0,&quot;Placement&quot;:&quot;Footer&quot;,&quot;Index&quot;:&quot;FirstPage&quot;,&quot;Section&quot;:1,&quot;Top&quot;:0.0,&quot;Left&quot;:0.0}" style="position:absolute;left:0;text-align:left;margin-left:0;margin-top:802.35pt;width:595.3pt;height:24.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" o:allowincell="f" filled="f" stroked="f" strokeweight=".5pt">
              <v:textbox inset=",0,,0">
                <w:txbxContent>
                  <w:p w14:paraId="057AD6AC" w14:textId="77777777" w:rsidR="00EB4BC7" w:rsidRPr="00EB4BC7" w:rsidRDefault="00EB4BC7" w:rsidP="00EB4BC7">
                    <w:pPr>
                      <w:spacing w:after="0"/>
                      <w:jc w:val="center"/>
                      <w:rPr>
                        <w:rFonts w:ascii="Arial Black" w:hAnsi="Arial Black"/>
                        <w:color w:val="000000"/>
                        <w:sz w:val="20"/>
                      </w:rPr>
                    </w:pPr>
                    <w:r w:rsidRPr="00EB4BC7">
                      <w:rPr>
                        <w:rFonts w:ascii="Arial Black" w:hAnsi="Arial Black"/>
                        <w:color w:val="000000"/>
                        <w:sz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40A83" w14:textId="77777777" w:rsidR="00BC5C36" w:rsidRDefault="00BC5C3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0020D" w14:textId="77777777" w:rsidR="00D63636" w:rsidRDefault="002C5B7C">
    <w:pPr>
      <w:pStyle w:val="Footer"/>
    </w:pPr>
    <w:r>
      <w:rPr>
        <w:noProof/>
        <w:lang w:eastAsia="en-AU"/>
      </w:rPr>
      <mc:AlternateContent>
        <mc:Choice Requires="wps">
          <w:drawing>
            <wp:anchor distT="0" distB="0" distL="114300" distR="114300" simplePos="0" relativeHeight="251660288" behindDoc="0" locked="0" layoutInCell="0" allowOverlap="1" wp14:anchorId="29F9806E" wp14:editId="63C0D4D3">
              <wp:simplePos x="0" y="0"/>
              <wp:positionH relativeFrom="page">
                <wp:posOffset>0</wp:posOffset>
              </wp:positionH>
              <wp:positionV relativeFrom="page">
                <wp:posOffset>10189210</wp:posOffset>
              </wp:positionV>
              <wp:extent cx="7560310" cy="311785"/>
              <wp:effectExtent l="0" t="0" r="0" b="12065"/>
              <wp:wrapNone/>
              <wp:docPr id="4" name="MSIPCMd3f54469bd0204c6fb2f3fa8" descr="{&quot;HashCode&quot;:904758361,&quot;Height&quot;:841.0,&quot;Width&quot;:595.0,&quot;Placement&quot;:&quot;Footer&quot;,&quot;Index&quot;:&quot;OddAndEven&quot;,&quot;Section&quot;:3,&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6E1FAE8" w14:textId="77777777" w:rsidR="002C5B7C" w:rsidRPr="002C5B7C" w:rsidRDefault="002C5B7C" w:rsidP="002C5B7C">
                          <w:pPr>
                            <w:spacing w:after="0"/>
                            <w:jc w:val="center"/>
                            <w:rPr>
                              <w:rFonts w:ascii="Arial Black" w:hAnsi="Arial Black"/>
                              <w:color w:val="000000"/>
                              <w:sz w:val="20"/>
                            </w:rPr>
                          </w:pPr>
                          <w:r w:rsidRPr="002C5B7C">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9F9806E" id="_x0000_t202" coordsize="21600,21600" o:spt="202" path="m,l,21600r21600,l21600,xe">
              <v:stroke joinstyle="miter"/>
              <v:path gradientshapeok="t" o:connecttype="rect"/>
            </v:shapetype>
            <v:shape id="MSIPCMd3f54469bd0204c6fb2f3fa8" o:spid="_x0000_s1029" type="#_x0000_t202" alt="{&quot;HashCode&quot;:904758361,&quot;Height&quot;:841.0,&quot;Width&quot;:595.0,&quot;Placement&quot;:&quot;Footer&quot;,&quot;Index&quot;:&quot;OddAndEven&quot;,&quot;Section&quot;:3,&quot;Top&quot;:0.0,&quot;Left&quot;:0.0}" style="position:absolute;left:0;text-align:left;margin-left:0;margin-top:802.3pt;width:595.3pt;height:24.5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" o:allowincell="f" filled="f" stroked="f" strokeweight=".5pt">
              <v:textbox inset=",0,,0">
                <w:txbxContent>
                  <w:p w14:paraId="56E1FAE8" w14:textId="77777777" w:rsidR="002C5B7C" w:rsidRPr="002C5B7C" w:rsidRDefault="002C5B7C" w:rsidP="002C5B7C">
                    <w:pPr>
                      <w:spacing w:after="0"/>
                      <w:jc w:val="center"/>
                      <w:rPr>
                        <w:rFonts w:ascii="Arial Black" w:hAnsi="Arial Black"/>
                        <w:color w:val="000000"/>
                        <w:sz w:val="20"/>
                      </w:rPr>
                    </w:pPr>
                    <w:r w:rsidRPr="002C5B7C">
                      <w:rPr>
                        <w:rFonts w:ascii="Arial Black" w:hAnsi="Arial Black"/>
                        <w:color w:val="000000"/>
                        <w:sz w:val="20"/>
                      </w:rPr>
                      <w:t>OFFICIAL</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64E38" w14:textId="77777777" w:rsidR="00431A70" w:rsidRDefault="008977D1">
    <w:pPr>
      <w:pStyle w:val="Footer"/>
    </w:pPr>
    <w:r>
      <w:rPr>
        <w:noProof/>
        <w:lang w:eastAsia="en-AU"/>
      </w:rPr>
      <mc:AlternateContent>
        <mc:Choice Requires="wps">
          <w:drawing>
            <wp:anchor distT="0" distB="0" distL="114300" distR="114300" simplePos="0" relativeHeight="251666432" behindDoc="0" locked="0" layoutInCell="0" allowOverlap="1" wp14:anchorId="77B18CD3" wp14:editId="71746340">
              <wp:simplePos x="0" y="0"/>
              <wp:positionH relativeFrom="page">
                <wp:posOffset>0</wp:posOffset>
              </wp:positionH>
              <wp:positionV relativeFrom="page">
                <wp:posOffset>10189210</wp:posOffset>
              </wp:positionV>
              <wp:extent cx="7560310" cy="311785"/>
              <wp:effectExtent l="0" t="0" r="0" b="12065"/>
              <wp:wrapNone/>
              <wp:docPr id="2" name="MSIPCM74884611b90139cc3ff5acf2" descr="{&quot;HashCode&quot;:904758361,&quot;Height&quot;:841.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23B2B21" w14:textId="77777777" w:rsidR="008977D1" w:rsidRPr="008977D1" w:rsidRDefault="008977D1" w:rsidP="008977D1">
                          <w:pPr>
                            <w:spacing w:after="0"/>
                            <w:jc w:val="center"/>
                            <w:rPr>
                              <w:rFonts w:ascii="Arial Black" w:hAnsi="Arial Black"/>
                              <w:color w:val="000000"/>
                              <w:sz w:val="20"/>
                            </w:rPr>
                          </w:pPr>
                          <w:r w:rsidRPr="008977D1">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7B18CD3" id="_x0000_t202" coordsize="21600,21600" o:spt="202" path="m,l,21600r21600,l21600,xe">
              <v:stroke joinstyle="miter"/>
              <v:path gradientshapeok="t" o:connecttype="rect"/>
            </v:shapetype>
            <v:shape id="MSIPCM74884611b90139cc3ff5acf2" o:spid="_x0000_s1030" type="#_x0000_t202" alt="{&quot;HashCode&quot;:904758361,&quot;Height&quot;:841.0,&quot;Width&quot;:595.0,&quot;Placement&quot;:&quot;Footer&quot;,&quot;Index&quot;:&quot;Primary&quot;,&quot;Section&quot;:2,&quot;Top&quot;:0.0,&quot;Left&quot;:0.0}" style="position:absolute;left:0;text-align:left;margin-left:0;margin-top:802.3pt;width:595.3pt;height:24.55pt;z-index:25166643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" o:allowincell="f" filled="f" stroked="f" strokeweight=".5pt">
              <v:textbox inset=",0,,0">
                <w:txbxContent>
                  <w:p w14:paraId="223B2B21" w14:textId="77777777" w:rsidR="008977D1" w:rsidRPr="008977D1" w:rsidRDefault="008977D1" w:rsidP="008977D1">
                    <w:pPr>
                      <w:spacing w:after="0"/>
                      <w:jc w:val="center"/>
                      <w:rPr>
                        <w:rFonts w:ascii="Arial Black" w:hAnsi="Arial Black"/>
                        <w:color w:val="000000"/>
                        <w:sz w:val="20"/>
                      </w:rPr>
                    </w:pPr>
                    <w:r w:rsidRPr="008977D1">
                      <w:rPr>
                        <w:rFonts w:ascii="Arial Black" w:hAnsi="Arial Black"/>
                        <w:color w:val="000000"/>
                        <w:sz w:val="20"/>
                      </w:rPr>
                      <w:t>OFFICIAL</w:t>
                    </w:r>
                  </w:p>
                </w:txbxContent>
              </v:textbox>
              <w10:wrap anchorx="page" anchory="page"/>
            </v:shape>
          </w:pict>
        </mc:Fallback>
      </mc:AlternateContent>
    </w:r>
    <w:r w:rsidR="00EB4BC7">
      <w:rPr>
        <w:noProof/>
        <w:lang w:eastAsia="en-AU"/>
      </w:rPr>
      <mc:AlternateContent>
        <mc:Choice Requires="wps">
          <w:drawing>
            <wp:anchor distT="0" distB="0" distL="114300" distR="114300" simplePos="0" relativeHeight="251654144" behindDoc="0" locked="0" layoutInCell="0" allowOverlap="1" wp14:anchorId="19107DF9" wp14:editId="28BD6657">
              <wp:simplePos x="0" y="0"/>
              <wp:positionH relativeFrom="page">
                <wp:posOffset>0</wp:posOffset>
              </wp:positionH>
              <wp:positionV relativeFrom="page">
                <wp:posOffset>10189845</wp:posOffset>
              </wp:positionV>
              <wp:extent cx="7560310" cy="311785"/>
              <wp:effectExtent l="0" t="0" r="0" b="12065"/>
              <wp:wrapNone/>
              <wp:docPr id="11" name="MSIPCM82764d688816a9dc96a1b608" descr="{&quot;HashCode&quot;:904758361,&quot;Height&quot;:841.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85AFFCD" w14:textId="77777777" w:rsidR="00EB4BC7" w:rsidRPr="00EB4BC7" w:rsidRDefault="00EB4BC7" w:rsidP="00EB4BC7">
                          <w:pPr>
                            <w:spacing w:after="0"/>
                            <w:jc w:val="center"/>
                            <w:rPr>
                              <w:rFonts w:ascii="Arial Black" w:hAnsi="Arial Black"/>
                              <w:color w:val="000000"/>
                              <w:sz w:val="20"/>
                            </w:rPr>
                          </w:pPr>
                          <w:r w:rsidRPr="00EB4BC7">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19107DF9" id="MSIPCM82764d688816a9dc96a1b608" o:spid="_x0000_s1031" type="#_x0000_t202" alt="{&quot;HashCode&quot;:904758361,&quot;Height&quot;:841.0,&quot;Width&quot;:595.0,&quot;Placement&quot;:&quot;Footer&quot;,&quot;Index&quot;:&quot;Primary&quot;,&quot;Section&quot;:3,&quot;Top&quot;:0.0,&quot;Left&quot;:0.0}" style="position:absolute;left:0;text-align:left;margin-left:0;margin-top:802.35pt;width:595.3pt;height:24.55pt;z-index:2516541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" o:allowincell="f" filled="f" stroked="f" strokeweight=".5pt">
              <v:textbox inset=",0,,0">
                <w:txbxContent>
                  <w:p w14:paraId="385AFFCD" w14:textId="77777777" w:rsidR="00EB4BC7" w:rsidRPr="00EB4BC7" w:rsidRDefault="00EB4BC7" w:rsidP="00EB4BC7">
                    <w:pPr>
                      <w:spacing w:after="0"/>
                      <w:jc w:val="center"/>
                      <w:rPr>
                        <w:rFonts w:ascii="Arial Black" w:hAnsi="Arial Black"/>
                        <w:color w:val="000000"/>
                        <w:sz w:val="20"/>
                      </w:rPr>
                    </w:pPr>
                    <w:r w:rsidRPr="00EB4BC7">
                      <w:rPr>
                        <w:rFonts w:ascii="Arial Black" w:hAnsi="Arial Black"/>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A2F53" w14:textId="77777777" w:rsidR="00AA5543" w:rsidRDefault="00AA5543" w:rsidP="00207717">
      <w:pPr>
        <w:spacing w:before="120"/>
      </w:pPr>
      <w:r>
        <w:separator/>
      </w:r>
    </w:p>
  </w:footnote>
  <w:footnote w:type="continuationSeparator" w:id="0">
    <w:p w14:paraId="2462ED8F" w14:textId="77777777" w:rsidR="00AA5543" w:rsidRDefault="00AA5543">
      <w:r>
        <w:continuationSeparator/>
      </w:r>
    </w:p>
    <w:p w14:paraId="024053FB" w14:textId="77777777" w:rsidR="00AA5543" w:rsidRDefault="00AA5543"/>
  </w:footnote>
  <w:footnote w:id="1">
    <w:p w14:paraId="53DF949B" w14:textId="27365689" w:rsidR="001A3CD7" w:rsidRPr="001A3CD7" w:rsidRDefault="001A3CD7">
      <w:pPr>
        <w:pStyle w:val="FootnoteText"/>
        <w:rPr>
          <w:lang w:val="en-US"/>
        </w:rPr>
      </w:pPr>
      <w:r>
        <w:rPr>
          <w:rStyle w:val="FootnoteReference"/>
        </w:rPr>
        <w:footnoteRef/>
      </w:r>
      <w:r>
        <w:t xml:space="preserve"> </w:t>
      </w:r>
      <w:r w:rsidRPr="001A3CD7">
        <w:t xml:space="preserve">First </w:t>
      </w:r>
      <w:r w:rsidR="004D66FE">
        <w:t>Peoples</w:t>
      </w:r>
      <w:r w:rsidR="004D66FE" w:rsidRPr="001A3CD7">
        <w:t xml:space="preserve"> </w:t>
      </w:r>
      <w:r w:rsidR="004D66FE">
        <w:t>is inclusive of</w:t>
      </w:r>
      <w:r w:rsidRPr="001A3CD7">
        <w:t xml:space="preserve"> Aboriginal Victorians, Aboriginal and Torres Strait Islanders, Indigenous peoples, Traditional Owners, Aboriginal Community Controlled Organisations or other entities led by First </w:t>
      </w:r>
      <w:r w:rsidR="00EA5F5D">
        <w:t>P</w:t>
      </w:r>
      <w:r w:rsidRPr="001A3CD7">
        <w:t>eoples</w:t>
      </w:r>
      <w:r w:rsidRPr="00C07379">
        <w:t>.</w:t>
      </w:r>
    </w:p>
  </w:footnote>
  <w:footnote w:id="2">
    <w:p w14:paraId="5004F583" w14:textId="0F83E63F" w:rsidR="001A3CD7" w:rsidRPr="008058B1" w:rsidRDefault="001A3CD7" w:rsidP="005039C5">
      <w:pPr>
        <w:pStyle w:val="FootnoteText"/>
        <w:tabs>
          <w:tab w:val="left" w:pos="6662"/>
        </w:tabs>
      </w:pPr>
      <w:r>
        <w:rPr>
          <w:rStyle w:val="FootnoteReference"/>
        </w:rPr>
        <w:footnoteRef/>
      </w:r>
      <w:r w:rsidRPr="00FC7349">
        <w:t xml:space="preserve"> </w:t>
      </w:r>
      <w:hyperlink r:id="rId1" w:history="1">
        <w:r w:rsidR="00860A36" w:rsidRPr="00FC7349">
          <w:rPr>
            <w:rStyle w:val="Hyperlink"/>
            <w:i/>
          </w:rPr>
          <w:t>Victorian Aboriginal</w:t>
        </w:r>
        <w:r w:rsidRPr="00FC7349">
          <w:rPr>
            <w:rStyle w:val="Hyperlink"/>
            <w:i/>
          </w:rPr>
          <w:t xml:space="preserve"> </w:t>
        </w:r>
        <w:r w:rsidRPr="00FC7349">
          <w:rPr>
            <w:rStyle w:val="Hyperlink"/>
            <w:i/>
            <w:iCs/>
          </w:rPr>
          <w:t>Health and Wellbeing Partnership Agreement 2023–2033</w:t>
        </w:r>
      </w:hyperlink>
      <w:r w:rsidR="005039C5" w:rsidRPr="00FC7349">
        <w:t xml:space="preserve"> &lt;</w:t>
      </w:r>
      <w:r w:rsidR="00FD44F5" w:rsidRPr="00FC1A2A">
        <w:t>https://www.vaccho.org.au/wp-content/uploads/2023/06/Aboriginal-Health-and-Wellbeing-Agreement-2022-2032-FINAL-22-Mar-23.pdf</w:t>
      </w:r>
      <w:r w:rsidR="005039C5" w:rsidRPr="00FC7349">
        <w:t>&gt;</w:t>
      </w:r>
    </w:p>
  </w:footnote>
  <w:footnote w:id="3">
    <w:p w14:paraId="694B7FF3" w14:textId="0579DF8F" w:rsidR="001A3CD7" w:rsidRPr="00F2190E" w:rsidRDefault="001A3CD7" w:rsidP="001A3CD7">
      <w:pPr>
        <w:pStyle w:val="FootnoteText"/>
      </w:pPr>
      <w:r>
        <w:rPr>
          <w:rStyle w:val="FootnoteReference"/>
        </w:rPr>
        <w:footnoteRef/>
      </w:r>
      <w:r>
        <w:t xml:space="preserve"> </w:t>
      </w:r>
      <w:hyperlink r:id="rId2" w:history="1">
        <w:r w:rsidRPr="00A01F21">
          <w:rPr>
            <w:rStyle w:val="Hyperlink"/>
            <w:i/>
          </w:rPr>
          <w:t>National Agreement on Closing the Gap</w:t>
        </w:r>
      </w:hyperlink>
      <w:r w:rsidR="00E47572">
        <w:t xml:space="preserve"> </w:t>
      </w:r>
      <w:r w:rsidR="00CE7620">
        <w:t>&lt;</w:t>
      </w:r>
      <w:r w:rsidR="00FC64D6" w:rsidRPr="00A07F7A">
        <w:t>https://www.closingthegap.gov.au/national-agreement</w:t>
      </w:r>
      <w:r w:rsidR="001D30AF">
        <w:t xml:space="preserve">&gt; </w:t>
      </w:r>
    </w:p>
  </w:footnote>
  <w:footnote w:id="4">
    <w:p w14:paraId="1078738F" w14:textId="2D046F0F" w:rsidR="001A3CD7" w:rsidRPr="00741496" w:rsidRDefault="001A3CD7" w:rsidP="001A3CD7">
      <w:pPr>
        <w:pStyle w:val="FootnoteText"/>
      </w:pPr>
      <w:r>
        <w:rPr>
          <w:rStyle w:val="FootnoteReference"/>
        </w:rPr>
        <w:footnoteRef/>
      </w:r>
      <w:r>
        <w:t xml:space="preserve"> </w:t>
      </w:r>
      <w:r w:rsidRPr="00741496">
        <w:t xml:space="preserve">First Peoples' Assembly of Victoria and the State of Victoria, </w:t>
      </w:r>
      <w:hyperlink r:id="rId3" w:history="1">
        <w:r w:rsidRPr="00A01F21">
          <w:rPr>
            <w:rStyle w:val="Hyperlink"/>
            <w:i/>
            <w:iCs/>
          </w:rPr>
          <w:t>Statewide Treaty</w:t>
        </w:r>
      </w:hyperlink>
      <w:r w:rsidR="008B3B31">
        <w:t xml:space="preserve"> </w:t>
      </w:r>
      <w:r w:rsidR="00140F89">
        <w:t>&lt;</w:t>
      </w:r>
      <w:r w:rsidR="000F7A42" w:rsidRPr="00A07F7A">
        <w:t>https://www.firstpeoplesrelations.vic.gov.au/sites/default/files/2025-11/Victorias-Statewide-Treaty-SIGNED.pdf</w:t>
      </w:r>
      <w:r w:rsidR="008B3B31">
        <w:t>&gt;</w:t>
      </w:r>
    </w:p>
  </w:footnote>
  <w:footnote w:id="5">
    <w:p w14:paraId="23BA152E" w14:textId="52F532F0" w:rsidR="002A6DA2" w:rsidRPr="00311672" w:rsidRDefault="002A6DA2">
      <w:pPr>
        <w:pStyle w:val="FootnoteText"/>
        <w:rPr>
          <w:lang w:val="en-US"/>
        </w:rPr>
      </w:pPr>
      <w:r>
        <w:rPr>
          <w:rStyle w:val="FootnoteReference"/>
        </w:rPr>
        <w:footnoteRef/>
      </w:r>
      <w:r>
        <w:t xml:space="preserve"> </w:t>
      </w:r>
      <w:r w:rsidR="00F9774B" w:rsidRPr="000D487A">
        <w:t xml:space="preserve">Expert Advisory Committee, </w:t>
      </w:r>
      <w:hyperlink r:id="rId4" w:history="1">
        <w:r w:rsidR="00F9774B" w:rsidRPr="000B701C">
          <w:rPr>
            <w:rStyle w:val="Hyperlink"/>
            <w:i/>
            <w:iCs/>
          </w:rPr>
          <w:t>Health Services Plan</w:t>
        </w:r>
      </w:hyperlink>
      <w:r w:rsidR="000035BA">
        <w:t xml:space="preserve"> &lt;</w:t>
      </w:r>
      <w:r w:rsidR="003B312C" w:rsidRPr="00C57208">
        <w:t>https://www.health.vic.gov.au/healthcare-reform/health-services-plan</w:t>
      </w:r>
      <w:r w:rsidR="003B312C">
        <w:t>&gt;,</w:t>
      </w:r>
      <w:r w:rsidR="00F9774B" w:rsidRPr="000D487A">
        <w:t xml:space="preserve"> </w:t>
      </w:r>
      <w:r w:rsidR="006931AA">
        <w:t xml:space="preserve">accessed </w:t>
      </w:r>
      <w:r w:rsidR="007D14F0">
        <w:t>July</w:t>
      </w:r>
      <w:r w:rsidR="006931AA">
        <w:t xml:space="preserve"> </w:t>
      </w:r>
      <w:r w:rsidR="00F9774B" w:rsidRPr="000D487A">
        <w:t>202</w:t>
      </w:r>
      <w:r w:rsidR="006931AA">
        <w:t>6</w:t>
      </w:r>
      <w:r w:rsidR="00DF3C43">
        <w:t>.</w:t>
      </w:r>
    </w:p>
  </w:footnote>
  <w:footnote w:id="6">
    <w:p w14:paraId="343A6F5B" w14:textId="14A1DC36" w:rsidR="007F28EE" w:rsidRPr="00E41299" w:rsidRDefault="007F28EE">
      <w:pPr>
        <w:pStyle w:val="FootnoteText"/>
      </w:pPr>
      <w:r>
        <w:rPr>
          <w:rStyle w:val="FootnoteReference"/>
        </w:rPr>
        <w:footnoteRef/>
      </w:r>
      <w:r>
        <w:t xml:space="preserve"> </w:t>
      </w:r>
      <w:r w:rsidR="00E41299" w:rsidRPr="00E41299">
        <w:rPr>
          <w:lang w:val="en-US"/>
        </w:rPr>
        <w:t xml:space="preserve">Canada Health </w:t>
      </w:r>
      <w:proofErr w:type="spellStart"/>
      <w:r w:rsidR="00E41299" w:rsidRPr="00E41299">
        <w:rPr>
          <w:lang w:val="en-US"/>
        </w:rPr>
        <w:t>Infoway</w:t>
      </w:r>
      <w:proofErr w:type="spellEnd"/>
      <w:r w:rsidR="00E41299" w:rsidRPr="00E41299">
        <w:rPr>
          <w:lang w:val="en-US"/>
        </w:rPr>
        <w:t xml:space="preserve">, </w:t>
      </w:r>
      <w:r w:rsidR="00E41299" w:rsidRPr="00E41299">
        <w:rPr>
          <w:i/>
          <w:iCs/>
          <w:lang w:val="en-US"/>
        </w:rPr>
        <w:t>Reduce Duplicate Tests</w:t>
      </w:r>
    </w:p>
  </w:footnote>
  <w:footnote w:id="7">
    <w:p w14:paraId="420F5B01" w14:textId="23C04A46" w:rsidR="00E41299" w:rsidRPr="004B5002" w:rsidRDefault="00E41299">
      <w:pPr>
        <w:pStyle w:val="FootnoteText"/>
        <w:rPr>
          <w:lang w:val="en-US"/>
        </w:rPr>
      </w:pPr>
      <w:r>
        <w:rPr>
          <w:rStyle w:val="FootnoteReference"/>
        </w:rPr>
        <w:footnoteRef/>
      </w:r>
      <w:r>
        <w:t xml:space="preserve"> </w:t>
      </w:r>
      <w:r w:rsidRPr="00E41299">
        <w:rPr>
          <w:lang w:val="en-US"/>
        </w:rPr>
        <w:t xml:space="preserve">Philips, </w:t>
      </w:r>
      <w:r w:rsidRPr="00E41299">
        <w:rPr>
          <w:i/>
          <w:iCs/>
          <w:lang w:val="en-US"/>
        </w:rPr>
        <w:t>Future Health Index 2025: Building Trust in Healthcare AI</w:t>
      </w:r>
    </w:p>
  </w:footnote>
  <w:footnote w:id="8">
    <w:p w14:paraId="47DEF9D4" w14:textId="2DD590CC" w:rsidR="000306C5" w:rsidRPr="005F33B4" w:rsidRDefault="00480553">
      <w:pPr>
        <w:pStyle w:val="FootnoteText"/>
      </w:pPr>
      <w:r>
        <w:rPr>
          <w:rStyle w:val="FootnoteReference"/>
        </w:rPr>
        <w:footnoteRef/>
      </w:r>
      <w:r>
        <w:t xml:space="preserve"> </w:t>
      </w:r>
      <w:r w:rsidR="00657BA1" w:rsidRPr="00657BA1">
        <w:t xml:space="preserve">Independent Health and Aged Care Pricing Authority (IHACPA), </w:t>
      </w:r>
      <w:hyperlink r:id="rId5" w:history="1">
        <w:r w:rsidR="00657BA1" w:rsidRPr="00FC613B">
          <w:rPr>
            <w:rStyle w:val="Hyperlink"/>
            <w:i/>
            <w:iCs/>
          </w:rPr>
          <w:t>Virtual Care Project – Final Report</w:t>
        </w:r>
      </w:hyperlink>
      <w:r w:rsidR="00F51EAC">
        <w:t xml:space="preserve"> &lt;</w:t>
      </w:r>
      <w:r w:rsidR="005F33B4" w:rsidRPr="002F4473">
        <w:t>https://www.ihacpa.gov.au/resources/virtual-care-project-final-report</w:t>
      </w:r>
      <w:r w:rsidR="005F33B4">
        <w:t>&gt;</w:t>
      </w:r>
      <w:r w:rsidR="00657BA1" w:rsidRPr="00657BA1">
        <w:t xml:space="preserve">, </w:t>
      </w:r>
      <w:r w:rsidR="00412D33">
        <w:t xml:space="preserve">accessed </w:t>
      </w:r>
      <w:r w:rsidR="00816461">
        <w:t>July</w:t>
      </w:r>
      <w:r w:rsidR="00412D33">
        <w:t xml:space="preserve"> 2026</w:t>
      </w:r>
      <w:r w:rsidR="000306C5">
        <w:t>.</w:t>
      </w:r>
    </w:p>
  </w:footnote>
  <w:footnote w:id="9">
    <w:p w14:paraId="31CDBFB0" w14:textId="23F5585C" w:rsidR="00FE2B06" w:rsidRPr="00BB1485" w:rsidRDefault="0028081D">
      <w:pPr>
        <w:pStyle w:val="FootnoteText"/>
      </w:pPr>
      <w:r>
        <w:rPr>
          <w:rStyle w:val="FootnoteReference"/>
        </w:rPr>
        <w:footnoteRef/>
      </w:r>
      <w:r w:rsidR="00A71383">
        <w:t xml:space="preserve"> </w:t>
      </w:r>
      <w:proofErr w:type="spellStart"/>
      <w:r w:rsidR="001F5B49" w:rsidRPr="00BE18BB">
        <w:t>Pattar</w:t>
      </w:r>
      <w:proofErr w:type="spellEnd"/>
      <w:r w:rsidR="001F5B49" w:rsidRPr="00BE18BB">
        <w:t xml:space="preserve">, BSB et al., </w:t>
      </w:r>
      <w:r w:rsidR="001F5B49">
        <w:t>‘</w:t>
      </w:r>
      <w:r w:rsidR="001F5B49" w:rsidRPr="00795013">
        <w:t>Electronic Health Record Interventions to Reduce Risk of Hospital Readmissions: A Systematic Review and Meta-</w:t>
      </w:r>
      <w:r w:rsidR="001F5B49" w:rsidRPr="003071DA">
        <w:t>Analysis</w:t>
      </w:r>
      <w:r w:rsidR="001F5B49">
        <w:t>’</w:t>
      </w:r>
      <w:r w:rsidR="001F5B49" w:rsidRPr="00BE18BB">
        <w:t xml:space="preserve">, </w:t>
      </w:r>
      <w:r w:rsidR="001F5B49" w:rsidRPr="00795013">
        <w:rPr>
          <w:i/>
        </w:rPr>
        <w:t>JAMA Network Open</w:t>
      </w:r>
      <w:r w:rsidR="001F5B49" w:rsidRPr="00BE18BB">
        <w:t>, 2025.</w:t>
      </w:r>
    </w:p>
  </w:footnote>
  <w:footnote w:id="10">
    <w:p w14:paraId="58B43E22" w14:textId="3D709AF4" w:rsidR="00C94FCC" w:rsidRPr="00AF0D7D" w:rsidRDefault="0028081D" w:rsidP="00C94FCC">
      <w:pPr>
        <w:pStyle w:val="FootnoteText"/>
        <w:rPr>
          <w:lang w:val="en-US"/>
        </w:rPr>
      </w:pPr>
      <w:r>
        <w:rPr>
          <w:rStyle w:val="FootnoteReference"/>
        </w:rPr>
        <w:footnoteRef/>
      </w:r>
      <w:r w:rsidR="00A71383">
        <w:t xml:space="preserve"> </w:t>
      </w:r>
      <w:r w:rsidR="001F5B49">
        <w:t xml:space="preserve">Infrastructure Victoria, </w:t>
      </w:r>
      <w:hyperlink r:id="rId6" w:history="1">
        <w:r w:rsidR="001F5B49" w:rsidRPr="00795013">
          <w:rPr>
            <w:rStyle w:val="Hyperlink"/>
            <w:i/>
          </w:rPr>
          <w:t>Victoria’s Infrastructure Strategy 2025</w:t>
        </w:r>
        <w:r w:rsidR="001F5B49" w:rsidRPr="00412D33">
          <w:rPr>
            <w:rStyle w:val="Hyperlink"/>
            <w:i/>
            <w:iCs/>
          </w:rPr>
          <w:t>–</w:t>
        </w:r>
        <w:r w:rsidR="001F5B49" w:rsidRPr="00795013">
          <w:rPr>
            <w:rStyle w:val="Hyperlink"/>
            <w:i/>
          </w:rPr>
          <w:t>2055</w:t>
        </w:r>
      </w:hyperlink>
      <w:r w:rsidR="001F5B49">
        <w:t xml:space="preserve"> &lt;</w:t>
      </w:r>
      <w:r w:rsidR="001F5B49" w:rsidRPr="002F4473">
        <w:t>https://www.infrastructurevictoria.com.au/resources/victorias-30-year-strategy</w:t>
      </w:r>
      <w:r w:rsidR="001F5B49">
        <w:t>&gt;, accessed July 2026.</w:t>
      </w:r>
    </w:p>
  </w:footnote>
  <w:footnote w:id="11">
    <w:p w14:paraId="71D9B81C" w14:textId="2E4D28F9" w:rsidR="004821E2" w:rsidRPr="004821E2" w:rsidRDefault="004821E2">
      <w:pPr>
        <w:pStyle w:val="FootnoteText"/>
        <w:rPr>
          <w:lang w:val="en-US"/>
        </w:rPr>
      </w:pPr>
      <w:r>
        <w:rPr>
          <w:rStyle w:val="FootnoteReference"/>
        </w:rPr>
        <w:footnoteRef/>
      </w:r>
      <w:r>
        <w:t xml:space="preserve"> </w:t>
      </w:r>
      <w:r w:rsidR="00836C23" w:rsidRPr="00836C23">
        <w:t xml:space="preserve">Productivity Commission, </w:t>
      </w:r>
      <w:hyperlink r:id="rId7" w:history="1">
        <w:r w:rsidR="00836C23" w:rsidRPr="001D1ACC">
          <w:rPr>
            <w:rStyle w:val="Hyperlink"/>
          </w:rPr>
          <w:t xml:space="preserve">Leveraging Digital Technology in </w:t>
        </w:r>
        <w:r w:rsidR="0072778C" w:rsidRPr="001D1ACC">
          <w:rPr>
            <w:rStyle w:val="Hyperlink"/>
          </w:rPr>
          <w:t>Healthcare</w:t>
        </w:r>
      </w:hyperlink>
      <w:r w:rsidR="0072778C" w:rsidRPr="00836C23">
        <w:t>,</w:t>
      </w:r>
      <w:r w:rsidR="001D1ACC" w:rsidRPr="001D1ACC">
        <w:t xml:space="preserve"> </w:t>
      </w:r>
      <w:r w:rsidR="001D1ACC">
        <w:t>&lt;</w:t>
      </w:r>
      <w:r w:rsidR="001D1ACC" w:rsidRPr="001D1ACC">
        <w:t>https://www.pc.gov.au/inquiries-and-research/digital-healthcare/</w:t>
      </w:r>
      <w:r w:rsidR="001D1ACC">
        <w:t>&gt;,</w:t>
      </w:r>
      <w:r w:rsidR="0072778C">
        <w:t xml:space="preserve"> </w:t>
      </w:r>
      <w:r w:rsidR="0072778C" w:rsidRPr="00836C23">
        <w:t>Australian</w:t>
      </w:r>
      <w:r w:rsidR="00836C23" w:rsidRPr="00836C23">
        <w:t xml:space="preserve"> Government, 2024, accessed July 2026</w:t>
      </w:r>
    </w:p>
  </w:footnote>
  <w:footnote w:id="12">
    <w:p w14:paraId="7948BB58" w14:textId="75614DBD" w:rsidR="008D0D9D" w:rsidRPr="0006426A" w:rsidRDefault="008D0D9D" w:rsidP="008D0D9D">
      <w:pPr>
        <w:pStyle w:val="FootnoteText"/>
        <w:rPr>
          <w:lang w:val="en-US"/>
        </w:rPr>
      </w:pPr>
      <w:r>
        <w:rPr>
          <w:rStyle w:val="FootnoteReference"/>
        </w:rPr>
        <w:footnoteRef/>
      </w:r>
      <w:r>
        <w:t xml:space="preserve"> </w:t>
      </w:r>
      <w:r w:rsidRPr="00EA6D92">
        <w:t>Australian Institute of Health and Welfare</w:t>
      </w:r>
      <w:r w:rsidR="00364EBA">
        <w:t>,</w:t>
      </w:r>
      <w:r w:rsidRPr="00EA6D92">
        <w:t xml:space="preserve"> </w:t>
      </w:r>
      <w:hyperlink r:id="rId8" w:history="1">
        <w:r w:rsidRPr="00977622">
          <w:rPr>
            <w:rStyle w:val="Hyperlink"/>
          </w:rPr>
          <w:t xml:space="preserve">Chronic </w:t>
        </w:r>
        <w:r w:rsidR="00977622" w:rsidRPr="00977622">
          <w:rPr>
            <w:rStyle w:val="Hyperlink"/>
          </w:rPr>
          <w:t>c</w:t>
        </w:r>
        <w:r w:rsidRPr="00977622">
          <w:rPr>
            <w:rStyle w:val="Hyperlink"/>
          </w:rPr>
          <w:t>onditions</w:t>
        </w:r>
      </w:hyperlink>
      <w:r w:rsidR="00082734">
        <w:t xml:space="preserve"> &lt;</w:t>
      </w:r>
      <w:r w:rsidR="00097307" w:rsidRPr="001B1DEB">
        <w:t>https://www.aihw.gov.au/reports/australias-health/chronic-conditions</w:t>
      </w:r>
      <w:r w:rsidR="00082734">
        <w:t>&gt;</w:t>
      </w:r>
      <w:r w:rsidRPr="00977622">
        <w:t xml:space="preserve">, and </w:t>
      </w:r>
      <w:hyperlink r:id="rId9" w:history="1">
        <w:r w:rsidRPr="00977622">
          <w:rPr>
            <w:rStyle w:val="Hyperlink"/>
          </w:rPr>
          <w:t xml:space="preserve">Chronic </w:t>
        </w:r>
        <w:r w:rsidR="00977622" w:rsidRPr="00977622">
          <w:rPr>
            <w:rStyle w:val="Hyperlink"/>
          </w:rPr>
          <w:t>d</w:t>
        </w:r>
        <w:r w:rsidRPr="00977622">
          <w:rPr>
            <w:rStyle w:val="Hyperlink"/>
          </w:rPr>
          <w:t xml:space="preserve">isease </w:t>
        </w:r>
        <w:r w:rsidR="00977622" w:rsidRPr="00977622">
          <w:rPr>
            <w:rStyle w:val="Hyperlink"/>
          </w:rPr>
          <w:t>o</w:t>
        </w:r>
        <w:r w:rsidRPr="00977622">
          <w:rPr>
            <w:rStyle w:val="Hyperlink"/>
          </w:rPr>
          <w:t>verview</w:t>
        </w:r>
      </w:hyperlink>
      <w:r w:rsidR="001E5593">
        <w:t xml:space="preserve"> &lt;</w:t>
      </w:r>
      <w:r w:rsidR="00097307" w:rsidRPr="001B1DEB">
        <w:t>https://www.aihw.gov.au/reports-data/health-conditions-disability-deaths/chronic-disease/overview</w:t>
      </w:r>
      <w:r w:rsidR="001E5593">
        <w:t>&gt;</w:t>
      </w:r>
      <w:r w:rsidRPr="00977622">
        <w:t xml:space="preserve">, </w:t>
      </w:r>
      <w:r w:rsidR="00364EBA">
        <w:t>accessed July</w:t>
      </w:r>
      <w:r w:rsidR="00D27DAF">
        <w:t xml:space="preserve"> </w:t>
      </w:r>
      <w:r w:rsidR="00364EBA">
        <w:t>2026</w:t>
      </w:r>
      <w:r w:rsidRPr="00EA6D92">
        <w:t>.</w:t>
      </w:r>
    </w:p>
  </w:footnote>
  <w:footnote w:id="13">
    <w:p w14:paraId="4B58DADA" w14:textId="0EF6FF50" w:rsidR="00204EB2" w:rsidRPr="001445E9" w:rsidRDefault="00204EB2" w:rsidP="00204EB2">
      <w:pPr>
        <w:pStyle w:val="FootnoteText"/>
        <w:rPr>
          <w:lang w:val="en-US"/>
        </w:rPr>
      </w:pPr>
      <w:r>
        <w:rPr>
          <w:rStyle w:val="FootnoteReference"/>
        </w:rPr>
        <w:footnoteRef/>
      </w:r>
      <w:r>
        <w:t xml:space="preserve"> Consumers Health Forum of Australia, </w:t>
      </w:r>
      <w:hyperlink r:id="rId10" w:history="1">
        <w:r w:rsidRPr="006B7F9E">
          <w:rPr>
            <w:rStyle w:val="Hyperlink"/>
            <w:lang w:val="en-US"/>
          </w:rPr>
          <w:t>Results of Australia’s Health Panel survey on Artificial Intelligence in 2024</w:t>
        </w:r>
      </w:hyperlink>
      <w:r w:rsidR="00C04EEB">
        <w:t xml:space="preserve"> &lt;</w:t>
      </w:r>
      <w:r w:rsidR="002E6BC9" w:rsidRPr="001B1DEB">
        <w:t>https://chf.org.au/get-involved/australia-s-health-panel/what-australia-s-health-panel-said-about-artificial-intelligence-in-healthcare-ju</w:t>
      </w:r>
      <w:r w:rsidR="00C04EEB">
        <w:t>&gt;</w:t>
      </w:r>
      <w:r w:rsidRPr="00BF31AE">
        <w:t>,</w:t>
      </w:r>
      <w:r w:rsidRPr="00EC3C70">
        <w:rPr>
          <w:color w:val="FF0000"/>
        </w:rPr>
        <w:t xml:space="preserve"> </w:t>
      </w:r>
      <w:r>
        <w:t xml:space="preserve">accessed </w:t>
      </w:r>
      <w:r w:rsidR="00416B63">
        <w:t>July</w:t>
      </w:r>
      <w:r>
        <w:t xml:space="preserve"> 2026.</w:t>
      </w:r>
    </w:p>
  </w:footnote>
  <w:footnote w:id="14">
    <w:p w14:paraId="1DC09AC9" w14:textId="764F7ED1" w:rsidR="00F576B1" w:rsidRPr="00FC72CB" w:rsidRDefault="00F576B1">
      <w:pPr>
        <w:pStyle w:val="FootnoteText"/>
        <w:rPr>
          <w:lang w:val="en-US"/>
        </w:rPr>
      </w:pPr>
      <w:r>
        <w:rPr>
          <w:rStyle w:val="FootnoteReference"/>
        </w:rPr>
        <w:footnoteRef/>
      </w:r>
      <w:r w:rsidR="00D51F2A" w:rsidRPr="00CB2ACC">
        <w:t xml:space="preserve">PwC, </w:t>
      </w:r>
      <w:r w:rsidR="00D51F2A" w:rsidRPr="00CB2ACC">
        <w:rPr>
          <w:i/>
          <w:iCs/>
        </w:rPr>
        <w:t>Healthcare Consumer Insights Survey 2025</w:t>
      </w:r>
      <w:r w:rsidR="00D51F2A" w:rsidRPr="00CB2ACC">
        <w:t>, PwC, 2025.</w:t>
      </w:r>
    </w:p>
  </w:footnote>
  <w:footnote w:id="15">
    <w:p w14:paraId="3081AA3D" w14:textId="353B18D9" w:rsidR="00364EBA" w:rsidRPr="003071DA" w:rsidRDefault="00364EBA" w:rsidP="00364EBA">
      <w:pPr>
        <w:pStyle w:val="FootnoteText"/>
      </w:pPr>
      <w:r>
        <w:rPr>
          <w:rStyle w:val="FootnoteReference"/>
        </w:rPr>
        <w:footnoteRef/>
      </w:r>
      <w:r>
        <w:t xml:space="preserve"> </w:t>
      </w:r>
      <w:r w:rsidRPr="00CE0E35">
        <w:t>Dang TB et al.,</w:t>
      </w:r>
      <w:r w:rsidRPr="006A7906">
        <w:t xml:space="preserve"> </w:t>
      </w:r>
      <w:r w:rsidR="003071DA">
        <w:t>‘</w:t>
      </w:r>
      <w:r w:rsidRPr="00F072C1">
        <w:t xml:space="preserve">Wearable, broadband auscultation patch with cantilever pressure transducer for remote healthcare </w:t>
      </w:r>
      <w:r w:rsidRPr="003071DA">
        <w:t>monitoring</w:t>
      </w:r>
      <w:r w:rsidR="003071DA">
        <w:t>’</w:t>
      </w:r>
      <w:r w:rsidRPr="003071DA">
        <w:t xml:space="preserve">, </w:t>
      </w:r>
      <w:r w:rsidRPr="00F072C1">
        <w:rPr>
          <w:i/>
        </w:rPr>
        <w:t>Nature</w:t>
      </w:r>
      <w:r w:rsidRPr="003071DA">
        <w:t>, 2026.</w:t>
      </w:r>
    </w:p>
  </w:footnote>
  <w:footnote w:id="16">
    <w:p w14:paraId="62A735F5" w14:textId="77777777" w:rsidR="003071DA" w:rsidRPr="00F712E5" w:rsidRDefault="003071DA" w:rsidP="003071DA">
      <w:pPr>
        <w:pStyle w:val="FootnoteText"/>
      </w:pPr>
      <w:r w:rsidRPr="003071DA">
        <w:rPr>
          <w:rStyle w:val="FootnoteReference"/>
        </w:rPr>
        <w:footnoteRef/>
      </w:r>
      <w:r w:rsidRPr="003071DA">
        <w:t xml:space="preserve"> Liévin V et al., </w:t>
      </w:r>
      <w:r>
        <w:t>‘</w:t>
      </w:r>
      <w:r w:rsidRPr="003071DA">
        <w:t>Towards conversational AI for disease management</w:t>
      </w:r>
      <w:r>
        <w:t>’</w:t>
      </w:r>
      <w:r w:rsidRPr="003071DA">
        <w:t>,</w:t>
      </w:r>
      <w:r w:rsidRPr="00F712E5">
        <w:t xml:space="preserve"> </w:t>
      </w:r>
      <w:r w:rsidRPr="003071DA">
        <w:rPr>
          <w:i/>
          <w:iCs/>
        </w:rPr>
        <w:t>Nature</w:t>
      </w:r>
      <w:r w:rsidRPr="00F712E5">
        <w:t>, 2026.</w:t>
      </w:r>
    </w:p>
  </w:footnote>
  <w:footnote w:id="17">
    <w:p w14:paraId="30463CC8" w14:textId="7127760C" w:rsidR="00DB7E8D" w:rsidRPr="00B84FB2" w:rsidRDefault="00DB7E8D" w:rsidP="00DB7E8D">
      <w:pPr>
        <w:pStyle w:val="FootnoteText"/>
      </w:pPr>
      <w:r>
        <w:rPr>
          <w:rStyle w:val="FootnoteReference"/>
        </w:rPr>
        <w:footnoteRef/>
      </w:r>
      <w:r>
        <w:t xml:space="preserve"> </w:t>
      </w:r>
      <w:r w:rsidRPr="00B84FB2">
        <w:t>Raab R</w:t>
      </w:r>
      <w:r w:rsidR="007F1D71">
        <w:t>,</w:t>
      </w:r>
      <w:r w:rsidRPr="00B84FB2">
        <w:t xml:space="preserve"> et al., </w:t>
      </w:r>
      <w:r>
        <w:t>‘</w:t>
      </w:r>
      <w:r w:rsidRPr="00EE0CCE">
        <w:t xml:space="preserve">Federated electronic health records for the European Health Data </w:t>
      </w:r>
      <w:r w:rsidRPr="00DB7E8D">
        <w:t>Space</w:t>
      </w:r>
      <w:r>
        <w:t>’</w:t>
      </w:r>
      <w:r w:rsidRPr="00B84FB2">
        <w:t xml:space="preserve">, </w:t>
      </w:r>
      <w:r w:rsidRPr="00EE0CCE">
        <w:rPr>
          <w:i/>
        </w:rPr>
        <w:t>The Lancet Digital Health</w:t>
      </w:r>
      <w:r w:rsidRPr="00B84FB2">
        <w:t>, 2023</w:t>
      </w:r>
      <w:r>
        <w:t>.</w:t>
      </w:r>
    </w:p>
  </w:footnote>
  <w:footnote w:id="18">
    <w:p w14:paraId="0DFC0DB1" w14:textId="785C4773" w:rsidR="004C16E2" w:rsidRPr="00E81F6F" w:rsidRDefault="004C16E2">
      <w:pPr>
        <w:pStyle w:val="FootnoteText"/>
        <w:rPr>
          <w:i/>
          <w:iCs/>
        </w:rPr>
      </w:pPr>
      <w:r>
        <w:rPr>
          <w:rStyle w:val="FootnoteReference"/>
        </w:rPr>
        <w:footnoteRef/>
      </w:r>
      <w:r>
        <w:t xml:space="preserve"> </w:t>
      </w:r>
      <w:r w:rsidR="00E81F6F" w:rsidRPr="008708F0">
        <w:t>Australian Digital Health Agency,</w:t>
      </w:r>
      <w:r w:rsidR="00E81F6F" w:rsidRPr="00E81F6F">
        <w:rPr>
          <w:i/>
          <w:iCs/>
        </w:rPr>
        <w:t xml:space="preserve"> </w:t>
      </w:r>
      <w:hyperlink r:id="rId11" w:history="1">
        <w:r w:rsidR="00E81F6F" w:rsidRPr="00DF1B17">
          <w:rPr>
            <w:rStyle w:val="Hyperlink"/>
            <w:i/>
            <w:iCs/>
          </w:rPr>
          <w:t>National Digital Health Strategy 2023–2028</w:t>
        </w:r>
      </w:hyperlink>
      <w:r w:rsidR="00EB279D">
        <w:t xml:space="preserve"> &lt;</w:t>
      </w:r>
      <w:r w:rsidR="00E00851" w:rsidRPr="001B1DEB">
        <w:t>https://www.digitalhealth.gov.au/sites/default/files/documents/national-digital-health-strategy-2023-2028.pdf</w:t>
      </w:r>
      <w:r w:rsidR="00EB279D">
        <w:t>&gt;</w:t>
      </w:r>
      <w:r w:rsidR="00DF1B17" w:rsidRPr="000B701C">
        <w:t>, accessed July 2026.</w:t>
      </w:r>
    </w:p>
  </w:footnote>
  <w:footnote w:id="19">
    <w:p w14:paraId="302B7490" w14:textId="26B5B784" w:rsidR="00A84BC1" w:rsidRPr="00A84BC1" w:rsidRDefault="00A84BC1">
      <w:pPr>
        <w:pStyle w:val="FootnoteText"/>
        <w:rPr>
          <w:lang w:val="en-US"/>
        </w:rPr>
      </w:pPr>
      <w:r>
        <w:rPr>
          <w:rStyle w:val="FootnoteReference"/>
        </w:rPr>
        <w:footnoteRef/>
      </w:r>
      <w:r>
        <w:t xml:space="preserve"> </w:t>
      </w:r>
      <w:r w:rsidRPr="00A84BC1">
        <w:t xml:space="preserve">Infrastructure Victoria, </w:t>
      </w:r>
      <w:hyperlink r:id="rId12" w:history="1">
        <w:r w:rsidRPr="003E61C5">
          <w:rPr>
            <w:rStyle w:val="Hyperlink"/>
            <w:i/>
            <w:iCs/>
          </w:rPr>
          <w:t>Victoria’s Infrastructure Strategy 2025–2055</w:t>
        </w:r>
      </w:hyperlink>
      <w:r w:rsidR="00A363F7">
        <w:t xml:space="preserve"> </w:t>
      </w:r>
      <w:r w:rsidR="00A363F7" w:rsidRPr="00A363F7">
        <w:t>&lt;</w:t>
      </w:r>
      <w:r w:rsidR="003A78ED" w:rsidRPr="001F2337">
        <w:t>https://www.infrastructurevictoria.com.au/infrastructure-strategy</w:t>
      </w:r>
      <w:r w:rsidR="00A363F7" w:rsidRPr="00A363F7">
        <w:t>&gt;</w:t>
      </w:r>
      <w:r w:rsidRPr="00A84BC1">
        <w:t xml:space="preserve">, </w:t>
      </w:r>
      <w:r w:rsidR="00DF1B17">
        <w:t>accessed July 2026</w:t>
      </w:r>
      <w:r w:rsidRPr="00A84BC1">
        <w:t>.</w:t>
      </w:r>
    </w:p>
  </w:footnote>
  <w:footnote w:id="20">
    <w:p w14:paraId="2CB561DB" w14:textId="2A2B9B80" w:rsidR="00B52B0B" w:rsidRPr="00B52B0B" w:rsidRDefault="00B52B0B">
      <w:pPr>
        <w:pStyle w:val="FootnoteText"/>
        <w:rPr>
          <w:lang w:val="en-US"/>
        </w:rPr>
      </w:pPr>
      <w:r>
        <w:rPr>
          <w:rStyle w:val="FootnoteReference"/>
        </w:rPr>
        <w:footnoteRef/>
      </w:r>
      <w:r>
        <w:t xml:space="preserve"> </w:t>
      </w:r>
      <w:r w:rsidR="00A273F7" w:rsidRPr="003C60B5">
        <w:t>Department of Health</w:t>
      </w:r>
      <w:r w:rsidR="00A273F7" w:rsidRPr="000D487A">
        <w:t xml:space="preserve"> </w:t>
      </w:r>
      <w:r w:rsidR="000D487A" w:rsidRPr="000D487A">
        <w:t xml:space="preserve">Expert Advisory Committee, </w:t>
      </w:r>
      <w:hyperlink r:id="rId13" w:history="1">
        <w:r w:rsidR="000D487A" w:rsidRPr="00CA684F">
          <w:rPr>
            <w:rStyle w:val="Hyperlink"/>
            <w:i/>
            <w:iCs/>
          </w:rPr>
          <w:t>Health Services Plan</w:t>
        </w:r>
      </w:hyperlink>
      <w:r w:rsidR="005E3215">
        <w:t xml:space="preserve"> </w:t>
      </w:r>
      <w:r w:rsidR="005E3215" w:rsidRPr="005E3215">
        <w:t>&lt;</w:t>
      </w:r>
      <w:r w:rsidR="000F01FF" w:rsidRPr="001F2337">
        <w:t>https://www.health.vic.gov.au/healthcare-reform/health-services-plan</w:t>
      </w:r>
      <w:r w:rsidR="005E3215" w:rsidRPr="005E3215">
        <w:t>&gt;</w:t>
      </w:r>
      <w:r w:rsidR="000D487A" w:rsidRPr="000D487A">
        <w:t xml:space="preserve">, </w:t>
      </w:r>
      <w:r w:rsidR="00906C9A">
        <w:t>accessed July 2026</w:t>
      </w:r>
      <w:r w:rsidR="00906C9A" w:rsidRPr="00A84BC1">
        <w:t>.</w:t>
      </w:r>
    </w:p>
  </w:footnote>
  <w:footnote w:id="21">
    <w:p w14:paraId="00E15086" w14:textId="7CE32AA5" w:rsidR="000D487A" w:rsidRPr="000D487A" w:rsidRDefault="000D487A">
      <w:pPr>
        <w:pStyle w:val="FootnoteText"/>
        <w:rPr>
          <w:lang w:val="en-US"/>
        </w:rPr>
      </w:pPr>
      <w:r>
        <w:rPr>
          <w:rStyle w:val="FootnoteReference"/>
        </w:rPr>
        <w:footnoteRef/>
      </w:r>
      <w:r>
        <w:t xml:space="preserve"> </w:t>
      </w:r>
      <w:r w:rsidR="003C60B5" w:rsidRPr="003C60B5">
        <w:t xml:space="preserve">Victorian Maternity Taskforce, </w:t>
      </w:r>
      <w:hyperlink r:id="rId14" w:history="1">
        <w:r w:rsidR="003C60B5" w:rsidRPr="00EC5794">
          <w:rPr>
            <w:rStyle w:val="Hyperlink"/>
            <w:i/>
            <w:iCs/>
          </w:rPr>
          <w:t>Victorian Maternity Taskforce Report</w:t>
        </w:r>
      </w:hyperlink>
      <w:r w:rsidR="00711D87">
        <w:t xml:space="preserve"> &lt;</w:t>
      </w:r>
      <w:r w:rsidR="005C2D03" w:rsidRPr="001F2337">
        <w:t>https://www.safercare.vic.gov.au/sites/default/files/2025-11/Vic%20Maternity%20Taskforce%20Report.pdf</w:t>
      </w:r>
      <w:r w:rsidR="00711D87">
        <w:t>&gt;</w:t>
      </w:r>
      <w:r w:rsidR="003C60B5" w:rsidRPr="003C60B5">
        <w:t xml:space="preserve">, </w:t>
      </w:r>
      <w:r w:rsidR="00906C9A">
        <w:t>accessed July 2026</w:t>
      </w:r>
      <w:r w:rsidR="00906C9A" w:rsidRPr="00A84BC1">
        <w:t>.</w:t>
      </w:r>
    </w:p>
  </w:footnote>
  <w:footnote w:id="22">
    <w:p w14:paraId="62B088E2" w14:textId="6E94F52E" w:rsidR="003C60B5" w:rsidRPr="00370554" w:rsidRDefault="003C60B5">
      <w:pPr>
        <w:pStyle w:val="FootnoteText"/>
      </w:pPr>
      <w:r>
        <w:rPr>
          <w:rStyle w:val="FootnoteReference"/>
        </w:rPr>
        <w:footnoteRef/>
      </w:r>
      <w:r>
        <w:t xml:space="preserve"> </w:t>
      </w:r>
      <w:r w:rsidRPr="003C60B5">
        <w:t xml:space="preserve">Department of Health, </w:t>
      </w:r>
      <w:hyperlink r:id="rId15" w:history="1">
        <w:r w:rsidRPr="001E3B3C">
          <w:rPr>
            <w:rStyle w:val="Hyperlink"/>
            <w:i/>
            <w:iCs/>
          </w:rPr>
          <w:t xml:space="preserve">Specialist </w:t>
        </w:r>
        <w:r w:rsidR="00906C9A">
          <w:rPr>
            <w:rStyle w:val="Hyperlink"/>
            <w:i/>
            <w:iCs/>
          </w:rPr>
          <w:t>c</w:t>
        </w:r>
        <w:r w:rsidRPr="001E3B3C">
          <w:rPr>
            <w:rStyle w:val="Hyperlink"/>
            <w:i/>
            <w:iCs/>
          </w:rPr>
          <w:t xml:space="preserve">are </w:t>
        </w:r>
        <w:r w:rsidR="00906C9A">
          <w:rPr>
            <w:rStyle w:val="Hyperlink"/>
            <w:i/>
            <w:iCs/>
          </w:rPr>
          <w:t>r</w:t>
        </w:r>
        <w:r w:rsidRPr="001E3B3C">
          <w:rPr>
            <w:rStyle w:val="Hyperlink"/>
            <w:i/>
            <w:iCs/>
          </w:rPr>
          <w:t xml:space="preserve">eform </w:t>
        </w:r>
        <w:r w:rsidR="00906C9A">
          <w:rPr>
            <w:rStyle w:val="Hyperlink"/>
            <w:i/>
            <w:iCs/>
          </w:rPr>
          <w:t>b</w:t>
        </w:r>
        <w:r w:rsidRPr="001E3B3C">
          <w:rPr>
            <w:rStyle w:val="Hyperlink"/>
            <w:i/>
            <w:iCs/>
          </w:rPr>
          <w:t>lueprint</w:t>
        </w:r>
      </w:hyperlink>
      <w:r w:rsidR="00542EED">
        <w:t xml:space="preserve"> &lt;</w:t>
      </w:r>
      <w:r w:rsidR="00A93FE9" w:rsidRPr="001F2337">
        <w:t>https://www.health.vic.gov.au/patient-care/specialist-care-reform</w:t>
      </w:r>
      <w:r w:rsidR="00542EED">
        <w:t>&gt;</w:t>
      </w:r>
      <w:r w:rsidRPr="003C60B5">
        <w:t xml:space="preserve">, </w:t>
      </w:r>
      <w:r w:rsidR="00906C9A">
        <w:t>accessed July 2026</w:t>
      </w:r>
      <w:r w:rsidR="00906C9A" w:rsidRPr="00A84BC1">
        <w:t>.</w:t>
      </w:r>
    </w:p>
  </w:footnote>
  <w:footnote w:id="23">
    <w:p w14:paraId="714393F3" w14:textId="1C0303B9" w:rsidR="003C60B5" w:rsidRPr="003C60B5" w:rsidRDefault="003C60B5">
      <w:pPr>
        <w:pStyle w:val="FootnoteText"/>
        <w:rPr>
          <w:lang w:val="en-US"/>
        </w:rPr>
      </w:pPr>
      <w:r>
        <w:rPr>
          <w:rStyle w:val="FootnoteReference"/>
        </w:rPr>
        <w:footnoteRef/>
      </w:r>
      <w:r>
        <w:t xml:space="preserve"> </w:t>
      </w:r>
      <w:r w:rsidR="00370554" w:rsidRPr="00370554">
        <w:t xml:space="preserve">Department of Health, </w:t>
      </w:r>
      <w:hyperlink r:id="rId16" w:history="1">
        <w:r w:rsidR="00370554" w:rsidRPr="000B64CE">
          <w:rPr>
            <w:rStyle w:val="Hyperlink"/>
            <w:i/>
            <w:iCs/>
          </w:rPr>
          <w:t>Planned Surgery Reform Blueprint</w:t>
        </w:r>
      </w:hyperlink>
      <w:r w:rsidR="00400532">
        <w:t xml:space="preserve"> &lt;</w:t>
      </w:r>
      <w:r w:rsidR="000B40E7" w:rsidRPr="001F2337">
        <w:t>https://www.health.vic.gov.au/planned-surgery-reform-blueprint</w:t>
      </w:r>
      <w:r w:rsidR="00400532">
        <w:t>&gt;</w:t>
      </w:r>
      <w:r w:rsidR="00370554" w:rsidRPr="00370554">
        <w:t xml:space="preserve">, </w:t>
      </w:r>
      <w:r w:rsidR="00906C9A">
        <w:t>accessed July 2026</w:t>
      </w:r>
      <w:r w:rsidR="00906C9A" w:rsidRPr="00A84BC1">
        <w:t>.</w:t>
      </w:r>
    </w:p>
  </w:footnote>
  <w:footnote w:id="24">
    <w:p w14:paraId="1EC85272" w14:textId="5F02C254" w:rsidR="00A5122E" w:rsidRDefault="00A5122E">
      <w:pPr>
        <w:pStyle w:val="FootnoteText"/>
      </w:pPr>
      <w:r>
        <w:rPr>
          <w:rStyle w:val="FootnoteReference"/>
        </w:rPr>
        <w:footnoteRef/>
      </w:r>
      <w:r>
        <w:t xml:space="preserve"> </w:t>
      </w:r>
      <w:r w:rsidR="004B3EBC">
        <w:t>Department of Health</w:t>
      </w:r>
      <w:r w:rsidR="00910DEE">
        <w:t xml:space="preserve">, </w:t>
      </w:r>
      <w:hyperlink r:id="rId17" w:history="1">
        <w:r w:rsidR="00847025">
          <w:rPr>
            <w:rStyle w:val="Hyperlink"/>
          </w:rPr>
          <w:t>Victoria's Digital Health Maturity Model</w:t>
        </w:r>
      </w:hyperlink>
      <w:r w:rsidR="00483659">
        <w:t xml:space="preserve"> </w:t>
      </w:r>
      <w:r w:rsidR="008267E9">
        <w:t>&lt;</w:t>
      </w:r>
      <w:r w:rsidR="003C27A3" w:rsidRPr="001F2337">
        <w:t>https://www.health.vic.gov.au/quality-safety-service/victorias-digital-health-maturity-model</w:t>
      </w:r>
      <w:r w:rsidR="00483659">
        <w:t>&gt;</w:t>
      </w:r>
      <w:r w:rsidR="00D07093">
        <w:t xml:space="preserve">, </w:t>
      </w:r>
      <w:r>
        <w:t>accessed July 2026.</w:t>
      </w:r>
    </w:p>
  </w:footnote>
  <w:footnote w:id="25">
    <w:p w14:paraId="5A830FD5" w14:textId="07CF213A" w:rsidR="005A05B2" w:rsidRPr="005A05B2" w:rsidRDefault="005A05B2">
      <w:pPr>
        <w:pStyle w:val="FootnoteText"/>
        <w:rPr>
          <w:lang w:val="en-US"/>
        </w:rPr>
      </w:pPr>
      <w:r>
        <w:rPr>
          <w:rStyle w:val="FootnoteReference"/>
        </w:rPr>
        <w:footnoteRef/>
      </w:r>
      <w:r w:rsidR="00B22624" w:rsidRPr="00C4675E">
        <w:rPr>
          <w:vertAlign w:val="superscript"/>
        </w:rPr>
        <w:t>,</w:t>
      </w:r>
      <w:r w:rsidR="005B1E5D">
        <w:t xml:space="preserve"> </w:t>
      </w:r>
      <w:r w:rsidR="00AD7772">
        <w:rPr>
          <w:lang w:val="en-US"/>
        </w:rPr>
        <w:t xml:space="preserve">Victorian Aboriginal Community Controlled Health </w:t>
      </w:r>
      <w:proofErr w:type="spellStart"/>
      <w:r w:rsidR="00AD7772">
        <w:rPr>
          <w:lang w:val="en-US"/>
        </w:rPr>
        <w:t>Organisation</w:t>
      </w:r>
      <w:proofErr w:type="spellEnd"/>
      <w:r w:rsidR="00AD7772">
        <w:rPr>
          <w:lang w:val="en-US"/>
        </w:rPr>
        <w:t xml:space="preserve">, </w:t>
      </w:r>
      <w:hyperlink r:id="rId18" w:history="1">
        <w:r w:rsidR="00925131">
          <w:rPr>
            <w:rStyle w:val="Hyperlink"/>
            <w:i/>
            <w:iCs/>
            <w:lang w:val="en-US"/>
          </w:rPr>
          <w:t>VACCHO Position Statement – Indigenous Data Sovereignty</w:t>
        </w:r>
      </w:hyperlink>
      <w:r w:rsidR="00AD7772">
        <w:t xml:space="preserve"> &lt;</w:t>
      </w:r>
      <w:r w:rsidR="00AE7305" w:rsidRPr="001F2337">
        <w:t>https://www.vaccho.org.au/policies/vaccho-position-statement-on-indigenous-data-sovereignty/</w:t>
      </w:r>
      <w:r w:rsidR="00AD7772">
        <w:t>&gt;,</w:t>
      </w:r>
      <w:r w:rsidR="00AD7772">
        <w:rPr>
          <w:i/>
          <w:iCs/>
          <w:lang w:val="en-US"/>
        </w:rPr>
        <w:t xml:space="preserve"> </w:t>
      </w:r>
      <w:r w:rsidR="00AD7772">
        <w:rPr>
          <w:lang w:val="en-US"/>
        </w:rPr>
        <w:t>accessed July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B3F05" w14:textId="77777777" w:rsidR="009103C1" w:rsidRDefault="009103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444F2" w14:textId="77777777" w:rsidR="009103C1" w:rsidRDefault="009103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8244" w14:textId="77777777" w:rsidR="009103C1" w:rsidRDefault="009103C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A00B2" w14:textId="77777777" w:rsidR="00431A70" w:rsidRPr="00454A7D" w:rsidRDefault="00431A70" w:rsidP="00454A7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6EA43" w14:textId="6395136E" w:rsidR="00562811" w:rsidRPr="0051568D" w:rsidRDefault="00605409" w:rsidP="0017674D">
    <w:pPr>
      <w:pStyle w:val="Header"/>
    </w:pPr>
    <w:r>
      <w:t>Digital Health Vision and Roadmap 2026–31</w:t>
    </w:r>
    <w:r w:rsidR="00562811">
      <w:ptab w:relativeTo="margin" w:alignment="right" w:leader="none"/>
    </w:r>
    <w:r w:rsidR="00562811" w:rsidRPr="00DE6C85">
      <w:rPr>
        <w:b w:val="0"/>
        <w:bCs/>
      </w:rPr>
      <w:fldChar w:fldCharType="begin"/>
    </w:r>
    <w:r w:rsidR="00562811" w:rsidRPr="00DE6C85">
      <w:rPr>
        <w:bCs/>
      </w:rPr>
      <w:instrText xml:space="preserve"> PAGE </w:instrText>
    </w:r>
    <w:r w:rsidR="00562811" w:rsidRPr="00DE6C85">
      <w:rPr>
        <w:b w:val="0"/>
        <w:bCs/>
      </w:rPr>
      <w:fldChar w:fldCharType="separate"/>
    </w:r>
    <w:r w:rsidR="00562811" w:rsidRPr="00DE6C85">
      <w:rPr>
        <w:bCs/>
      </w:rPr>
      <w:t>2</w:t>
    </w:r>
    <w:r w:rsidR="00562811" w:rsidRPr="00DE6C85">
      <w:rPr>
        <w:b w:val="0"/>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D2E30"/>
    <w:multiLevelType w:val="multilevel"/>
    <w:tmpl w:val="0AAE1EBA"/>
    <w:styleLink w:val="ZZNumbersloweralpha"/>
    <w:lvl w:ilvl="0">
      <w:start w:val="1"/>
      <w:numFmt w:val="lowerLetter"/>
      <w:pStyle w:val="Numberloweralpha"/>
      <w:lvlText w:val="(%1)"/>
      <w:lvlJc w:val="left"/>
      <w:pPr>
        <w:tabs>
          <w:tab w:val="num" w:pos="397"/>
        </w:tabs>
        <w:ind w:left="397" w:hanging="397"/>
      </w:pPr>
      <w:rPr>
        <w:rFonts w:hint="default"/>
      </w:rPr>
    </w:lvl>
    <w:lvl w:ilvl="1">
      <w:start w:val="1"/>
      <w:numFmt w:val="lowerLetter"/>
      <w:pStyle w:val="Numberloweralpha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 w15:restartNumberingAfterBreak="0">
    <w:nsid w:val="0C746ACE"/>
    <w:multiLevelType w:val="multilevel"/>
    <w:tmpl w:val="743CC538"/>
    <w:styleLink w:val="ZZNumbers"/>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4147D07"/>
    <w:multiLevelType w:val="multilevel"/>
    <w:tmpl w:val="8D54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46D3B"/>
    <w:multiLevelType w:val="multilevel"/>
    <w:tmpl w:val="95A6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6C68D4"/>
    <w:multiLevelType w:val="multilevel"/>
    <w:tmpl w:val="B33A2DBC"/>
    <w:styleLink w:val="ZZQuotebullets2"/>
    <w:lvl w:ilvl="0">
      <w:start w:val="1"/>
      <w:numFmt w:val="decimal"/>
      <w:pStyle w:val="Numberdigit"/>
      <w:lvlText w:val="%1."/>
      <w:lvlJc w:val="left"/>
      <w:pPr>
        <w:tabs>
          <w:tab w:val="num" w:pos="397"/>
        </w:tabs>
        <w:ind w:left="397" w:hanging="397"/>
      </w:pPr>
      <w:rPr>
        <w:rFonts w:hint="default"/>
      </w:rPr>
    </w:lvl>
    <w:lvl w:ilvl="1">
      <w:start w:val="1"/>
      <w:numFmt w:val="decimal"/>
      <w:pStyle w:val="Numberdigitindent"/>
      <w:lvlText w:val="%2."/>
      <w:lvlJc w:val="left"/>
      <w:pPr>
        <w:tabs>
          <w:tab w:val="num" w:pos="794"/>
        </w:tabs>
        <w:ind w:left="794" w:hanging="397"/>
      </w:pPr>
      <w:rPr>
        <w:rFonts w:hint="default"/>
      </w:rPr>
    </w:lvl>
    <w:lvl w:ilvl="2">
      <w:start w:val="1"/>
      <w:numFmt w:val="bullet"/>
      <w:lvlRestart w:val="0"/>
      <w:pStyle w:val="Bulletafternumbers1"/>
      <w:lvlText w:val="•"/>
      <w:lvlJc w:val="left"/>
      <w:pPr>
        <w:ind w:left="794" w:hanging="397"/>
      </w:pPr>
      <w:rPr>
        <w:rFonts w:ascii="Calibri" w:hAnsi="Calibri" w:hint="default"/>
        <w:color w:val="auto"/>
      </w:rPr>
    </w:lvl>
    <w:lvl w:ilvl="3">
      <w:start w:val="1"/>
      <w:numFmt w:val="bullet"/>
      <w:lvlRestart w:val="0"/>
      <w:pStyle w:val="Bulletafternumbers2"/>
      <w:lvlText w:val="–"/>
      <w:lvlJc w:val="left"/>
      <w:pPr>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0"/>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5" w15:restartNumberingAfterBreak="0">
    <w:nsid w:val="3EC54A41"/>
    <w:multiLevelType w:val="multilevel"/>
    <w:tmpl w:val="986E24B0"/>
    <w:styleLink w:val="ZZNumberslowerroman"/>
    <w:lvl w:ilvl="0">
      <w:start w:val="1"/>
      <w:numFmt w:val="lowerRoman"/>
      <w:pStyle w:val="Numberlowerroman"/>
      <w:lvlText w:val="(%1)"/>
      <w:lvlJc w:val="left"/>
      <w:pPr>
        <w:tabs>
          <w:tab w:val="num" w:pos="397"/>
        </w:tabs>
        <w:ind w:left="397" w:hanging="397"/>
      </w:pPr>
      <w:rPr>
        <w:rFonts w:hint="default"/>
      </w:rPr>
    </w:lvl>
    <w:lvl w:ilvl="1">
      <w:start w:val="1"/>
      <w:numFmt w:val="lowerRoman"/>
      <w:pStyle w:val="Numberlowerroman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541611C2"/>
    <w:multiLevelType w:val="multilevel"/>
    <w:tmpl w:val="350ED9F2"/>
    <w:styleLink w:val="ZZTablebullets"/>
    <w:lvl w:ilvl="0">
      <w:start w:val="1"/>
      <w:numFmt w:val="bullet"/>
      <w:pStyle w:val="Tablebullet1"/>
      <w:lvlText w:val="•"/>
      <w:lvlJc w:val="left"/>
      <w:pPr>
        <w:ind w:left="227" w:hanging="227"/>
      </w:pPr>
      <w:rPr>
        <w:rFonts w:ascii="Calibri" w:hAnsi="Calibri" w:hint="default"/>
      </w:rPr>
    </w:lvl>
    <w:lvl w:ilvl="1">
      <w:start w:val="1"/>
      <w:numFmt w:val="bullet"/>
      <w:lvlRestart w:val="0"/>
      <w:pStyle w:val="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54BA1E5A"/>
    <w:multiLevelType w:val="multilevel"/>
    <w:tmpl w:val="F05C78C0"/>
    <w:styleLink w:val="ZZBullets"/>
    <w:lvl w:ilvl="0">
      <w:start w:val="1"/>
      <w:numFmt w:val="bullet"/>
      <w:pStyle w:val="Bullet1"/>
      <w:lvlText w:val="•"/>
      <w:lvlJc w:val="left"/>
      <w:pPr>
        <w:ind w:left="284" w:hanging="284"/>
      </w:pPr>
      <w:rPr>
        <w:rFonts w:ascii="Calibri" w:hAnsi="Calibri" w:hint="default"/>
      </w:rPr>
    </w:lvl>
    <w:lvl w:ilvl="1">
      <w:start w:val="1"/>
      <w:numFmt w:val="bullet"/>
      <w:lvlRestart w:val="0"/>
      <w:pStyle w:val="Bullet2"/>
      <w:lvlText w:val="–"/>
      <w:lvlJc w:val="left"/>
      <w:pPr>
        <w:ind w:left="567" w:hanging="283"/>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6309259F"/>
    <w:multiLevelType w:val="multilevel"/>
    <w:tmpl w:val="8B3CE87A"/>
    <w:styleLink w:val="ZZQuotebullets"/>
    <w:lvl w:ilvl="0">
      <w:start w:val="1"/>
      <w:numFmt w:val="bullet"/>
      <w:pStyle w:val="Quotebullet1"/>
      <w:lvlText w:val="•"/>
      <w:lvlJc w:val="left"/>
      <w:pPr>
        <w:ind w:left="680" w:hanging="283"/>
      </w:pPr>
      <w:rPr>
        <w:rFonts w:ascii="Calibri" w:hAnsi="Calibri" w:hint="default"/>
        <w:color w:val="auto"/>
      </w:rPr>
    </w:lvl>
    <w:lvl w:ilvl="1">
      <w:start w:val="1"/>
      <w:numFmt w:val="bullet"/>
      <w:lvlRestart w:val="0"/>
      <w:pStyle w:val="Quotebullet2"/>
      <w:lvlText w:val="–"/>
      <w:lvlJc w:val="left"/>
      <w:pPr>
        <w:ind w:left="964" w:hanging="284"/>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6AFC1BBB"/>
    <w:multiLevelType w:val="multilevel"/>
    <w:tmpl w:val="F0D0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2F7123"/>
    <w:multiLevelType w:val="multilevel"/>
    <w:tmpl w:val="A692C5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FFFFFF" w:themeColor="background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5800D9B"/>
    <w:multiLevelType w:val="multilevel"/>
    <w:tmpl w:val="3B0C9DEC"/>
    <w:lvl w:ilvl="0">
      <w:start w:val="1"/>
      <w:numFmt w:val="decimal"/>
      <w:lvlText w:val="%1."/>
      <w:lvlJc w:val="left"/>
      <w:pPr>
        <w:ind w:left="735" w:hanging="735"/>
      </w:pPr>
      <w:rPr>
        <w:rFonts w:hint="default"/>
      </w:rPr>
    </w:lvl>
    <w:lvl w:ilvl="1">
      <w:start w:val="1"/>
      <w:numFmt w:val="decimal"/>
      <w:lvlText w:val="%1.%2"/>
      <w:lvlJc w:val="left"/>
      <w:pPr>
        <w:ind w:left="1455" w:hanging="735"/>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2" w15:restartNumberingAfterBreak="0">
    <w:nsid w:val="7EC1761B"/>
    <w:multiLevelType w:val="multilevel"/>
    <w:tmpl w:val="B6EC1E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FFFFFF" w:themeColor="background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3293948">
    <w:abstractNumId w:val="4"/>
  </w:num>
  <w:num w:numId="2" w16cid:durableId="193200465">
    <w:abstractNumId w:val="7"/>
  </w:num>
  <w:num w:numId="3" w16cid:durableId="1459756604">
    <w:abstractNumId w:val="6"/>
  </w:num>
  <w:num w:numId="4" w16cid:durableId="1233740074">
    <w:abstractNumId w:val="8"/>
  </w:num>
  <w:num w:numId="5" w16cid:durableId="804465558">
    <w:abstractNumId w:val="5"/>
  </w:num>
  <w:num w:numId="6" w16cid:durableId="519197104">
    <w:abstractNumId w:val="0"/>
  </w:num>
  <w:num w:numId="7" w16cid:durableId="1376387902">
    <w:abstractNumId w:val="1"/>
  </w:num>
  <w:num w:numId="8" w16cid:durableId="426271681">
    <w:abstractNumId w:val="11"/>
  </w:num>
  <w:num w:numId="9" w16cid:durableId="2016952279">
    <w:abstractNumId w:val="10"/>
  </w:num>
  <w:num w:numId="10" w16cid:durableId="479350381">
    <w:abstractNumId w:val="12"/>
  </w:num>
  <w:num w:numId="11" w16cid:durableId="794064327">
    <w:abstractNumId w:val="2"/>
  </w:num>
  <w:num w:numId="12" w16cid:durableId="1460878237">
    <w:abstractNumId w:val="9"/>
  </w:num>
  <w:num w:numId="13" w16cid:durableId="119788844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mirrorMargins/>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0B0"/>
    <w:rsid w:val="0000005C"/>
    <w:rsid w:val="000002DF"/>
    <w:rsid w:val="00000719"/>
    <w:rsid w:val="00000A1B"/>
    <w:rsid w:val="00001264"/>
    <w:rsid w:val="0000133B"/>
    <w:rsid w:val="000013F1"/>
    <w:rsid w:val="0000272A"/>
    <w:rsid w:val="00002CDF"/>
    <w:rsid w:val="00002D68"/>
    <w:rsid w:val="00002EB2"/>
    <w:rsid w:val="000033F7"/>
    <w:rsid w:val="00003403"/>
    <w:rsid w:val="000035AF"/>
    <w:rsid w:val="000035BA"/>
    <w:rsid w:val="00005347"/>
    <w:rsid w:val="000058C2"/>
    <w:rsid w:val="00005DF7"/>
    <w:rsid w:val="00006591"/>
    <w:rsid w:val="000072B6"/>
    <w:rsid w:val="0000735E"/>
    <w:rsid w:val="0000758B"/>
    <w:rsid w:val="0000771E"/>
    <w:rsid w:val="000077E0"/>
    <w:rsid w:val="00007AAC"/>
    <w:rsid w:val="00007B32"/>
    <w:rsid w:val="00007B6B"/>
    <w:rsid w:val="0001021B"/>
    <w:rsid w:val="000109B4"/>
    <w:rsid w:val="00010BCE"/>
    <w:rsid w:val="000110C0"/>
    <w:rsid w:val="000111EC"/>
    <w:rsid w:val="00011532"/>
    <w:rsid w:val="000116D9"/>
    <w:rsid w:val="000118A0"/>
    <w:rsid w:val="00011B59"/>
    <w:rsid w:val="00011C3A"/>
    <w:rsid w:val="00011D89"/>
    <w:rsid w:val="00012746"/>
    <w:rsid w:val="000130FE"/>
    <w:rsid w:val="0001336A"/>
    <w:rsid w:val="00013425"/>
    <w:rsid w:val="000138E5"/>
    <w:rsid w:val="00013A2C"/>
    <w:rsid w:val="00013C45"/>
    <w:rsid w:val="00013C51"/>
    <w:rsid w:val="00013C98"/>
    <w:rsid w:val="00013E59"/>
    <w:rsid w:val="00013F43"/>
    <w:rsid w:val="00015164"/>
    <w:rsid w:val="000154FD"/>
    <w:rsid w:val="00015542"/>
    <w:rsid w:val="00015BB9"/>
    <w:rsid w:val="00016226"/>
    <w:rsid w:val="00016288"/>
    <w:rsid w:val="000167B5"/>
    <w:rsid w:val="000168C4"/>
    <w:rsid w:val="00016BAB"/>
    <w:rsid w:val="00016C49"/>
    <w:rsid w:val="000171F0"/>
    <w:rsid w:val="0001771C"/>
    <w:rsid w:val="00017823"/>
    <w:rsid w:val="00017B14"/>
    <w:rsid w:val="00017B75"/>
    <w:rsid w:val="00017C4A"/>
    <w:rsid w:val="00020138"/>
    <w:rsid w:val="0002050F"/>
    <w:rsid w:val="00020819"/>
    <w:rsid w:val="00020983"/>
    <w:rsid w:val="00020B28"/>
    <w:rsid w:val="00020C12"/>
    <w:rsid w:val="0002120F"/>
    <w:rsid w:val="00021548"/>
    <w:rsid w:val="00021661"/>
    <w:rsid w:val="00022271"/>
    <w:rsid w:val="00022683"/>
    <w:rsid w:val="0002274E"/>
    <w:rsid w:val="00022CFB"/>
    <w:rsid w:val="000235E8"/>
    <w:rsid w:val="00023663"/>
    <w:rsid w:val="00023798"/>
    <w:rsid w:val="000238E9"/>
    <w:rsid w:val="0002390C"/>
    <w:rsid w:val="00023E33"/>
    <w:rsid w:val="00024003"/>
    <w:rsid w:val="00024485"/>
    <w:rsid w:val="0002464C"/>
    <w:rsid w:val="00024B60"/>
    <w:rsid w:val="00024D89"/>
    <w:rsid w:val="00025042"/>
    <w:rsid w:val="000250B6"/>
    <w:rsid w:val="0002579F"/>
    <w:rsid w:val="000258D5"/>
    <w:rsid w:val="00025D2D"/>
    <w:rsid w:val="00026290"/>
    <w:rsid w:val="0002653B"/>
    <w:rsid w:val="00026540"/>
    <w:rsid w:val="000265A0"/>
    <w:rsid w:val="00027211"/>
    <w:rsid w:val="000276A1"/>
    <w:rsid w:val="00027F5A"/>
    <w:rsid w:val="00030245"/>
    <w:rsid w:val="00030559"/>
    <w:rsid w:val="000306C5"/>
    <w:rsid w:val="00030CDD"/>
    <w:rsid w:val="000312DB"/>
    <w:rsid w:val="000318E6"/>
    <w:rsid w:val="00031A3E"/>
    <w:rsid w:val="00032737"/>
    <w:rsid w:val="00032CE9"/>
    <w:rsid w:val="00032CEA"/>
    <w:rsid w:val="00032D06"/>
    <w:rsid w:val="0003327B"/>
    <w:rsid w:val="00033D81"/>
    <w:rsid w:val="00033DC9"/>
    <w:rsid w:val="00033EA6"/>
    <w:rsid w:val="00033F55"/>
    <w:rsid w:val="00034682"/>
    <w:rsid w:val="00034FA9"/>
    <w:rsid w:val="00035199"/>
    <w:rsid w:val="000352E6"/>
    <w:rsid w:val="000356B4"/>
    <w:rsid w:val="00035791"/>
    <w:rsid w:val="00035809"/>
    <w:rsid w:val="00035991"/>
    <w:rsid w:val="00036323"/>
    <w:rsid w:val="000364AA"/>
    <w:rsid w:val="00036882"/>
    <w:rsid w:val="0003704E"/>
    <w:rsid w:val="0003735D"/>
    <w:rsid w:val="00037366"/>
    <w:rsid w:val="00037598"/>
    <w:rsid w:val="000379D4"/>
    <w:rsid w:val="00037E72"/>
    <w:rsid w:val="00040133"/>
    <w:rsid w:val="00040445"/>
    <w:rsid w:val="000406DF"/>
    <w:rsid w:val="0004071B"/>
    <w:rsid w:val="00040798"/>
    <w:rsid w:val="00040BB0"/>
    <w:rsid w:val="00040BC8"/>
    <w:rsid w:val="0004111E"/>
    <w:rsid w:val="00041599"/>
    <w:rsid w:val="0004188D"/>
    <w:rsid w:val="00041A78"/>
    <w:rsid w:val="00041BF0"/>
    <w:rsid w:val="00041C31"/>
    <w:rsid w:val="00041D92"/>
    <w:rsid w:val="00041DAB"/>
    <w:rsid w:val="0004202F"/>
    <w:rsid w:val="00042364"/>
    <w:rsid w:val="000424E1"/>
    <w:rsid w:val="00042896"/>
    <w:rsid w:val="00042C3F"/>
    <w:rsid w:val="00042C8A"/>
    <w:rsid w:val="00043203"/>
    <w:rsid w:val="00043786"/>
    <w:rsid w:val="00043BA4"/>
    <w:rsid w:val="00043ECF"/>
    <w:rsid w:val="00043F19"/>
    <w:rsid w:val="000441A5"/>
    <w:rsid w:val="00044586"/>
    <w:rsid w:val="00044BEE"/>
    <w:rsid w:val="00044FE2"/>
    <w:rsid w:val="0004501B"/>
    <w:rsid w:val="00045290"/>
    <w:rsid w:val="0004536B"/>
    <w:rsid w:val="000457F8"/>
    <w:rsid w:val="0004590F"/>
    <w:rsid w:val="00045EE5"/>
    <w:rsid w:val="0004608E"/>
    <w:rsid w:val="0004666B"/>
    <w:rsid w:val="000468AD"/>
    <w:rsid w:val="00046929"/>
    <w:rsid w:val="00046993"/>
    <w:rsid w:val="00046B68"/>
    <w:rsid w:val="00047A8A"/>
    <w:rsid w:val="00047D97"/>
    <w:rsid w:val="00047DE2"/>
    <w:rsid w:val="00050135"/>
    <w:rsid w:val="000503BD"/>
    <w:rsid w:val="000505C2"/>
    <w:rsid w:val="0005062F"/>
    <w:rsid w:val="000507E0"/>
    <w:rsid w:val="000508CC"/>
    <w:rsid w:val="00051057"/>
    <w:rsid w:val="00051B5A"/>
    <w:rsid w:val="0005229E"/>
    <w:rsid w:val="000527DD"/>
    <w:rsid w:val="00052CD4"/>
    <w:rsid w:val="00052F3E"/>
    <w:rsid w:val="000532E3"/>
    <w:rsid w:val="000532EF"/>
    <w:rsid w:val="000532FA"/>
    <w:rsid w:val="0005361D"/>
    <w:rsid w:val="000536D1"/>
    <w:rsid w:val="0005388A"/>
    <w:rsid w:val="000538F2"/>
    <w:rsid w:val="00053BFB"/>
    <w:rsid w:val="00053CB2"/>
    <w:rsid w:val="000553C2"/>
    <w:rsid w:val="0005566E"/>
    <w:rsid w:val="00055712"/>
    <w:rsid w:val="00055A3B"/>
    <w:rsid w:val="000567E6"/>
    <w:rsid w:val="00056872"/>
    <w:rsid w:val="00056CB9"/>
    <w:rsid w:val="00056E11"/>
    <w:rsid w:val="00056EC4"/>
    <w:rsid w:val="0005782F"/>
    <w:rsid w:val="0005783E"/>
    <w:rsid w:val="000578B2"/>
    <w:rsid w:val="00057D22"/>
    <w:rsid w:val="00057FFC"/>
    <w:rsid w:val="0006017B"/>
    <w:rsid w:val="00060959"/>
    <w:rsid w:val="00060C8F"/>
    <w:rsid w:val="0006134A"/>
    <w:rsid w:val="000613E0"/>
    <w:rsid w:val="00061A00"/>
    <w:rsid w:val="00061DB0"/>
    <w:rsid w:val="0006298A"/>
    <w:rsid w:val="00062AAF"/>
    <w:rsid w:val="00063210"/>
    <w:rsid w:val="00063265"/>
    <w:rsid w:val="000635AA"/>
    <w:rsid w:val="00063641"/>
    <w:rsid w:val="000638B8"/>
    <w:rsid w:val="0006426A"/>
    <w:rsid w:val="000646D2"/>
    <w:rsid w:val="000646FD"/>
    <w:rsid w:val="00064BE8"/>
    <w:rsid w:val="0006581F"/>
    <w:rsid w:val="00065D5C"/>
    <w:rsid w:val="00066136"/>
    <w:rsid w:val="000663CD"/>
    <w:rsid w:val="00066C4B"/>
    <w:rsid w:val="0006748A"/>
    <w:rsid w:val="00067702"/>
    <w:rsid w:val="00067B40"/>
    <w:rsid w:val="00067E5C"/>
    <w:rsid w:val="0007015A"/>
    <w:rsid w:val="000702D6"/>
    <w:rsid w:val="000706DC"/>
    <w:rsid w:val="00071185"/>
    <w:rsid w:val="00071D43"/>
    <w:rsid w:val="0007200F"/>
    <w:rsid w:val="0007243E"/>
    <w:rsid w:val="000727B4"/>
    <w:rsid w:val="000733FE"/>
    <w:rsid w:val="0007385E"/>
    <w:rsid w:val="00074219"/>
    <w:rsid w:val="00074609"/>
    <w:rsid w:val="00074A95"/>
    <w:rsid w:val="00074B41"/>
    <w:rsid w:val="00074D63"/>
    <w:rsid w:val="00074E4C"/>
    <w:rsid w:val="00074EA6"/>
    <w:rsid w:val="00074ED5"/>
    <w:rsid w:val="00074FE0"/>
    <w:rsid w:val="00076DDC"/>
    <w:rsid w:val="000774AF"/>
    <w:rsid w:val="00077763"/>
    <w:rsid w:val="00077808"/>
    <w:rsid w:val="00077B50"/>
    <w:rsid w:val="00077C2C"/>
    <w:rsid w:val="0008014C"/>
    <w:rsid w:val="000803BE"/>
    <w:rsid w:val="0008108A"/>
    <w:rsid w:val="00081137"/>
    <w:rsid w:val="00081AAB"/>
    <w:rsid w:val="00081E18"/>
    <w:rsid w:val="0008204A"/>
    <w:rsid w:val="00082130"/>
    <w:rsid w:val="00082734"/>
    <w:rsid w:val="000827A9"/>
    <w:rsid w:val="00082818"/>
    <w:rsid w:val="00082AB2"/>
    <w:rsid w:val="00082DFD"/>
    <w:rsid w:val="00083051"/>
    <w:rsid w:val="0008309E"/>
    <w:rsid w:val="00083246"/>
    <w:rsid w:val="000832D9"/>
    <w:rsid w:val="000838F6"/>
    <w:rsid w:val="00083F53"/>
    <w:rsid w:val="00084465"/>
    <w:rsid w:val="00084599"/>
    <w:rsid w:val="00084BDF"/>
    <w:rsid w:val="00084E71"/>
    <w:rsid w:val="0008508E"/>
    <w:rsid w:val="00085DB0"/>
    <w:rsid w:val="00086B5D"/>
    <w:rsid w:val="000874FD"/>
    <w:rsid w:val="00087588"/>
    <w:rsid w:val="000875A6"/>
    <w:rsid w:val="00087951"/>
    <w:rsid w:val="00090020"/>
    <w:rsid w:val="0009058A"/>
    <w:rsid w:val="00090C82"/>
    <w:rsid w:val="0009113B"/>
    <w:rsid w:val="0009128D"/>
    <w:rsid w:val="0009146B"/>
    <w:rsid w:val="00091A94"/>
    <w:rsid w:val="00091D8F"/>
    <w:rsid w:val="00091E48"/>
    <w:rsid w:val="00092609"/>
    <w:rsid w:val="000926A4"/>
    <w:rsid w:val="00092F1D"/>
    <w:rsid w:val="000933D9"/>
    <w:rsid w:val="00093402"/>
    <w:rsid w:val="0009342A"/>
    <w:rsid w:val="000935FB"/>
    <w:rsid w:val="0009367C"/>
    <w:rsid w:val="000936DE"/>
    <w:rsid w:val="00093B8C"/>
    <w:rsid w:val="00093C25"/>
    <w:rsid w:val="00094623"/>
    <w:rsid w:val="000947B8"/>
    <w:rsid w:val="00094DA3"/>
    <w:rsid w:val="0009529D"/>
    <w:rsid w:val="00095397"/>
    <w:rsid w:val="0009557E"/>
    <w:rsid w:val="000956A1"/>
    <w:rsid w:val="00095808"/>
    <w:rsid w:val="00095831"/>
    <w:rsid w:val="0009635E"/>
    <w:rsid w:val="000966E2"/>
    <w:rsid w:val="00096A1A"/>
    <w:rsid w:val="00096A59"/>
    <w:rsid w:val="00096CD1"/>
    <w:rsid w:val="00097170"/>
    <w:rsid w:val="00097307"/>
    <w:rsid w:val="000973EC"/>
    <w:rsid w:val="0009766C"/>
    <w:rsid w:val="000A012C"/>
    <w:rsid w:val="000A0EB9"/>
    <w:rsid w:val="000A15A0"/>
    <w:rsid w:val="000A186C"/>
    <w:rsid w:val="000A1962"/>
    <w:rsid w:val="000A1A19"/>
    <w:rsid w:val="000A1EA4"/>
    <w:rsid w:val="000A2476"/>
    <w:rsid w:val="000A27E9"/>
    <w:rsid w:val="000A2ED3"/>
    <w:rsid w:val="000A3400"/>
    <w:rsid w:val="000A34BF"/>
    <w:rsid w:val="000A3859"/>
    <w:rsid w:val="000A3C82"/>
    <w:rsid w:val="000A3EB3"/>
    <w:rsid w:val="000A4304"/>
    <w:rsid w:val="000A46EF"/>
    <w:rsid w:val="000A47D6"/>
    <w:rsid w:val="000A49A9"/>
    <w:rsid w:val="000A4A87"/>
    <w:rsid w:val="000A4CD4"/>
    <w:rsid w:val="000A4EFF"/>
    <w:rsid w:val="000A527E"/>
    <w:rsid w:val="000A5457"/>
    <w:rsid w:val="000A5CA8"/>
    <w:rsid w:val="000A5D8E"/>
    <w:rsid w:val="000A5DF6"/>
    <w:rsid w:val="000A5E64"/>
    <w:rsid w:val="000A641A"/>
    <w:rsid w:val="000A67CD"/>
    <w:rsid w:val="000A6BFA"/>
    <w:rsid w:val="000A6D7F"/>
    <w:rsid w:val="000A6DFC"/>
    <w:rsid w:val="000A6EF9"/>
    <w:rsid w:val="000A71AA"/>
    <w:rsid w:val="000A71CF"/>
    <w:rsid w:val="000A72A9"/>
    <w:rsid w:val="000A72E4"/>
    <w:rsid w:val="000A744C"/>
    <w:rsid w:val="000A75B4"/>
    <w:rsid w:val="000B0737"/>
    <w:rsid w:val="000B099F"/>
    <w:rsid w:val="000B10B2"/>
    <w:rsid w:val="000B1A61"/>
    <w:rsid w:val="000B1C80"/>
    <w:rsid w:val="000B1FFE"/>
    <w:rsid w:val="000B2030"/>
    <w:rsid w:val="000B221E"/>
    <w:rsid w:val="000B23D2"/>
    <w:rsid w:val="000B24D1"/>
    <w:rsid w:val="000B291C"/>
    <w:rsid w:val="000B2E1C"/>
    <w:rsid w:val="000B2FDE"/>
    <w:rsid w:val="000B390D"/>
    <w:rsid w:val="000B3CA4"/>
    <w:rsid w:val="000B3DF7"/>
    <w:rsid w:val="000B3E2D"/>
    <w:rsid w:val="000B3EDB"/>
    <w:rsid w:val="000B40E7"/>
    <w:rsid w:val="000B4521"/>
    <w:rsid w:val="000B4B54"/>
    <w:rsid w:val="000B4D59"/>
    <w:rsid w:val="000B5042"/>
    <w:rsid w:val="000B543D"/>
    <w:rsid w:val="000B55F9"/>
    <w:rsid w:val="000B5A97"/>
    <w:rsid w:val="000B5BF7"/>
    <w:rsid w:val="000B5DF7"/>
    <w:rsid w:val="000B64CE"/>
    <w:rsid w:val="000B64DD"/>
    <w:rsid w:val="000B6526"/>
    <w:rsid w:val="000B661D"/>
    <w:rsid w:val="000B6BC8"/>
    <w:rsid w:val="000B701C"/>
    <w:rsid w:val="000B72F6"/>
    <w:rsid w:val="000B79DB"/>
    <w:rsid w:val="000C0259"/>
    <w:rsid w:val="000C0303"/>
    <w:rsid w:val="000C039C"/>
    <w:rsid w:val="000C05C6"/>
    <w:rsid w:val="000C073B"/>
    <w:rsid w:val="000C075E"/>
    <w:rsid w:val="000C0F40"/>
    <w:rsid w:val="000C10DD"/>
    <w:rsid w:val="000C16AA"/>
    <w:rsid w:val="000C16BA"/>
    <w:rsid w:val="000C21C9"/>
    <w:rsid w:val="000C29AC"/>
    <w:rsid w:val="000C2C16"/>
    <w:rsid w:val="000C2E8B"/>
    <w:rsid w:val="000C2FD7"/>
    <w:rsid w:val="000C31D2"/>
    <w:rsid w:val="000C32E3"/>
    <w:rsid w:val="000C372D"/>
    <w:rsid w:val="000C42EA"/>
    <w:rsid w:val="000C4546"/>
    <w:rsid w:val="000C4874"/>
    <w:rsid w:val="000C48B2"/>
    <w:rsid w:val="000C4A87"/>
    <w:rsid w:val="000C4E34"/>
    <w:rsid w:val="000C520F"/>
    <w:rsid w:val="000C52DC"/>
    <w:rsid w:val="000C533B"/>
    <w:rsid w:val="000C55F1"/>
    <w:rsid w:val="000C5879"/>
    <w:rsid w:val="000C6004"/>
    <w:rsid w:val="000C652B"/>
    <w:rsid w:val="000C6672"/>
    <w:rsid w:val="000C66C0"/>
    <w:rsid w:val="000C6804"/>
    <w:rsid w:val="000C6CC1"/>
    <w:rsid w:val="000C76B3"/>
    <w:rsid w:val="000C7ACC"/>
    <w:rsid w:val="000C7AD5"/>
    <w:rsid w:val="000C7E09"/>
    <w:rsid w:val="000D01A6"/>
    <w:rsid w:val="000D061D"/>
    <w:rsid w:val="000D066A"/>
    <w:rsid w:val="000D0918"/>
    <w:rsid w:val="000D0F54"/>
    <w:rsid w:val="000D0F89"/>
    <w:rsid w:val="000D107A"/>
    <w:rsid w:val="000D1242"/>
    <w:rsid w:val="000D1551"/>
    <w:rsid w:val="000D1C44"/>
    <w:rsid w:val="000D1FD8"/>
    <w:rsid w:val="000D22AB"/>
    <w:rsid w:val="000D26CB"/>
    <w:rsid w:val="000D2974"/>
    <w:rsid w:val="000D2ABA"/>
    <w:rsid w:val="000D2CA0"/>
    <w:rsid w:val="000D3137"/>
    <w:rsid w:val="000D3371"/>
    <w:rsid w:val="000D487A"/>
    <w:rsid w:val="000D4B63"/>
    <w:rsid w:val="000D4E54"/>
    <w:rsid w:val="000D5129"/>
    <w:rsid w:val="000D5414"/>
    <w:rsid w:val="000D5AC9"/>
    <w:rsid w:val="000D606D"/>
    <w:rsid w:val="000D6BFB"/>
    <w:rsid w:val="000D74B7"/>
    <w:rsid w:val="000D7AC7"/>
    <w:rsid w:val="000E0753"/>
    <w:rsid w:val="000E0970"/>
    <w:rsid w:val="000E0D06"/>
    <w:rsid w:val="000E0E93"/>
    <w:rsid w:val="000E0F58"/>
    <w:rsid w:val="000E126F"/>
    <w:rsid w:val="000E1DA2"/>
    <w:rsid w:val="000E2778"/>
    <w:rsid w:val="000E2C9E"/>
    <w:rsid w:val="000E3CC7"/>
    <w:rsid w:val="000E3DF5"/>
    <w:rsid w:val="000E4702"/>
    <w:rsid w:val="000E485E"/>
    <w:rsid w:val="000E4B5C"/>
    <w:rsid w:val="000E4E8D"/>
    <w:rsid w:val="000E4FC3"/>
    <w:rsid w:val="000E53BE"/>
    <w:rsid w:val="000E587C"/>
    <w:rsid w:val="000E6BD4"/>
    <w:rsid w:val="000E6D6D"/>
    <w:rsid w:val="000E6D89"/>
    <w:rsid w:val="000E728F"/>
    <w:rsid w:val="000E74AA"/>
    <w:rsid w:val="000E7AAE"/>
    <w:rsid w:val="000F01FF"/>
    <w:rsid w:val="000F037A"/>
    <w:rsid w:val="000F0A59"/>
    <w:rsid w:val="000F177A"/>
    <w:rsid w:val="000F17D6"/>
    <w:rsid w:val="000F1F1E"/>
    <w:rsid w:val="000F20F8"/>
    <w:rsid w:val="000F2259"/>
    <w:rsid w:val="000F2335"/>
    <w:rsid w:val="000F2443"/>
    <w:rsid w:val="000F2A6E"/>
    <w:rsid w:val="000F2DDA"/>
    <w:rsid w:val="000F2EA0"/>
    <w:rsid w:val="000F3590"/>
    <w:rsid w:val="000F371A"/>
    <w:rsid w:val="000F378B"/>
    <w:rsid w:val="000F38C6"/>
    <w:rsid w:val="000F3FA5"/>
    <w:rsid w:val="000F442E"/>
    <w:rsid w:val="000F4A82"/>
    <w:rsid w:val="000F5213"/>
    <w:rsid w:val="000F5366"/>
    <w:rsid w:val="000F5D2F"/>
    <w:rsid w:val="000F5D64"/>
    <w:rsid w:val="000F5D7B"/>
    <w:rsid w:val="000F5FF6"/>
    <w:rsid w:val="000F6371"/>
    <w:rsid w:val="000F6C9F"/>
    <w:rsid w:val="000F6E8F"/>
    <w:rsid w:val="000F6F33"/>
    <w:rsid w:val="000F7834"/>
    <w:rsid w:val="000F7886"/>
    <w:rsid w:val="000F794F"/>
    <w:rsid w:val="000F7987"/>
    <w:rsid w:val="000F7A42"/>
    <w:rsid w:val="000F7D9B"/>
    <w:rsid w:val="000F7DB8"/>
    <w:rsid w:val="00100DC4"/>
    <w:rsid w:val="00101001"/>
    <w:rsid w:val="0010130A"/>
    <w:rsid w:val="001013BA"/>
    <w:rsid w:val="001014BB"/>
    <w:rsid w:val="00101802"/>
    <w:rsid w:val="001018DD"/>
    <w:rsid w:val="00101DE7"/>
    <w:rsid w:val="0010246F"/>
    <w:rsid w:val="00102966"/>
    <w:rsid w:val="00102AD3"/>
    <w:rsid w:val="00102BAB"/>
    <w:rsid w:val="00102D1D"/>
    <w:rsid w:val="001030B7"/>
    <w:rsid w:val="00103276"/>
    <w:rsid w:val="00103387"/>
    <w:rsid w:val="001034D3"/>
    <w:rsid w:val="001035AB"/>
    <w:rsid w:val="0010392D"/>
    <w:rsid w:val="00103AB3"/>
    <w:rsid w:val="00103BD8"/>
    <w:rsid w:val="00103C66"/>
    <w:rsid w:val="00103C8D"/>
    <w:rsid w:val="00103E49"/>
    <w:rsid w:val="00103F04"/>
    <w:rsid w:val="001041D0"/>
    <w:rsid w:val="0010447F"/>
    <w:rsid w:val="001044F8"/>
    <w:rsid w:val="00104934"/>
    <w:rsid w:val="001049AF"/>
    <w:rsid w:val="00104FE3"/>
    <w:rsid w:val="001054FB"/>
    <w:rsid w:val="0010569D"/>
    <w:rsid w:val="0010596E"/>
    <w:rsid w:val="00105CCD"/>
    <w:rsid w:val="00105D5C"/>
    <w:rsid w:val="00105E82"/>
    <w:rsid w:val="00106496"/>
    <w:rsid w:val="0010673D"/>
    <w:rsid w:val="00106BAB"/>
    <w:rsid w:val="00106E09"/>
    <w:rsid w:val="00106E2E"/>
    <w:rsid w:val="0010712E"/>
    <w:rsid w:val="0010714F"/>
    <w:rsid w:val="0010738E"/>
    <w:rsid w:val="00107417"/>
    <w:rsid w:val="001074CB"/>
    <w:rsid w:val="001075B4"/>
    <w:rsid w:val="001076A3"/>
    <w:rsid w:val="0010788B"/>
    <w:rsid w:val="00107909"/>
    <w:rsid w:val="00107F60"/>
    <w:rsid w:val="00110015"/>
    <w:rsid w:val="00110450"/>
    <w:rsid w:val="00110523"/>
    <w:rsid w:val="001105B1"/>
    <w:rsid w:val="00110E4A"/>
    <w:rsid w:val="00110EF5"/>
    <w:rsid w:val="0011113C"/>
    <w:rsid w:val="001112CF"/>
    <w:rsid w:val="0011167B"/>
    <w:rsid w:val="00111779"/>
    <w:rsid w:val="00111BEE"/>
    <w:rsid w:val="00111D49"/>
    <w:rsid w:val="00112004"/>
    <w:rsid w:val="0011202D"/>
    <w:rsid w:val="001120C5"/>
    <w:rsid w:val="00112E85"/>
    <w:rsid w:val="00112F61"/>
    <w:rsid w:val="0011357B"/>
    <w:rsid w:val="001135AE"/>
    <w:rsid w:val="00113681"/>
    <w:rsid w:val="00113AD1"/>
    <w:rsid w:val="00113B8E"/>
    <w:rsid w:val="00113BB6"/>
    <w:rsid w:val="00113C47"/>
    <w:rsid w:val="00113E24"/>
    <w:rsid w:val="00114037"/>
    <w:rsid w:val="0011404D"/>
    <w:rsid w:val="00114413"/>
    <w:rsid w:val="00114ACF"/>
    <w:rsid w:val="00114B55"/>
    <w:rsid w:val="00114D15"/>
    <w:rsid w:val="0011527F"/>
    <w:rsid w:val="00115352"/>
    <w:rsid w:val="00115438"/>
    <w:rsid w:val="0011565C"/>
    <w:rsid w:val="001156ED"/>
    <w:rsid w:val="0011578D"/>
    <w:rsid w:val="001158BF"/>
    <w:rsid w:val="001158C4"/>
    <w:rsid w:val="00115B0E"/>
    <w:rsid w:val="00115EEB"/>
    <w:rsid w:val="00115F98"/>
    <w:rsid w:val="0011608D"/>
    <w:rsid w:val="00116644"/>
    <w:rsid w:val="001166C3"/>
    <w:rsid w:val="00116759"/>
    <w:rsid w:val="00116AB9"/>
    <w:rsid w:val="00116F31"/>
    <w:rsid w:val="00116F61"/>
    <w:rsid w:val="001170E3"/>
    <w:rsid w:val="0011772F"/>
    <w:rsid w:val="00117901"/>
    <w:rsid w:val="00117A82"/>
    <w:rsid w:val="00117BB0"/>
    <w:rsid w:val="00117EB0"/>
    <w:rsid w:val="001203B6"/>
    <w:rsid w:val="0012070E"/>
    <w:rsid w:val="00120A93"/>
    <w:rsid w:val="00120BD3"/>
    <w:rsid w:val="00120C26"/>
    <w:rsid w:val="00120D43"/>
    <w:rsid w:val="00120F95"/>
    <w:rsid w:val="001217B8"/>
    <w:rsid w:val="00121B3C"/>
    <w:rsid w:val="00121C2E"/>
    <w:rsid w:val="00121D26"/>
    <w:rsid w:val="00121D55"/>
    <w:rsid w:val="001228C5"/>
    <w:rsid w:val="00122B00"/>
    <w:rsid w:val="00122DF5"/>
    <w:rsid w:val="00122FEA"/>
    <w:rsid w:val="0012319E"/>
    <w:rsid w:val="001232BD"/>
    <w:rsid w:val="0012351D"/>
    <w:rsid w:val="001236DC"/>
    <w:rsid w:val="0012388D"/>
    <w:rsid w:val="00123EB8"/>
    <w:rsid w:val="001242B0"/>
    <w:rsid w:val="00124ED5"/>
    <w:rsid w:val="001254D2"/>
    <w:rsid w:val="00125E37"/>
    <w:rsid w:val="00126A29"/>
    <w:rsid w:val="00127440"/>
    <w:rsid w:val="0012756A"/>
    <w:rsid w:val="001276FA"/>
    <w:rsid w:val="00127A41"/>
    <w:rsid w:val="00127E8D"/>
    <w:rsid w:val="001305B8"/>
    <w:rsid w:val="00130943"/>
    <w:rsid w:val="00131891"/>
    <w:rsid w:val="001323E0"/>
    <w:rsid w:val="00132746"/>
    <w:rsid w:val="0013290B"/>
    <w:rsid w:val="00132FDD"/>
    <w:rsid w:val="0013315D"/>
    <w:rsid w:val="00133692"/>
    <w:rsid w:val="00133914"/>
    <w:rsid w:val="00133CDA"/>
    <w:rsid w:val="00133F8D"/>
    <w:rsid w:val="0013446A"/>
    <w:rsid w:val="001344F6"/>
    <w:rsid w:val="00134542"/>
    <w:rsid w:val="00135517"/>
    <w:rsid w:val="001357F5"/>
    <w:rsid w:val="00135991"/>
    <w:rsid w:val="00135BEC"/>
    <w:rsid w:val="00135BEF"/>
    <w:rsid w:val="00136169"/>
    <w:rsid w:val="0013646F"/>
    <w:rsid w:val="00136582"/>
    <w:rsid w:val="00136C7D"/>
    <w:rsid w:val="00137189"/>
    <w:rsid w:val="00137604"/>
    <w:rsid w:val="00137848"/>
    <w:rsid w:val="00137D2A"/>
    <w:rsid w:val="00140051"/>
    <w:rsid w:val="00140227"/>
    <w:rsid w:val="00140311"/>
    <w:rsid w:val="001403A8"/>
    <w:rsid w:val="00140781"/>
    <w:rsid w:val="00140A1C"/>
    <w:rsid w:val="00140B9D"/>
    <w:rsid w:val="00140CC0"/>
    <w:rsid w:val="00140F89"/>
    <w:rsid w:val="001412A8"/>
    <w:rsid w:val="00141311"/>
    <w:rsid w:val="00141354"/>
    <w:rsid w:val="001420D1"/>
    <w:rsid w:val="001424C7"/>
    <w:rsid w:val="001426A5"/>
    <w:rsid w:val="00142A7D"/>
    <w:rsid w:val="00142B54"/>
    <w:rsid w:val="001431C5"/>
    <w:rsid w:val="00143438"/>
    <w:rsid w:val="0014356D"/>
    <w:rsid w:val="001439A6"/>
    <w:rsid w:val="0014423D"/>
    <w:rsid w:val="001445E9"/>
    <w:rsid w:val="0014475A"/>
    <w:rsid w:val="001447B3"/>
    <w:rsid w:val="001447BD"/>
    <w:rsid w:val="00144FEC"/>
    <w:rsid w:val="00145283"/>
    <w:rsid w:val="00145A04"/>
    <w:rsid w:val="00145BBE"/>
    <w:rsid w:val="001461A3"/>
    <w:rsid w:val="00146307"/>
    <w:rsid w:val="001463D1"/>
    <w:rsid w:val="001468C9"/>
    <w:rsid w:val="00146CD6"/>
    <w:rsid w:val="00146E5B"/>
    <w:rsid w:val="00146E7A"/>
    <w:rsid w:val="00146FB4"/>
    <w:rsid w:val="001478C1"/>
    <w:rsid w:val="0014797C"/>
    <w:rsid w:val="00147B14"/>
    <w:rsid w:val="00147CA9"/>
    <w:rsid w:val="00147DEB"/>
    <w:rsid w:val="00147DF3"/>
    <w:rsid w:val="00147EDA"/>
    <w:rsid w:val="00147FC0"/>
    <w:rsid w:val="001503BD"/>
    <w:rsid w:val="001506C7"/>
    <w:rsid w:val="00150FAC"/>
    <w:rsid w:val="001513DF"/>
    <w:rsid w:val="001515A7"/>
    <w:rsid w:val="001518EE"/>
    <w:rsid w:val="00151ADC"/>
    <w:rsid w:val="00151B14"/>
    <w:rsid w:val="00151EB2"/>
    <w:rsid w:val="00152031"/>
    <w:rsid w:val="00152073"/>
    <w:rsid w:val="0015230D"/>
    <w:rsid w:val="00152329"/>
    <w:rsid w:val="001524F7"/>
    <w:rsid w:val="0015272C"/>
    <w:rsid w:val="00152D1E"/>
    <w:rsid w:val="00152E09"/>
    <w:rsid w:val="00152F6A"/>
    <w:rsid w:val="00153626"/>
    <w:rsid w:val="00154336"/>
    <w:rsid w:val="0015463E"/>
    <w:rsid w:val="0015484A"/>
    <w:rsid w:val="00154CE1"/>
    <w:rsid w:val="00154F8D"/>
    <w:rsid w:val="00154FE2"/>
    <w:rsid w:val="001550A5"/>
    <w:rsid w:val="001553C6"/>
    <w:rsid w:val="0015551B"/>
    <w:rsid w:val="00155E1E"/>
    <w:rsid w:val="0015604D"/>
    <w:rsid w:val="00156598"/>
    <w:rsid w:val="00156785"/>
    <w:rsid w:val="001568F5"/>
    <w:rsid w:val="00156C15"/>
    <w:rsid w:val="00156C50"/>
    <w:rsid w:val="00156F99"/>
    <w:rsid w:val="001570E8"/>
    <w:rsid w:val="001577B5"/>
    <w:rsid w:val="0015782F"/>
    <w:rsid w:val="00160013"/>
    <w:rsid w:val="0016068F"/>
    <w:rsid w:val="00160908"/>
    <w:rsid w:val="00160E0A"/>
    <w:rsid w:val="00160E97"/>
    <w:rsid w:val="00160EE3"/>
    <w:rsid w:val="00160F28"/>
    <w:rsid w:val="0016110F"/>
    <w:rsid w:val="00161939"/>
    <w:rsid w:val="00161AA0"/>
    <w:rsid w:val="00161D2E"/>
    <w:rsid w:val="00161F3E"/>
    <w:rsid w:val="00162093"/>
    <w:rsid w:val="001623DD"/>
    <w:rsid w:val="00162CA9"/>
    <w:rsid w:val="00162CC5"/>
    <w:rsid w:val="00163033"/>
    <w:rsid w:val="00163DBB"/>
    <w:rsid w:val="00164057"/>
    <w:rsid w:val="001641D3"/>
    <w:rsid w:val="0016421E"/>
    <w:rsid w:val="00164516"/>
    <w:rsid w:val="001650AE"/>
    <w:rsid w:val="00165228"/>
    <w:rsid w:val="00165459"/>
    <w:rsid w:val="00165873"/>
    <w:rsid w:val="0016595A"/>
    <w:rsid w:val="00165A57"/>
    <w:rsid w:val="0016605C"/>
    <w:rsid w:val="00166429"/>
    <w:rsid w:val="00166558"/>
    <w:rsid w:val="001665F0"/>
    <w:rsid w:val="00166BD7"/>
    <w:rsid w:val="001672F7"/>
    <w:rsid w:val="00167772"/>
    <w:rsid w:val="00167D43"/>
    <w:rsid w:val="00167F40"/>
    <w:rsid w:val="00167FCC"/>
    <w:rsid w:val="0017018B"/>
    <w:rsid w:val="00170859"/>
    <w:rsid w:val="00170E1E"/>
    <w:rsid w:val="00170F94"/>
    <w:rsid w:val="00171131"/>
    <w:rsid w:val="001711C0"/>
    <w:rsid w:val="001712C2"/>
    <w:rsid w:val="00171610"/>
    <w:rsid w:val="001719D3"/>
    <w:rsid w:val="00171A7C"/>
    <w:rsid w:val="00171B58"/>
    <w:rsid w:val="00172980"/>
    <w:rsid w:val="001729CF"/>
    <w:rsid w:val="00172B83"/>
    <w:rsid w:val="00172BAF"/>
    <w:rsid w:val="00172C05"/>
    <w:rsid w:val="00172C43"/>
    <w:rsid w:val="00172EC2"/>
    <w:rsid w:val="0017327C"/>
    <w:rsid w:val="001733DC"/>
    <w:rsid w:val="001734AD"/>
    <w:rsid w:val="00173753"/>
    <w:rsid w:val="00173BE0"/>
    <w:rsid w:val="00173D81"/>
    <w:rsid w:val="00173E09"/>
    <w:rsid w:val="0017504D"/>
    <w:rsid w:val="0017568E"/>
    <w:rsid w:val="00175710"/>
    <w:rsid w:val="001757CF"/>
    <w:rsid w:val="001759D0"/>
    <w:rsid w:val="00175A12"/>
    <w:rsid w:val="0017674D"/>
    <w:rsid w:val="0017682B"/>
    <w:rsid w:val="00176C9E"/>
    <w:rsid w:val="001771DD"/>
    <w:rsid w:val="00177995"/>
    <w:rsid w:val="00177A14"/>
    <w:rsid w:val="00177A8C"/>
    <w:rsid w:val="00177FC5"/>
    <w:rsid w:val="00180553"/>
    <w:rsid w:val="0018091D"/>
    <w:rsid w:val="00180CBD"/>
    <w:rsid w:val="00180E38"/>
    <w:rsid w:val="00180E6E"/>
    <w:rsid w:val="00180EBA"/>
    <w:rsid w:val="001814F6"/>
    <w:rsid w:val="0018151A"/>
    <w:rsid w:val="001816AF"/>
    <w:rsid w:val="001818B8"/>
    <w:rsid w:val="00181FC4"/>
    <w:rsid w:val="0018201D"/>
    <w:rsid w:val="001822CD"/>
    <w:rsid w:val="0018244E"/>
    <w:rsid w:val="00182D7E"/>
    <w:rsid w:val="00183144"/>
    <w:rsid w:val="0018362D"/>
    <w:rsid w:val="001837A7"/>
    <w:rsid w:val="0018398E"/>
    <w:rsid w:val="001843D4"/>
    <w:rsid w:val="00184422"/>
    <w:rsid w:val="0018446A"/>
    <w:rsid w:val="00184930"/>
    <w:rsid w:val="00184CAD"/>
    <w:rsid w:val="00185008"/>
    <w:rsid w:val="001851C3"/>
    <w:rsid w:val="00185439"/>
    <w:rsid w:val="00185FDD"/>
    <w:rsid w:val="0018629C"/>
    <w:rsid w:val="0018641F"/>
    <w:rsid w:val="0018653E"/>
    <w:rsid w:val="00186540"/>
    <w:rsid w:val="00186B33"/>
    <w:rsid w:val="00186FA8"/>
    <w:rsid w:val="0018701F"/>
    <w:rsid w:val="001877DC"/>
    <w:rsid w:val="0018789A"/>
    <w:rsid w:val="00187CD0"/>
    <w:rsid w:val="001900A7"/>
    <w:rsid w:val="001908E5"/>
    <w:rsid w:val="00190A2F"/>
    <w:rsid w:val="0019104A"/>
    <w:rsid w:val="0019127E"/>
    <w:rsid w:val="00191AD1"/>
    <w:rsid w:val="00191BCB"/>
    <w:rsid w:val="001928EE"/>
    <w:rsid w:val="00192915"/>
    <w:rsid w:val="00192B0A"/>
    <w:rsid w:val="00192F9D"/>
    <w:rsid w:val="00192F9F"/>
    <w:rsid w:val="001933D5"/>
    <w:rsid w:val="00193431"/>
    <w:rsid w:val="00193789"/>
    <w:rsid w:val="00193A6D"/>
    <w:rsid w:val="00193AD6"/>
    <w:rsid w:val="00193C06"/>
    <w:rsid w:val="001951CE"/>
    <w:rsid w:val="00195884"/>
    <w:rsid w:val="00195B7E"/>
    <w:rsid w:val="001960D8"/>
    <w:rsid w:val="00196EB6"/>
    <w:rsid w:val="00196EB8"/>
    <w:rsid w:val="00196EFB"/>
    <w:rsid w:val="001973D5"/>
    <w:rsid w:val="0019747C"/>
    <w:rsid w:val="00197974"/>
    <w:rsid w:val="001979FF"/>
    <w:rsid w:val="00197B17"/>
    <w:rsid w:val="00197F76"/>
    <w:rsid w:val="001A012A"/>
    <w:rsid w:val="001A0363"/>
    <w:rsid w:val="001A1061"/>
    <w:rsid w:val="001A11C7"/>
    <w:rsid w:val="001A1950"/>
    <w:rsid w:val="001A1C54"/>
    <w:rsid w:val="001A1EC2"/>
    <w:rsid w:val="001A2855"/>
    <w:rsid w:val="001A293C"/>
    <w:rsid w:val="001A29C8"/>
    <w:rsid w:val="001A2A93"/>
    <w:rsid w:val="001A2B7F"/>
    <w:rsid w:val="001A351F"/>
    <w:rsid w:val="001A352B"/>
    <w:rsid w:val="001A38B6"/>
    <w:rsid w:val="001A3ACE"/>
    <w:rsid w:val="001A3C7F"/>
    <w:rsid w:val="001A3CD7"/>
    <w:rsid w:val="001A460B"/>
    <w:rsid w:val="001A4701"/>
    <w:rsid w:val="001A50AD"/>
    <w:rsid w:val="001A5CCA"/>
    <w:rsid w:val="001A5E8F"/>
    <w:rsid w:val="001A6094"/>
    <w:rsid w:val="001A6160"/>
    <w:rsid w:val="001A6272"/>
    <w:rsid w:val="001A637F"/>
    <w:rsid w:val="001A6693"/>
    <w:rsid w:val="001A67C8"/>
    <w:rsid w:val="001A6D03"/>
    <w:rsid w:val="001A7082"/>
    <w:rsid w:val="001A709A"/>
    <w:rsid w:val="001A7950"/>
    <w:rsid w:val="001A7BED"/>
    <w:rsid w:val="001B0372"/>
    <w:rsid w:val="001B058F"/>
    <w:rsid w:val="001B06EA"/>
    <w:rsid w:val="001B0C91"/>
    <w:rsid w:val="001B0F8D"/>
    <w:rsid w:val="001B12CA"/>
    <w:rsid w:val="001B1537"/>
    <w:rsid w:val="001B1DEB"/>
    <w:rsid w:val="001B20AA"/>
    <w:rsid w:val="001B2353"/>
    <w:rsid w:val="001B28BD"/>
    <w:rsid w:val="001B2C88"/>
    <w:rsid w:val="001B3473"/>
    <w:rsid w:val="001B3789"/>
    <w:rsid w:val="001B3E12"/>
    <w:rsid w:val="001B40BA"/>
    <w:rsid w:val="001B4136"/>
    <w:rsid w:val="001B4263"/>
    <w:rsid w:val="001B4B68"/>
    <w:rsid w:val="001B5124"/>
    <w:rsid w:val="001B5230"/>
    <w:rsid w:val="001B5248"/>
    <w:rsid w:val="001B5379"/>
    <w:rsid w:val="001B54E4"/>
    <w:rsid w:val="001B58CF"/>
    <w:rsid w:val="001B5962"/>
    <w:rsid w:val="001B5D44"/>
    <w:rsid w:val="001B6311"/>
    <w:rsid w:val="001B63D1"/>
    <w:rsid w:val="001B6A4A"/>
    <w:rsid w:val="001B6B96"/>
    <w:rsid w:val="001B6C6D"/>
    <w:rsid w:val="001B6FE4"/>
    <w:rsid w:val="001B738B"/>
    <w:rsid w:val="001B73F1"/>
    <w:rsid w:val="001B76BA"/>
    <w:rsid w:val="001C0194"/>
    <w:rsid w:val="001C01B6"/>
    <w:rsid w:val="001C0631"/>
    <w:rsid w:val="001C08ED"/>
    <w:rsid w:val="001C0929"/>
    <w:rsid w:val="001C09DB"/>
    <w:rsid w:val="001C0B12"/>
    <w:rsid w:val="001C1537"/>
    <w:rsid w:val="001C21A5"/>
    <w:rsid w:val="001C2256"/>
    <w:rsid w:val="001C248C"/>
    <w:rsid w:val="001C24B0"/>
    <w:rsid w:val="001C2715"/>
    <w:rsid w:val="001C277E"/>
    <w:rsid w:val="001C29E2"/>
    <w:rsid w:val="001C2A1A"/>
    <w:rsid w:val="001C2A72"/>
    <w:rsid w:val="001C2C3F"/>
    <w:rsid w:val="001C2D1D"/>
    <w:rsid w:val="001C31B7"/>
    <w:rsid w:val="001C3216"/>
    <w:rsid w:val="001C3788"/>
    <w:rsid w:val="001C3816"/>
    <w:rsid w:val="001C3888"/>
    <w:rsid w:val="001C38E8"/>
    <w:rsid w:val="001C39F4"/>
    <w:rsid w:val="001C44F9"/>
    <w:rsid w:val="001C47B9"/>
    <w:rsid w:val="001C4A98"/>
    <w:rsid w:val="001C4B8F"/>
    <w:rsid w:val="001C4FCB"/>
    <w:rsid w:val="001C5683"/>
    <w:rsid w:val="001C5BF8"/>
    <w:rsid w:val="001C5EB4"/>
    <w:rsid w:val="001C60A1"/>
    <w:rsid w:val="001C61E2"/>
    <w:rsid w:val="001C6514"/>
    <w:rsid w:val="001C75C3"/>
    <w:rsid w:val="001C7D04"/>
    <w:rsid w:val="001D00F5"/>
    <w:rsid w:val="001D022A"/>
    <w:rsid w:val="001D08A6"/>
    <w:rsid w:val="001D0B75"/>
    <w:rsid w:val="001D11E2"/>
    <w:rsid w:val="001D11EE"/>
    <w:rsid w:val="001D1491"/>
    <w:rsid w:val="001D1ACC"/>
    <w:rsid w:val="001D210A"/>
    <w:rsid w:val="001D2809"/>
    <w:rsid w:val="001D2BE7"/>
    <w:rsid w:val="001D2F6C"/>
    <w:rsid w:val="001D30AF"/>
    <w:rsid w:val="001D346B"/>
    <w:rsid w:val="001D34C6"/>
    <w:rsid w:val="001D3700"/>
    <w:rsid w:val="001D39A5"/>
    <w:rsid w:val="001D3C09"/>
    <w:rsid w:val="001D3D0A"/>
    <w:rsid w:val="001D3F21"/>
    <w:rsid w:val="001D3F27"/>
    <w:rsid w:val="001D419F"/>
    <w:rsid w:val="001D44E8"/>
    <w:rsid w:val="001D479D"/>
    <w:rsid w:val="001D4CB6"/>
    <w:rsid w:val="001D54B9"/>
    <w:rsid w:val="001D5D44"/>
    <w:rsid w:val="001D6016"/>
    <w:rsid w:val="001D60EC"/>
    <w:rsid w:val="001D672B"/>
    <w:rsid w:val="001D6EEE"/>
    <w:rsid w:val="001D6F59"/>
    <w:rsid w:val="001D72E3"/>
    <w:rsid w:val="001D75B6"/>
    <w:rsid w:val="001D774E"/>
    <w:rsid w:val="001D7913"/>
    <w:rsid w:val="001D7E41"/>
    <w:rsid w:val="001E0125"/>
    <w:rsid w:val="001E0522"/>
    <w:rsid w:val="001E0655"/>
    <w:rsid w:val="001E0D50"/>
    <w:rsid w:val="001E1281"/>
    <w:rsid w:val="001E1794"/>
    <w:rsid w:val="001E1A0B"/>
    <w:rsid w:val="001E272F"/>
    <w:rsid w:val="001E2B65"/>
    <w:rsid w:val="001E33BE"/>
    <w:rsid w:val="001E3742"/>
    <w:rsid w:val="001E3B3C"/>
    <w:rsid w:val="001E3C1D"/>
    <w:rsid w:val="001E44DF"/>
    <w:rsid w:val="001E4748"/>
    <w:rsid w:val="001E4CA5"/>
    <w:rsid w:val="001E4D7D"/>
    <w:rsid w:val="001E5260"/>
    <w:rsid w:val="001E533F"/>
    <w:rsid w:val="001E554A"/>
    <w:rsid w:val="001E5593"/>
    <w:rsid w:val="001E59C7"/>
    <w:rsid w:val="001E5CB5"/>
    <w:rsid w:val="001E67BF"/>
    <w:rsid w:val="001E68A5"/>
    <w:rsid w:val="001E68FF"/>
    <w:rsid w:val="001E6A5D"/>
    <w:rsid w:val="001E6A6F"/>
    <w:rsid w:val="001E6BB0"/>
    <w:rsid w:val="001E7221"/>
    <w:rsid w:val="001E7282"/>
    <w:rsid w:val="001F022F"/>
    <w:rsid w:val="001F0263"/>
    <w:rsid w:val="001F075F"/>
    <w:rsid w:val="001F0786"/>
    <w:rsid w:val="001F0A88"/>
    <w:rsid w:val="001F0DB0"/>
    <w:rsid w:val="001F17F8"/>
    <w:rsid w:val="001F1935"/>
    <w:rsid w:val="001F19F8"/>
    <w:rsid w:val="001F216A"/>
    <w:rsid w:val="001F2337"/>
    <w:rsid w:val="001F24B0"/>
    <w:rsid w:val="001F2DF8"/>
    <w:rsid w:val="001F2E3D"/>
    <w:rsid w:val="001F302D"/>
    <w:rsid w:val="001F3489"/>
    <w:rsid w:val="001F3826"/>
    <w:rsid w:val="001F3A13"/>
    <w:rsid w:val="001F400C"/>
    <w:rsid w:val="001F42CE"/>
    <w:rsid w:val="001F442C"/>
    <w:rsid w:val="001F4556"/>
    <w:rsid w:val="001F45DA"/>
    <w:rsid w:val="001F4CCD"/>
    <w:rsid w:val="001F4DDC"/>
    <w:rsid w:val="001F4E6F"/>
    <w:rsid w:val="001F5767"/>
    <w:rsid w:val="001F5B49"/>
    <w:rsid w:val="001F5B73"/>
    <w:rsid w:val="001F5C74"/>
    <w:rsid w:val="001F5FDD"/>
    <w:rsid w:val="001F63B9"/>
    <w:rsid w:val="001F6E46"/>
    <w:rsid w:val="001F7C91"/>
    <w:rsid w:val="002003D2"/>
    <w:rsid w:val="00200BD5"/>
    <w:rsid w:val="00200CFB"/>
    <w:rsid w:val="00200D86"/>
    <w:rsid w:val="0020128A"/>
    <w:rsid w:val="0020159F"/>
    <w:rsid w:val="00201857"/>
    <w:rsid w:val="00202313"/>
    <w:rsid w:val="00202436"/>
    <w:rsid w:val="00202535"/>
    <w:rsid w:val="00202A82"/>
    <w:rsid w:val="00202D1B"/>
    <w:rsid w:val="00202EA8"/>
    <w:rsid w:val="00203282"/>
    <w:rsid w:val="002033B7"/>
    <w:rsid w:val="00203ED3"/>
    <w:rsid w:val="002046D9"/>
    <w:rsid w:val="00204747"/>
    <w:rsid w:val="00204B00"/>
    <w:rsid w:val="00204CD3"/>
    <w:rsid w:val="00204D8B"/>
    <w:rsid w:val="00204EB2"/>
    <w:rsid w:val="00205030"/>
    <w:rsid w:val="002050E9"/>
    <w:rsid w:val="0020540D"/>
    <w:rsid w:val="002054C1"/>
    <w:rsid w:val="002059F2"/>
    <w:rsid w:val="00206463"/>
    <w:rsid w:val="0020651A"/>
    <w:rsid w:val="00206990"/>
    <w:rsid w:val="00206B92"/>
    <w:rsid w:val="00206D3C"/>
    <w:rsid w:val="00206F2F"/>
    <w:rsid w:val="00206FEF"/>
    <w:rsid w:val="00207223"/>
    <w:rsid w:val="00207348"/>
    <w:rsid w:val="002073F3"/>
    <w:rsid w:val="00207717"/>
    <w:rsid w:val="002077A7"/>
    <w:rsid w:val="002077BB"/>
    <w:rsid w:val="0021053D"/>
    <w:rsid w:val="00210A92"/>
    <w:rsid w:val="00210C30"/>
    <w:rsid w:val="00210D63"/>
    <w:rsid w:val="00210F42"/>
    <w:rsid w:val="00210FF2"/>
    <w:rsid w:val="00211BDF"/>
    <w:rsid w:val="00211CB1"/>
    <w:rsid w:val="002129B6"/>
    <w:rsid w:val="00212B57"/>
    <w:rsid w:val="00212B95"/>
    <w:rsid w:val="00212CE0"/>
    <w:rsid w:val="0021391D"/>
    <w:rsid w:val="00213C9E"/>
    <w:rsid w:val="002142E9"/>
    <w:rsid w:val="00214541"/>
    <w:rsid w:val="0021477A"/>
    <w:rsid w:val="00214A25"/>
    <w:rsid w:val="00214EBD"/>
    <w:rsid w:val="00214F8E"/>
    <w:rsid w:val="0021551D"/>
    <w:rsid w:val="00215590"/>
    <w:rsid w:val="002157A8"/>
    <w:rsid w:val="00215ACE"/>
    <w:rsid w:val="00215CC8"/>
    <w:rsid w:val="00216744"/>
    <w:rsid w:val="00216A16"/>
    <w:rsid w:val="00216A52"/>
    <w:rsid w:val="00216C03"/>
    <w:rsid w:val="0021725B"/>
    <w:rsid w:val="00217384"/>
    <w:rsid w:val="00217661"/>
    <w:rsid w:val="00217775"/>
    <w:rsid w:val="00217D75"/>
    <w:rsid w:val="00217E9B"/>
    <w:rsid w:val="00217F68"/>
    <w:rsid w:val="0022054B"/>
    <w:rsid w:val="0022085D"/>
    <w:rsid w:val="00220A1A"/>
    <w:rsid w:val="00220C04"/>
    <w:rsid w:val="002212D1"/>
    <w:rsid w:val="0022133A"/>
    <w:rsid w:val="002215F7"/>
    <w:rsid w:val="00222073"/>
    <w:rsid w:val="0022278D"/>
    <w:rsid w:val="002235E3"/>
    <w:rsid w:val="0022381D"/>
    <w:rsid w:val="00223CF4"/>
    <w:rsid w:val="0022449A"/>
    <w:rsid w:val="0022455F"/>
    <w:rsid w:val="0022464E"/>
    <w:rsid w:val="00224924"/>
    <w:rsid w:val="00224A05"/>
    <w:rsid w:val="00226890"/>
    <w:rsid w:val="00226A8C"/>
    <w:rsid w:val="00226C63"/>
    <w:rsid w:val="00226C71"/>
    <w:rsid w:val="00226FB2"/>
    <w:rsid w:val="0022701F"/>
    <w:rsid w:val="00227118"/>
    <w:rsid w:val="002278EA"/>
    <w:rsid w:val="00227C68"/>
    <w:rsid w:val="00227C83"/>
    <w:rsid w:val="0023004B"/>
    <w:rsid w:val="002300ED"/>
    <w:rsid w:val="002301FE"/>
    <w:rsid w:val="00230C30"/>
    <w:rsid w:val="00230E74"/>
    <w:rsid w:val="002314E5"/>
    <w:rsid w:val="00231C0F"/>
    <w:rsid w:val="002321EF"/>
    <w:rsid w:val="002324C7"/>
    <w:rsid w:val="00232671"/>
    <w:rsid w:val="00233008"/>
    <w:rsid w:val="002333F5"/>
    <w:rsid w:val="00233724"/>
    <w:rsid w:val="00233C61"/>
    <w:rsid w:val="00233CAA"/>
    <w:rsid w:val="00233DD4"/>
    <w:rsid w:val="00233E0C"/>
    <w:rsid w:val="0023452A"/>
    <w:rsid w:val="0023497A"/>
    <w:rsid w:val="00234D92"/>
    <w:rsid w:val="002353D2"/>
    <w:rsid w:val="002354F3"/>
    <w:rsid w:val="002355BC"/>
    <w:rsid w:val="00235A60"/>
    <w:rsid w:val="00235C0C"/>
    <w:rsid w:val="00235F94"/>
    <w:rsid w:val="0023613F"/>
    <w:rsid w:val="00236293"/>
    <w:rsid w:val="002365B4"/>
    <w:rsid w:val="00236BEC"/>
    <w:rsid w:val="00236C25"/>
    <w:rsid w:val="00237A86"/>
    <w:rsid w:val="00237C8A"/>
    <w:rsid w:val="00240071"/>
    <w:rsid w:val="00240443"/>
    <w:rsid w:val="00240E66"/>
    <w:rsid w:val="002415F2"/>
    <w:rsid w:val="00241700"/>
    <w:rsid w:val="002417EA"/>
    <w:rsid w:val="00241AAB"/>
    <w:rsid w:val="00241EB7"/>
    <w:rsid w:val="0024259A"/>
    <w:rsid w:val="00242A43"/>
    <w:rsid w:val="00242C7D"/>
    <w:rsid w:val="00242FA2"/>
    <w:rsid w:val="002432E1"/>
    <w:rsid w:val="0024338A"/>
    <w:rsid w:val="002436E1"/>
    <w:rsid w:val="00243725"/>
    <w:rsid w:val="0024378D"/>
    <w:rsid w:val="002439F2"/>
    <w:rsid w:val="00243C71"/>
    <w:rsid w:val="00244375"/>
    <w:rsid w:val="002444F0"/>
    <w:rsid w:val="0024466E"/>
    <w:rsid w:val="002457CD"/>
    <w:rsid w:val="002459F0"/>
    <w:rsid w:val="00245C5C"/>
    <w:rsid w:val="002460DE"/>
    <w:rsid w:val="00246207"/>
    <w:rsid w:val="00246473"/>
    <w:rsid w:val="00246C5E"/>
    <w:rsid w:val="00246CCF"/>
    <w:rsid w:val="00247127"/>
    <w:rsid w:val="00250145"/>
    <w:rsid w:val="002505B2"/>
    <w:rsid w:val="002507B9"/>
    <w:rsid w:val="00250960"/>
    <w:rsid w:val="00250AC9"/>
    <w:rsid w:val="00250DD3"/>
    <w:rsid w:val="0025118A"/>
    <w:rsid w:val="00251235"/>
    <w:rsid w:val="00251343"/>
    <w:rsid w:val="002513E5"/>
    <w:rsid w:val="002517FD"/>
    <w:rsid w:val="002519C8"/>
    <w:rsid w:val="00251DD6"/>
    <w:rsid w:val="00252368"/>
    <w:rsid w:val="002525FB"/>
    <w:rsid w:val="00252A77"/>
    <w:rsid w:val="002535F7"/>
    <w:rsid w:val="002536A4"/>
    <w:rsid w:val="002536B5"/>
    <w:rsid w:val="0025373B"/>
    <w:rsid w:val="002546AB"/>
    <w:rsid w:val="00254BC4"/>
    <w:rsid w:val="00254F58"/>
    <w:rsid w:val="00255367"/>
    <w:rsid w:val="00255888"/>
    <w:rsid w:val="00255E76"/>
    <w:rsid w:val="0025650F"/>
    <w:rsid w:val="0025655A"/>
    <w:rsid w:val="00256726"/>
    <w:rsid w:val="0025672B"/>
    <w:rsid w:val="002569D3"/>
    <w:rsid w:val="00256CFB"/>
    <w:rsid w:val="00256EBA"/>
    <w:rsid w:val="0025732F"/>
    <w:rsid w:val="002577F7"/>
    <w:rsid w:val="00257BDC"/>
    <w:rsid w:val="0026028A"/>
    <w:rsid w:val="00260541"/>
    <w:rsid w:val="00260947"/>
    <w:rsid w:val="00260A2A"/>
    <w:rsid w:val="002613BB"/>
    <w:rsid w:val="00261485"/>
    <w:rsid w:val="00261A02"/>
    <w:rsid w:val="00261BCD"/>
    <w:rsid w:val="00261C2A"/>
    <w:rsid w:val="00261DC6"/>
    <w:rsid w:val="002620BC"/>
    <w:rsid w:val="00262802"/>
    <w:rsid w:val="00262A22"/>
    <w:rsid w:val="00262CB4"/>
    <w:rsid w:val="00262E0A"/>
    <w:rsid w:val="0026312A"/>
    <w:rsid w:val="0026320F"/>
    <w:rsid w:val="002632C8"/>
    <w:rsid w:val="002635C1"/>
    <w:rsid w:val="00263682"/>
    <w:rsid w:val="00263A90"/>
    <w:rsid w:val="0026408B"/>
    <w:rsid w:val="002642DC"/>
    <w:rsid w:val="002643E4"/>
    <w:rsid w:val="00264999"/>
    <w:rsid w:val="00265340"/>
    <w:rsid w:val="002659EF"/>
    <w:rsid w:val="00265B2D"/>
    <w:rsid w:val="00265B6F"/>
    <w:rsid w:val="0026679B"/>
    <w:rsid w:val="002668FE"/>
    <w:rsid w:val="002669CB"/>
    <w:rsid w:val="00266C13"/>
    <w:rsid w:val="00266D94"/>
    <w:rsid w:val="00267228"/>
    <w:rsid w:val="0026723B"/>
    <w:rsid w:val="002677DD"/>
    <w:rsid w:val="00267BD4"/>
    <w:rsid w:val="00267C3E"/>
    <w:rsid w:val="002705A9"/>
    <w:rsid w:val="0027065B"/>
    <w:rsid w:val="002709BB"/>
    <w:rsid w:val="00270A65"/>
    <w:rsid w:val="00270AE3"/>
    <w:rsid w:val="00270C85"/>
    <w:rsid w:val="0027131C"/>
    <w:rsid w:val="0027187C"/>
    <w:rsid w:val="0027192F"/>
    <w:rsid w:val="00271A27"/>
    <w:rsid w:val="00271B6E"/>
    <w:rsid w:val="00271BF2"/>
    <w:rsid w:val="00271CC8"/>
    <w:rsid w:val="00271D74"/>
    <w:rsid w:val="00271F22"/>
    <w:rsid w:val="002724DC"/>
    <w:rsid w:val="00272B9C"/>
    <w:rsid w:val="0027309D"/>
    <w:rsid w:val="002730CC"/>
    <w:rsid w:val="002738A6"/>
    <w:rsid w:val="00273BAC"/>
    <w:rsid w:val="00273C3F"/>
    <w:rsid w:val="00273E45"/>
    <w:rsid w:val="00273EF7"/>
    <w:rsid w:val="002744D1"/>
    <w:rsid w:val="0027489B"/>
    <w:rsid w:val="002749CF"/>
    <w:rsid w:val="0027510D"/>
    <w:rsid w:val="00275189"/>
    <w:rsid w:val="002754BF"/>
    <w:rsid w:val="00275E82"/>
    <w:rsid w:val="00275F79"/>
    <w:rsid w:val="0027627E"/>
    <w:rsid w:val="002763B3"/>
    <w:rsid w:val="0027687D"/>
    <w:rsid w:val="00276FF8"/>
    <w:rsid w:val="002770C3"/>
    <w:rsid w:val="002773EA"/>
    <w:rsid w:val="00277A04"/>
    <w:rsid w:val="00277CAD"/>
    <w:rsid w:val="00277D95"/>
    <w:rsid w:val="0028024C"/>
    <w:rsid w:val="002802E3"/>
    <w:rsid w:val="002804B7"/>
    <w:rsid w:val="002807E1"/>
    <w:rsid w:val="0028081D"/>
    <w:rsid w:val="002809CD"/>
    <w:rsid w:val="00280B19"/>
    <w:rsid w:val="00280BC5"/>
    <w:rsid w:val="00280E04"/>
    <w:rsid w:val="00281B30"/>
    <w:rsid w:val="00281EE0"/>
    <w:rsid w:val="00281FF9"/>
    <w:rsid w:val="0028213D"/>
    <w:rsid w:val="0028239C"/>
    <w:rsid w:val="00283164"/>
    <w:rsid w:val="00283219"/>
    <w:rsid w:val="00283937"/>
    <w:rsid w:val="00283B86"/>
    <w:rsid w:val="002844CC"/>
    <w:rsid w:val="00284C57"/>
    <w:rsid w:val="00284E67"/>
    <w:rsid w:val="00285B72"/>
    <w:rsid w:val="002861A5"/>
    <w:rsid w:val="002862F1"/>
    <w:rsid w:val="00286776"/>
    <w:rsid w:val="00286DA5"/>
    <w:rsid w:val="00286EAF"/>
    <w:rsid w:val="00286FDC"/>
    <w:rsid w:val="00287161"/>
    <w:rsid w:val="00287716"/>
    <w:rsid w:val="00287963"/>
    <w:rsid w:val="00287C85"/>
    <w:rsid w:val="00290866"/>
    <w:rsid w:val="00290FD1"/>
    <w:rsid w:val="00291332"/>
    <w:rsid w:val="00291353"/>
    <w:rsid w:val="00291373"/>
    <w:rsid w:val="00291436"/>
    <w:rsid w:val="002915DE"/>
    <w:rsid w:val="00291ACC"/>
    <w:rsid w:val="00291D6B"/>
    <w:rsid w:val="002922BB"/>
    <w:rsid w:val="0029280D"/>
    <w:rsid w:val="00292FF7"/>
    <w:rsid w:val="00293887"/>
    <w:rsid w:val="002938E2"/>
    <w:rsid w:val="00294495"/>
    <w:rsid w:val="00294A9E"/>
    <w:rsid w:val="00294BA5"/>
    <w:rsid w:val="002954B7"/>
    <w:rsid w:val="0029562A"/>
    <w:rsid w:val="002957D3"/>
    <w:rsid w:val="0029597D"/>
    <w:rsid w:val="00295AC3"/>
    <w:rsid w:val="00295D02"/>
    <w:rsid w:val="002962C3"/>
    <w:rsid w:val="00296651"/>
    <w:rsid w:val="0029705F"/>
    <w:rsid w:val="0029724C"/>
    <w:rsid w:val="0029752B"/>
    <w:rsid w:val="00297547"/>
    <w:rsid w:val="0029782F"/>
    <w:rsid w:val="002978C8"/>
    <w:rsid w:val="00297945"/>
    <w:rsid w:val="00297CC9"/>
    <w:rsid w:val="00297D0D"/>
    <w:rsid w:val="002A0A9C"/>
    <w:rsid w:val="002A1479"/>
    <w:rsid w:val="002A14A4"/>
    <w:rsid w:val="002A1839"/>
    <w:rsid w:val="002A1D49"/>
    <w:rsid w:val="002A1F8C"/>
    <w:rsid w:val="002A20BD"/>
    <w:rsid w:val="002A258B"/>
    <w:rsid w:val="002A25EE"/>
    <w:rsid w:val="002A29B6"/>
    <w:rsid w:val="002A2A32"/>
    <w:rsid w:val="002A2BF6"/>
    <w:rsid w:val="002A3ED1"/>
    <w:rsid w:val="002A41CD"/>
    <w:rsid w:val="002A45D9"/>
    <w:rsid w:val="002A483C"/>
    <w:rsid w:val="002A4DB9"/>
    <w:rsid w:val="002A5003"/>
    <w:rsid w:val="002A5297"/>
    <w:rsid w:val="002A54CA"/>
    <w:rsid w:val="002A5C61"/>
    <w:rsid w:val="002A5F8E"/>
    <w:rsid w:val="002A6D02"/>
    <w:rsid w:val="002A6DA2"/>
    <w:rsid w:val="002A6FC2"/>
    <w:rsid w:val="002A7087"/>
    <w:rsid w:val="002A7302"/>
    <w:rsid w:val="002A73CF"/>
    <w:rsid w:val="002A7557"/>
    <w:rsid w:val="002A766B"/>
    <w:rsid w:val="002A77F0"/>
    <w:rsid w:val="002A788B"/>
    <w:rsid w:val="002A7A95"/>
    <w:rsid w:val="002A7C06"/>
    <w:rsid w:val="002A7D12"/>
    <w:rsid w:val="002A7F0C"/>
    <w:rsid w:val="002A7FC4"/>
    <w:rsid w:val="002B052D"/>
    <w:rsid w:val="002B07A1"/>
    <w:rsid w:val="002B0C7C"/>
    <w:rsid w:val="002B103D"/>
    <w:rsid w:val="002B1729"/>
    <w:rsid w:val="002B2962"/>
    <w:rsid w:val="002B2B3B"/>
    <w:rsid w:val="002B2F41"/>
    <w:rsid w:val="002B34FF"/>
    <w:rsid w:val="002B36C7"/>
    <w:rsid w:val="002B3973"/>
    <w:rsid w:val="002B399B"/>
    <w:rsid w:val="002B3E7B"/>
    <w:rsid w:val="002B443A"/>
    <w:rsid w:val="002B46AB"/>
    <w:rsid w:val="002B4A3C"/>
    <w:rsid w:val="002B4B02"/>
    <w:rsid w:val="002B4DD4"/>
    <w:rsid w:val="002B4E30"/>
    <w:rsid w:val="002B4F64"/>
    <w:rsid w:val="002B5277"/>
    <w:rsid w:val="002B5375"/>
    <w:rsid w:val="002B5A3C"/>
    <w:rsid w:val="002B62F2"/>
    <w:rsid w:val="002B65A4"/>
    <w:rsid w:val="002B6F0C"/>
    <w:rsid w:val="002B73A5"/>
    <w:rsid w:val="002B77C1"/>
    <w:rsid w:val="002B79C0"/>
    <w:rsid w:val="002B7F18"/>
    <w:rsid w:val="002C004B"/>
    <w:rsid w:val="002C009E"/>
    <w:rsid w:val="002C01BA"/>
    <w:rsid w:val="002C0491"/>
    <w:rsid w:val="002C096F"/>
    <w:rsid w:val="002C0ED7"/>
    <w:rsid w:val="002C122B"/>
    <w:rsid w:val="002C1890"/>
    <w:rsid w:val="002C18DF"/>
    <w:rsid w:val="002C19F4"/>
    <w:rsid w:val="002C1BB5"/>
    <w:rsid w:val="002C1C8B"/>
    <w:rsid w:val="002C1FB4"/>
    <w:rsid w:val="002C2037"/>
    <w:rsid w:val="002C26BC"/>
    <w:rsid w:val="002C2728"/>
    <w:rsid w:val="002C295B"/>
    <w:rsid w:val="002C2967"/>
    <w:rsid w:val="002C3970"/>
    <w:rsid w:val="002C4096"/>
    <w:rsid w:val="002C4844"/>
    <w:rsid w:val="002C52EB"/>
    <w:rsid w:val="002C5331"/>
    <w:rsid w:val="002C5378"/>
    <w:rsid w:val="002C55E0"/>
    <w:rsid w:val="002C5688"/>
    <w:rsid w:val="002C5796"/>
    <w:rsid w:val="002C5B7C"/>
    <w:rsid w:val="002C62B3"/>
    <w:rsid w:val="002C6549"/>
    <w:rsid w:val="002C66BF"/>
    <w:rsid w:val="002C6D9E"/>
    <w:rsid w:val="002C706E"/>
    <w:rsid w:val="002C72BE"/>
    <w:rsid w:val="002C79BC"/>
    <w:rsid w:val="002D01A0"/>
    <w:rsid w:val="002D0421"/>
    <w:rsid w:val="002D05C2"/>
    <w:rsid w:val="002D08FD"/>
    <w:rsid w:val="002D13A2"/>
    <w:rsid w:val="002D198D"/>
    <w:rsid w:val="002D1B34"/>
    <w:rsid w:val="002D1DBA"/>
    <w:rsid w:val="002D1E0D"/>
    <w:rsid w:val="002D21CC"/>
    <w:rsid w:val="002D225B"/>
    <w:rsid w:val="002D244A"/>
    <w:rsid w:val="002D285A"/>
    <w:rsid w:val="002D36D4"/>
    <w:rsid w:val="002D3DB8"/>
    <w:rsid w:val="002D3FCB"/>
    <w:rsid w:val="002D414B"/>
    <w:rsid w:val="002D450C"/>
    <w:rsid w:val="002D4595"/>
    <w:rsid w:val="002D48BB"/>
    <w:rsid w:val="002D49EA"/>
    <w:rsid w:val="002D5006"/>
    <w:rsid w:val="002D51A9"/>
    <w:rsid w:val="002D5347"/>
    <w:rsid w:val="002D5671"/>
    <w:rsid w:val="002D5778"/>
    <w:rsid w:val="002D5A6B"/>
    <w:rsid w:val="002D5E21"/>
    <w:rsid w:val="002D5E82"/>
    <w:rsid w:val="002D6ABA"/>
    <w:rsid w:val="002D6AE9"/>
    <w:rsid w:val="002D6CA6"/>
    <w:rsid w:val="002D7378"/>
    <w:rsid w:val="002D7784"/>
    <w:rsid w:val="002D77F4"/>
    <w:rsid w:val="002D7BF7"/>
    <w:rsid w:val="002D7C61"/>
    <w:rsid w:val="002D7DA2"/>
    <w:rsid w:val="002E0053"/>
    <w:rsid w:val="002E01D0"/>
    <w:rsid w:val="002E03CE"/>
    <w:rsid w:val="002E08D4"/>
    <w:rsid w:val="002E0925"/>
    <w:rsid w:val="002E0938"/>
    <w:rsid w:val="002E096A"/>
    <w:rsid w:val="002E0A48"/>
    <w:rsid w:val="002E114A"/>
    <w:rsid w:val="002E1422"/>
    <w:rsid w:val="002E1479"/>
    <w:rsid w:val="002E156F"/>
    <w:rsid w:val="002E161D"/>
    <w:rsid w:val="002E2327"/>
    <w:rsid w:val="002E24B9"/>
    <w:rsid w:val="002E2888"/>
    <w:rsid w:val="002E28A2"/>
    <w:rsid w:val="002E2A97"/>
    <w:rsid w:val="002E2E8A"/>
    <w:rsid w:val="002E3100"/>
    <w:rsid w:val="002E31BA"/>
    <w:rsid w:val="002E3756"/>
    <w:rsid w:val="002E3A17"/>
    <w:rsid w:val="002E3B72"/>
    <w:rsid w:val="002E3EC5"/>
    <w:rsid w:val="002E3F10"/>
    <w:rsid w:val="002E4444"/>
    <w:rsid w:val="002E45A2"/>
    <w:rsid w:val="002E4E8B"/>
    <w:rsid w:val="002E4F40"/>
    <w:rsid w:val="002E526F"/>
    <w:rsid w:val="002E52AD"/>
    <w:rsid w:val="002E552F"/>
    <w:rsid w:val="002E5568"/>
    <w:rsid w:val="002E5C45"/>
    <w:rsid w:val="002E5DA6"/>
    <w:rsid w:val="002E62B9"/>
    <w:rsid w:val="002E65F0"/>
    <w:rsid w:val="002E6932"/>
    <w:rsid w:val="002E6AC4"/>
    <w:rsid w:val="002E6B6B"/>
    <w:rsid w:val="002E6BC9"/>
    <w:rsid w:val="002E6C95"/>
    <w:rsid w:val="002E6D0D"/>
    <w:rsid w:val="002E72F8"/>
    <w:rsid w:val="002E761B"/>
    <w:rsid w:val="002E797B"/>
    <w:rsid w:val="002E7BDA"/>
    <w:rsid w:val="002E7C06"/>
    <w:rsid w:val="002E7C36"/>
    <w:rsid w:val="002E7FD8"/>
    <w:rsid w:val="002E7FF2"/>
    <w:rsid w:val="002F00EB"/>
    <w:rsid w:val="002F0CA4"/>
    <w:rsid w:val="002F0E40"/>
    <w:rsid w:val="002F0E6B"/>
    <w:rsid w:val="002F11BF"/>
    <w:rsid w:val="002F11C1"/>
    <w:rsid w:val="002F12C2"/>
    <w:rsid w:val="002F1331"/>
    <w:rsid w:val="002F152E"/>
    <w:rsid w:val="002F1806"/>
    <w:rsid w:val="002F1CAF"/>
    <w:rsid w:val="002F2088"/>
    <w:rsid w:val="002F20CB"/>
    <w:rsid w:val="002F28D9"/>
    <w:rsid w:val="002F2BD2"/>
    <w:rsid w:val="002F3115"/>
    <w:rsid w:val="002F321A"/>
    <w:rsid w:val="002F3D32"/>
    <w:rsid w:val="002F439F"/>
    <w:rsid w:val="002F4473"/>
    <w:rsid w:val="002F4C3B"/>
    <w:rsid w:val="002F5471"/>
    <w:rsid w:val="002F5B47"/>
    <w:rsid w:val="002F5F31"/>
    <w:rsid w:val="002F5F46"/>
    <w:rsid w:val="002F6277"/>
    <w:rsid w:val="002F63AE"/>
    <w:rsid w:val="002F6A5D"/>
    <w:rsid w:val="002F6B52"/>
    <w:rsid w:val="002F6F73"/>
    <w:rsid w:val="002F77C9"/>
    <w:rsid w:val="002F79DF"/>
    <w:rsid w:val="002F7A0D"/>
    <w:rsid w:val="002F7AC5"/>
    <w:rsid w:val="002F7BB3"/>
    <w:rsid w:val="002F7C29"/>
    <w:rsid w:val="00300067"/>
    <w:rsid w:val="00300223"/>
    <w:rsid w:val="003003D3"/>
    <w:rsid w:val="003006CA"/>
    <w:rsid w:val="00300811"/>
    <w:rsid w:val="00300A00"/>
    <w:rsid w:val="00300DCE"/>
    <w:rsid w:val="00301372"/>
    <w:rsid w:val="0030155F"/>
    <w:rsid w:val="00301B63"/>
    <w:rsid w:val="00301EF1"/>
    <w:rsid w:val="00302216"/>
    <w:rsid w:val="003026BC"/>
    <w:rsid w:val="003028AC"/>
    <w:rsid w:val="00302FF5"/>
    <w:rsid w:val="003034D1"/>
    <w:rsid w:val="0030360E"/>
    <w:rsid w:val="00303B9A"/>
    <w:rsid w:val="00303E53"/>
    <w:rsid w:val="0030436A"/>
    <w:rsid w:val="00304C80"/>
    <w:rsid w:val="00304F47"/>
    <w:rsid w:val="0030541F"/>
    <w:rsid w:val="003054CF"/>
    <w:rsid w:val="0030569E"/>
    <w:rsid w:val="003056BA"/>
    <w:rsid w:val="0030584A"/>
    <w:rsid w:val="003059FE"/>
    <w:rsid w:val="00305CC1"/>
    <w:rsid w:val="00305D0C"/>
    <w:rsid w:val="00305D17"/>
    <w:rsid w:val="00305E6D"/>
    <w:rsid w:val="003061DA"/>
    <w:rsid w:val="00306269"/>
    <w:rsid w:val="003069F9"/>
    <w:rsid w:val="00306E5F"/>
    <w:rsid w:val="00306E7C"/>
    <w:rsid w:val="003071DA"/>
    <w:rsid w:val="00307209"/>
    <w:rsid w:val="00307811"/>
    <w:rsid w:val="00307B8C"/>
    <w:rsid w:val="00307E14"/>
    <w:rsid w:val="0031048F"/>
    <w:rsid w:val="0031051F"/>
    <w:rsid w:val="003107C4"/>
    <w:rsid w:val="00310C1A"/>
    <w:rsid w:val="00311171"/>
    <w:rsid w:val="0031134E"/>
    <w:rsid w:val="003113DD"/>
    <w:rsid w:val="0031141E"/>
    <w:rsid w:val="00311672"/>
    <w:rsid w:val="0031177A"/>
    <w:rsid w:val="00311D68"/>
    <w:rsid w:val="0031268B"/>
    <w:rsid w:val="003128E6"/>
    <w:rsid w:val="00312CBA"/>
    <w:rsid w:val="00312D1A"/>
    <w:rsid w:val="00312D81"/>
    <w:rsid w:val="00312EC2"/>
    <w:rsid w:val="00313178"/>
    <w:rsid w:val="00313975"/>
    <w:rsid w:val="00313976"/>
    <w:rsid w:val="00313A90"/>
    <w:rsid w:val="00313DBA"/>
    <w:rsid w:val="00313DF9"/>
    <w:rsid w:val="00313F92"/>
    <w:rsid w:val="00314054"/>
    <w:rsid w:val="0031405E"/>
    <w:rsid w:val="00314628"/>
    <w:rsid w:val="00314699"/>
    <w:rsid w:val="00315049"/>
    <w:rsid w:val="003150D5"/>
    <w:rsid w:val="00315874"/>
    <w:rsid w:val="00315B1C"/>
    <w:rsid w:val="00316193"/>
    <w:rsid w:val="0031665B"/>
    <w:rsid w:val="00316F27"/>
    <w:rsid w:val="00316F8A"/>
    <w:rsid w:val="00317047"/>
    <w:rsid w:val="00317590"/>
    <w:rsid w:val="00317760"/>
    <w:rsid w:val="00317A8F"/>
    <w:rsid w:val="00317B73"/>
    <w:rsid w:val="0032031E"/>
    <w:rsid w:val="00320CA7"/>
    <w:rsid w:val="00320FBF"/>
    <w:rsid w:val="003214F1"/>
    <w:rsid w:val="003219C2"/>
    <w:rsid w:val="0032249E"/>
    <w:rsid w:val="00322764"/>
    <w:rsid w:val="003227B8"/>
    <w:rsid w:val="00322B89"/>
    <w:rsid w:val="00322C08"/>
    <w:rsid w:val="00322D9D"/>
    <w:rsid w:val="00322E1E"/>
    <w:rsid w:val="00322E4B"/>
    <w:rsid w:val="00323F02"/>
    <w:rsid w:val="00324073"/>
    <w:rsid w:val="0032427F"/>
    <w:rsid w:val="003243D8"/>
    <w:rsid w:val="0032504E"/>
    <w:rsid w:val="00325252"/>
    <w:rsid w:val="00325431"/>
    <w:rsid w:val="00325E41"/>
    <w:rsid w:val="0032677C"/>
    <w:rsid w:val="00326854"/>
    <w:rsid w:val="00326962"/>
    <w:rsid w:val="00326C0D"/>
    <w:rsid w:val="0032725B"/>
    <w:rsid w:val="0032739D"/>
    <w:rsid w:val="00327870"/>
    <w:rsid w:val="003308FF"/>
    <w:rsid w:val="00330B6A"/>
    <w:rsid w:val="00330D89"/>
    <w:rsid w:val="00330FC9"/>
    <w:rsid w:val="003311BD"/>
    <w:rsid w:val="00331374"/>
    <w:rsid w:val="00331434"/>
    <w:rsid w:val="0033153E"/>
    <w:rsid w:val="00331731"/>
    <w:rsid w:val="00331DC0"/>
    <w:rsid w:val="00331E9F"/>
    <w:rsid w:val="0033259D"/>
    <w:rsid w:val="00332ABB"/>
    <w:rsid w:val="00332B93"/>
    <w:rsid w:val="00332BC5"/>
    <w:rsid w:val="003333D2"/>
    <w:rsid w:val="003333EF"/>
    <w:rsid w:val="0033392B"/>
    <w:rsid w:val="00333976"/>
    <w:rsid w:val="00334686"/>
    <w:rsid w:val="003348D5"/>
    <w:rsid w:val="00334F59"/>
    <w:rsid w:val="00335981"/>
    <w:rsid w:val="00335B4B"/>
    <w:rsid w:val="00336207"/>
    <w:rsid w:val="0033623A"/>
    <w:rsid w:val="00336333"/>
    <w:rsid w:val="003364C4"/>
    <w:rsid w:val="003365B9"/>
    <w:rsid w:val="00336931"/>
    <w:rsid w:val="00336CDF"/>
    <w:rsid w:val="0033711E"/>
    <w:rsid w:val="0033721E"/>
    <w:rsid w:val="00337318"/>
    <w:rsid w:val="00337339"/>
    <w:rsid w:val="00337727"/>
    <w:rsid w:val="003377A4"/>
    <w:rsid w:val="00337B13"/>
    <w:rsid w:val="00337CF5"/>
    <w:rsid w:val="00340345"/>
    <w:rsid w:val="003406C6"/>
    <w:rsid w:val="00340A91"/>
    <w:rsid w:val="00340AC9"/>
    <w:rsid w:val="00340D48"/>
    <w:rsid w:val="00340EBB"/>
    <w:rsid w:val="00341514"/>
    <w:rsid w:val="003418CC"/>
    <w:rsid w:val="00341F78"/>
    <w:rsid w:val="00342884"/>
    <w:rsid w:val="00342E42"/>
    <w:rsid w:val="0034308D"/>
    <w:rsid w:val="003434EE"/>
    <w:rsid w:val="00343B77"/>
    <w:rsid w:val="0034419D"/>
    <w:rsid w:val="00344347"/>
    <w:rsid w:val="0034437D"/>
    <w:rsid w:val="003445F7"/>
    <w:rsid w:val="00344714"/>
    <w:rsid w:val="0034499D"/>
    <w:rsid w:val="0034599A"/>
    <w:rsid w:val="003459BD"/>
    <w:rsid w:val="00345C75"/>
    <w:rsid w:val="00346A23"/>
    <w:rsid w:val="00346BA2"/>
    <w:rsid w:val="00346ED4"/>
    <w:rsid w:val="00346F3F"/>
    <w:rsid w:val="00346FCB"/>
    <w:rsid w:val="00347618"/>
    <w:rsid w:val="003505D3"/>
    <w:rsid w:val="00350896"/>
    <w:rsid w:val="00350C51"/>
    <w:rsid w:val="00350D38"/>
    <w:rsid w:val="00350EDE"/>
    <w:rsid w:val="00351056"/>
    <w:rsid w:val="003515F5"/>
    <w:rsid w:val="003518E9"/>
    <w:rsid w:val="00351B36"/>
    <w:rsid w:val="00351BEB"/>
    <w:rsid w:val="00351CA2"/>
    <w:rsid w:val="003523DF"/>
    <w:rsid w:val="0035250E"/>
    <w:rsid w:val="0035258E"/>
    <w:rsid w:val="00352931"/>
    <w:rsid w:val="00352C19"/>
    <w:rsid w:val="0035333E"/>
    <w:rsid w:val="00353392"/>
    <w:rsid w:val="003533B8"/>
    <w:rsid w:val="003534B3"/>
    <w:rsid w:val="00353570"/>
    <w:rsid w:val="003539D1"/>
    <w:rsid w:val="00353FDA"/>
    <w:rsid w:val="003541FF"/>
    <w:rsid w:val="0035420D"/>
    <w:rsid w:val="00354743"/>
    <w:rsid w:val="00354A44"/>
    <w:rsid w:val="00354C17"/>
    <w:rsid w:val="0035519A"/>
    <w:rsid w:val="00355814"/>
    <w:rsid w:val="00355872"/>
    <w:rsid w:val="0035589A"/>
    <w:rsid w:val="00356030"/>
    <w:rsid w:val="003560F3"/>
    <w:rsid w:val="00356198"/>
    <w:rsid w:val="00356716"/>
    <w:rsid w:val="00356CAB"/>
    <w:rsid w:val="00356D4B"/>
    <w:rsid w:val="00356D85"/>
    <w:rsid w:val="0035774D"/>
    <w:rsid w:val="00357B4E"/>
    <w:rsid w:val="00360BC6"/>
    <w:rsid w:val="00360CE8"/>
    <w:rsid w:val="00360D81"/>
    <w:rsid w:val="003612E9"/>
    <w:rsid w:val="00361327"/>
    <w:rsid w:val="00361590"/>
    <w:rsid w:val="00361649"/>
    <w:rsid w:val="00361866"/>
    <w:rsid w:val="00361C8E"/>
    <w:rsid w:val="00361C90"/>
    <w:rsid w:val="0036210C"/>
    <w:rsid w:val="00362145"/>
    <w:rsid w:val="00362482"/>
    <w:rsid w:val="003624DF"/>
    <w:rsid w:val="00362903"/>
    <w:rsid w:val="00362B96"/>
    <w:rsid w:val="00362D2D"/>
    <w:rsid w:val="00362F86"/>
    <w:rsid w:val="0036340E"/>
    <w:rsid w:val="00363690"/>
    <w:rsid w:val="003638E2"/>
    <w:rsid w:val="00363A4C"/>
    <w:rsid w:val="003645D6"/>
    <w:rsid w:val="00364725"/>
    <w:rsid w:val="0036492A"/>
    <w:rsid w:val="00364E10"/>
    <w:rsid w:val="00364EBA"/>
    <w:rsid w:val="00364F28"/>
    <w:rsid w:val="00365A94"/>
    <w:rsid w:val="0036633A"/>
    <w:rsid w:val="003665C8"/>
    <w:rsid w:val="00366758"/>
    <w:rsid w:val="00366776"/>
    <w:rsid w:val="00366BD3"/>
    <w:rsid w:val="003679B7"/>
    <w:rsid w:val="00367E09"/>
    <w:rsid w:val="0037028C"/>
    <w:rsid w:val="00370375"/>
    <w:rsid w:val="00370554"/>
    <w:rsid w:val="003707C6"/>
    <w:rsid w:val="003713C3"/>
    <w:rsid w:val="003716FD"/>
    <w:rsid w:val="00371CCE"/>
    <w:rsid w:val="00371DAA"/>
    <w:rsid w:val="00371E82"/>
    <w:rsid w:val="0037204B"/>
    <w:rsid w:val="00372841"/>
    <w:rsid w:val="003731ED"/>
    <w:rsid w:val="003735B8"/>
    <w:rsid w:val="00373686"/>
    <w:rsid w:val="00373CB2"/>
    <w:rsid w:val="0037430B"/>
    <w:rsid w:val="00374478"/>
    <w:rsid w:val="003744CF"/>
    <w:rsid w:val="00374588"/>
    <w:rsid w:val="00374717"/>
    <w:rsid w:val="00375531"/>
    <w:rsid w:val="00375DB9"/>
    <w:rsid w:val="00375F21"/>
    <w:rsid w:val="003762D2"/>
    <w:rsid w:val="00376373"/>
    <w:rsid w:val="00376439"/>
    <w:rsid w:val="00376515"/>
    <w:rsid w:val="003765E8"/>
    <w:rsid w:val="0037676C"/>
    <w:rsid w:val="00376D9C"/>
    <w:rsid w:val="00376DFC"/>
    <w:rsid w:val="00376E5E"/>
    <w:rsid w:val="00377002"/>
    <w:rsid w:val="00377081"/>
    <w:rsid w:val="003773B6"/>
    <w:rsid w:val="003778BB"/>
    <w:rsid w:val="00377EC5"/>
    <w:rsid w:val="00381043"/>
    <w:rsid w:val="003814BC"/>
    <w:rsid w:val="00381A31"/>
    <w:rsid w:val="00381CE7"/>
    <w:rsid w:val="00381D42"/>
    <w:rsid w:val="00381D4A"/>
    <w:rsid w:val="00381D61"/>
    <w:rsid w:val="00381DCB"/>
    <w:rsid w:val="00381DE3"/>
    <w:rsid w:val="00382181"/>
    <w:rsid w:val="00382261"/>
    <w:rsid w:val="003823A2"/>
    <w:rsid w:val="003823C6"/>
    <w:rsid w:val="003826F3"/>
    <w:rsid w:val="003829E5"/>
    <w:rsid w:val="00382BEE"/>
    <w:rsid w:val="00382D0B"/>
    <w:rsid w:val="00383172"/>
    <w:rsid w:val="0038344D"/>
    <w:rsid w:val="00383524"/>
    <w:rsid w:val="00383882"/>
    <w:rsid w:val="00383C29"/>
    <w:rsid w:val="003841B6"/>
    <w:rsid w:val="003842A5"/>
    <w:rsid w:val="0038448C"/>
    <w:rsid w:val="003846DA"/>
    <w:rsid w:val="00384CC9"/>
    <w:rsid w:val="00384D5C"/>
    <w:rsid w:val="00384F52"/>
    <w:rsid w:val="00385561"/>
    <w:rsid w:val="003856F6"/>
    <w:rsid w:val="00385EDF"/>
    <w:rsid w:val="00386109"/>
    <w:rsid w:val="00386363"/>
    <w:rsid w:val="0038644A"/>
    <w:rsid w:val="00386944"/>
    <w:rsid w:val="00386C12"/>
    <w:rsid w:val="00386CE8"/>
    <w:rsid w:val="0038706E"/>
    <w:rsid w:val="00387672"/>
    <w:rsid w:val="00387733"/>
    <w:rsid w:val="00387D45"/>
    <w:rsid w:val="00387DC1"/>
    <w:rsid w:val="00390375"/>
    <w:rsid w:val="00390883"/>
    <w:rsid w:val="00390C27"/>
    <w:rsid w:val="00390D9A"/>
    <w:rsid w:val="00390E64"/>
    <w:rsid w:val="00390F71"/>
    <w:rsid w:val="003914E2"/>
    <w:rsid w:val="0039150B"/>
    <w:rsid w:val="00391CB6"/>
    <w:rsid w:val="003922BA"/>
    <w:rsid w:val="00392454"/>
    <w:rsid w:val="00392E87"/>
    <w:rsid w:val="0039389A"/>
    <w:rsid w:val="003939CE"/>
    <w:rsid w:val="00394170"/>
    <w:rsid w:val="00394305"/>
    <w:rsid w:val="0039492E"/>
    <w:rsid w:val="00394B33"/>
    <w:rsid w:val="00394E93"/>
    <w:rsid w:val="00394FF6"/>
    <w:rsid w:val="003956CC"/>
    <w:rsid w:val="00395C9A"/>
    <w:rsid w:val="00396236"/>
    <w:rsid w:val="00396971"/>
    <w:rsid w:val="003972B5"/>
    <w:rsid w:val="00397395"/>
    <w:rsid w:val="003975EE"/>
    <w:rsid w:val="00397B68"/>
    <w:rsid w:val="003A0108"/>
    <w:rsid w:val="003A018A"/>
    <w:rsid w:val="003A036A"/>
    <w:rsid w:val="003A0853"/>
    <w:rsid w:val="003A0914"/>
    <w:rsid w:val="003A0EAC"/>
    <w:rsid w:val="003A1382"/>
    <w:rsid w:val="003A1B41"/>
    <w:rsid w:val="003A1F0C"/>
    <w:rsid w:val="003A2093"/>
    <w:rsid w:val="003A2A0C"/>
    <w:rsid w:val="003A2D30"/>
    <w:rsid w:val="003A2E3D"/>
    <w:rsid w:val="003A3315"/>
    <w:rsid w:val="003A3C4D"/>
    <w:rsid w:val="003A3DA2"/>
    <w:rsid w:val="003A4220"/>
    <w:rsid w:val="003A42F9"/>
    <w:rsid w:val="003A4A41"/>
    <w:rsid w:val="003A4EB4"/>
    <w:rsid w:val="003A574F"/>
    <w:rsid w:val="003A584B"/>
    <w:rsid w:val="003A5AD6"/>
    <w:rsid w:val="003A5BCC"/>
    <w:rsid w:val="003A5F02"/>
    <w:rsid w:val="003A60A4"/>
    <w:rsid w:val="003A66D2"/>
    <w:rsid w:val="003A6B67"/>
    <w:rsid w:val="003A6F79"/>
    <w:rsid w:val="003A7307"/>
    <w:rsid w:val="003A7634"/>
    <w:rsid w:val="003A78ED"/>
    <w:rsid w:val="003A7B3F"/>
    <w:rsid w:val="003A7D2A"/>
    <w:rsid w:val="003A7FD0"/>
    <w:rsid w:val="003B05B8"/>
    <w:rsid w:val="003B06EA"/>
    <w:rsid w:val="003B0883"/>
    <w:rsid w:val="003B103C"/>
    <w:rsid w:val="003B11EE"/>
    <w:rsid w:val="003B131D"/>
    <w:rsid w:val="003B13B6"/>
    <w:rsid w:val="003B14A3"/>
    <w:rsid w:val="003B14C3"/>
    <w:rsid w:val="003B15E6"/>
    <w:rsid w:val="003B1756"/>
    <w:rsid w:val="003B19F5"/>
    <w:rsid w:val="003B1EA3"/>
    <w:rsid w:val="003B223F"/>
    <w:rsid w:val="003B22EF"/>
    <w:rsid w:val="003B2549"/>
    <w:rsid w:val="003B2FF8"/>
    <w:rsid w:val="003B312C"/>
    <w:rsid w:val="003B3206"/>
    <w:rsid w:val="003B33EA"/>
    <w:rsid w:val="003B37D8"/>
    <w:rsid w:val="003B408A"/>
    <w:rsid w:val="003B44E1"/>
    <w:rsid w:val="003B44FC"/>
    <w:rsid w:val="003B47BC"/>
    <w:rsid w:val="003B48F5"/>
    <w:rsid w:val="003B4D2A"/>
    <w:rsid w:val="003B4D6D"/>
    <w:rsid w:val="003B52C7"/>
    <w:rsid w:val="003B54C9"/>
    <w:rsid w:val="003B5DE8"/>
    <w:rsid w:val="003B6169"/>
    <w:rsid w:val="003B6439"/>
    <w:rsid w:val="003B650B"/>
    <w:rsid w:val="003B7458"/>
    <w:rsid w:val="003B7566"/>
    <w:rsid w:val="003B78D8"/>
    <w:rsid w:val="003B7CCB"/>
    <w:rsid w:val="003B7F46"/>
    <w:rsid w:val="003B7F86"/>
    <w:rsid w:val="003C03F7"/>
    <w:rsid w:val="003C087E"/>
    <w:rsid w:val="003C08A2"/>
    <w:rsid w:val="003C0B5A"/>
    <w:rsid w:val="003C0D3F"/>
    <w:rsid w:val="003C0E75"/>
    <w:rsid w:val="003C1097"/>
    <w:rsid w:val="003C1B58"/>
    <w:rsid w:val="003C1CA9"/>
    <w:rsid w:val="003C1EEE"/>
    <w:rsid w:val="003C2045"/>
    <w:rsid w:val="003C220F"/>
    <w:rsid w:val="003C2316"/>
    <w:rsid w:val="003C265D"/>
    <w:rsid w:val="003C27A3"/>
    <w:rsid w:val="003C2C78"/>
    <w:rsid w:val="003C3664"/>
    <w:rsid w:val="003C37E6"/>
    <w:rsid w:val="003C3876"/>
    <w:rsid w:val="003C3C56"/>
    <w:rsid w:val="003C3FBB"/>
    <w:rsid w:val="003C43A1"/>
    <w:rsid w:val="003C4415"/>
    <w:rsid w:val="003C4D3C"/>
    <w:rsid w:val="003C4DA7"/>
    <w:rsid w:val="003C4FC0"/>
    <w:rsid w:val="003C55F4"/>
    <w:rsid w:val="003C60B5"/>
    <w:rsid w:val="003C65AB"/>
    <w:rsid w:val="003C6B61"/>
    <w:rsid w:val="003C7014"/>
    <w:rsid w:val="003C7716"/>
    <w:rsid w:val="003C775E"/>
    <w:rsid w:val="003C7897"/>
    <w:rsid w:val="003C7A3F"/>
    <w:rsid w:val="003C7C45"/>
    <w:rsid w:val="003D0A9D"/>
    <w:rsid w:val="003D0D22"/>
    <w:rsid w:val="003D0D66"/>
    <w:rsid w:val="003D0E1B"/>
    <w:rsid w:val="003D2766"/>
    <w:rsid w:val="003D29A3"/>
    <w:rsid w:val="003D2A74"/>
    <w:rsid w:val="003D2CC8"/>
    <w:rsid w:val="003D3088"/>
    <w:rsid w:val="003D37FC"/>
    <w:rsid w:val="003D3D88"/>
    <w:rsid w:val="003D3E7B"/>
    <w:rsid w:val="003D3E8F"/>
    <w:rsid w:val="003D4735"/>
    <w:rsid w:val="003D49D9"/>
    <w:rsid w:val="003D4E70"/>
    <w:rsid w:val="003D58ED"/>
    <w:rsid w:val="003D5F9D"/>
    <w:rsid w:val="003D6313"/>
    <w:rsid w:val="003D63A8"/>
    <w:rsid w:val="003D6454"/>
    <w:rsid w:val="003D6475"/>
    <w:rsid w:val="003D6B01"/>
    <w:rsid w:val="003D6EE6"/>
    <w:rsid w:val="003D704D"/>
    <w:rsid w:val="003D7390"/>
    <w:rsid w:val="003D74A5"/>
    <w:rsid w:val="003D76BD"/>
    <w:rsid w:val="003D7B1E"/>
    <w:rsid w:val="003D7F23"/>
    <w:rsid w:val="003E05DE"/>
    <w:rsid w:val="003E0B2B"/>
    <w:rsid w:val="003E1035"/>
    <w:rsid w:val="003E11DC"/>
    <w:rsid w:val="003E1B46"/>
    <w:rsid w:val="003E1BF9"/>
    <w:rsid w:val="003E21E9"/>
    <w:rsid w:val="003E24B3"/>
    <w:rsid w:val="003E2D89"/>
    <w:rsid w:val="003E3558"/>
    <w:rsid w:val="003E375C"/>
    <w:rsid w:val="003E37CE"/>
    <w:rsid w:val="003E3A4A"/>
    <w:rsid w:val="003E3BA6"/>
    <w:rsid w:val="003E3C22"/>
    <w:rsid w:val="003E3DFE"/>
    <w:rsid w:val="003E3F16"/>
    <w:rsid w:val="003E4086"/>
    <w:rsid w:val="003E422E"/>
    <w:rsid w:val="003E4311"/>
    <w:rsid w:val="003E450D"/>
    <w:rsid w:val="003E487B"/>
    <w:rsid w:val="003E48E4"/>
    <w:rsid w:val="003E4C46"/>
    <w:rsid w:val="003E4E37"/>
    <w:rsid w:val="003E4F24"/>
    <w:rsid w:val="003E5014"/>
    <w:rsid w:val="003E52B0"/>
    <w:rsid w:val="003E5698"/>
    <w:rsid w:val="003E617E"/>
    <w:rsid w:val="003E61C5"/>
    <w:rsid w:val="003E6213"/>
    <w:rsid w:val="003E639E"/>
    <w:rsid w:val="003E6538"/>
    <w:rsid w:val="003E68C4"/>
    <w:rsid w:val="003E71E5"/>
    <w:rsid w:val="003E73B5"/>
    <w:rsid w:val="003E77C4"/>
    <w:rsid w:val="003E7FE1"/>
    <w:rsid w:val="003F0445"/>
    <w:rsid w:val="003F0CF0"/>
    <w:rsid w:val="003F112E"/>
    <w:rsid w:val="003F125B"/>
    <w:rsid w:val="003F14B1"/>
    <w:rsid w:val="003F1673"/>
    <w:rsid w:val="003F1C76"/>
    <w:rsid w:val="003F1E0D"/>
    <w:rsid w:val="003F214B"/>
    <w:rsid w:val="003F28B6"/>
    <w:rsid w:val="003F2AB2"/>
    <w:rsid w:val="003F2B20"/>
    <w:rsid w:val="003F2F15"/>
    <w:rsid w:val="003F309C"/>
    <w:rsid w:val="003F3289"/>
    <w:rsid w:val="003F36E0"/>
    <w:rsid w:val="003F3766"/>
    <w:rsid w:val="003F3ADA"/>
    <w:rsid w:val="003F3C62"/>
    <w:rsid w:val="003F3C8E"/>
    <w:rsid w:val="003F3CCA"/>
    <w:rsid w:val="003F3FEB"/>
    <w:rsid w:val="003F41B8"/>
    <w:rsid w:val="003F4A75"/>
    <w:rsid w:val="003F4B2C"/>
    <w:rsid w:val="003F4B76"/>
    <w:rsid w:val="003F4CC4"/>
    <w:rsid w:val="003F4D83"/>
    <w:rsid w:val="003F5C22"/>
    <w:rsid w:val="003F5CB9"/>
    <w:rsid w:val="003F5E4D"/>
    <w:rsid w:val="003F6134"/>
    <w:rsid w:val="003F6168"/>
    <w:rsid w:val="003F6E14"/>
    <w:rsid w:val="003F6F6F"/>
    <w:rsid w:val="003F716D"/>
    <w:rsid w:val="003F7314"/>
    <w:rsid w:val="003F74F1"/>
    <w:rsid w:val="003F7889"/>
    <w:rsid w:val="003F7AA6"/>
    <w:rsid w:val="003F7E8A"/>
    <w:rsid w:val="004003FE"/>
    <w:rsid w:val="004004DB"/>
    <w:rsid w:val="00400532"/>
    <w:rsid w:val="0040075C"/>
    <w:rsid w:val="00400828"/>
    <w:rsid w:val="00400B88"/>
    <w:rsid w:val="00400CAC"/>
    <w:rsid w:val="0040102D"/>
    <w:rsid w:val="004012EF"/>
    <w:rsid w:val="004013C7"/>
    <w:rsid w:val="0040150B"/>
    <w:rsid w:val="00401E34"/>
    <w:rsid w:val="00401E5C"/>
    <w:rsid w:val="00401FCF"/>
    <w:rsid w:val="004021FE"/>
    <w:rsid w:val="0040238E"/>
    <w:rsid w:val="004029AE"/>
    <w:rsid w:val="00402AB6"/>
    <w:rsid w:val="00402D3A"/>
    <w:rsid w:val="00403013"/>
    <w:rsid w:val="004032E5"/>
    <w:rsid w:val="004035F5"/>
    <w:rsid w:val="004035FB"/>
    <w:rsid w:val="00403C0B"/>
    <w:rsid w:val="00403C1C"/>
    <w:rsid w:val="00403EE1"/>
    <w:rsid w:val="00404068"/>
    <w:rsid w:val="00404092"/>
    <w:rsid w:val="00404169"/>
    <w:rsid w:val="0040439D"/>
    <w:rsid w:val="0040465C"/>
    <w:rsid w:val="00405680"/>
    <w:rsid w:val="00405F25"/>
    <w:rsid w:val="00405F69"/>
    <w:rsid w:val="00405FF6"/>
    <w:rsid w:val="00406285"/>
    <w:rsid w:val="0040643D"/>
    <w:rsid w:val="004064DD"/>
    <w:rsid w:val="00406C46"/>
    <w:rsid w:val="00406D62"/>
    <w:rsid w:val="00406F0F"/>
    <w:rsid w:val="00406FDF"/>
    <w:rsid w:val="004071CB"/>
    <w:rsid w:val="00407253"/>
    <w:rsid w:val="004074B2"/>
    <w:rsid w:val="004076E7"/>
    <w:rsid w:val="0040782C"/>
    <w:rsid w:val="00407A8C"/>
    <w:rsid w:val="004100B2"/>
    <w:rsid w:val="0041077A"/>
    <w:rsid w:val="004107D5"/>
    <w:rsid w:val="00410850"/>
    <w:rsid w:val="00410B93"/>
    <w:rsid w:val="00410D5C"/>
    <w:rsid w:val="00410FDB"/>
    <w:rsid w:val="00411438"/>
    <w:rsid w:val="004115A2"/>
    <w:rsid w:val="004116A3"/>
    <w:rsid w:val="00411778"/>
    <w:rsid w:val="00411817"/>
    <w:rsid w:val="00411929"/>
    <w:rsid w:val="00411F36"/>
    <w:rsid w:val="004124F2"/>
    <w:rsid w:val="0041269C"/>
    <w:rsid w:val="00412A0F"/>
    <w:rsid w:val="00412D33"/>
    <w:rsid w:val="004133B2"/>
    <w:rsid w:val="00413573"/>
    <w:rsid w:val="00413855"/>
    <w:rsid w:val="004138AE"/>
    <w:rsid w:val="004139C3"/>
    <w:rsid w:val="00413BF2"/>
    <w:rsid w:val="00413CBA"/>
    <w:rsid w:val="00413FFD"/>
    <w:rsid w:val="00414514"/>
    <w:rsid w:val="004148F9"/>
    <w:rsid w:val="00414D92"/>
    <w:rsid w:val="0041525A"/>
    <w:rsid w:val="00415452"/>
    <w:rsid w:val="004154E3"/>
    <w:rsid w:val="00415652"/>
    <w:rsid w:val="00415691"/>
    <w:rsid w:val="004159A8"/>
    <w:rsid w:val="00415F99"/>
    <w:rsid w:val="00416B63"/>
    <w:rsid w:val="00416CDC"/>
    <w:rsid w:val="00416FE4"/>
    <w:rsid w:val="0041703D"/>
    <w:rsid w:val="00417333"/>
    <w:rsid w:val="004174C2"/>
    <w:rsid w:val="004175E1"/>
    <w:rsid w:val="00417A43"/>
    <w:rsid w:val="00417CBB"/>
    <w:rsid w:val="00417D19"/>
    <w:rsid w:val="00420254"/>
    <w:rsid w:val="0042084E"/>
    <w:rsid w:val="00420C3D"/>
    <w:rsid w:val="00420CF8"/>
    <w:rsid w:val="00420DAB"/>
    <w:rsid w:val="00420F4B"/>
    <w:rsid w:val="004215A4"/>
    <w:rsid w:val="00421E52"/>
    <w:rsid w:val="00421EEF"/>
    <w:rsid w:val="0042211A"/>
    <w:rsid w:val="00422D11"/>
    <w:rsid w:val="00423AE6"/>
    <w:rsid w:val="00423ED3"/>
    <w:rsid w:val="0042430B"/>
    <w:rsid w:val="00424B57"/>
    <w:rsid w:val="00424D65"/>
    <w:rsid w:val="00425535"/>
    <w:rsid w:val="004255E1"/>
    <w:rsid w:val="00425A8E"/>
    <w:rsid w:val="00425CDB"/>
    <w:rsid w:val="0042628E"/>
    <w:rsid w:val="00426497"/>
    <w:rsid w:val="004268A4"/>
    <w:rsid w:val="00426B7A"/>
    <w:rsid w:val="00426CE0"/>
    <w:rsid w:val="00426CEE"/>
    <w:rsid w:val="00426E05"/>
    <w:rsid w:val="00426E45"/>
    <w:rsid w:val="004270AF"/>
    <w:rsid w:val="00427193"/>
    <w:rsid w:val="00427798"/>
    <w:rsid w:val="00427840"/>
    <w:rsid w:val="00427889"/>
    <w:rsid w:val="00427994"/>
    <w:rsid w:val="00427A9C"/>
    <w:rsid w:val="00427C49"/>
    <w:rsid w:val="00427FB8"/>
    <w:rsid w:val="00430393"/>
    <w:rsid w:val="004303D6"/>
    <w:rsid w:val="0043043A"/>
    <w:rsid w:val="0043053D"/>
    <w:rsid w:val="00431103"/>
    <w:rsid w:val="00431806"/>
    <w:rsid w:val="00431A70"/>
    <w:rsid w:val="00431ADF"/>
    <w:rsid w:val="00431F42"/>
    <w:rsid w:val="00431F5B"/>
    <w:rsid w:val="00431FFB"/>
    <w:rsid w:val="00432657"/>
    <w:rsid w:val="00433299"/>
    <w:rsid w:val="004332E6"/>
    <w:rsid w:val="0043341A"/>
    <w:rsid w:val="0043365A"/>
    <w:rsid w:val="0043469E"/>
    <w:rsid w:val="004347F8"/>
    <w:rsid w:val="0043532C"/>
    <w:rsid w:val="004359E3"/>
    <w:rsid w:val="0043618E"/>
    <w:rsid w:val="0043622E"/>
    <w:rsid w:val="00436573"/>
    <w:rsid w:val="00436957"/>
    <w:rsid w:val="00436FB9"/>
    <w:rsid w:val="004372F8"/>
    <w:rsid w:val="004378EA"/>
    <w:rsid w:val="004400B5"/>
    <w:rsid w:val="0044041D"/>
    <w:rsid w:val="00440A97"/>
    <w:rsid w:val="00441113"/>
    <w:rsid w:val="00441266"/>
    <w:rsid w:val="0044131E"/>
    <w:rsid w:val="00441918"/>
    <w:rsid w:val="004419C8"/>
    <w:rsid w:val="00441EBE"/>
    <w:rsid w:val="00442266"/>
    <w:rsid w:val="00442271"/>
    <w:rsid w:val="00442374"/>
    <w:rsid w:val="00442398"/>
    <w:rsid w:val="00442546"/>
    <w:rsid w:val="004426CE"/>
    <w:rsid w:val="00442C6C"/>
    <w:rsid w:val="00443717"/>
    <w:rsid w:val="00443C65"/>
    <w:rsid w:val="00443CBE"/>
    <w:rsid w:val="00443E8A"/>
    <w:rsid w:val="004441BC"/>
    <w:rsid w:val="004443A0"/>
    <w:rsid w:val="00444C24"/>
    <w:rsid w:val="00444C50"/>
    <w:rsid w:val="00445411"/>
    <w:rsid w:val="004455EF"/>
    <w:rsid w:val="004456D7"/>
    <w:rsid w:val="00445B8C"/>
    <w:rsid w:val="00445BAF"/>
    <w:rsid w:val="00445C4A"/>
    <w:rsid w:val="00445D39"/>
    <w:rsid w:val="00445E98"/>
    <w:rsid w:val="0044608F"/>
    <w:rsid w:val="004464AC"/>
    <w:rsid w:val="00446819"/>
    <w:rsid w:val="0044683D"/>
    <w:rsid w:val="004468B4"/>
    <w:rsid w:val="00446B55"/>
    <w:rsid w:val="00446D86"/>
    <w:rsid w:val="00446E54"/>
    <w:rsid w:val="00446ECB"/>
    <w:rsid w:val="004470CC"/>
    <w:rsid w:val="004474E4"/>
    <w:rsid w:val="00447895"/>
    <w:rsid w:val="004479A4"/>
    <w:rsid w:val="004503B0"/>
    <w:rsid w:val="00450C57"/>
    <w:rsid w:val="00450E7D"/>
    <w:rsid w:val="004513AC"/>
    <w:rsid w:val="004515BB"/>
    <w:rsid w:val="00451734"/>
    <w:rsid w:val="004519DC"/>
    <w:rsid w:val="00451C55"/>
    <w:rsid w:val="0045208F"/>
    <w:rsid w:val="0045230A"/>
    <w:rsid w:val="0045247A"/>
    <w:rsid w:val="004524E5"/>
    <w:rsid w:val="00452823"/>
    <w:rsid w:val="00453985"/>
    <w:rsid w:val="00454A7D"/>
    <w:rsid w:val="00454AD0"/>
    <w:rsid w:val="00454D31"/>
    <w:rsid w:val="00454EC3"/>
    <w:rsid w:val="004554FD"/>
    <w:rsid w:val="00455B07"/>
    <w:rsid w:val="00455B86"/>
    <w:rsid w:val="00455B93"/>
    <w:rsid w:val="00456063"/>
    <w:rsid w:val="00456617"/>
    <w:rsid w:val="00456622"/>
    <w:rsid w:val="00456663"/>
    <w:rsid w:val="00456762"/>
    <w:rsid w:val="00457337"/>
    <w:rsid w:val="00457477"/>
    <w:rsid w:val="004578AF"/>
    <w:rsid w:val="00457D44"/>
    <w:rsid w:val="00460014"/>
    <w:rsid w:val="004601B5"/>
    <w:rsid w:val="0046187E"/>
    <w:rsid w:val="00461C48"/>
    <w:rsid w:val="00462E3D"/>
    <w:rsid w:val="00463233"/>
    <w:rsid w:val="00463424"/>
    <w:rsid w:val="004637BA"/>
    <w:rsid w:val="00463E0C"/>
    <w:rsid w:val="00464072"/>
    <w:rsid w:val="00464569"/>
    <w:rsid w:val="00464ABA"/>
    <w:rsid w:val="00464BAD"/>
    <w:rsid w:val="00464E9F"/>
    <w:rsid w:val="0046541D"/>
    <w:rsid w:val="004665AB"/>
    <w:rsid w:val="004666EB"/>
    <w:rsid w:val="004667D1"/>
    <w:rsid w:val="00466E4D"/>
    <w:rsid w:val="00466E79"/>
    <w:rsid w:val="0046775B"/>
    <w:rsid w:val="00467C8B"/>
    <w:rsid w:val="00467C9E"/>
    <w:rsid w:val="00467E67"/>
    <w:rsid w:val="00470B7B"/>
    <w:rsid w:val="00470D7D"/>
    <w:rsid w:val="00471010"/>
    <w:rsid w:val="0047121A"/>
    <w:rsid w:val="004716F0"/>
    <w:rsid w:val="0047188B"/>
    <w:rsid w:val="00471D91"/>
    <w:rsid w:val="0047222E"/>
    <w:rsid w:val="004723C5"/>
    <w:rsid w:val="0047258D"/>
    <w:rsid w:val="004725C8"/>
    <w:rsid w:val="004729B5"/>
    <w:rsid w:val="00472D01"/>
    <w:rsid w:val="00472F05"/>
    <w:rsid w:val="00473137"/>
    <w:rsid w:val="00473393"/>
    <w:rsid w:val="00473708"/>
    <w:rsid w:val="0047372D"/>
    <w:rsid w:val="00473A31"/>
    <w:rsid w:val="00473BA3"/>
    <w:rsid w:val="00473F7A"/>
    <w:rsid w:val="004743DD"/>
    <w:rsid w:val="00474CEA"/>
    <w:rsid w:val="00474DE5"/>
    <w:rsid w:val="004751F7"/>
    <w:rsid w:val="00475617"/>
    <w:rsid w:val="00475FD3"/>
    <w:rsid w:val="00476576"/>
    <w:rsid w:val="004765F2"/>
    <w:rsid w:val="00476FFC"/>
    <w:rsid w:val="00477356"/>
    <w:rsid w:val="00477682"/>
    <w:rsid w:val="0047792B"/>
    <w:rsid w:val="0048017A"/>
    <w:rsid w:val="00480553"/>
    <w:rsid w:val="00480839"/>
    <w:rsid w:val="00480BAE"/>
    <w:rsid w:val="0048107B"/>
    <w:rsid w:val="004817B6"/>
    <w:rsid w:val="00481E1D"/>
    <w:rsid w:val="004821E2"/>
    <w:rsid w:val="004830F4"/>
    <w:rsid w:val="00483537"/>
    <w:rsid w:val="00483659"/>
    <w:rsid w:val="00483779"/>
    <w:rsid w:val="004838D6"/>
    <w:rsid w:val="00483968"/>
    <w:rsid w:val="00483C0A"/>
    <w:rsid w:val="00483D93"/>
    <w:rsid w:val="004841BE"/>
    <w:rsid w:val="004846C0"/>
    <w:rsid w:val="00484AE6"/>
    <w:rsid w:val="00484F86"/>
    <w:rsid w:val="00484F97"/>
    <w:rsid w:val="00485BD6"/>
    <w:rsid w:val="00485E96"/>
    <w:rsid w:val="0048622A"/>
    <w:rsid w:val="00486EE6"/>
    <w:rsid w:val="00486EF4"/>
    <w:rsid w:val="00487B06"/>
    <w:rsid w:val="00487C67"/>
    <w:rsid w:val="0049005A"/>
    <w:rsid w:val="0049025E"/>
    <w:rsid w:val="00490367"/>
    <w:rsid w:val="00490746"/>
    <w:rsid w:val="00490852"/>
    <w:rsid w:val="004910CC"/>
    <w:rsid w:val="0049113D"/>
    <w:rsid w:val="0049135C"/>
    <w:rsid w:val="004914F1"/>
    <w:rsid w:val="0049160B"/>
    <w:rsid w:val="00491750"/>
    <w:rsid w:val="00491833"/>
    <w:rsid w:val="004918FB"/>
    <w:rsid w:val="00491C9C"/>
    <w:rsid w:val="004925D5"/>
    <w:rsid w:val="0049271B"/>
    <w:rsid w:val="004927E4"/>
    <w:rsid w:val="00492F30"/>
    <w:rsid w:val="004930ED"/>
    <w:rsid w:val="004938A8"/>
    <w:rsid w:val="00493BB8"/>
    <w:rsid w:val="00493C30"/>
    <w:rsid w:val="004940A5"/>
    <w:rsid w:val="0049444C"/>
    <w:rsid w:val="004946F4"/>
    <w:rsid w:val="0049472E"/>
    <w:rsid w:val="0049487E"/>
    <w:rsid w:val="00494CED"/>
    <w:rsid w:val="00495554"/>
    <w:rsid w:val="004965A4"/>
    <w:rsid w:val="004965C4"/>
    <w:rsid w:val="00496B8D"/>
    <w:rsid w:val="00496BE7"/>
    <w:rsid w:val="00497358"/>
    <w:rsid w:val="00497A3D"/>
    <w:rsid w:val="00497A94"/>
    <w:rsid w:val="004A052B"/>
    <w:rsid w:val="004A1177"/>
    <w:rsid w:val="004A160D"/>
    <w:rsid w:val="004A1A7E"/>
    <w:rsid w:val="004A1BCA"/>
    <w:rsid w:val="004A2668"/>
    <w:rsid w:val="004A2825"/>
    <w:rsid w:val="004A2C57"/>
    <w:rsid w:val="004A31F5"/>
    <w:rsid w:val="004A33AF"/>
    <w:rsid w:val="004A3B7C"/>
    <w:rsid w:val="004A3E81"/>
    <w:rsid w:val="004A4195"/>
    <w:rsid w:val="004A420B"/>
    <w:rsid w:val="004A425F"/>
    <w:rsid w:val="004A48A1"/>
    <w:rsid w:val="004A4962"/>
    <w:rsid w:val="004A4A5F"/>
    <w:rsid w:val="004A4F2D"/>
    <w:rsid w:val="004A5C62"/>
    <w:rsid w:val="004A5CE5"/>
    <w:rsid w:val="004A6300"/>
    <w:rsid w:val="004A707D"/>
    <w:rsid w:val="004A7502"/>
    <w:rsid w:val="004A75BB"/>
    <w:rsid w:val="004A764D"/>
    <w:rsid w:val="004A7883"/>
    <w:rsid w:val="004A7AA5"/>
    <w:rsid w:val="004A7C33"/>
    <w:rsid w:val="004A7C5B"/>
    <w:rsid w:val="004B00AB"/>
    <w:rsid w:val="004B0333"/>
    <w:rsid w:val="004B03EB"/>
    <w:rsid w:val="004B051C"/>
    <w:rsid w:val="004B0531"/>
    <w:rsid w:val="004B0693"/>
    <w:rsid w:val="004B0974"/>
    <w:rsid w:val="004B0CC3"/>
    <w:rsid w:val="004B0DBE"/>
    <w:rsid w:val="004B0F44"/>
    <w:rsid w:val="004B128E"/>
    <w:rsid w:val="004B1D50"/>
    <w:rsid w:val="004B1FB4"/>
    <w:rsid w:val="004B2482"/>
    <w:rsid w:val="004B259C"/>
    <w:rsid w:val="004B26D5"/>
    <w:rsid w:val="004B2AF7"/>
    <w:rsid w:val="004B2E1C"/>
    <w:rsid w:val="004B31D4"/>
    <w:rsid w:val="004B34E4"/>
    <w:rsid w:val="004B35BC"/>
    <w:rsid w:val="004B37D2"/>
    <w:rsid w:val="004B3E5B"/>
    <w:rsid w:val="004B3EBC"/>
    <w:rsid w:val="004B4185"/>
    <w:rsid w:val="004B41A3"/>
    <w:rsid w:val="004B5002"/>
    <w:rsid w:val="004B50E4"/>
    <w:rsid w:val="004B530A"/>
    <w:rsid w:val="004B53C6"/>
    <w:rsid w:val="004B5542"/>
    <w:rsid w:val="004B5B21"/>
    <w:rsid w:val="004B6067"/>
    <w:rsid w:val="004B673C"/>
    <w:rsid w:val="004B68CD"/>
    <w:rsid w:val="004B78CF"/>
    <w:rsid w:val="004C0436"/>
    <w:rsid w:val="004C0483"/>
    <w:rsid w:val="004C097D"/>
    <w:rsid w:val="004C0D82"/>
    <w:rsid w:val="004C0F0C"/>
    <w:rsid w:val="004C1490"/>
    <w:rsid w:val="004C16E2"/>
    <w:rsid w:val="004C1C17"/>
    <w:rsid w:val="004C25C4"/>
    <w:rsid w:val="004C268B"/>
    <w:rsid w:val="004C4200"/>
    <w:rsid w:val="004C4218"/>
    <w:rsid w:val="004C4351"/>
    <w:rsid w:val="004C49B2"/>
    <w:rsid w:val="004C4BF6"/>
    <w:rsid w:val="004C4FAB"/>
    <w:rsid w:val="004C508C"/>
    <w:rsid w:val="004C5541"/>
    <w:rsid w:val="004C56E5"/>
    <w:rsid w:val="004C574D"/>
    <w:rsid w:val="004C5761"/>
    <w:rsid w:val="004C58CD"/>
    <w:rsid w:val="004C6ABD"/>
    <w:rsid w:val="004C6B64"/>
    <w:rsid w:val="004C6C12"/>
    <w:rsid w:val="004C6D3D"/>
    <w:rsid w:val="004C6EEE"/>
    <w:rsid w:val="004C6FE8"/>
    <w:rsid w:val="004C702B"/>
    <w:rsid w:val="004C7B4B"/>
    <w:rsid w:val="004D0033"/>
    <w:rsid w:val="004D00AE"/>
    <w:rsid w:val="004D016B"/>
    <w:rsid w:val="004D01A9"/>
    <w:rsid w:val="004D01AF"/>
    <w:rsid w:val="004D04DB"/>
    <w:rsid w:val="004D06DC"/>
    <w:rsid w:val="004D08FA"/>
    <w:rsid w:val="004D0B74"/>
    <w:rsid w:val="004D0DF8"/>
    <w:rsid w:val="004D0E6A"/>
    <w:rsid w:val="004D10ED"/>
    <w:rsid w:val="004D1B22"/>
    <w:rsid w:val="004D1C71"/>
    <w:rsid w:val="004D1F3E"/>
    <w:rsid w:val="004D1F72"/>
    <w:rsid w:val="004D223C"/>
    <w:rsid w:val="004D23CC"/>
    <w:rsid w:val="004D2589"/>
    <w:rsid w:val="004D2644"/>
    <w:rsid w:val="004D2798"/>
    <w:rsid w:val="004D2D51"/>
    <w:rsid w:val="004D2D62"/>
    <w:rsid w:val="004D32FD"/>
    <w:rsid w:val="004D33F0"/>
    <w:rsid w:val="004D3603"/>
    <w:rsid w:val="004D36A6"/>
    <w:rsid w:val="004D36F2"/>
    <w:rsid w:val="004D39C9"/>
    <w:rsid w:val="004D3A25"/>
    <w:rsid w:val="004D3E6E"/>
    <w:rsid w:val="004D47CD"/>
    <w:rsid w:val="004D4D16"/>
    <w:rsid w:val="004D5B8A"/>
    <w:rsid w:val="004D5B8F"/>
    <w:rsid w:val="004D604C"/>
    <w:rsid w:val="004D66FE"/>
    <w:rsid w:val="004D6C9F"/>
    <w:rsid w:val="004D6F3D"/>
    <w:rsid w:val="004D7101"/>
    <w:rsid w:val="004D78A6"/>
    <w:rsid w:val="004D7B67"/>
    <w:rsid w:val="004D7EEE"/>
    <w:rsid w:val="004E0245"/>
    <w:rsid w:val="004E0301"/>
    <w:rsid w:val="004E06D2"/>
    <w:rsid w:val="004E06F2"/>
    <w:rsid w:val="004E0707"/>
    <w:rsid w:val="004E0723"/>
    <w:rsid w:val="004E0779"/>
    <w:rsid w:val="004E0828"/>
    <w:rsid w:val="004E08F7"/>
    <w:rsid w:val="004E0C0D"/>
    <w:rsid w:val="004E0F08"/>
    <w:rsid w:val="004E1106"/>
    <w:rsid w:val="004E138F"/>
    <w:rsid w:val="004E1856"/>
    <w:rsid w:val="004E1D4A"/>
    <w:rsid w:val="004E25B9"/>
    <w:rsid w:val="004E2C13"/>
    <w:rsid w:val="004E2C58"/>
    <w:rsid w:val="004E305B"/>
    <w:rsid w:val="004E31BD"/>
    <w:rsid w:val="004E38DF"/>
    <w:rsid w:val="004E3916"/>
    <w:rsid w:val="004E3CD0"/>
    <w:rsid w:val="004E3FD8"/>
    <w:rsid w:val="004E4168"/>
    <w:rsid w:val="004E4488"/>
    <w:rsid w:val="004E459D"/>
    <w:rsid w:val="004E4649"/>
    <w:rsid w:val="004E48B8"/>
    <w:rsid w:val="004E48BD"/>
    <w:rsid w:val="004E4AF7"/>
    <w:rsid w:val="004E4F54"/>
    <w:rsid w:val="004E530F"/>
    <w:rsid w:val="004E5312"/>
    <w:rsid w:val="004E5536"/>
    <w:rsid w:val="004E5C2B"/>
    <w:rsid w:val="004E5C8C"/>
    <w:rsid w:val="004E6CA9"/>
    <w:rsid w:val="004E70CD"/>
    <w:rsid w:val="004E76D7"/>
    <w:rsid w:val="004E7851"/>
    <w:rsid w:val="004E7DBE"/>
    <w:rsid w:val="004E7F4A"/>
    <w:rsid w:val="004F0057"/>
    <w:rsid w:val="004F00DD"/>
    <w:rsid w:val="004F02F4"/>
    <w:rsid w:val="004F0462"/>
    <w:rsid w:val="004F05D2"/>
    <w:rsid w:val="004F0DE9"/>
    <w:rsid w:val="004F1517"/>
    <w:rsid w:val="004F1DC2"/>
    <w:rsid w:val="004F1FC3"/>
    <w:rsid w:val="004F2133"/>
    <w:rsid w:val="004F2561"/>
    <w:rsid w:val="004F2A0C"/>
    <w:rsid w:val="004F2E88"/>
    <w:rsid w:val="004F38F6"/>
    <w:rsid w:val="004F433A"/>
    <w:rsid w:val="004F50FB"/>
    <w:rsid w:val="004F5320"/>
    <w:rsid w:val="004F5398"/>
    <w:rsid w:val="004F552C"/>
    <w:rsid w:val="004F55F1"/>
    <w:rsid w:val="004F5849"/>
    <w:rsid w:val="004F58A3"/>
    <w:rsid w:val="004F5DB9"/>
    <w:rsid w:val="004F6100"/>
    <w:rsid w:val="004F6936"/>
    <w:rsid w:val="004F6C59"/>
    <w:rsid w:val="004F6F36"/>
    <w:rsid w:val="004F702D"/>
    <w:rsid w:val="004F7098"/>
    <w:rsid w:val="004F77F5"/>
    <w:rsid w:val="004F7F92"/>
    <w:rsid w:val="004F7FA7"/>
    <w:rsid w:val="00500120"/>
    <w:rsid w:val="00500B7D"/>
    <w:rsid w:val="0050134C"/>
    <w:rsid w:val="00501570"/>
    <w:rsid w:val="0050197A"/>
    <w:rsid w:val="00501A66"/>
    <w:rsid w:val="00501CB5"/>
    <w:rsid w:val="00501EEA"/>
    <w:rsid w:val="00501F92"/>
    <w:rsid w:val="005020E9"/>
    <w:rsid w:val="005021E3"/>
    <w:rsid w:val="0050224C"/>
    <w:rsid w:val="00502842"/>
    <w:rsid w:val="00502A93"/>
    <w:rsid w:val="00502DB6"/>
    <w:rsid w:val="005030EB"/>
    <w:rsid w:val="0050379B"/>
    <w:rsid w:val="005038CF"/>
    <w:rsid w:val="00503957"/>
    <w:rsid w:val="005039C5"/>
    <w:rsid w:val="00503DC6"/>
    <w:rsid w:val="0050472F"/>
    <w:rsid w:val="0050492A"/>
    <w:rsid w:val="00504B1E"/>
    <w:rsid w:val="00504B8C"/>
    <w:rsid w:val="00504CA9"/>
    <w:rsid w:val="00504E5B"/>
    <w:rsid w:val="005055BC"/>
    <w:rsid w:val="00505678"/>
    <w:rsid w:val="005056EE"/>
    <w:rsid w:val="00505CF1"/>
    <w:rsid w:val="0050653D"/>
    <w:rsid w:val="00506903"/>
    <w:rsid w:val="005069C1"/>
    <w:rsid w:val="00506F5D"/>
    <w:rsid w:val="00507278"/>
    <w:rsid w:val="00507E69"/>
    <w:rsid w:val="00507FAB"/>
    <w:rsid w:val="00510C0B"/>
    <w:rsid w:val="00510C37"/>
    <w:rsid w:val="005112B5"/>
    <w:rsid w:val="00511AB0"/>
    <w:rsid w:val="00511BE8"/>
    <w:rsid w:val="005126D0"/>
    <w:rsid w:val="00512718"/>
    <w:rsid w:val="00512740"/>
    <w:rsid w:val="00512B86"/>
    <w:rsid w:val="00512CC0"/>
    <w:rsid w:val="00512F87"/>
    <w:rsid w:val="00513976"/>
    <w:rsid w:val="00513C15"/>
    <w:rsid w:val="00513D7F"/>
    <w:rsid w:val="005143FE"/>
    <w:rsid w:val="00514667"/>
    <w:rsid w:val="00514CF8"/>
    <w:rsid w:val="00514D4E"/>
    <w:rsid w:val="0051568D"/>
    <w:rsid w:val="00515A41"/>
    <w:rsid w:val="00516516"/>
    <w:rsid w:val="00516992"/>
    <w:rsid w:val="00516B77"/>
    <w:rsid w:val="00516C5A"/>
    <w:rsid w:val="00516EB0"/>
    <w:rsid w:val="00516FC3"/>
    <w:rsid w:val="00517A12"/>
    <w:rsid w:val="00517B50"/>
    <w:rsid w:val="00517DC1"/>
    <w:rsid w:val="00520F07"/>
    <w:rsid w:val="00521003"/>
    <w:rsid w:val="00521326"/>
    <w:rsid w:val="0052165B"/>
    <w:rsid w:val="005216C4"/>
    <w:rsid w:val="005218D3"/>
    <w:rsid w:val="00521B45"/>
    <w:rsid w:val="00521D49"/>
    <w:rsid w:val="0052219B"/>
    <w:rsid w:val="005222BA"/>
    <w:rsid w:val="0052260D"/>
    <w:rsid w:val="00522651"/>
    <w:rsid w:val="00522E55"/>
    <w:rsid w:val="0052342A"/>
    <w:rsid w:val="005236EB"/>
    <w:rsid w:val="0052387B"/>
    <w:rsid w:val="00523AA0"/>
    <w:rsid w:val="00523FF6"/>
    <w:rsid w:val="00524108"/>
    <w:rsid w:val="00524A6E"/>
    <w:rsid w:val="00524DCC"/>
    <w:rsid w:val="0052578C"/>
    <w:rsid w:val="00525DB4"/>
    <w:rsid w:val="00526186"/>
    <w:rsid w:val="00526710"/>
    <w:rsid w:val="00526827"/>
    <w:rsid w:val="0052693E"/>
    <w:rsid w:val="00526AC7"/>
    <w:rsid w:val="00526B2C"/>
    <w:rsid w:val="00526C15"/>
    <w:rsid w:val="00527B18"/>
    <w:rsid w:val="00527C8B"/>
    <w:rsid w:val="005302E6"/>
    <w:rsid w:val="00531294"/>
    <w:rsid w:val="00531B84"/>
    <w:rsid w:val="00531D24"/>
    <w:rsid w:val="00532253"/>
    <w:rsid w:val="00532655"/>
    <w:rsid w:val="00532798"/>
    <w:rsid w:val="00532BBD"/>
    <w:rsid w:val="00532D8F"/>
    <w:rsid w:val="00532DFA"/>
    <w:rsid w:val="00533404"/>
    <w:rsid w:val="0053357E"/>
    <w:rsid w:val="005336BC"/>
    <w:rsid w:val="00533743"/>
    <w:rsid w:val="00533A6E"/>
    <w:rsid w:val="00533BBF"/>
    <w:rsid w:val="00533DD4"/>
    <w:rsid w:val="0053425E"/>
    <w:rsid w:val="00534299"/>
    <w:rsid w:val="00534E8D"/>
    <w:rsid w:val="00534FD5"/>
    <w:rsid w:val="00535195"/>
    <w:rsid w:val="00535709"/>
    <w:rsid w:val="00535994"/>
    <w:rsid w:val="005359D8"/>
    <w:rsid w:val="00535F97"/>
    <w:rsid w:val="0053641A"/>
    <w:rsid w:val="00536499"/>
    <w:rsid w:val="00536629"/>
    <w:rsid w:val="005367C7"/>
    <w:rsid w:val="005368FF"/>
    <w:rsid w:val="0053760F"/>
    <w:rsid w:val="00537972"/>
    <w:rsid w:val="00537AA6"/>
    <w:rsid w:val="00537CD1"/>
    <w:rsid w:val="00537DAC"/>
    <w:rsid w:val="00537F9E"/>
    <w:rsid w:val="005405EB"/>
    <w:rsid w:val="005407C6"/>
    <w:rsid w:val="005409D1"/>
    <w:rsid w:val="00540D07"/>
    <w:rsid w:val="00540E93"/>
    <w:rsid w:val="00541468"/>
    <w:rsid w:val="005414AC"/>
    <w:rsid w:val="00541896"/>
    <w:rsid w:val="00541FE7"/>
    <w:rsid w:val="0054216C"/>
    <w:rsid w:val="0054244B"/>
    <w:rsid w:val="00542A03"/>
    <w:rsid w:val="00542B6E"/>
    <w:rsid w:val="00542CF1"/>
    <w:rsid w:val="00542CF7"/>
    <w:rsid w:val="00542EED"/>
    <w:rsid w:val="00543903"/>
    <w:rsid w:val="00543A7F"/>
    <w:rsid w:val="00543BCC"/>
    <w:rsid w:val="00543F11"/>
    <w:rsid w:val="00543FB7"/>
    <w:rsid w:val="00544135"/>
    <w:rsid w:val="005443DC"/>
    <w:rsid w:val="0054448A"/>
    <w:rsid w:val="00544BB0"/>
    <w:rsid w:val="00544E7A"/>
    <w:rsid w:val="00544F5A"/>
    <w:rsid w:val="005450D5"/>
    <w:rsid w:val="00545ADF"/>
    <w:rsid w:val="00545B0C"/>
    <w:rsid w:val="00546305"/>
    <w:rsid w:val="00546B6A"/>
    <w:rsid w:val="00546CCE"/>
    <w:rsid w:val="00546CEB"/>
    <w:rsid w:val="00546EED"/>
    <w:rsid w:val="005472DE"/>
    <w:rsid w:val="0054734D"/>
    <w:rsid w:val="0054746C"/>
    <w:rsid w:val="00547A95"/>
    <w:rsid w:val="00547B81"/>
    <w:rsid w:val="00550814"/>
    <w:rsid w:val="00550C9A"/>
    <w:rsid w:val="00550CBB"/>
    <w:rsid w:val="0055119B"/>
    <w:rsid w:val="00551233"/>
    <w:rsid w:val="0055139D"/>
    <w:rsid w:val="005515E8"/>
    <w:rsid w:val="0055188E"/>
    <w:rsid w:val="0055190F"/>
    <w:rsid w:val="00551AD5"/>
    <w:rsid w:val="00551B72"/>
    <w:rsid w:val="00551CA1"/>
    <w:rsid w:val="005521D9"/>
    <w:rsid w:val="0055252A"/>
    <w:rsid w:val="00552953"/>
    <w:rsid w:val="00552D43"/>
    <w:rsid w:val="00552ECF"/>
    <w:rsid w:val="00553229"/>
    <w:rsid w:val="00553356"/>
    <w:rsid w:val="00554AA5"/>
    <w:rsid w:val="00554DA8"/>
    <w:rsid w:val="00555DFC"/>
    <w:rsid w:val="005561A4"/>
    <w:rsid w:val="00556264"/>
    <w:rsid w:val="00556392"/>
    <w:rsid w:val="005563C4"/>
    <w:rsid w:val="00556594"/>
    <w:rsid w:val="005565B8"/>
    <w:rsid w:val="0055662D"/>
    <w:rsid w:val="00556BE8"/>
    <w:rsid w:val="00556CE5"/>
    <w:rsid w:val="0055736D"/>
    <w:rsid w:val="00557472"/>
    <w:rsid w:val="00557967"/>
    <w:rsid w:val="00557E28"/>
    <w:rsid w:val="005604BA"/>
    <w:rsid w:val="00560DDD"/>
    <w:rsid w:val="00560E52"/>
    <w:rsid w:val="00561116"/>
    <w:rsid w:val="00561202"/>
    <w:rsid w:val="0056176B"/>
    <w:rsid w:val="00561BC6"/>
    <w:rsid w:val="00561D40"/>
    <w:rsid w:val="00561D6D"/>
    <w:rsid w:val="00562141"/>
    <w:rsid w:val="005623F7"/>
    <w:rsid w:val="00562507"/>
    <w:rsid w:val="00562574"/>
    <w:rsid w:val="00562811"/>
    <w:rsid w:val="00562919"/>
    <w:rsid w:val="00562AB5"/>
    <w:rsid w:val="00562D4A"/>
    <w:rsid w:val="005633BB"/>
    <w:rsid w:val="00563644"/>
    <w:rsid w:val="005639C7"/>
    <w:rsid w:val="00563A6C"/>
    <w:rsid w:val="00563B1E"/>
    <w:rsid w:val="00563F94"/>
    <w:rsid w:val="00564287"/>
    <w:rsid w:val="0056434F"/>
    <w:rsid w:val="005643C8"/>
    <w:rsid w:val="00564496"/>
    <w:rsid w:val="005644B3"/>
    <w:rsid w:val="005649F8"/>
    <w:rsid w:val="00564A20"/>
    <w:rsid w:val="00565333"/>
    <w:rsid w:val="005655E6"/>
    <w:rsid w:val="00566368"/>
    <w:rsid w:val="005665A5"/>
    <w:rsid w:val="0056680F"/>
    <w:rsid w:val="00566EC6"/>
    <w:rsid w:val="00566F06"/>
    <w:rsid w:val="00566F50"/>
    <w:rsid w:val="00567393"/>
    <w:rsid w:val="00567502"/>
    <w:rsid w:val="00567876"/>
    <w:rsid w:val="00567918"/>
    <w:rsid w:val="005679F8"/>
    <w:rsid w:val="00567C51"/>
    <w:rsid w:val="00570096"/>
    <w:rsid w:val="00570686"/>
    <w:rsid w:val="00570697"/>
    <w:rsid w:val="0057077A"/>
    <w:rsid w:val="005715A5"/>
    <w:rsid w:val="00571682"/>
    <w:rsid w:val="00571F94"/>
    <w:rsid w:val="00572031"/>
    <w:rsid w:val="0057224C"/>
    <w:rsid w:val="00572282"/>
    <w:rsid w:val="0057281B"/>
    <w:rsid w:val="00572E78"/>
    <w:rsid w:val="005730C9"/>
    <w:rsid w:val="005738A0"/>
    <w:rsid w:val="00573CE3"/>
    <w:rsid w:val="00574427"/>
    <w:rsid w:val="005744D3"/>
    <w:rsid w:val="00574617"/>
    <w:rsid w:val="00574A00"/>
    <w:rsid w:val="00574A37"/>
    <w:rsid w:val="00574C51"/>
    <w:rsid w:val="00574D5C"/>
    <w:rsid w:val="00574F2B"/>
    <w:rsid w:val="005751BE"/>
    <w:rsid w:val="005756F0"/>
    <w:rsid w:val="005759F4"/>
    <w:rsid w:val="005760E1"/>
    <w:rsid w:val="005761FB"/>
    <w:rsid w:val="00576201"/>
    <w:rsid w:val="00576382"/>
    <w:rsid w:val="00576D84"/>
    <w:rsid w:val="00576E84"/>
    <w:rsid w:val="00577297"/>
    <w:rsid w:val="00577444"/>
    <w:rsid w:val="0057759F"/>
    <w:rsid w:val="005775CA"/>
    <w:rsid w:val="0057779A"/>
    <w:rsid w:val="00577D4C"/>
    <w:rsid w:val="00577D4F"/>
    <w:rsid w:val="00580394"/>
    <w:rsid w:val="005806B5"/>
    <w:rsid w:val="005809CD"/>
    <w:rsid w:val="00580D33"/>
    <w:rsid w:val="005815F1"/>
    <w:rsid w:val="005816BF"/>
    <w:rsid w:val="005819DC"/>
    <w:rsid w:val="00581D87"/>
    <w:rsid w:val="00581E1B"/>
    <w:rsid w:val="00581E48"/>
    <w:rsid w:val="00582756"/>
    <w:rsid w:val="005827F2"/>
    <w:rsid w:val="00582B8C"/>
    <w:rsid w:val="00582CAE"/>
    <w:rsid w:val="00582DD1"/>
    <w:rsid w:val="00582E2D"/>
    <w:rsid w:val="00582F4A"/>
    <w:rsid w:val="00583489"/>
    <w:rsid w:val="00583B54"/>
    <w:rsid w:val="00583C1B"/>
    <w:rsid w:val="0058450C"/>
    <w:rsid w:val="005848DA"/>
    <w:rsid w:val="00584A66"/>
    <w:rsid w:val="005852E2"/>
    <w:rsid w:val="005854EF"/>
    <w:rsid w:val="00585B31"/>
    <w:rsid w:val="00585D8F"/>
    <w:rsid w:val="00585E83"/>
    <w:rsid w:val="00586472"/>
    <w:rsid w:val="00586733"/>
    <w:rsid w:val="00587080"/>
    <w:rsid w:val="005872C4"/>
    <w:rsid w:val="0058757E"/>
    <w:rsid w:val="00587CEB"/>
    <w:rsid w:val="0059065F"/>
    <w:rsid w:val="0059092F"/>
    <w:rsid w:val="00590CC9"/>
    <w:rsid w:val="00591FEB"/>
    <w:rsid w:val="00592206"/>
    <w:rsid w:val="005922FF"/>
    <w:rsid w:val="00592583"/>
    <w:rsid w:val="00592B4B"/>
    <w:rsid w:val="00593696"/>
    <w:rsid w:val="00593D05"/>
    <w:rsid w:val="00593E88"/>
    <w:rsid w:val="005949BC"/>
    <w:rsid w:val="00594FD5"/>
    <w:rsid w:val="0059510E"/>
    <w:rsid w:val="005952B7"/>
    <w:rsid w:val="00595471"/>
    <w:rsid w:val="00595ADF"/>
    <w:rsid w:val="00595D94"/>
    <w:rsid w:val="00595F44"/>
    <w:rsid w:val="00596354"/>
    <w:rsid w:val="00596711"/>
    <w:rsid w:val="0059682F"/>
    <w:rsid w:val="00596A4B"/>
    <w:rsid w:val="00596B93"/>
    <w:rsid w:val="00597507"/>
    <w:rsid w:val="005977EF"/>
    <w:rsid w:val="00597AE4"/>
    <w:rsid w:val="00597D3F"/>
    <w:rsid w:val="005A008D"/>
    <w:rsid w:val="005A04CC"/>
    <w:rsid w:val="005A05B2"/>
    <w:rsid w:val="005A08BF"/>
    <w:rsid w:val="005A1015"/>
    <w:rsid w:val="005A142E"/>
    <w:rsid w:val="005A253B"/>
    <w:rsid w:val="005A2686"/>
    <w:rsid w:val="005A280F"/>
    <w:rsid w:val="005A2A45"/>
    <w:rsid w:val="005A2A5F"/>
    <w:rsid w:val="005A2BA7"/>
    <w:rsid w:val="005A2BCB"/>
    <w:rsid w:val="005A2C82"/>
    <w:rsid w:val="005A2F20"/>
    <w:rsid w:val="005A317B"/>
    <w:rsid w:val="005A31B1"/>
    <w:rsid w:val="005A338D"/>
    <w:rsid w:val="005A35A0"/>
    <w:rsid w:val="005A3708"/>
    <w:rsid w:val="005A3BFD"/>
    <w:rsid w:val="005A4380"/>
    <w:rsid w:val="005A479D"/>
    <w:rsid w:val="005A47F6"/>
    <w:rsid w:val="005A5539"/>
    <w:rsid w:val="005A5A68"/>
    <w:rsid w:val="005A5C1C"/>
    <w:rsid w:val="005A600D"/>
    <w:rsid w:val="005A6456"/>
    <w:rsid w:val="005A6866"/>
    <w:rsid w:val="005A6BC2"/>
    <w:rsid w:val="005A6EE1"/>
    <w:rsid w:val="005A72E6"/>
    <w:rsid w:val="005A7DB1"/>
    <w:rsid w:val="005B059F"/>
    <w:rsid w:val="005B0D17"/>
    <w:rsid w:val="005B0FC5"/>
    <w:rsid w:val="005B1336"/>
    <w:rsid w:val="005B14EF"/>
    <w:rsid w:val="005B1C6D"/>
    <w:rsid w:val="005B1D16"/>
    <w:rsid w:val="005B1E5D"/>
    <w:rsid w:val="005B1E9C"/>
    <w:rsid w:val="005B2040"/>
    <w:rsid w:val="005B204E"/>
    <w:rsid w:val="005B21B6"/>
    <w:rsid w:val="005B2833"/>
    <w:rsid w:val="005B2F90"/>
    <w:rsid w:val="005B3732"/>
    <w:rsid w:val="005B3A08"/>
    <w:rsid w:val="005B3AD3"/>
    <w:rsid w:val="005B3D0D"/>
    <w:rsid w:val="005B3EC8"/>
    <w:rsid w:val="005B48A1"/>
    <w:rsid w:val="005B4D15"/>
    <w:rsid w:val="005B57C0"/>
    <w:rsid w:val="005B5BF0"/>
    <w:rsid w:val="005B6488"/>
    <w:rsid w:val="005B6499"/>
    <w:rsid w:val="005B6BC2"/>
    <w:rsid w:val="005B713C"/>
    <w:rsid w:val="005B72BD"/>
    <w:rsid w:val="005B741F"/>
    <w:rsid w:val="005B7A63"/>
    <w:rsid w:val="005B7C49"/>
    <w:rsid w:val="005C0101"/>
    <w:rsid w:val="005C0264"/>
    <w:rsid w:val="005C042B"/>
    <w:rsid w:val="005C07BA"/>
    <w:rsid w:val="005C07EA"/>
    <w:rsid w:val="005C0955"/>
    <w:rsid w:val="005C0BAF"/>
    <w:rsid w:val="005C0DE3"/>
    <w:rsid w:val="005C1386"/>
    <w:rsid w:val="005C1791"/>
    <w:rsid w:val="005C1EA6"/>
    <w:rsid w:val="005C21B0"/>
    <w:rsid w:val="005C2217"/>
    <w:rsid w:val="005C24C4"/>
    <w:rsid w:val="005C260B"/>
    <w:rsid w:val="005C2931"/>
    <w:rsid w:val="005C29A5"/>
    <w:rsid w:val="005C2CF6"/>
    <w:rsid w:val="005C2D03"/>
    <w:rsid w:val="005C2EDC"/>
    <w:rsid w:val="005C3B01"/>
    <w:rsid w:val="005C3C8B"/>
    <w:rsid w:val="005C49DA"/>
    <w:rsid w:val="005C4A71"/>
    <w:rsid w:val="005C50F3"/>
    <w:rsid w:val="005C5295"/>
    <w:rsid w:val="005C54B5"/>
    <w:rsid w:val="005C59C6"/>
    <w:rsid w:val="005C5D80"/>
    <w:rsid w:val="005C5D91"/>
    <w:rsid w:val="005C5FB1"/>
    <w:rsid w:val="005C629B"/>
    <w:rsid w:val="005C6671"/>
    <w:rsid w:val="005C66F7"/>
    <w:rsid w:val="005C7109"/>
    <w:rsid w:val="005C7C89"/>
    <w:rsid w:val="005C7FB6"/>
    <w:rsid w:val="005D07B8"/>
    <w:rsid w:val="005D0D54"/>
    <w:rsid w:val="005D1027"/>
    <w:rsid w:val="005D1508"/>
    <w:rsid w:val="005D1D0D"/>
    <w:rsid w:val="005D1F10"/>
    <w:rsid w:val="005D1FB1"/>
    <w:rsid w:val="005D21C7"/>
    <w:rsid w:val="005D23D4"/>
    <w:rsid w:val="005D2882"/>
    <w:rsid w:val="005D2CB7"/>
    <w:rsid w:val="005D2F8A"/>
    <w:rsid w:val="005D35A8"/>
    <w:rsid w:val="005D36F5"/>
    <w:rsid w:val="005D395C"/>
    <w:rsid w:val="005D3CB0"/>
    <w:rsid w:val="005D3D8C"/>
    <w:rsid w:val="005D4550"/>
    <w:rsid w:val="005D48AD"/>
    <w:rsid w:val="005D4E2F"/>
    <w:rsid w:val="005D565F"/>
    <w:rsid w:val="005D5902"/>
    <w:rsid w:val="005D5BE7"/>
    <w:rsid w:val="005D5CFF"/>
    <w:rsid w:val="005D60AE"/>
    <w:rsid w:val="005D6178"/>
    <w:rsid w:val="005D6327"/>
    <w:rsid w:val="005D6421"/>
    <w:rsid w:val="005D6597"/>
    <w:rsid w:val="005D65E8"/>
    <w:rsid w:val="005D6A91"/>
    <w:rsid w:val="005D6C38"/>
    <w:rsid w:val="005D6DD8"/>
    <w:rsid w:val="005D6F4B"/>
    <w:rsid w:val="005D70FA"/>
    <w:rsid w:val="005D73EF"/>
    <w:rsid w:val="005D7547"/>
    <w:rsid w:val="005D7DDF"/>
    <w:rsid w:val="005E0003"/>
    <w:rsid w:val="005E0A39"/>
    <w:rsid w:val="005E0CBF"/>
    <w:rsid w:val="005E127B"/>
    <w:rsid w:val="005E144B"/>
    <w:rsid w:val="005E14E4"/>
    <w:rsid w:val="005E14E7"/>
    <w:rsid w:val="005E1841"/>
    <w:rsid w:val="005E1C68"/>
    <w:rsid w:val="005E1F95"/>
    <w:rsid w:val="005E211C"/>
    <w:rsid w:val="005E2276"/>
    <w:rsid w:val="005E25D4"/>
    <w:rsid w:val="005E25F6"/>
    <w:rsid w:val="005E26A3"/>
    <w:rsid w:val="005E27C7"/>
    <w:rsid w:val="005E2A90"/>
    <w:rsid w:val="005E2ECB"/>
    <w:rsid w:val="005E3215"/>
    <w:rsid w:val="005E38FA"/>
    <w:rsid w:val="005E3E82"/>
    <w:rsid w:val="005E447E"/>
    <w:rsid w:val="005E44F2"/>
    <w:rsid w:val="005E4620"/>
    <w:rsid w:val="005E4808"/>
    <w:rsid w:val="005E4975"/>
    <w:rsid w:val="005E4B61"/>
    <w:rsid w:val="005E4BC7"/>
    <w:rsid w:val="005E4FD1"/>
    <w:rsid w:val="005E51DE"/>
    <w:rsid w:val="005E62B2"/>
    <w:rsid w:val="005E6365"/>
    <w:rsid w:val="005E6680"/>
    <w:rsid w:val="005E6E86"/>
    <w:rsid w:val="005E70D4"/>
    <w:rsid w:val="005E722E"/>
    <w:rsid w:val="005E76C7"/>
    <w:rsid w:val="005E78EA"/>
    <w:rsid w:val="005E79B4"/>
    <w:rsid w:val="005E79E1"/>
    <w:rsid w:val="005F0257"/>
    <w:rsid w:val="005F028B"/>
    <w:rsid w:val="005F0665"/>
    <w:rsid w:val="005F0775"/>
    <w:rsid w:val="005F0819"/>
    <w:rsid w:val="005F091C"/>
    <w:rsid w:val="005F0C60"/>
    <w:rsid w:val="005F0C63"/>
    <w:rsid w:val="005F0CF5"/>
    <w:rsid w:val="005F100E"/>
    <w:rsid w:val="005F118B"/>
    <w:rsid w:val="005F1406"/>
    <w:rsid w:val="005F150A"/>
    <w:rsid w:val="005F174C"/>
    <w:rsid w:val="005F1EAA"/>
    <w:rsid w:val="005F21EB"/>
    <w:rsid w:val="005F2200"/>
    <w:rsid w:val="005F29CD"/>
    <w:rsid w:val="005F2F0B"/>
    <w:rsid w:val="005F2FA3"/>
    <w:rsid w:val="005F33B4"/>
    <w:rsid w:val="005F3D32"/>
    <w:rsid w:val="005F3FE9"/>
    <w:rsid w:val="005F424B"/>
    <w:rsid w:val="005F47C5"/>
    <w:rsid w:val="005F49A1"/>
    <w:rsid w:val="005F4B38"/>
    <w:rsid w:val="005F509C"/>
    <w:rsid w:val="005F5C6E"/>
    <w:rsid w:val="005F62A7"/>
    <w:rsid w:val="005F64CF"/>
    <w:rsid w:val="005F6509"/>
    <w:rsid w:val="005F6979"/>
    <w:rsid w:val="005F6A0A"/>
    <w:rsid w:val="005F6C72"/>
    <w:rsid w:val="005F7FC5"/>
    <w:rsid w:val="00600961"/>
    <w:rsid w:val="00600A07"/>
    <w:rsid w:val="00600D67"/>
    <w:rsid w:val="00600E9B"/>
    <w:rsid w:val="00600F95"/>
    <w:rsid w:val="0060102F"/>
    <w:rsid w:val="0060133A"/>
    <w:rsid w:val="0060175D"/>
    <w:rsid w:val="00601840"/>
    <w:rsid w:val="006018D5"/>
    <w:rsid w:val="006021FC"/>
    <w:rsid w:val="00602224"/>
    <w:rsid w:val="00602903"/>
    <w:rsid w:val="00602A80"/>
    <w:rsid w:val="00602DD7"/>
    <w:rsid w:val="00603E70"/>
    <w:rsid w:val="00603EA0"/>
    <w:rsid w:val="0060414D"/>
    <w:rsid w:val="006041AD"/>
    <w:rsid w:val="00604243"/>
    <w:rsid w:val="00604262"/>
    <w:rsid w:val="00604708"/>
    <w:rsid w:val="006048E5"/>
    <w:rsid w:val="00604B5E"/>
    <w:rsid w:val="00605409"/>
    <w:rsid w:val="00605880"/>
    <w:rsid w:val="00605908"/>
    <w:rsid w:val="00605B42"/>
    <w:rsid w:val="00605F3B"/>
    <w:rsid w:val="00606481"/>
    <w:rsid w:val="006066CF"/>
    <w:rsid w:val="00606820"/>
    <w:rsid w:val="00606844"/>
    <w:rsid w:val="006071EF"/>
    <w:rsid w:val="006072EC"/>
    <w:rsid w:val="00607542"/>
    <w:rsid w:val="00607573"/>
    <w:rsid w:val="00607850"/>
    <w:rsid w:val="006079B9"/>
    <w:rsid w:val="00607A6A"/>
    <w:rsid w:val="00607B6C"/>
    <w:rsid w:val="00607D24"/>
    <w:rsid w:val="00607EF7"/>
    <w:rsid w:val="00610637"/>
    <w:rsid w:val="0061089D"/>
    <w:rsid w:val="00610C17"/>
    <w:rsid w:val="00610D7C"/>
    <w:rsid w:val="00611496"/>
    <w:rsid w:val="00611647"/>
    <w:rsid w:val="006117AC"/>
    <w:rsid w:val="00611ADB"/>
    <w:rsid w:val="00611BF0"/>
    <w:rsid w:val="00611DB4"/>
    <w:rsid w:val="00611F8E"/>
    <w:rsid w:val="00612170"/>
    <w:rsid w:val="00612555"/>
    <w:rsid w:val="00612ACC"/>
    <w:rsid w:val="00612B91"/>
    <w:rsid w:val="00612BE3"/>
    <w:rsid w:val="00612CAD"/>
    <w:rsid w:val="006130FF"/>
    <w:rsid w:val="00613414"/>
    <w:rsid w:val="006134D7"/>
    <w:rsid w:val="00613C9C"/>
    <w:rsid w:val="00613D00"/>
    <w:rsid w:val="00613F91"/>
    <w:rsid w:val="00614082"/>
    <w:rsid w:val="006142DF"/>
    <w:rsid w:val="00614522"/>
    <w:rsid w:val="00614670"/>
    <w:rsid w:val="00614D89"/>
    <w:rsid w:val="00615022"/>
    <w:rsid w:val="006151D9"/>
    <w:rsid w:val="0061528D"/>
    <w:rsid w:val="00615ADA"/>
    <w:rsid w:val="00615C1E"/>
    <w:rsid w:val="00616EFA"/>
    <w:rsid w:val="00617185"/>
    <w:rsid w:val="006179D4"/>
    <w:rsid w:val="00620154"/>
    <w:rsid w:val="006201A7"/>
    <w:rsid w:val="006201BF"/>
    <w:rsid w:val="00620C8F"/>
    <w:rsid w:val="00620CCE"/>
    <w:rsid w:val="00621A70"/>
    <w:rsid w:val="00621DC8"/>
    <w:rsid w:val="00621DED"/>
    <w:rsid w:val="00622396"/>
    <w:rsid w:val="00622973"/>
    <w:rsid w:val="00622E94"/>
    <w:rsid w:val="00623409"/>
    <w:rsid w:val="0062373B"/>
    <w:rsid w:val="00623798"/>
    <w:rsid w:val="00623C3B"/>
    <w:rsid w:val="00623FF0"/>
    <w:rsid w:val="0062408D"/>
    <w:rsid w:val="006240CC"/>
    <w:rsid w:val="0062482A"/>
    <w:rsid w:val="00624940"/>
    <w:rsid w:val="00624FF6"/>
    <w:rsid w:val="006252EB"/>
    <w:rsid w:val="00625323"/>
    <w:rsid w:val="006254F8"/>
    <w:rsid w:val="00625503"/>
    <w:rsid w:val="0062558C"/>
    <w:rsid w:val="00625B31"/>
    <w:rsid w:val="006260B0"/>
    <w:rsid w:val="0062653F"/>
    <w:rsid w:val="00626793"/>
    <w:rsid w:val="00626B49"/>
    <w:rsid w:val="00627028"/>
    <w:rsid w:val="00627724"/>
    <w:rsid w:val="0062786E"/>
    <w:rsid w:val="00627C6B"/>
    <w:rsid w:val="00627DA7"/>
    <w:rsid w:val="00627F43"/>
    <w:rsid w:val="0063028E"/>
    <w:rsid w:val="0063031F"/>
    <w:rsid w:val="006309A9"/>
    <w:rsid w:val="00630D89"/>
    <w:rsid w:val="00630DA4"/>
    <w:rsid w:val="00630F16"/>
    <w:rsid w:val="00631137"/>
    <w:rsid w:val="00631AA2"/>
    <w:rsid w:val="00631CD4"/>
    <w:rsid w:val="00631FE9"/>
    <w:rsid w:val="00632116"/>
    <w:rsid w:val="00632597"/>
    <w:rsid w:val="0063294B"/>
    <w:rsid w:val="00632C1A"/>
    <w:rsid w:val="0063314D"/>
    <w:rsid w:val="0063323A"/>
    <w:rsid w:val="00633800"/>
    <w:rsid w:val="006339D3"/>
    <w:rsid w:val="00633FEA"/>
    <w:rsid w:val="006341C8"/>
    <w:rsid w:val="006343DE"/>
    <w:rsid w:val="0063463A"/>
    <w:rsid w:val="006347F9"/>
    <w:rsid w:val="0063499A"/>
    <w:rsid w:val="00634C5D"/>
    <w:rsid w:val="00634D13"/>
    <w:rsid w:val="00634E0B"/>
    <w:rsid w:val="0063531D"/>
    <w:rsid w:val="006357EB"/>
    <w:rsid w:val="006358B4"/>
    <w:rsid w:val="00635C23"/>
    <w:rsid w:val="00635EC8"/>
    <w:rsid w:val="006361D8"/>
    <w:rsid w:val="006367B3"/>
    <w:rsid w:val="006368C1"/>
    <w:rsid w:val="00636DBA"/>
    <w:rsid w:val="00637131"/>
    <w:rsid w:val="00637360"/>
    <w:rsid w:val="00637A48"/>
    <w:rsid w:val="00637D74"/>
    <w:rsid w:val="00640015"/>
    <w:rsid w:val="00640985"/>
    <w:rsid w:val="00640CB6"/>
    <w:rsid w:val="006416CB"/>
    <w:rsid w:val="00641724"/>
    <w:rsid w:val="006419AA"/>
    <w:rsid w:val="006419B7"/>
    <w:rsid w:val="006420C0"/>
    <w:rsid w:val="00642488"/>
    <w:rsid w:val="00642607"/>
    <w:rsid w:val="00642711"/>
    <w:rsid w:val="006430D0"/>
    <w:rsid w:val="0064329D"/>
    <w:rsid w:val="0064382F"/>
    <w:rsid w:val="00643FC3"/>
    <w:rsid w:val="00644937"/>
    <w:rsid w:val="00644B1F"/>
    <w:rsid w:val="00644B7E"/>
    <w:rsid w:val="0064522E"/>
    <w:rsid w:val="006454E6"/>
    <w:rsid w:val="00645617"/>
    <w:rsid w:val="0064609F"/>
    <w:rsid w:val="0064615B"/>
    <w:rsid w:val="00646235"/>
    <w:rsid w:val="00646756"/>
    <w:rsid w:val="00646A68"/>
    <w:rsid w:val="00646AAB"/>
    <w:rsid w:val="00647133"/>
    <w:rsid w:val="00647524"/>
    <w:rsid w:val="00650498"/>
    <w:rsid w:val="006505BD"/>
    <w:rsid w:val="006508EA"/>
    <w:rsid w:val="0065092E"/>
    <w:rsid w:val="00650A94"/>
    <w:rsid w:val="00650D6C"/>
    <w:rsid w:val="006512D2"/>
    <w:rsid w:val="00651378"/>
    <w:rsid w:val="00651A92"/>
    <w:rsid w:val="00651A99"/>
    <w:rsid w:val="00651D46"/>
    <w:rsid w:val="00652104"/>
    <w:rsid w:val="00652364"/>
    <w:rsid w:val="00652367"/>
    <w:rsid w:val="00652460"/>
    <w:rsid w:val="00652675"/>
    <w:rsid w:val="00652AB7"/>
    <w:rsid w:val="00652BBA"/>
    <w:rsid w:val="00652F3C"/>
    <w:rsid w:val="006531BF"/>
    <w:rsid w:val="006535B6"/>
    <w:rsid w:val="006537B0"/>
    <w:rsid w:val="00653894"/>
    <w:rsid w:val="006539BB"/>
    <w:rsid w:val="006539D2"/>
    <w:rsid w:val="00654464"/>
    <w:rsid w:val="00654724"/>
    <w:rsid w:val="00654B34"/>
    <w:rsid w:val="00654F2F"/>
    <w:rsid w:val="006550DB"/>
    <w:rsid w:val="006557A7"/>
    <w:rsid w:val="00655881"/>
    <w:rsid w:val="00655FE8"/>
    <w:rsid w:val="0065619B"/>
    <w:rsid w:val="00656290"/>
    <w:rsid w:val="006568C5"/>
    <w:rsid w:val="00656B64"/>
    <w:rsid w:val="00656D48"/>
    <w:rsid w:val="0065730F"/>
    <w:rsid w:val="0065795D"/>
    <w:rsid w:val="00657BA1"/>
    <w:rsid w:val="00657E6C"/>
    <w:rsid w:val="00660162"/>
    <w:rsid w:val="006601C9"/>
    <w:rsid w:val="00660228"/>
    <w:rsid w:val="00660317"/>
    <w:rsid w:val="0066076C"/>
    <w:rsid w:val="006607FB"/>
    <w:rsid w:val="006608D8"/>
    <w:rsid w:val="006608ED"/>
    <w:rsid w:val="00660AAF"/>
    <w:rsid w:val="00660D1F"/>
    <w:rsid w:val="00660E47"/>
    <w:rsid w:val="00660EA3"/>
    <w:rsid w:val="006610C0"/>
    <w:rsid w:val="006613A1"/>
    <w:rsid w:val="00661C8D"/>
    <w:rsid w:val="00661FCD"/>
    <w:rsid w:val="006621D7"/>
    <w:rsid w:val="006622E0"/>
    <w:rsid w:val="00662634"/>
    <w:rsid w:val="0066302A"/>
    <w:rsid w:val="0066306E"/>
    <w:rsid w:val="006630D6"/>
    <w:rsid w:val="006637F6"/>
    <w:rsid w:val="00663A20"/>
    <w:rsid w:val="00663AF0"/>
    <w:rsid w:val="00663D52"/>
    <w:rsid w:val="00663DA2"/>
    <w:rsid w:val="006640F5"/>
    <w:rsid w:val="00664675"/>
    <w:rsid w:val="00664830"/>
    <w:rsid w:val="00664F1C"/>
    <w:rsid w:val="00665224"/>
    <w:rsid w:val="0066533A"/>
    <w:rsid w:val="006653F6"/>
    <w:rsid w:val="00665867"/>
    <w:rsid w:val="00665A9D"/>
    <w:rsid w:val="00665F17"/>
    <w:rsid w:val="006661EC"/>
    <w:rsid w:val="00666483"/>
    <w:rsid w:val="00666762"/>
    <w:rsid w:val="00666EA5"/>
    <w:rsid w:val="00667770"/>
    <w:rsid w:val="00667A9F"/>
    <w:rsid w:val="00667AB2"/>
    <w:rsid w:val="00667FD1"/>
    <w:rsid w:val="006701B8"/>
    <w:rsid w:val="00670241"/>
    <w:rsid w:val="0067024A"/>
    <w:rsid w:val="00670597"/>
    <w:rsid w:val="006706D0"/>
    <w:rsid w:val="00670808"/>
    <w:rsid w:val="0067092E"/>
    <w:rsid w:val="00670A55"/>
    <w:rsid w:val="00670BC4"/>
    <w:rsid w:val="0067114F"/>
    <w:rsid w:val="0067141C"/>
    <w:rsid w:val="00671851"/>
    <w:rsid w:val="00671934"/>
    <w:rsid w:val="00671940"/>
    <w:rsid w:val="00671B23"/>
    <w:rsid w:val="00671B5A"/>
    <w:rsid w:val="00671F42"/>
    <w:rsid w:val="006724AA"/>
    <w:rsid w:val="006728DC"/>
    <w:rsid w:val="00672D34"/>
    <w:rsid w:val="006737FB"/>
    <w:rsid w:val="00673AE6"/>
    <w:rsid w:val="00673C60"/>
    <w:rsid w:val="00673D3D"/>
    <w:rsid w:val="00673E1A"/>
    <w:rsid w:val="006745AB"/>
    <w:rsid w:val="00674DC9"/>
    <w:rsid w:val="00674FEE"/>
    <w:rsid w:val="006751A9"/>
    <w:rsid w:val="00675EFE"/>
    <w:rsid w:val="00676957"/>
    <w:rsid w:val="00676B96"/>
    <w:rsid w:val="00676E9E"/>
    <w:rsid w:val="00677574"/>
    <w:rsid w:val="00677746"/>
    <w:rsid w:val="00677764"/>
    <w:rsid w:val="006778A8"/>
    <w:rsid w:val="00677BD1"/>
    <w:rsid w:val="00677D5D"/>
    <w:rsid w:val="00677F5F"/>
    <w:rsid w:val="0068018E"/>
    <w:rsid w:val="006803D7"/>
    <w:rsid w:val="006804E0"/>
    <w:rsid w:val="006808BD"/>
    <w:rsid w:val="0068095B"/>
    <w:rsid w:val="00680AD2"/>
    <w:rsid w:val="006810DE"/>
    <w:rsid w:val="006812ED"/>
    <w:rsid w:val="00681BD5"/>
    <w:rsid w:val="00682750"/>
    <w:rsid w:val="00682A76"/>
    <w:rsid w:val="00682CBD"/>
    <w:rsid w:val="00682F3C"/>
    <w:rsid w:val="0068331D"/>
    <w:rsid w:val="00683878"/>
    <w:rsid w:val="00683896"/>
    <w:rsid w:val="00683C54"/>
    <w:rsid w:val="00683C97"/>
    <w:rsid w:val="00683D80"/>
    <w:rsid w:val="00683D9B"/>
    <w:rsid w:val="00683EEF"/>
    <w:rsid w:val="00684380"/>
    <w:rsid w:val="00684529"/>
    <w:rsid w:val="0068454C"/>
    <w:rsid w:val="00684564"/>
    <w:rsid w:val="006846EF"/>
    <w:rsid w:val="006848FD"/>
    <w:rsid w:val="006849A4"/>
    <w:rsid w:val="00684AB5"/>
    <w:rsid w:val="00684E94"/>
    <w:rsid w:val="00685B8E"/>
    <w:rsid w:val="00685BD4"/>
    <w:rsid w:val="0068613F"/>
    <w:rsid w:val="00686202"/>
    <w:rsid w:val="00686468"/>
    <w:rsid w:val="006864FC"/>
    <w:rsid w:val="006866E5"/>
    <w:rsid w:val="00686C84"/>
    <w:rsid w:val="006877D4"/>
    <w:rsid w:val="006877EB"/>
    <w:rsid w:val="00687832"/>
    <w:rsid w:val="006901C9"/>
    <w:rsid w:val="00690A1B"/>
    <w:rsid w:val="00690BF7"/>
    <w:rsid w:val="00690CC7"/>
    <w:rsid w:val="00690E59"/>
    <w:rsid w:val="00691702"/>
    <w:rsid w:val="006918FB"/>
    <w:rsid w:val="00691AF5"/>
    <w:rsid w:val="00691B62"/>
    <w:rsid w:val="00691FFB"/>
    <w:rsid w:val="006928BB"/>
    <w:rsid w:val="006931AA"/>
    <w:rsid w:val="006933B5"/>
    <w:rsid w:val="00693475"/>
    <w:rsid w:val="00693D14"/>
    <w:rsid w:val="006943A7"/>
    <w:rsid w:val="0069486C"/>
    <w:rsid w:val="00694FA8"/>
    <w:rsid w:val="00695020"/>
    <w:rsid w:val="0069596C"/>
    <w:rsid w:val="00696193"/>
    <w:rsid w:val="006961AC"/>
    <w:rsid w:val="006966F8"/>
    <w:rsid w:val="00696839"/>
    <w:rsid w:val="00696859"/>
    <w:rsid w:val="00696AB1"/>
    <w:rsid w:val="00696F0F"/>
    <w:rsid w:val="00696F27"/>
    <w:rsid w:val="00697410"/>
    <w:rsid w:val="00697616"/>
    <w:rsid w:val="00697F25"/>
    <w:rsid w:val="006A069F"/>
    <w:rsid w:val="006A07E4"/>
    <w:rsid w:val="006A09B0"/>
    <w:rsid w:val="006A0A4C"/>
    <w:rsid w:val="006A0B37"/>
    <w:rsid w:val="006A0C76"/>
    <w:rsid w:val="006A15A6"/>
    <w:rsid w:val="006A168E"/>
    <w:rsid w:val="006A1696"/>
    <w:rsid w:val="006A18C2"/>
    <w:rsid w:val="006A1C8C"/>
    <w:rsid w:val="006A1CD8"/>
    <w:rsid w:val="006A1E74"/>
    <w:rsid w:val="006A1F6C"/>
    <w:rsid w:val="006A209D"/>
    <w:rsid w:val="006A22E8"/>
    <w:rsid w:val="006A257C"/>
    <w:rsid w:val="006A2984"/>
    <w:rsid w:val="006A2C85"/>
    <w:rsid w:val="006A2CF7"/>
    <w:rsid w:val="006A2DB2"/>
    <w:rsid w:val="006A32BD"/>
    <w:rsid w:val="006A3383"/>
    <w:rsid w:val="006A3591"/>
    <w:rsid w:val="006A39A5"/>
    <w:rsid w:val="006A4250"/>
    <w:rsid w:val="006A4609"/>
    <w:rsid w:val="006A4F01"/>
    <w:rsid w:val="006A553D"/>
    <w:rsid w:val="006A5549"/>
    <w:rsid w:val="006A56D7"/>
    <w:rsid w:val="006A591F"/>
    <w:rsid w:val="006A59DB"/>
    <w:rsid w:val="006A6012"/>
    <w:rsid w:val="006A60F2"/>
    <w:rsid w:val="006A63ED"/>
    <w:rsid w:val="006A6BE2"/>
    <w:rsid w:val="006A6CC4"/>
    <w:rsid w:val="006A775E"/>
    <w:rsid w:val="006A7810"/>
    <w:rsid w:val="006A7906"/>
    <w:rsid w:val="006A7A43"/>
    <w:rsid w:val="006A7BE8"/>
    <w:rsid w:val="006A7CA2"/>
    <w:rsid w:val="006A7DB9"/>
    <w:rsid w:val="006A7E11"/>
    <w:rsid w:val="006A7EE3"/>
    <w:rsid w:val="006B03CD"/>
    <w:rsid w:val="006B055D"/>
    <w:rsid w:val="006B05FA"/>
    <w:rsid w:val="006B067A"/>
    <w:rsid w:val="006B077C"/>
    <w:rsid w:val="006B114A"/>
    <w:rsid w:val="006B136C"/>
    <w:rsid w:val="006B1456"/>
    <w:rsid w:val="006B1B1A"/>
    <w:rsid w:val="006B1C00"/>
    <w:rsid w:val="006B21EE"/>
    <w:rsid w:val="006B2A04"/>
    <w:rsid w:val="006B2A17"/>
    <w:rsid w:val="006B2E34"/>
    <w:rsid w:val="006B312C"/>
    <w:rsid w:val="006B3449"/>
    <w:rsid w:val="006B370F"/>
    <w:rsid w:val="006B3B0B"/>
    <w:rsid w:val="006B3E9F"/>
    <w:rsid w:val="006B4487"/>
    <w:rsid w:val="006B44F6"/>
    <w:rsid w:val="006B4735"/>
    <w:rsid w:val="006B47A8"/>
    <w:rsid w:val="006B4B88"/>
    <w:rsid w:val="006B4E61"/>
    <w:rsid w:val="006B5304"/>
    <w:rsid w:val="006B5CA7"/>
    <w:rsid w:val="006B5E3B"/>
    <w:rsid w:val="006B62EF"/>
    <w:rsid w:val="006B65BA"/>
    <w:rsid w:val="006B66AC"/>
    <w:rsid w:val="006B67D0"/>
    <w:rsid w:val="006B6803"/>
    <w:rsid w:val="006B6FB0"/>
    <w:rsid w:val="006B727C"/>
    <w:rsid w:val="006B7314"/>
    <w:rsid w:val="006B73E3"/>
    <w:rsid w:val="006B7B9A"/>
    <w:rsid w:val="006B7D2D"/>
    <w:rsid w:val="006B7D4D"/>
    <w:rsid w:val="006B7F9E"/>
    <w:rsid w:val="006C03F3"/>
    <w:rsid w:val="006C07D3"/>
    <w:rsid w:val="006C0877"/>
    <w:rsid w:val="006C0DB6"/>
    <w:rsid w:val="006C0E44"/>
    <w:rsid w:val="006C0F4E"/>
    <w:rsid w:val="006C1165"/>
    <w:rsid w:val="006C1AEA"/>
    <w:rsid w:val="006C1E35"/>
    <w:rsid w:val="006C1E92"/>
    <w:rsid w:val="006C1F01"/>
    <w:rsid w:val="006C20F0"/>
    <w:rsid w:val="006C25A1"/>
    <w:rsid w:val="006C286B"/>
    <w:rsid w:val="006C29C1"/>
    <w:rsid w:val="006C2B8D"/>
    <w:rsid w:val="006C3028"/>
    <w:rsid w:val="006C31AA"/>
    <w:rsid w:val="006C32CA"/>
    <w:rsid w:val="006C384A"/>
    <w:rsid w:val="006C3A07"/>
    <w:rsid w:val="006C438F"/>
    <w:rsid w:val="006C43E7"/>
    <w:rsid w:val="006C4850"/>
    <w:rsid w:val="006C4A93"/>
    <w:rsid w:val="006C4AD3"/>
    <w:rsid w:val="006C4B1E"/>
    <w:rsid w:val="006C4F0A"/>
    <w:rsid w:val="006C5319"/>
    <w:rsid w:val="006C5696"/>
    <w:rsid w:val="006C56EF"/>
    <w:rsid w:val="006C58B7"/>
    <w:rsid w:val="006C58F4"/>
    <w:rsid w:val="006C5AE2"/>
    <w:rsid w:val="006C5AF3"/>
    <w:rsid w:val="006C5EF2"/>
    <w:rsid w:val="006C61BA"/>
    <w:rsid w:val="006C65A7"/>
    <w:rsid w:val="006C7E8A"/>
    <w:rsid w:val="006C7FE4"/>
    <w:rsid w:val="006D0053"/>
    <w:rsid w:val="006D019D"/>
    <w:rsid w:val="006D01B5"/>
    <w:rsid w:val="006D07D1"/>
    <w:rsid w:val="006D0A80"/>
    <w:rsid w:val="006D0BF1"/>
    <w:rsid w:val="006D0DA0"/>
    <w:rsid w:val="006D0F16"/>
    <w:rsid w:val="006D12B3"/>
    <w:rsid w:val="006D12E8"/>
    <w:rsid w:val="006D164B"/>
    <w:rsid w:val="006D1FE2"/>
    <w:rsid w:val="006D20D7"/>
    <w:rsid w:val="006D2333"/>
    <w:rsid w:val="006D262A"/>
    <w:rsid w:val="006D2736"/>
    <w:rsid w:val="006D27C9"/>
    <w:rsid w:val="006D2A3F"/>
    <w:rsid w:val="006D2A5E"/>
    <w:rsid w:val="006D2FBC"/>
    <w:rsid w:val="006D2FCF"/>
    <w:rsid w:val="006D3208"/>
    <w:rsid w:val="006D34F8"/>
    <w:rsid w:val="006D353F"/>
    <w:rsid w:val="006D3686"/>
    <w:rsid w:val="006D37B0"/>
    <w:rsid w:val="006D39F0"/>
    <w:rsid w:val="006D3C03"/>
    <w:rsid w:val="006D3DE2"/>
    <w:rsid w:val="006D477E"/>
    <w:rsid w:val="006D4B33"/>
    <w:rsid w:val="006D4BE4"/>
    <w:rsid w:val="006D4CD7"/>
    <w:rsid w:val="006D4DCA"/>
    <w:rsid w:val="006D5283"/>
    <w:rsid w:val="006D529B"/>
    <w:rsid w:val="006D52AA"/>
    <w:rsid w:val="006D5846"/>
    <w:rsid w:val="006D5BE5"/>
    <w:rsid w:val="006D6024"/>
    <w:rsid w:val="006D6534"/>
    <w:rsid w:val="006D685A"/>
    <w:rsid w:val="006D6BDF"/>
    <w:rsid w:val="006D6E34"/>
    <w:rsid w:val="006D7856"/>
    <w:rsid w:val="006D7950"/>
    <w:rsid w:val="006D7A1C"/>
    <w:rsid w:val="006D7D88"/>
    <w:rsid w:val="006E0A98"/>
    <w:rsid w:val="006E0CEE"/>
    <w:rsid w:val="006E138B"/>
    <w:rsid w:val="006E150F"/>
    <w:rsid w:val="006E180F"/>
    <w:rsid w:val="006E1826"/>
    <w:rsid w:val="006E1867"/>
    <w:rsid w:val="006E1CF7"/>
    <w:rsid w:val="006E1EE3"/>
    <w:rsid w:val="006E1F01"/>
    <w:rsid w:val="006E251C"/>
    <w:rsid w:val="006E2DC6"/>
    <w:rsid w:val="006E32F8"/>
    <w:rsid w:val="006E3334"/>
    <w:rsid w:val="006E34E0"/>
    <w:rsid w:val="006E3DA3"/>
    <w:rsid w:val="006E4C0E"/>
    <w:rsid w:val="006E50FE"/>
    <w:rsid w:val="006E5245"/>
    <w:rsid w:val="006E5366"/>
    <w:rsid w:val="006E55AC"/>
    <w:rsid w:val="006E5E38"/>
    <w:rsid w:val="006E6321"/>
    <w:rsid w:val="006E6B84"/>
    <w:rsid w:val="006E74AA"/>
    <w:rsid w:val="006E7B12"/>
    <w:rsid w:val="006E7C6F"/>
    <w:rsid w:val="006E7D37"/>
    <w:rsid w:val="006E7D48"/>
    <w:rsid w:val="006F021D"/>
    <w:rsid w:val="006F02B3"/>
    <w:rsid w:val="006F0330"/>
    <w:rsid w:val="006F04C5"/>
    <w:rsid w:val="006F0949"/>
    <w:rsid w:val="006F0AD6"/>
    <w:rsid w:val="006F0CEB"/>
    <w:rsid w:val="006F11F8"/>
    <w:rsid w:val="006F12B9"/>
    <w:rsid w:val="006F1BE0"/>
    <w:rsid w:val="006F1FDC"/>
    <w:rsid w:val="006F2334"/>
    <w:rsid w:val="006F3054"/>
    <w:rsid w:val="006F3630"/>
    <w:rsid w:val="006F3DEF"/>
    <w:rsid w:val="006F4383"/>
    <w:rsid w:val="006F4769"/>
    <w:rsid w:val="006F4783"/>
    <w:rsid w:val="006F4E2B"/>
    <w:rsid w:val="006F4E43"/>
    <w:rsid w:val="006F580F"/>
    <w:rsid w:val="006F5B8B"/>
    <w:rsid w:val="006F5FCE"/>
    <w:rsid w:val="006F5FD7"/>
    <w:rsid w:val="006F65F7"/>
    <w:rsid w:val="006F6B8C"/>
    <w:rsid w:val="006F773C"/>
    <w:rsid w:val="006F77BC"/>
    <w:rsid w:val="006F77BD"/>
    <w:rsid w:val="006F784A"/>
    <w:rsid w:val="007001A2"/>
    <w:rsid w:val="00700731"/>
    <w:rsid w:val="007007A2"/>
    <w:rsid w:val="00700DF2"/>
    <w:rsid w:val="007013EF"/>
    <w:rsid w:val="007021A3"/>
    <w:rsid w:val="00702343"/>
    <w:rsid w:val="007025DC"/>
    <w:rsid w:val="0070302F"/>
    <w:rsid w:val="007036D1"/>
    <w:rsid w:val="0070374B"/>
    <w:rsid w:val="007039A3"/>
    <w:rsid w:val="00703BEC"/>
    <w:rsid w:val="00703CC2"/>
    <w:rsid w:val="00703D11"/>
    <w:rsid w:val="00703FD0"/>
    <w:rsid w:val="00704361"/>
    <w:rsid w:val="00704523"/>
    <w:rsid w:val="007045A0"/>
    <w:rsid w:val="0070486A"/>
    <w:rsid w:val="00704A94"/>
    <w:rsid w:val="00704CEA"/>
    <w:rsid w:val="00705055"/>
    <w:rsid w:val="0070540C"/>
    <w:rsid w:val="007055BD"/>
    <w:rsid w:val="00705FF2"/>
    <w:rsid w:val="00705FF9"/>
    <w:rsid w:val="00706090"/>
    <w:rsid w:val="007068F2"/>
    <w:rsid w:val="00706ABD"/>
    <w:rsid w:val="00706AE6"/>
    <w:rsid w:val="00707174"/>
    <w:rsid w:val="00707A3F"/>
    <w:rsid w:val="00707A86"/>
    <w:rsid w:val="00707BE9"/>
    <w:rsid w:val="00707DC8"/>
    <w:rsid w:val="00707FD7"/>
    <w:rsid w:val="00710346"/>
    <w:rsid w:val="007104B7"/>
    <w:rsid w:val="00710629"/>
    <w:rsid w:val="007106F2"/>
    <w:rsid w:val="00711680"/>
    <w:rsid w:val="00711987"/>
    <w:rsid w:val="00711C0C"/>
    <w:rsid w:val="00711D87"/>
    <w:rsid w:val="007120F5"/>
    <w:rsid w:val="00712718"/>
    <w:rsid w:val="0071300D"/>
    <w:rsid w:val="00713B44"/>
    <w:rsid w:val="00713CB2"/>
    <w:rsid w:val="00713D44"/>
    <w:rsid w:val="007146E3"/>
    <w:rsid w:val="00714C59"/>
    <w:rsid w:val="00714EB2"/>
    <w:rsid w:val="00715A30"/>
    <w:rsid w:val="00715F36"/>
    <w:rsid w:val="00715FE0"/>
    <w:rsid w:val="007166BA"/>
    <w:rsid w:val="00716988"/>
    <w:rsid w:val="0071703B"/>
    <w:rsid w:val="007172C2"/>
    <w:rsid w:val="0071736D"/>
    <w:rsid w:val="00717388"/>
    <w:rsid w:val="007173CA"/>
    <w:rsid w:val="00717500"/>
    <w:rsid w:val="0071767E"/>
    <w:rsid w:val="00717B04"/>
    <w:rsid w:val="00717E64"/>
    <w:rsid w:val="0072002B"/>
    <w:rsid w:val="0072059C"/>
    <w:rsid w:val="0072113F"/>
    <w:rsid w:val="00721590"/>
    <w:rsid w:val="007216AA"/>
    <w:rsid w:val="00721A30"/>
    <w:rsid w:val="00721AB5"/>
    <w:rsid w:val="00721C63"/>
    <w:rsid w:val="00721C69"/>
    <w:rsid w:val="00721CFB"/>
    <w:rsid w:val="00721D90"/>
    <w:rsid w:val="00721DEF"/>
    <w:rsid w:val="0072279E"/>
    <w:rsid w:val="0072343E"/>
    <w:rsid w:val="0072387E"/>
    <w:rsid w:val="0072388B"/>
    <w:rsid w:val="00723DC0"/>
    <w:rsid w:val="00724226"/>
    <w:rsid w:val="0072424B"/>
    <w:rsid w:val="007245B6"/>
    <w:rsid w:val="00724904"/>
    <w:rsid w:val="00724A43"/>
    <w:rsid w:val="00724DD4"/>
    <w:rsid w:val="00725226"/>
    <w:rsid w:val="00725419"/>
    <w:rsid w:val="0072546E"/>
    <w:rsid w:val="0072556C"/>
    <w:rsid w:val="00725768"/>
    <w:rsid w:val="00725AF0"/>
    <w:rsid w:val="00725B2A"/>
    <w:rsid w:val="00725B6F"/>
    <w:rsid w:val="007268C4"/>
    <w:rsid w:val="007269C9"/>
    <w:rsid w:val="007273AC"/>
    <w:rsid w:val="0072778C"/>
    <w:rsid w:val="00727813"/>
    <w:rsid w:val="007278B6"/>
    <w:rsid w:val="00727AA9"/>
    <w:rsid w:val="00727AFA"/>
    <w:rsid w:val="00727B6D"/>
    <w:rsid w:val="007300C5"/>
    <w:rsid w:val="007302FD"/>
    <w:rsid w:val="007305FE"/>
    <w:rsid w:val="0073091C"/>
    <w:rsid w:val="00730AAC"/>
    <w:rsid w:val="00731346"/>
    <w:rsid w:val="00731748"/>
    <w:rsid w:val="007319A0"/>
    <w:rsid w:val="00731AD4"/>
    <w:rsid w:val="00731F1E"/>
    <w:rsid w:val="00731F53"/>
    <w:rsid w:val="00731F80"/>
    <w:rsid w:val="00732466"/>
    <w:rsid w:val="0073311F"/>
    <w:rsid w:val="007335D2"/>
    <w:rsid w:val="0073397A"/>
    <w:rsid w:val="007343A6"/>
    <w:rsid w:val="007346E4"/>
    <w:rsid w:val="00734A2D"/>
    <w:rsid w:val="00734A87"/>
    <w:rsid w:val="00734ACE"/>
    <w:rsid w:val="00734CD9"/>
    <w:rsid w:val="00734EC5"/>
    <w:rsid w:val="00735311"/>
    <w:rsid w:val="00735564"/>
    <w:rsid w:val="0073643F"/>
    <w:rsid w:val="00736745"/>
    <w:rsid w:val="007367EB"/>
    <w:rsid w:val="0073696D"/>
    <w:rsid w:val="00736A38"/>
    <w:rsid w:val="00736A40"/>
    <w:rsid w:val="00736B3E"/>
    <w:rsid w:val="007372E3"/>
    <w:rsid w:val="00737841"/>
    <w:rsid w:val="007379EB"/>
    <w:rsid w:val="00737AC1"/>
    <w:rsid w:val="007408A0"/>
    <w:rsid w:val="00740A08"/>
    <w:rsid w:val="00740D58"/>
    <w:rsid w:val="00740F22"/>
    <w:rsid w:val="00741496"/>
    <w:rsid w:val="00741CF0"/>
    <w:rsid w:val="00741D50"/>
    <w:rsid w:val="00741F1A"/>
    <w:rsid w:val="00741FC9"/>
    <w:rsid w:val="00742A29"/>
    <w:rsid w:val="00742ACC"/>
    <w:rsid w:val="00742C83"/>
    <w:rsid w:val="00742CD1"/>
    <w:rsid w:val="0074310F"/>
    <w:rsid w:val="00743390"/>
    <w:rsid w:val="00743C66"/>
    <w:rsid w:val="00743ECD"/>
    <w:rsid w:val="00743F8C"/>
    <w:rsid w:val="0074423D"/>
    <w:rsid w:val="00744245"/>
    <w:rsid w:val="00744607"/>
    <w:rsid w:val="00744766"/>
    <w:rsid w:val="007447DA"/>
    <w:rsid w:val="0074487C"/>
    <w:rsid w:val="00744ADC"/>
    <w:rsid w:val="00744BB3"/>
    <w:rsid w:val="00744C25"/>
    <w:rsid w:val="00744C9D"/>
    <w:rsid w:val="00744E8E"/>
    <w:rsid w:val="007450F8"/>
    <w:rsid w:val="0074517F"/>
    <w:rsid w:val="007457E7"/>
    <w:rsid w:val="007459A3"/>
    <w:rsid w:val="00745DA0"/>
    <w:rsid w:val="0074662F"/>
    <w:rsid w:val="00746880"/>
    <w:rsid w:val="0074696E"/>
    <w:rsid w:val="0074709C"/>
    <w:rsid w:val="0074746B"/>
    <w:rsid w:val="00747786"/>
    <w:rsid w:val="0074778A"/>
    <w:rsid w:val="00750047"/>
    <w:rsid w:val="00750135"/>
    <w:rsid w:val="007503E8"/>
    <w:rsid w:val="007507AC"/>
    <w:rsid w:val="00750821"/>
    <w:rsid w:val="0075092B"/>
    <w:rsid w:val="00750EC2"/>
    <w:rsid w:val="00750FCF"/>
    <w:rsid w:val="00751110"/>
    <w:rsid w:val="0075144B"/>
    <w:rsid w:val="00751675"/>
    <w:rsid w:val="00751FDE"/>
    <w:rsid w:val="0075201C"/>
    <w:rsid w:val="0075216A"/>
    <w:rsid w:val="007521AE"/>
    <w:rsid w:val="0075244C"/>
    <w:rsid w:val="007524CF"/>
    <w:rsid w:val="00752600"/>
    <w:rsid w:val="00752B28"/>
    <w:rsid w:val="007530D8"/>
    <w:rsid w:val="0075355A"/>
    <w:rsid w:val="00753621"/>
    <w:rsid w:val="007536BC"/>
    <w:rsid w:val="00753A35"/>
    <w:rsid w:val="00753B18"/>
    <w:rsid w:val="007541A9"/>
    <w:rsid w:val="007541C0"/>
    <w:rsid w:val="0075463A"/>
    <w:rsid w:val="00754E36"/>
    <w:rsid w:val="007551F4"/>
    <w:rsid w:val="007552EE"/>
    <w:rsid w:val="007554C6"/>
    <w:rsid w:val="0075580F"/>
    <w:rsid w:val="00755F51"/>
    <w:rsid w:val="007565AF"/>
    <w:rsid w:val="0075673F"/>
    <w:rsid w:val="00756766"/>
    <w:rsid w:val="007571AF"/>
    <w:rsid w:val="00757284"/>
    <w:rsid w:val="00757687"/>
    <w:rsid w:val="007577D5"/>
    <w:rsid w:val="007600F6"/>
    <w:rsid w:val="007602EB"/>
    <w:rsid w:val="0076041A"/>
    <w:rsid w:val="00760703"/>
    <w:rsid w:val="00760D01"/>
    <w:rsid w:val="007612FB"/>
    <w:rsid w:val="00762058"/>
    <w:rsid w:val="00762142"/>
    <w:rsid w:val="00762477"/>
    <w:rsid w:val="007624E1"/>
    <w:rsid w:val="007625A1"/>
    <w:rsid w:val="00762B77"/>
    <w:rsid w:val="00762C50"/>
    <w:rsid w:val="00762F78"/>
    <w:rsid w:val="00763009"/>
    <w:rsid w:val="00763139"/>
    <w:rsid w:val="0076336B"/>
    <w:rsid w:val="0076340B"/>
    <w:rsid w:val="00763983"/>
    <w:rsid w:val="00763A95"/>
    <w:rsid w:val="00763C4A"/>
    <w:rsid w:val="00763ECE"/>
    <w:rsid w:val="00764055"/>
    <w:rsid w:val="00764240"/>
    <w:rsid w:val="0076466A"/>
    <w:rsid w:val="007646AE"/>
    <w:rsid w:val="007647A3"/>
    <w:rsid w:val="00764887"/>
    <w:rsid w:val="00764B65"/>
    <w:rsid w:val="00764C2D"/>
    <w:rsid w:val="007662BE"/>
    <w:rsid w:val="00766581"/>
    <w:rsid w:val="00766A67"/>
    <w:rsid w:val="00766AE4"/>
    <w:rsid w:val="00766AF9"/>
    <w:rsid w:val="00766C8C"/>
    <w:rsid w:val="00767290"/>
    <w:rsid w:val="00767532"/>
    <w:rsid w:val="0076788B"/>
    <w:rsid w:val="0076793E"/>
    <w:rsid w:val="00767BF7"/>
    <w:rsid w:val="00767D37"/>
    <w:rsid w:val="00767EDA"/>
    <w:rsid w:val="007704DC"/>
    <w:rsid w:val="0077067D"/>
    <w:rsid w:val="00770F37"/>
    <w:rsid w:val="00770F4D"/>
    <w:rsid w:val="007711A0"/>
    <w:rsid w:val="0077197B"/>
    <w:rsid w:val="00771AA8"/>
    <w:rsid w:val="007721BE"/>
    <w:rsid w:val="007723BE"/>
    <w:rsid w:val="00772557"/>
    <w:rsid w:val="00772BBD"/>
    <w:rsid w:val="00772D5E"/>
    <w:rsid w:val="00773392"/>
    <w:rsid w:val="00773592"/>
    <w:rsid w:val="00773923"/>
    <w:rsid w:val="00773ABE"/>
    <w:rsid w:val="00773C4C"/>
    <w:rsid w:val="00773D80"/>
    <w:rsid w:val="00774271"/>
    <w:rsid w:val="0077463E"/>
    <w:rsid w:val="00774844"/>
    <w:rsid w:val="0077485A"/>
    <w:rsid w:val="00774F67"/>
    <w:rsid w:val="00775800"/>
    <w:rsid w:val="00775E7A"/>
    <w:rsid w:val="007761F3"/>
    <w:rsid w:val="007762BB"/>
    <w:rsid w:val="0077653F"/>
    <w:rsid w:val="00776928"/>
    <w:rsid w:val="00776C89"/>
    <w:rsid w:val="00776D56"/>
    <w:rsid w:val="00776E0F"/>
    <w:rsid w:val="00777023"/>
    <w:rsid w:val="007774B1"/>
    <w:rsid w:val="007774D6"/>
    <w:rsid w:val="007774DA"/>
    <w:rsid w:val="007778E5"/>
    <w:rsid w:val="00777BE1"/>
    <w:rsid w:val="00777C29"/>
    <w:rsid w:val="00777DED"/>
    <w:rsid w:val="007800B5"/>
    <w:rsid w:val="0078107B"/>
    <w:rsid w:val="0078127B"/>
    <w:rsid w:val="00781A40"/>
    <w:rsid w:val="00781DA9"/>
    <w:rsid w:val="00782222"/>
    <w:rsid w:val="007826EE"/>
    <w:rsid w:val="00782E43"/>
    <w:rsid w:val="00782F92"/>
    <w:rsid w:val="007831DD"/>
    <w:rsid w:val="0078327C"/>
    <w:rsid w:val="007833D8"/>
    <w:rsid w:val="007835D3"/>
    <w:rsid w:val="007835DE"/>
    <w:rsid w:val="00783861"/>
    <w:rsid w:val="00783EA7"/>
    <w:rsid w:val="00784252"/>
    <w:rsid w:val="00784552"/>
    <w:rsid w:val="00784C50"/>
    <w:rsid w:val="00784CD0"/>
    <w:rsid w:val="00784F60"/>
    <w:rsid w:val="007850B3"/>
    <w:rsid w:val="00785677"/>
    <w:rsid w:val="007858DE"/>
    <w:rsid w:val="00785A6E"/>
    <w:rsid w:val="00785E1E"/>
    <w:rsid w:val="0078603D"/>
    <w:rsid w:val="007862FC"/>
    <w:rsid w:val="007863C7"/>
    <w:rsid w:val="00786980"/>
    <w:rsid w:val="00786A8F"/>
    <w:rsid w:val="00786ABE"/>
    <w:rsid w:val="00786EA3"/>
    <w:rsid w:val="00786F16"/>
    <w:rsid w:val="007870C3"/>
    <w:rsid w:val="00787157"/>
    <w:rsid w:val="007871D7"/>
    <w:rsid w:val="007873FE"/>
    <w:rsid w:val="00787475"/>
    <w:rsid w:val="00787602"/>
    <w:rsid w:val="00787C39"/>
    <w:rsid w:val="007904DE"/>
    <w:rsid w:val="00790976"/>
    <w:rsid w:val="00790BF6"/>
    <w:rsid w:val="00790D87"/>
    <w:rsid w:val="0079150E"/>
    <w:rsid w:val="00791BD7"/>
    <w:rsid w:val="00791EF8"/>
    <w:rsid w:val="00791FE9"/>
    <w:rsid w:val="00792E10"/>
    <w:rsid w:val="00792E3A"/>
    <w:rsid w:val="00793303"/>
    <w:rsid w:val="007933F7"/>
    <w:rsid w:val="00793487"/>
    <w:rsid w:val="0079366D"/>
    <w:rsid w:val="00793B0B"/>
    <w:rsid w:val="00793C1E"/>
    <w:rsid w:val="00793F9E"/>
    <w:rsid w:val="0079427A"/>
    <w:rsid w:val="00794322"/>
    <w:rsid w:val="0079480D"/>
    <w:rsid w:val="00794B2A"/>
    <w:rsid w:val="00795013"/>
    <w:rsid w:val="0079501A"/>
    <w:rsid w:val="00795410"/>
    <w:rsid w:val="007956AE"/>
    <w:rsid w:val="007958B6"/>
    <w:rsid w:val="00795A99"/>
    <w:rsid w:val="00795C21"/>
    <w:rsid w:val="00795CD3"/>
    <w:rsid w:val="00795D20"/>
    <w:rsid w:val="00795E7C"/>
    <w:rsid w:val="00796558"/>
    <w:rsid w:val="00796BB5"/>
    <w:rsid w:val="00796E20"/>
    <w:rsid w:val="0079752F"/>
    <w:rsid w:val="00797792"/>
    <w:rsid w:val="00797B42"/>
    <w:rsid w:val="00797BFF"/>
    <w:rsid w:val="00797C32"/>
    <w:rsid w:val="00797EB4"/>
    <w:rsid w:val="007A03AC"/>
    <w:rsid w:val="007A0E82"/>
    <w:rsid w:val="007A11E8"/>
    <w:rsid w:val="007A1607"/>
    <w:rsid w:val="007A2012"/>
    <w:rsid w:val="007A23D8"/>
    <w:rsid w:val="007A266E"/>
    <w:rsid w:val="007A2DC0"/>
    <w:rsid w:val="007A31FB"/>
    <w:rsid w:val="007A382A"/>
    <w:rsid w:val="007A3F7C"/>
    <w:rsid w:val="007A4407"/>
    <w:rsid w:val="007A4497"/>
    <w:rsid w:val="007A4734"/>
    <w:rsid w:val="007A4894"/>
    <w:rsid w:val="007A4D5D"/>
    <w:rsid w:val="007A5DBF"/>
    <w:rsid w:val="007A640F"/>
    <w:rsid w:val="007A6B2B"/>
    <w:rsid w:val="007A6DFB"/>
    <w:rsid w:val="007A7000"/>
    <w:rsid w:val="007A7618"/>
    <w:rsid w:val="007A7968"/>
    <w:rsid w:val="007A7E03"/>
    <w:rsid w:val="007B032A"/>
    <w:rsid w:val="007B071C"/>
    <w:rsid w:val="007B073E"/>
    <w:rsid w:val="007B0914"/>
    <w:rsid w:val="007B0B74"/>
    <w:rsid w:val="007B0F6A"/>
    <w:rsid w:val="007B0F90"/>
    <w:rsid w:val="007B1374"/>
    <w:rsid w:val="007B2F9A"/>
    <w:rsid w:val="007B310B"/>
    <w:rsid w:val="007B32E5"/>
    <w:rsid w:val="007B34BE"/>
    <w:rsid w:val="007B3DB9"/>
    <w:rsid w:val="007B4DA7"/>
    <w:rsid w:val="007B5075"/>
    <w:rsid w:val="007B52FD"/>
    <w:rsid w:val="007B589F"/>
    <w:rsid w:val="007B5AF7"/>
    <w:rsid w:val="007B5EC6"/>
    <w:rsid w:val="007B6186"/>
    <w:rsid w:val="007B62AB"/>
    <w:rsid w:val="007B6409"/>
    <w:rsid w:val="007B6435"/>
    <w:rsid w:val="007B65DB"/>
    <w:rsid w:val="007B69FA"/>
    <w:rsid w:val="007B6E3D"/>
    <w:rsid w:val="007B73BC"/>
    <w:rsid w:val="007B75D8"/>
    <w:rsid w:val="007B77CE"/>
    <w:rsid w:val="007B7CFA"/>
    <w:rsid w:val="007B7F55"/>
    <w:rsid w:val="007C0705"/>
    <w:rsid w:val="007C0BCD"/>
    <w:rsid w:val="007C0DDA"/>
    <w:rsid w:val="007C0E8E"/>
    <w:rsid w:val="007C104B"/>
    <w:rsid w:val="007C149A"/>
    <w:rsid w:val="007C1678"/>
    <w:rsid w:val="007C1838"/>
    <w:rsid w:val="007C1A29"/>
    <w:rsid w:val="007C209B"/>
    <w:rsid w:val="007C20B9"/>
    <w:rsid w:val="007C214C"/>
    <w:rsid w:val="007C3145"/>
    <w:rsid w:val="007C325C"/>
    <w:rsid w:val="007C3804"/>
    <w:rsid w:val="007C4911"/>
    <w:rsid w:val="007C4B2F"/>
    <w:rsid w:val="007C4B58"/>
    <w:rsid w:val="007C4B5C"/>
    <w:rsid w:val="007C4C1F"/>
    <w:rsid w:val="007C4C5D"/>
    <w:rsid w:val="007C5084"/>
    <w:rsid w:val="007C5A47"/>
    <w:rsid w:val="007C5D7A"/>
    <w:rsid w:val="007C5FD8"/>
    <w:rsid w:val="007C636E"/>
    <w:rsid w:val="007C64DE"/>
    <w:rsid w:val="007C6C5E"/>
    <w:rsid w:val="007C7286"/>
    <w:rsid w:val="007C7301"/>
    <w:rsid w:val="007C7859"/>
    <w:rsid w:val="007C7926"/>
    <w:rsid w:val="007C7DDD"/>
    <w:rsid w:val="007C7F28"/>
    <w:rsid w:val="007D0420"/>
    <w:rsid w:val="007D08C5"/>
    <w:rsid w:val="007D0A53"/>
    <w:rsid w:val="007D0E10"/>
    <w:rsid w:val="007D1324"/>
    <w:rsid w:val="007D1466"/>
    <w:rsid w:val="007D14D9"/>
    <w:rsid w:val="007D14F0"/>
    <w:rsid w:val="007D1D93"/>
    <w:rsid w:val="007D1E2D"/>
    <w:rsid w:val="007D270C"/>
    <w:rsid w:val="007D2BDE"/>
    <w:rsid w:val="007D2E07"/>
    <w:rsid w:val="007D2FB6"/>
    <w:rsid w:val="007D3A9B"/>
    <w:rsid w:val="007D4022"/>
    <w:rsid w:val="007D4181"/>
    <w:rsid w:val="007D49EB"/>
    <w:rsid w:val="007D4B13"/>
    <w:rsid w:val="007D4B41"/>
    <w:rsid w:val="007D561A"/>
    <w:rsid w:val="007D5E1C"/>
    <w:rsid w:val="007D62BF"/>
    <w:rsid w:val="007D651A"/>
    <w:rsid w:val="007D66E8"/>
    <w:rsid w:val="007D66EE"/>
    <w:rsid w:val="007D674E"/>
    <w:rsid w:val="007D68C4"/>
    <w:rsid w:val="007D6D9A"/>
    <w:rsid w:val="007D6FB2"/>
    <w:rsid w:val="007D731F"/>
    <w:rsid w:val="007E0148"/>
    <w:rsid w:val="007E0205"/>
    <w:rsid w:val="007E0508"/>
    <w:rsid w:val="007E0B46"/>
    <w:rsid w:val="007E0DA9"/>
    <w:rsid w:val="007E0DE2"/>
    <w:rsid w:val="007E11C8"/>
    <w:rsid w:val="007E18E6"/>
    <w:rsid w:val="007E19E0"/>
    <w:rsid w:val="007E1BC2"/>
    <w:rsid w:val="007E2722"/>
    <w:rsid w:val="007E294C"/>
    <w:rsid w:val="007E2C10"/>
    <w:rsid w:val="007E2D81"/>
    <w:rsid w:val="007E2D9F"/>
    <w:rsid w:val="007E2F9F"/>
    <w:rsid w:val="007E3667"/>
    <w:rsid w:val="007E3B98"/>
    <w:rsid w:val="007E3ECA"/>
    <w:rsid w:val="007E415E"/>
    <w:rsid w:val="007E417A"/>
    <w:rsid w:val="007E4BBD"/>
    <w:rsid w:val="007E4D27"/>
    <w:rsid w:val="007E548D"/>
    <w:rsid w:val="007E5547"/>
    <w:rsid w:val="007E5A3F"/>
    <w:rsid w:val="007E70C4"/>
    <w:rsid w:val="007E770D"/>
    <w:rsid w:val="007E79FA"/>
    <w:rsid w:val="007E7C96"/>
    <w:rsid w:val="007F005A"/>
    <w:rsid w:val="007F076A"/>
    <w:rsid w:val="007F07BD"/>
    <w:rsid w:val="007F1151"/>
    <w:rsid w:val="007F1A3D"/>
    <w:rsid w:val="007F1D71"/>
    <w:rsid w:val="007F2116"/>
    <w:rsid w:val="007F28EE"/>
    <w:rsid w:val="007F30CA"/>
    <w:rsid w:val="007F31B6"/>
    <w:rsid w:val="007F32C5"/>
    <w:rsid w:val="007F3478"/>
    <w:rsid w:val="007F36A6"/>
    <w:rsid w:val="007F3A13"/>
    <w:rsid w:val="007F3A97"/>
    <w:rsid w:val="007F3BD0"/>
    <w:rsid w:val="007F3FAF"/>
    <w:rsid w:val="007F4290"/>
    <w:rsid w:val="007F4813"/>
    <w:rsid w:val="007F51DA"/>
    <w:rsid w:val="007F546C"/>
    <w:rsid w:val="007F5730"/>
    <w:rsid w:val="007F5AAB"/>
    <w:rsid w:val="007F5B81"/>
    <w:rsid w:val="007F5CC2"/>
    <w:rsid w:val="007F5DE7"/>
    <w:rsid w:val="007F5F6B"/>
    <w:rsid w:val="007F625F"/>
    <w:rsid w:val="007F638B"/>
    <w:rsid w:val="007F63FE"/>
    <w:rsid w:val="007F665E"/>
    <w:rsid w:val="007F70D6"/>
    <w:rsid w:val="007F76FF"/>
    <w:rsid w:val="007F7BEB"/>
    <w:rsid w:val="007F7F37"/>
    <w:rsid w:val="00800153"/>
    <w:rsid w:val="008001A6"/>
    <w:rsid w:val="0080037B"/>
    <w:rsid w:val="00800412"/>
    <w:rsid w:val="008004BC"/>
    <w:rsid w:val="00800DDD"/>
    <w:rsid w:val="008014D7"/>
    <w:rsid w:val="0080162B"/>
    <w:rsid w:val="008019CE"/>
    <w:rsid w:val="00801CE7"/>
    <w:rsid w:val="00801E3A"/>
    <w:rsid w:val="0080204A"/>
    <w:rsid w:val="008021AC"/>
    <w:rsid w:val="008027E1"/>
    <w:rsid w:val="00803140"/>
    <w:rsid w:val="008031F9"/>
    <w:rsid w:val="00803CEE"/>
    <w:rsid w:val="00804B62"/>
    <w:rsid w:val="0080581D"/>
    <w:rsid w:val="0080587B"/>
    <w:rsid w:val="008058B1"/>
    <w:rsid w:val="00805B0A"/>
    <w:rsid w:val="00805FB4"/>
    <w:rsid w:val="00806074"/>
    <w:rsid w:val="00806228"/>
    <w:rsid w:val="00806276"/>
    <w:rsid w:val="008062B5"/>
    <w:rsid w:val="00806468"/>
    <w:rsid w:val="008066D3"/>
    <w:rsid w:val="008069F6"/>
    <w:rsid w:val="00806DB7"/>
    <w:rsid w:val="00807034"/>
    <w:rsid w:val="00807A7B"/>
    <w:rsid w:val="00807C21"/>
    <w:rsid w:val="00807DE4"/>
    <w:rsid w:val="00807FCC"/>
    <w:rsid w:val="00810048"/>
    <w:rsid w:val="008109D2"/>
    <w:rsid w:val="00811279"/>
    <w:rsid w:val="008117EC"/>
    <w:rsid w:val="008119CA"/>
    <w:rsid w:val="00812182"/>
    <w:rsid w:val="008121D0"/>
    <w:rsid w:val="008121DF"/>
    <w:rsid w:val="00812293"/>
    <w:rsid w:val="00812413"/>
    <w:rsid w:val="008130C4"/>
    <w:rsid w:val="008134D3"/>
    <w:rsid w:val="0081397A"/>
    <w:rsid w:val="00813E42"/>
    <w:rsid w:val="00813E62"/>
    <w:rsid w:val="00814409"/>
    <w:rsid w:val="0081450D"/>
    <w:rsid w:val="0081500F"/>
    <w:rsid w:val="0081513D"/>
    <w:rsid w:val="00815160"/>
    <w:rsid w:val="0081518D"/>
    <w:rsid w:val="008153A2"/>
    <w:rsid w:val="008153F9"/>
    <w:rsid w:val="008155F0"/>
    <w:rsid w:val="00815E5F"/>
    <w:rsid w:val="00816062"/>
    <w:rsid w:val="00816461"/>
    <w:rsid w:val="00816735"/>
    <w:rsid w:val="008167A4"/>
    <w:rsid w:val="00816DD3"/>
    <w:rsid w:val="00816FAB"/>
    <w:rsid w:val="008172C1"/>
    <w:rsid w:val="00817904"/>
    <w:rsid w:val="00817BE7"/>
    <w:rsid w:val="00820141"/>
    <w:rsid w:val="0082017E"/>
    <w:rsid w:val="008202A9"/>
    <w:rsid w:val="008208FA"/>
    <w:rsid w:val="00820E0C"/>
    <w:rsid w:val="008213AA"/>
    <w:rsid w:val="00821429"/>
    <w:rsid w:val="008215BB"/>
    <w:rsid w:val="00821677"/>
    <w:rsid w:val="00821D17"/>
    <w:rsid w:val="00821E31"/>
    <w:rsid w:val="00822DA0"/>
    <w:rsid w:val="00823275"/>
    <w:rsid w:val="0082353D"/>
    <w:rsid w:val="0082366F"/>
    <w:rsid w:val="00823CDE"/>
    <w:rsid w:val="0082421E"/>
    <w:rsid w:val="0082439B"/>
    <w:rsid w:val="00824456"/>
    <w:rsid w:val="00824877"/>
    <w:rsid w:val="00825F74"/>
    <w:rsid w:val="0082620F"/>
    <w:rsid w:val="0082664C"/>
    <w:rsid w:val="008267E9"/>
    <w:rsid w:val="00826808"/>
    <w:rsid w:val="00827261"/>
    <w:rsid w:val="00827DF5"/>
    <w:rsid w:val="008300E0"/>
    <w:rsid w:val="008303DD"/>
    <w:rsid w:val="00830633"/>
    <w:rsid w:val="00830649"/>
    <w:rsid w:val="008309DE"/>
    <w:rsid w:val="00830FB2"/>
    <w:rsid w:val="00831078"/>
    <w:rsid w:val="008310C9"/>
    <w:rsid w:val="00831395"/>
    <w:rsid w:val="008316A2"/>
    <w:rsid w:val="00831FFE"/>
    <w:rsid w:val="008322F3"/>
    <w:rsid w:val="0083265A"/>
    <w:rsid w:val="00832866"/>
    <w:rsid w:val="00832D56"/>
    <w:rsid w:val="008338A2"/>
    <w:rsid w:val="008339D1"/>
    <w:rsid w:val="00833FC5"/>
    <w:rsid w:val="00834363"/>
    <w:rsid w:val="008345EE"/>
    <w:rsid w:val="00834C4C"/>
    <w:rsid w:val="00834CBC"/>
    <w:rsid w:val="00834E28"/>
    <w:rsid w:val="00834EFA"/>
    <w:rsid w:val="00834FFF"/>
    <w:rsid w:val="00835154"/>
    <w:rsid w:val="00835842"/>
    <w:rsid w:val="008359EE"/>
    <w:rsid w:val="00835B96"/>
    <w:rsid w:val="00835B9F"/>
    <w:rsid w:val="00836267"/>
    <w:rsid w:val="008363EF"/>
    <w:rsid w:val="008368E2"/>
    <w:rsid w:val="008369CA"/>
    <w:rsid w:val="00836C23"/>
    <w:rsid w:val="008374C6"/>
    <w:rsid w:val="00837871"/>
    <w:rsid w:val="00837DE1"/>
    <w:rsid w:val="00837E61"/>
    <w:rsid w:val="00840BF1"/>
    <w:rsid w:val="00840E2C"/>
    <w:rsid w:val="00840FAF"/>
    <w:rsid w:val="0084123A"/>
    <w:rsid w:val="00841A32"/>
    <w:rsid w:val="00841AA9"/>
    <w:rsid w:val="00841EC9"/>
    <w:rsid w:val="00841FFB"/>
    <w:rsid w:val="0084228B"/>
    <w:rsid w:val="008424C6"/>
    <w:rsid w:val="00842858"/>
    <w:rsid w:val="00842879"/>
    <w:rsid w:val="008429F2"/>
    <w:rsid w:val="008429F9"/>
    <w:rsid w:val="00842A59"/>
    <w:rsid w:val="00842AFC"/>
    <w:rsid w:val="00843366"/>
    <w:rsid w:val="008436CF"/>
    <w:rsid w:val="00843867"/>
    <w:rsid w:val="00843B15"/>
    <w:rsid w:val="00844825"/>
    <w:rsid w:val="00844AF4"/>
    <w:rsid w:val="00844D27"/>
    <w:rsid w:val="008458EB"/>
    <w:rsid w:val="00845FAC"/>
    <w:rsid w:val="008467F8"/>
    <w:rsid w:val="00846A4F"/>
    <w:rsid w:val="00846B73"/>
    <w:rsid w:val="00847025"/>
    <w:rsid w:val="0084718F"/>
    <w:rsid w:val="008474FE"/>
    <w:rsid w:val="008475A3"/>
    <w:rsid w:val="00847807"/>
    <w:rsid w:val="00847BE8"/>
    <w:rsid w:val="00847BFC"/>
    <w:rsid w:val="00847C9D"/>
    <w:rsid w:val="00847EBB"/>
    <w:rsid w:val="0085083C"/>
    <w:rsid w:val="00850AA9"/>
    <w:rsid w:val="0085146D"/>
    <w:rsid w:val="0085155B"/>
    <w:rsid w:val="008516FA"/>
    <w:rsid w:val="0085174F"/>
    <w:rsid w:val="00851885"/>
    <w:rsid w:val="00851FB3"/>
    <w:rsid w:val="008522C2"/>
    <w:rsid w:val="00852849"/>
    <w:rsid w:val="00853104"/>
    <w:rsid w:val="008531D4"/>
    <w:rsid w:val="008535F0"/>
    <w:rsid w:val="008539DB"/>
    <w:rsid w:val="00853EE4"/>
    <w:rsid w:val="0085402F"/>
    <w:rsid w:val="00854081"/>
    <w:rsid w:val="008543BF"/>
    <w:rsid w:val="0085473C"/>
    <w:rsid w:val="00855092"/>
    <w:rsid w:val="00855163"/>
    <w:rsid w:val="00855535"/>
    <w:rsid w:val="0085576C"/>
    <w:rsid w:val="00855AA6"/>
    <w:rsid w:val="00855FC5"/>
    <w:rsid w:val="008560FE"/>
    <w:rsid w:val="00856362"/>
    <w:rsid w:val="00856369"/>
    <w:rsid w:val="0085656A"/>
    <w:rsid w:val="00856740"/>
    <w:rsid w:val="00856CB7"/>
    <w:rsid w:val="008572A7"/>
    <w:rsid w:val="0085764B"/>
    <w:rsid w:val="00857C5A"/>
    <w:rsid w:val="00857DF1"/>
    <w:rsid w:val="00860310"/>
    <w:rsid w:val="00860421"/>
    <w:rsid w:val="0086056E"/>
    <w:rsid w:val="00860905"/>
    <w:rsid w:val="00860A36"/>
    <w:rsid w:val="00860BD4"/>
    <w:rsid w:val="00860C4C"/>
    <w:rsid w:val="00860FF2"/>
    <w:rsid w:val="008619EB"/>
    <w:rsid w:val="0086207E"/>
    <w:rsid w:val="008621F0"/>
    <w:rsid w:val="0086255E"/>
    <w:rsid w:val="0086321D"/>
    <w:rsid w:val="008633F0"/>
    <w:rsid w:val="008635A6"/>
    <w:rsid w:val="00863A77"/>
    <w:rsid w:val="00863F5D"/>
    <w:rsid w:val="0086418E"/>
    <w:rsid w:val="00864D01"/>
    <w:rsid w:val="00864D81"/>
    <w:rsid w:val="0086567B"/>
    <w:rsid w:val="008658C5"/>
    <w:rsid w:val="00865ABF"/>
    <w:rsid w:val="00865D64"/>
    <w:rsid w:val="00865DA5"/>
    <w:rsid w:val="00865FA3"/>
    <w:rsid w:val="0086673D"/>
    <w:rsid w:val="00866ADA"/>
    <w:rsid w:val="00866B68"/>
    <w:rsid w:val="0086705B"/>
    <w:rsid w:val="00867211"/>
    <w:rsid w:val="008679C7"/>
    <w:rsid w:val="008679C9"/>
    <w:rsid w:val="00867D2C"/>
    <w:rsid w:val="00867D9D"/>
    <w:rsid w:val="0087000C"/>
    <w:rsid w:val="008708F0"/>
    <w:rsid w:val="00870D2B"/>
    <w:rsid w:val="00870F0E"/>
    <w:rsid w:val="00870F7C"/>
    <w:rsid w:val="008711B2"/>
    <w:rsid w:val="008711EE"/>
    <w:rsid w:val="00871305"/>
    <w:rsid w:val="00871DE8"/>
    <w:rsid w:val="00871EFE"/>
    <w:rsid w:val="00872716"/>
    <w:rsid w:val="0087289D"/>
    <w:rsid w:val="00872A25"/>
    <w:rsid w:val="00872B35"/>
    <w:rsid w:val="00872BED"/>
    <w:rsid w:val="00872E0A"/>
    <w:rsid w:val="00872EEE"/>
    <w:rsid w:val="00872EF2"/>
    <w:rsid w:val="00873069"/>
    <w:rsid w:val="00873594"/>
    <w:rsid w:val="00873658"/>
    <w:rsid w:val="00873774"/>
    <w:rsid w:val="00873AA0"/>
    <w:rsid w:val="00874888"/>
    <w:rsid w:val="008749BE"/>
    <w:rsid w:val="00874C95"/>
    <w:rsid w:val="00874EDE"/>
    <w:rsid w:val="00875285"/>
    <w:rsid w:val="008753A0"/>
    <w:rsid w:val="008754CD"/>
    <w:rsid w:val="00875695"/>
    <w:rsid w:val="00875796"/>
    <w:rsid w:val="008757E0"/>
    <w:rsid w:val="0087588D"/>
    <w:rsid w:val="008758A6"/>
    <w:rsid w:val="00875A0B"/>
    <w:rsid w:val="00875F29"/>
    <w:rsid w:val="008763E6"/>
    <w:rsid w:val="00876621"/>
    <w:rsid w:val="0087676A"/>
    <w:rsid w:val="00877222"/>
    <w:rsid w:val="008777FE"/>
    <w:rsid w:val="00880137"/>
    <w:rsid w:val="00880C27"/>
    <w:rsid w:val="008811C2"/>
    <w:rsid w:val="008811D6"/>
    <w:rsid w:val="00881565"/>
    <w:rsid w:val="008818A3"/>
    <w:rsid w:val="00881E65"/>
    <w:rsid w:val="008821A6"/>
    <w:rsid w:val="0088296C"/>
    <w:rsid w:val="008829DB"/>
    <w:rsid w:val="00882FC6"/>
    <w:rsid w:val="008834FD"/>
    <w:rsid w:val="0088352C"/>
    <w:rsid w:val="00883BEA"/>
    <w:rsid w:val="00884184"/>
    <w:rsid w:val="0088441F"/>
    <w:rsid w:val="00884763"/>
    <w:rsid w:val="00884B62"/>
    <w:rsid w:val="0088529C"/>
    <w:rsid w:val="00885577"/>
    <w:rsid w:val="008855D0"/>
    <w:rsid w:val="00885DAC"/>
    <w:rsid w:val="0088610B"/>
    <w:rsid w:val="008866C3"/>
    <w:rsid w:val="00886802"/>
    <w:rsid w:val="00886825"/>
    <w:rsid w:val="00886B18"/>
    <w:rsid w:val="00886BA4"/>
    <w:rsid w:val="00887220"/>
    <w:rsid w:val="008872FA"/>
    <w:rsid w:val="00887408"/>
    <w:rsid w:val="0088753B"/>
    <w:rsid w:val="0088777D"/>
    <w:rsid w:val="00887903"/>
    <w:rsid w:val="0088792E"/>
    <w:rsid w:val="0088794B"/>
    <w:rsid w:val="008900B9"/>
    <w:rsid w:val="008903CD"/>
    <w:rsid w:val="00890F89"/>
    <w:rsid w:val="00891771"/>
    <w:rsid w:val="00891D37"/>
    <w:rsid w:val="008920B0"/>
    <w:rsid w:val="00892202"/>
    <w:rsid w:val="00892259"/>
    <w:rsid w:val="0089270A"/>
    <w:rsid w:val="00892C08"/>
    <w:rsid w:val="00892D06"/>
    <w:rsid w:val="00892D90"/>
    <w:rsid w:val="00892E6C"/>
    <w:rsid w:val="00892E7F"/>
    <w:rsid w:val="0089301A"/>
    <w:rsid w:val="00893878"/>
    <w:rsid w:val="00893A42"/>
    <w:rsid w:val="00893AF6"/>
    <w:rsid w:val="00893AFD"/>
    <w:rsid w:val="00893BCA"/>
    <w:rsid w:val="00893E0D"/>
    <w:rsid w:val="00894158"/>
    <w:rsid w:val="00894601"/>
    <w:rsid w:val="0089479A"/>
    <w:rsid w:val="00894BC4"/>
    <w:rsid w:val="00894CC2"/>
    <w:rsid w:val="008957E1"/>
    <w:rsid w:val="0089592F"/>
    <w:rsid w:val="00895B0D"/>
    <w:rsid w:val="00895C18"/>
    <w:rsid w:val="00895C2F"/>
    <w:rsid w:val="00895E90"/>
    <w:rsid w:val="0089675B"/>
    <w:rsid w:val="00896890"/>
    <w:rsid w:val="00896A57"/>
    <w:rsid w:val="00896D82"/>
    <w:rsid w:val="008973C1"/>
    <w:rsid w:val="00897700"/>
    <w:rsid w:val="008977D1"/>
    <w:rsid w:val="008978F9"/>
    <w:rsid w:val="008A075F"/>
    <w:rsid w:val="008A08BD"/>
    <w:rsid w:val="008A08C0"/>
    <w:rsid w:val="008A09AF"/>
    <w:rsid w:val="008A0D94"/>
    <w:rsid w:val="008A150F"/>
    <w:rsid w:val="008A162B"/>
    <w:rsid w:val="008A1E98"/>
    <w:rsid w:val="008A28A8"/>
    <w:rsid w:val="008A3782"/>
    <w:rsid w:val="008A3861"/>
    <w:rsid w:val="008A395E"/>
    <w:rsid w:val="008A39AB"/>
    <w:rsid w:val="008A3C07"/>
    <w:rsid w:val="008A3D2E"/>
    <w:rsid w:val="008A3E29"/>
    <w:rsid w:val="008A4459"/>
    <w:rsid w:val="008A4887"/>
    <w:rsid w:val="008A523A"/>
    <w:rsid w:val="008A53D3"/>
    <w:rsid w:val="008A54AC"/>
    <w:rsid w:val="008A588E"/>
    <w:rsid w:val="008A5B32"/>
    <w:rsid w:val="008A5E65"/>
    <w:rsid w:val="008A5FCE"/>
    <w:rsid w:val="008A6069"/>
    <w:rsid w:val="008A69BC"/>
    <w:rsid w:val="008A6D18"/>
    <w:rsid w:val="008A7080"/>
    <w:rsid w:val="008A74B7"/>
    <w:rsid w:val="008A7A5D"/>
    <w:rsid w:val="008B0051"/>
    <w:rsid w:val="008B00AA"/>
    <w:rsid w:val="008B02BD"/>
    <w:rsid w:val="008B0A32"/>
    <w:rsid w:val="008B0A54"/>
    <w:rsid w:val="008B0C34"/>
    <w:rsid w:val="008B12BF"/>
    <w:rsid w:val="008B1301"/>
    <w:rsid w:val="008B1A19"/>
    <w:rsid w:val="008B1BCE"/>
    <w:rsid w:val="008B1CF6"/>
    <w:rsid w:val="008B1EA0"/>
    <w:rsid w:val="008B1FB9"/>
    <w:rsid w:val="008B2029"/>
    <w:rsid w:val="008B272F"/>
    <w:rsid w:val="008B2D31"/>
    <w:rsid w:val="008B2DD9"/>
    <w:rsid w:val="008B2EE4"/>
    <w:rsid w:val="008B3541"/>
    <w:rsid w:val="008B37E4"/>
    <w:rsid w:val="008B3821"/>
    <w:rsid w:val="008B3B31"/>
    <w:rsid w:val="008B3D6C"/>
    <w:rsid w:val="008B41A0"/>
    <w:rsid w:val="008B4D3D"/>
    <w:rsid w:val="008B4D5C"/>
    <w:rsid w:val="008B54B1"/>
    <w:rsid w:val="008B57C7"/>
    <w:rsid w:val="008B58D6"/>
    <w:rsid w:val="008B5F6D"/>
    <w:rsid w:val="008B62E6"/>
    <w:rsid w:val="008B6346"/>
    <w:rsid w:val="008B6458"/>
    <w:rsid w:val="008B65A2"/>
    <w:rsid w:val="008B6E7D"/>
    <w:rsid w:val="008B7070"/>
    <w:rsid w:val="008B7B9E"/>
    <w:rsid w:val="008B7C06"/>
    <w:rsid w:val="008B7E39"/>
    <w:rsid w:val="008C0282"/>
    <w:rsid w:val="008C0638"/>
    <w:rsid w:val="008C1135"/>
    <w:rsid w:val="008C11C6"/>
    <w:rsid w:val="008C15D8"/>
    <w:rsid w:val="008C18BE"/>
    <w:rsid w:val="008C1A8F"/>
    <w:rsid w:val="008C1F7E"/>
    <w:rsid w:val="008C2736"/>
    <w:rsid w:val="008C27BC"/>
    <w:rsid w:val="008C2C9D"/>
    <w:rsid w:val="008C2D4B"/>
    <w:rsid w:val="008C2F92"/>
    <w:rsid w:val="008C3043"/>
    <w:rsid w:val="008C317E"/>
    <w:rsid w:val="008C31DE"/>
    <w:rsid w:val="008C3546"/>
    <w:rsid w:val="008C3A6B"/>
    <w:rsid w:val="008C3CBC"/>
    <w:rsid w:val="008C4B63"/>
    <w:rsid w:val="008C502B"/>
    <w:rsid w:val="008C5274"/>
    <w:rsid w:val="008C5489"/>
    <w:rsid w:val="008C54C5"/>
    <w:rsid w:val="008C54F8"/>
    <w:rsid w:val="008C589D"/>
    <w:rsid w:val="008C5AD3"/>
    <w:rsid w:val="008C5CD7"/>
    <w:rsid w:val="008C5D62"/>
    <w:rsid w:val="008C5D7D"/>
    <w:rsid w:val="008C64A3"/>
    <w:rsid w:val="008C64D3"/>
    <w:rsid w:val="008C6BAE"/>
    <w:rsid w:val="008C6BE7"/>
    <w:rsid w:val="008C6D51"/>
    <w:rsid w:val="008C6ED9"/>
    <w:rsid w:val="008C6FBB"/>
    <w:rsid w:val="008C713E"/>
    <w:rsid w:val="008C719E"/>
    <w:rsid w:val="008C72F7"/>
    <w:rsid w:val="008C7A6D"/>
    <w:rsid w:val="008C7DA9"/>
    <w:rsid w:val="008D0034"/>
    <w:rsid w:val="008D0166"/>
    <w:rsid w:val="008D0C1D"/>
    <w:rsid w:val="008D0D9D"/>
    <w:rsid w:val="008D11B1"/>
    <w:rsid w:val="008D128B"/>
    <w:rsid w:val="008D1463"/>
    <w:rsid w:val="008D14DA"/>
    <w:rsid w:val="008D154E"/>
    <w:rsid w:val="008D15D2"/>
    <w:rsid w:val="008D1D0F"/>
    <w:rsid w:val="008D2023"/>
    <w:rsid w:val="008D20F6"/>
    <w:rsid w:val="008D216F"/>
    <w:rsid w:val="008D2846"/>
    <w:rsid w:val="008D2868"/>
    <w:rsid w:val="008D2877"/>
    <w:rsid w:val="008D2969"/>
    <w:rsid w:val="008D2D66"/>
    <w:rsid w:val="008D2E66"/>
    <w:rsid w:val="008D3368"/>
    <w:rsid w:val="008D339C"/>
    <w:rsid w:val="008D3C5B"/>
    <w:rsid w:val="008D4236"/>
    <w:rsid w:val="008D462F"/>
    <w:rsid w:val="008D5863"/>
    <w:rsid w:val="008D5FC7"/>
    <w:rsid w:val="008D632E"/>
    <w:rsid w:val="008D6477"/>
    <w:rsid w:val="008D6715"/>
    <w:rsid w:val="008D6A04"/>
    <w:rsid w:val="008D6A86"/>
    <w:rsid w:val="008D6C65"/>
    <w:rsid w:val="008D6DCD"/>
    <w:rsid w:val="008D6DCF"/>
    <w:rsid w:val="008D70F4"/>
    <w:rsid w:val="008D710E"/>
    <w:rsid w:val="008D745A"/>
    <w:rsid w:val="008D78DC"/>
    <w:rsid w:val="008D7932"/>
    <w:rsid w:val="008E00BF"/>
    <w:rsid w:val="008E00D1"/>
    <w:rsid w:val="008E03D8"/>
    <w:rsid w:val="008E041C"/>
    <w:rsid w:val="008E056C"/>
    <w:rsid w:val="008E0C06"/>
    <w:rsid w:val="008E0DF7"/>
    <w:rsid w:val="008E0F5F"/>
    <w:rsid w:val="008E16E0"/>
    <w:rsid w:val="008E1793"/>
    <w:rsid w:val="008E1892"/>
    <w:rsid w:val="008E1A44"/>
    <w:rsid w:val="008E1C8E"/>
    <w:rsid w:val="008E2C82"/>
    <w:rsid w:val="008E36A6"/>
    <w:rsid w:val="008E3702"/>
    <w:rsid w:val="008E3932"/>
    <w:rsid w:val="008E39DE"/>
    <w:rsid w:val="008E39F1"/>
    <w:rsid w:val="008E3DAD"/>
    <w:rsid w:val="008E408E"/>
    <w:rsid w:val="008E4368"/>
    <w:rsid w:val="008E4376"/>
    <w:rsid w:val="008E440B"/>
    <w:rsid w:val="008E4916"/>
    <w:rsid w:val="008E4C61"/>
    <w:rsid w:val="008E4C95"/>
    <w:rsid w:val="008E4FDB"/>
    <w:rsid w:val="008E5540"/>
    <w:rsid w:val="008E5888"/>
    <w:rsid w:val="008E5D34"/>
    <w:rsid w:val="008E60B4"/>
    <w:rsid w:val="008E62F1"/>
    <w:rsid w:val="008E6736"/>
    <w:rsid w:val="008E716E"/>
    <w:rsid w:val="008E7599"/>
    <w:rsid w:val="008E7A0A"/>
    <w:rsid w:val="008E7B49"/>
    <w:rsid w:val="008F0206"/>
    <w:rsid w:val="008F0319"/>
    <w:rsid w:val="008F0B2E"/>
    <w:rsid w:val="008F12AB"/>
    <w:rsid w:val="008F15C6"/>
    <w:rsid w:val="008F2A04"/>
    <w:rsid w:val="008F32DA"/>
    <w:rsid w:val="008F39DE"/>
    <w:rsid w:val="008F3B2B"/>
    <w:rsid w:val="008F3C79"/>
    <w:rsid w:val="008F3FA1"/>
    <w:rsid w:val="008F4080"/>
    <w:rsid w:val="008F429E"/>
    <w:rsid w:val="008F45F1"/>
    <w:rsid w:val="008F474E"/>
    <w:rsid w:val="008F5871"/>
    <w:rsid w:val="008F59F6"/>
    <w:rsid w:val="008F5AD9"/>
    <w:rsid w:val="008F6028"/>
    <w:rsid w:val="008F65D9"/>
    <w:rsid w:val="008F661D"/>
    <w:rsid w:val="008F6767"/>
    <w:rsid w:val="008F6C7F"/>
    <w:rsid w:val="008F6F18"/>
    <w:rsid w:val="008F7258"/>
    <w:rsid w:val="008F7584"/>
    <w:rsid w:val="008F79D3"/>
    <w:rsid w:val="008F79F8"/>
    <w:rsid w:val="008F7A91"/>
    <w:rsid w:val="0090008C"/>
    <w:rsid w:val="009005F6"/>
    <w:rsid w:val="00900719"/>
    <w:rsid w:val="009007A5"/>
    <w:rsid w:val="00900F8B"/>
    <w:rsid w:val="009016BC"/>
    <w:rsid w:val="009017AC"/>
    <w:rsid w:val="00901B7C"/>
    <w:rsid w:val="00901D10"/>
    <w:rsid w:val="00901EDF"/>
    <w:rsid w:val="0090209B"/>
    <w:rsid w:val="009025D5"/>
    <w:rsid w:val="009025FB"/>
    <w:rsid w:val="00902A9A"/>
    <w:rsid w:val="00902ABB"/>
    <w:rsid w:val="00902BEE"/>
    <w:rsid w:val="00902D39"/>
    <w:rsid w:val="009032B1"/>
    <w:rsid w:val="009034DD"/>
    <w:rsid w:val="009036F8"/>
    <w:rsid w:val="00903CE5"/>
    <w:rsid w:val="0090424B"/>
    <w:rsid w:val="00904A1C"/>
    <w:rsid w:val="00904E17"/>
    <w:rsid w:val="00904F6F"/>
    <w:rsid w:val="00905030"/>
    <w:rsid w:val="009052F4"/>
    <w:rsid w:val="009057CD"/>
    <w:rsid w:val="00905B91"/>
    <w:rsid w:val="00905FCE"/>
    <w:rsid w:val="00906300"/>
    <w:rsid w:val="00906490"/>
    <w:rsid w:val="00906ACE"/>
    <w:rsid w:val="00906C9A"/>
    <w:rsid w:val="0090716F"/>
    <w:rsid w:val="00907EB3"/>
    <w:rsid w:val="009103C1"/>
    <w:rsid w:val="00910A88"/>
    <w:rsid w:val="00910DEE"/>
    <w:rsid w:val="00910E4F"/>
    <w:rsid w:val="009111B2"/>
    <w:rsid w:val="00911322"/>
    <w:rsid w:val="00911413"/>
    <w:rsid w:val="00911AC1"/>
    <w:rsid w:val="009128B4"/>
    <w:rsid w:val="00912C5B"/>
    <w:rsid w:val="00912D92"/>
    <w:rsid w:val="00912E2A"/>
    <w:rsid w:val="00912E2D"/>
    <w:rsid w:val="00913625"/>
    <w:rsid w:val="0091367D"/>
    <w:rsid w:val="00913736"/>
    <w:rsid w:val="0091375E"/>
    <w:rsid w:val="00913ACF"/>
    <w:rsid w:val="00913FE7"/>
    <w:rsid w:val="00914062"/>
    <w:rsid w:val="00914323"/>
    <w:rsid w:val="0091479E"/>
    <w:rsid w:val="00914813"/>
    <w:rsid w:val="00914876"/>
    <w:rsid w:val="009148E0"/>
    <w:rsid w:val="00914A47"/>
    <w:rsid w:val="00914AA2"/>
    <w:rsid w:val="009151F5"/>
    <w:rsid w:val="009152EC"/>
    <w:rsid w:val="009157B6"/>
    <w:rsid w:val="009157DE"/>
    <w:rsid w:val="00915B88"/>
    <w:rsid w:val="0091637D"/>
    <w:rsid w:val="00916547"/>
    <w:rsid w:val="00916648"/>
    <w:rsid w:val="00916A65"/>
    <w:rsid w:val="00916DE6"/>
    <w:rsid w:val="00916DFC"/>
    <w:rsid w:val="009176BB"/>
    <w:rsid w:val="00917EE2"/>
    <w:rsid w:val="009201DE"/>
    <w:rsid w:val="00920410"/>
    <w:rsid w:val="009218D6"/>
    <w:rsid w:val="00921A55"/>
    <w:rsid w:val="00921DC5"/>
    <w:rsid w:val="00921F4C"/>
    <w:rsid w:val="0092239D"/>
    <w:rsid w:val="009226CE"/>
    <w:rsid w:val="009234D3"/>
    <w:rsid w:val="00923C7B"/>
    <w:rsid w:val="00924584"/>
    <w:rsid w:val="00924702"/>
    <w:rsid w:val="00924807"/>
    <w:rsid w:val="00924AE1"/>
    <w:rsid w:val="00924E58"/>
    <w:rsid w:val="00925131"/>
    <w:rsid w:val="0092517F"/>
    <w:rsid w:val="00925233"/>
    <w:rsid w:val="00925B05"/>
    <w:rsid w:val="00925B78"/>
    <w:rsid w:val="00925BAD"/>
    <w:rsid w:val="00925DF6"/>
    <w:rsid w:val="00925EEF"/>
    <w:rsid w:val="00925EF9"/>
    <w:rsid w:val="00926085"/>
    <w:rsid w:val="0092616F"/>
    <w:rsid w:val="009262A2"/>
    <w:rsid w:val="0092683E"/>
    <w:rsid w:val="00926950"/>
    <w:rsid w:val="009269B1"/>
    <w:rsid w:val="00926FB9"/>
    <w:rsid w:val="0092724D"/>
    <w:rsid w:val="00927263"/>
    <w:rsid w:val="009272B3"/>
    <w:rsid w:val="00927909"/>
    <w:rsid w:val="00927ADC"/>
    <w:rsid w:val="00927E05"/>
    <w:rsid w:val="00930671"/>
    <w:rsid w:val="009307E1"/>
    <w:rsid w:val="00930AA5"/>
    <w:rsid w:val="00930CD2"/>
    <w:rsid w:val="00930CE2"/>
    <w:rsid w:val="00930D84"/>
    <w:rsid w:val="009315BE"/>
    <w:rsid w:val="00931632"/>
    <w:rsid w:val="00932525"/>
    <w:rsid w:val="009326DD"/>
    <w:rsid w:val="0093338F"/>
    <w:rsid w:val="00933474"/>
    <w:rsid w:val="009335A5"/>
    <w:rsid w:val="00933797"/>
    <w:rsid w:val="00933934"/>
    <w:rsid w:val="00933A01"/>
    <w:rsid w:val="00933BBD"/>
    <w:rsid w:val="00933EEC"/>
    <w:rsid w:val="009340D2"/>
    <w:rsid w:val="00934DC9"/>
    <w:rsid w:val="009357BD"/>
    <w:rsid w:val="00935E1D"/>
    <w:rsid w:val="009364E3"/>
    <w:rsid w:val="009366E7"/>
    <w:rsid w:val="00936AEF"/>
    <w:rsid w:val="00936F18"/>
    <w:rsid w:val="00937399"/>
    <w:rsid w:val="00937BD9"/>
    <w:rsid w:val="00941332"/>
    <w:rsid w:val="0094169B"/>
    <w:rsid w:val="00941848"/>
    <w:rsid w:val="009419A8"/>
    <w:rsid w:val="009419F5"/>
    <w:rsid w:val="009419FD"/>
    <w:rsid w:val="00941AD0"/>
    <w:rsid w:val="00941F8A"/>
    <w:rsid w:val="00942A6D"/>
    <w:rsid w:val="00942AA1"/>
    <w:rsid w:val="009431CC"/>
    <w:rsid w:val="00943B06"/>
    <w:rsid w:val="00943CB9"/>
    <w:rsid w:val="00943F60"/>
    <w:rsid w:val="009441A8"/>
    <w:rsid w:val="0094514F"/>
    <w:rsid w:val="0094526C"/>
    <w:rsid w:val="00945B9E"/>
    <w:rsid w:val="00945D01"/>
    <w:rsid w:val="00945F21"/>
    <w:rsid w:val="00945FCF"/>
    <w:rsid w:val="009460B9"/>
    <w:rsid w:val="009467DD"/>
    <w:rsid w:val="00946E1A"/>
    <w:rsid w:val="00946F12"/>
    <w:rsid w:val="00946F21"/>
    <w:rsid w:val="0094727D"/>
    <w:rsid w:val="0094755B"/>
    <w:rsid w:val="00947940"/>
    <w:rsid w:val="00947969"/>
    <w:rsid w:val="009479D5"/>
    <w:rsid w:val="0095032C"/>
    <w:rsid w:val="0095058F"/>
    <w:rsid w:val="00950A36"/>
    <w:rsid w:val="00950E2C"/>
    <w:rsid w:val="009510CB"/>
    <w:rsid w:val="00951143"/>
    <w:rsid w:val="009514F4"/>
    <w:rsid w:val="00951C54"/>
    <w:rsid w:val="00951C6A"/>
    <w:rsid w:val="00951D49"/>
    <w:rsid w:val="00951D50"/>
    <w:rsid w:val="00951D57"/>
    <w:rsid w:val="009525EB"/>
    <w:rsid w:val="00952C96"/>
    <w:rsid w:val="00952FBE"/>
    <w:rsid w:val="00953036"/>
    <w:rsid w:val="00953937"/>
    <w:rsid w:val="00953A69"/>
    <w:rsid w:val="00953A9C"/>
    <w:rsid w:val="0095470B"/>
    <w:rsid w:val="00954874"/>
    <w:rsid w:val="00954915"/>
    <w:rsid w:val="00954BD4"/>
    <w:rsid w:val="0095592F"/>
    <w:rsid w:val="0095597D"/>
    <w:rsid w:val="00955DC1"/>
    <w:rsid w:val="00956017"/>
    <w:rsid w:val="0095615A"/>
    <w:rsid w:val="009565DA"/>
    <w:rsid w:val="00957605"/>
    <w:rsid w:val="009576BD"/>
    <w:rsid w:val="009578B7"/>
    <w:rsid w:val="009578BD"/>
    <w:rsid w:val="00960845"/>
    <w:rsid w:val="00961400"/>
    <w:rsid w:val="00961A40"/>
    <w:rsid w:val="0096206E"/>
    <w:rsid w:val="009623DD"/>
    <w:rsid w:val="00962490"/>
    <w:rsid w:val="009626D6"/>
    <w:rsid w:val="009628A2"/>
    <w:rsid w:val="009629A7"/>
    <w:rsid w:val="009629EF"/>
    <w:rsid w:val="00963204"/>
    <w:rsid w:val="009632FD"/>
    <w:rsid w:val="009635FF"/>
    <w:rsid w:val="00963646"/>
    <w:rsid w:val="00963698"/>
    <w:rsid w:val="0096379C"/>
    <w:rsid w:val="009651E0"/>
    <w:rsid w:val="0096521F"/>
    <w:rsid w:val="00965459"/>
    <w:rsid w:val="00965CAD"/>
    <w:rsid w:val="0096608E"/>
    <w:rsid w:val="00966140"/>
    <w:rsid w:val="0096632D"/>
    <w:rsid w:val="00966B9B"/>
    <w:rsid w:val="00967124"/>
    <w:rsid w:val="009672E5"/>
    <w:rsid w:val="00967506"/>
    <w:rsid w:val="009700D4"/>
    <w:rsid w:val="0097067B"/>
    <w:rsid w:val="00970758"/>
    <w:rsid w:val="00970B5D"/>
    <w:rsid w:val="00970DB0"/>
    <w:rsid w:val="00970E52"/>
    <w:rsid w:val="00971069"/>
    <w:rsid w:val="0097166C"/>
    <w:rsid w:val="009718C7"/>
    <w:rsid w:val="00972565"/>
    <w:rsid w:val="009725E7"/>
    <w:rsid w:val="0097298B"/>
    <w:rsid w:val="00973492"/>
    <w:rsid w:val="00973A26"/>
    <w:rsid w:val="0097432E"/>
    <w:rsid w:val="009747EE"/>
    <w:rsid w:val="009752F7"/>
    <w:rsid w:val="0097559F"/>
    <w:rsid w:val="009761EA"/>
    <w:rsid w:val="0097651B"/>
    <w:rsid w:val="00976756"/>
    <w:rsid w:val="00976A0D"/>
    <w:rsid w:val="00976CE1"/>
    <w:rsid w:val="00976F36"/>
    <w:rsid w:val="009771DF"/>
    <w:rsid w:val="009773FB"/>
    <w:rsid w:val="0097761E"/>
    <w:rsid w:val="00977622"/>
    <w:rsid w:val="0097776A"/>
    <w:rsid w:val="009802AB"/>
    <w:rsid w:val="00980364"/>
    <w:rsid w:val="00980449"/>
    <w:rsid w:val="00980950"/>
    <w:rsid w:val="00980E66"/>
    <w:rsid w:val="00981585"/>
    <w:rsid w:val="00981610"/>
    <w:rsid w:val="00981943"/>
    <w:rsid w:val="00981D3C"/>
    <w:rsid w:val="009821ED"/>
    <w:rsid w:val="00982454"/>
    <w:rsid w:val="00982503"/>
    <w:rsid w:val="0098254D"/>
    <w:rsid w:val="009829BA"/>
    <w:rsid w:val="00982CF0"/>
    <w:rsid w:val="009835D2"/>
    <w:rsid w:val="00983D62"/>
    <w:rsid w:val="00984097"/>
    <w:rsid w:val="00984BF6"/>
    <w:rsid w:val="00984D85"/>
    <w:rsid w:val="00984F23"/>
    <w:rsid w:val="009853E1"/>
    <w:rsid w:val="00985A65"/>
    <w:rsid w:val="00986049"/>
    <w:rsid w:val="00986A6D"/>
    <w:rsid w:val="00986BD7"/>
    <w:rsid w:val="00986E6B"/>
    <w:rsid w:val="00987114"/>
    <w:rsid w:val="00987171"/>
    <w:rsid w:val="00987390"/>
    <w:rsid w:val="009873F1"/>
    <w:rsid w:val="009875E9"/>
    <w:rsid w:val="00987609"/>
    <w:rsid w:val="00987790"/>
    <w:rsid w:val="00987B22"/>
    <w:rsid w:val="00987C14"/>
    <w:rsid w:val="00990032"/>
    <w:rsid w:val="00990082"/>
    <w:rsid w:val="0099025C"/>
    <w:rsid w:val="009903A9"/>
    <w:rsid w:val="00990B19"/>
    <w:rsid w:val="00991420"/>
    <w:rsid w:val="0099153B"/>
    <w:rsid w:val="00991769"/>
    <w:rsid w:val="00991C9B"/>
    <w:rsid w:val="00991EBE"/>
    <w:rsid w:val="0099209A"/>
    <w:rsid w:val="00992323"/>
    <w:rsid w:val="0099232C"/>
    <w:rsid w:val="009928EF"/>
    <w:rsid w:val="00993155"/>
    <w:rsid w:val="009931AD"/>
    <w:rsid w:val="009939A0"/>
    <w:rsid w:val="009939A2"/>
    <w:rsid w:val="00993EB8"/>
    <w:rsid w:val="00993EC2"/>
    <w:rsid w:val="009941D2"/>
    <w:rsid w:val="00994335"/>
    <w:rsid w:val="00994386"/>
    <w:rsid w:val="0099472F"/>
    <w:rsid w:val="00994A57"/>
    <w:rsid w:val="00994BE1"/>
    <w:rsid w:val="00994D0A"/>
    <w:rsid w:val="0099517E"/>
    <w:rsid w:val="009958D8"/>
    <w:rsid w:val="00995AD4"/>
    <w:rsid w:val="0099601E"/>
    <w:rsid w:val="00996594"/>
    <w:rsid w:val="009969A9"/>
    <w:rsid w:val="009969B8"/>
    <w:rsid w:val="00996C5A"/>
    <w:rsid w:val="0099799D"/>
    <w:rsid w:val="00997AD1"/>
    <w:rsid w:val="00997B45"/>
    <w:rsid w:val="009A013D"/>
    <w:rsid w:val="009A0A13"/>
    <w:rsid w:val="009A1370"/>
    <w:rsid w:val="009A13D8"/>
    <w:rsid w:val="009A17DA"/>
    <w:rsid w:val="009A1879"/>
    <w:rsid w:val="009A1ED5"/>
    <w:rsid w:val="009A25BD"/>
    <w:rsid w:val="009A279E"/>
    <w:rsid w:val="009A27B2"/>
    <w:rsid w:val="009A2950"/>
    <w:rsid w:val="009A2D1D"/>
    <w:rsid w:val="009A3015"/>
    <w:rsid w:val="009A3490"/>
    <w:rsid w:val="009A3582"/>
    <w:rsid w:val="009A3685"/>
    <w:rsid w:val="009A3AF0"/>
    <w:rsid w:val="009A3D90"/>
    <w:rsid w:val="009A41C4"/>
    <w:rsid w:val="009A4EFB"/>
    <w:rsid w:val="009A5427"/>
    <w:rsid w:val="009A5EA5"/>
    <w:rsid w:val="009A62AE"/>
    <w:rsid w:val="009A6A2A"/>
    <w:rsid w:val="009A6F15"/>
    <w:rsid w:val="009A6F2C"/>
    <w:rsid w:val="009A75A8"/>
    <w:rsid w:val="009A75DD"/>
    <w:rsid w:val="009A7628"/>
    <w:rsid w:val="009A7736"/>
    <w:rsid w:val="009B0039"/>
    <w:rsid w:val="009B0673"/>
    <w:rsid w:val="009B0A6F"/>
    <w:rsid w:val="009B0A94"/>
    <w:rsid w:val="009B0C62"/>
    <w:rsid w:val="009B22A8"/>
    <w:rsid w:val="009B254C"/>
    <w:rsid w:val="009B2851"/>
    <w:rsid w:val="009B2AE8"/>
    <w:rsid w:val="009B2F60"/>
    <w:rsid w:val="009B34E9"/>
    <w:rsid w:val="009B3FB8"/>
    <w:rsid w:val="009B461E"/>
    <w:rsid w:val="009B4662"/>
    <w:rsid w:val="009B51A3"/>
    <w:rsid w:val="009B53BA"/>
    <w:rsid w:val="009B5622"/>
    <w:rsid w:val="009B59E9"/>
    <w:rsid w:val="009B5B7D"/>
    <w:rsid w:val="009B5CB4"/>
    <w:rsid w:val="009B5DD9"/>
    <w:rsid w:val="009B5F9E"/>
    <w:rsid w:val="009B68CE"/>
    <w:rsid w:val="009B6FEE"/>
    <w:rsid w:val="009B70AA"/>
    <w:rsid w:val="009C04E4"/>
    <w:rsid w:val="009C0603"/>
    <w:rsid w:val="009C0839"/>
    <w:rsid w:val="009C0915"/>
    <w:rsid w:val="009C0FD0"/>
    <w:rsid w:val="009C1414"/>
    <w:rsid w:val="009C169E"/>
    <w:rsid w:val="009C1DFF"/>
    <w:rsid w:val="009C1E76"/>
    <w:rsid w:val="009C207A"/>
    <w:rsid w:val="009C245A"/>
    <w:rsid w:val="009C245E"/>
    <w:rsid w:val="009C24A6"/>
    <w:rsid w:val="009C295D"/>
    <w:rsid w:val="009C2F9E"/>
    <w:rsid w:val="009C3333"/>
    <w:rsid w:val="009C33ED"/>
    <w:rsid w:val="009C3918"/>
    <w:rsid w:val="009C3CD0"/>
    <w:rsid w:val="009C3D5D"/>
    <w:rsid w:val="009C4131"/>
    <w:rsid w:val="009C4295"/>
    <w:rsid w:val="009C4491"/>
    <w:rsid w:val="009C4579"/>
    <w:rsid w:val="009C4D6C"/>
    <w:rsid w:val="009C5337"/>
    <w:rsid w:val="009C53DC"/>
    <w:rsid w:val="009C56E4"/>
    <w:rsid w:val="009C5E26"/>
    <w:rsid w:val="009C5E77"/>
    <w:rsid w:val="009C61ED"/>
    <w:rsid w:val="009C7A2C"/>
    <w:rsid w:val="009C7A7E"/>
    <w:rsid w:val="009C7CCD"/>
    <w:rsid w:val="009C7E28"/>
    <w:rsid w:val="009C7F5A"/>
    <w:rsid w:val="009D015C"/>
    <w:rsid w:val="009D02A0"/>
    <w:rsid w:val="009D02E8"/>
    <w:rsid w:val="009D0300"/>
    <w:rsid w:val="009D0985"/>
    <w:rsid w:val="009D12CB"/>
    <w:rsid w:val="009D14C7"/>
    <w:rsid w:val="009D1523"/>
    <w:rsid w:val="009D172D"/>
    <w:rsid w:val="009D1970"/>
    <w:rsid w:val="009D1ACB"/>
    <w:rsid w:val="009D2151"/>
    <w:rsid w:val="009D21A8"/>
    <w:rsid w:val="009D23D3"/>
    <w:rsid w:val="009D24C2"/>
    <w:rsid w:val="009D254B"/>
    <w:rsid w:val="009D26BB"/>
    <w:rsid w:val="009D2711"/>
    <w:rsid w:val="009D272F"/>
    <w:rsid w:val="009D2818"/>
    <w:rsid w:val="009D286F"/>
    <w:rsid w:val="009D2874"/>
    <w:rsid w:val="009D290A"/>
    <w:rsid w:val="009D2E67"/>
    <w:rsid w:val="009D306A"/>
    <w:rsid w:val="009D349D"/>
    <w:rsid w:val="009D3A13"/>
    <w:rsid w:val="009D3E71"/>
    <w:rsid w:val="009D3F3F"/>
    <w:rsid w:val="009D3FD4"/>
    <w:rsid w:val="009D460D"/>
    <w:rsid w:val="009D4A07"/>
    <w:rsid w:val="009D4CBD"/>
    <w:rsid w:val="009D51D0"/>
    <w:rsid w:val="009D5EB7"/>
    <w:rsid w:val="009D6029"/>
    <w:rsid w:val="009D65A3"/>
    <w:rsid w:val="009D661C"/>
    <w:rsid w:val="009D686F"/>
    <w:rsid w:val="009D6A82"/>
    <w:rsid w:val="009D6CC9"/>
    <w:rsid w:val="009D6D8D"/>
    <w:rsid w:val="009D6F68"/>
    <w:rsid w:val="009D70A4"/>
    <w:rsid w:val="009D7B14"/>
    <w:rsid w:val="009D7B41"/>
    <w:rsid w:val="009E08D1"/>
    <w:rsid w:val="009E0AB7"/>
    <w:rsid w:val="009E0D96"/>
    <w:rsid w:val="009E0D97"/>
    <w:rsid w:val="009E16C2"/>
    <w:rsid w:val="009E16E1"/>
    <w:rsid w:val="009E17D5"/>
    <w:rsid w:val="009E1B95"/>
    <w:rsid w:val="009E1FD5"/>
    <w:rsid w:val="009E2271"/>
    <w:rsid w:val="009E257E"/>
    <w:rsid w:val="009E2C04"/>
    <w:rsid w:val="009E2C14"/>
    <w:rsid w:val="009E3091"/>
    <w:rsid w:val="009E38FB"/>
    <w:rsid w:val="009E3B4E"/>
    <w:rsid w:val="009E3B92"/>
    <w:rsid w:val="009E47DF"/>
    <w:rsid w:val="009E47EC"/>
    <w:rsid w:val="009E48E1"/>
    <w:rsid w:val="009E496F"/>
    <w:rsid w:val="009E4B0D"/>
    <w:rsid w:val="009E4B1C"/>
    <w:rsid w:val="009E4B94"/>
    <w:rsid w:val="009E5062"/>
    <w:rsid w:val="009E5078"/>
    <w:rsid w:val="009E51D8"/>
    <w:rsid w:val="009E5250"/>
    <w:rsid w:val="009E559E"/>
    <w:rsid w:val="009E5749"/>
    <w:rsid w:val="009E57CB"/>
    <w:rsid w:val="009E5C70"/>
    <w:rsid w:val="009E6461"/>
    <w:rsid w:val="009E677E"/>
    <w:rsid w:val="009E678E"/>
    <w:rsid w:val="009E683E"/>
    <w:rsid w:val="009E6DE3"/>
    <w:rsid w:val="009E7320"/>
    <w:rsid w:val="009E75FD"/>
    <w:rsid w:val="009E7647"/>
    <w:rsid w:val="009E769C"/>
    <w:rsid w:val="009E7A69"/>
    <w:rsid w:val="009E7F92"/>
    <w:rsid w:val="009F02A3"/>
    <w:rsid w:val="009F056C"/>
    <w:rsid w:val="009F0597"/>
    <w:rsid w:val="009F07A4"/>
    <w:rsid w:val="009F08B5"/>
    <w:rsid w:val="009F0B67"/>
    <w:rsid w:val="009F2182"/>
    <w:rsid w:val="009F22CF"/>
    <w:rsid w:val="009F27FC"/>
    <w:rsid w:val="009F2916"/>
    <w:rsid w:val="009F29FA"/>
    <w:rsid w:val="009F2AD2"/>
    <w:rsid w:val="009F2F27"/>
    <w:rsid w:val="009F33DB"/>
    <w:rsid w:val="009F3432"/>
    <w:rsid w:val="009F34AA"/>
    <w:rsid w:val="009F36ED"/>
    <w:rsid w:val="009F374F"/>
    <w:rsid w:val="009F37C6"/>
    <w:rsid w:val="009F37D6"/>
    <w:rsid w:val="009F40B3"/>
    <w:rsid w:val="009F47A9"/>
    <w:rsid w:val="009F4928"/>
    <w:rsid w:val="009F4990"/>
    <w:rsid w:val="009F4C61"/>
    <w:rsid w:val="009F4EAD"/>
    <w:rsid w:val="009F5498"/>
    <w:rsid w:val="009F5851"/>
    <w:rsid w:val="009F6554"/>
    <w:rsid w:val="009F65E7"/>
    <w:rsid w:val="009F6981"/>
    <w:rsid w:val="009F6BCB"/>
    <w:rsid w:val="009F6EBD"/>
    <w:rsid w:val="009F792C"/>
    <w:rsid w:val="009F7B78"/>
    <w:rsid w:val="009F7F02"/>
    <w:rsid w:val="009F7F63"/>
    <w:rsid w:val="00A0057A"/>
    <w:rsid w:val="00A005A2"/>
    <w:rsid w:val="00A00709"/>
    <w:rsid w:val="00A00942"/>
    <w:rsid w:val="00A00D17"/>
    <w:rsid w:val="00A0117B"/>
    <w:rsid w:val="00A0151E"/>
    <w:rsid w:val="00A01C7D"/>
    <w:rsid w:val="00A01D6B"/>
    <w:rsid w:val="00A01F21"/>
    <w:rsid w:val="00A0207C"/>
    <w:rsid w:val="00A0223A"/>
    <w:rsid w:val="00A0273F"/>
    <w:rsid w:val="00A02AF2"/>
    <w:rsid w:val="00A02FA1"/>
    <w:rsid w:val="00A034AC"/>
    <w:rsid w:val="00A0367B"/>
    <w:rsid w:val="00A03DC8"/>
    <w:rsid w:val="00A03E3A"/>
    <w:rsid w:val="00A03F52"/>
    <w:rsid w:val="00A041DE"/>
    <w:rsid w:val="00A04C14"/>
    <w:rsid w:val="00A04CCE"/>
    <w:rsid w:val="00A04CFB"/>
    <w:rsid w:val="00A050AE"/>
    <w:rsid w:val="00A0548A"/>
    <w:rsid w:val="00A0707A"/>
    <w:rsid w:val="00A0707D"/>
    <w:rsid w:val="00A070A1"/>
    <w:rsid w:val="00A0711E"/>
    <w:rsid w:val="00A0741E"/>
    <w:rsid w:val="00A07421"/>
    <w:rsid w:val="00A0776B"/>
    <w:rsid w:val="00A07D03"/>
    <w:rsid w:val="00A07F7A"/>
    <w:rsid w:val="00A1086D"/>
    <w:rsid w:val="00A1097C"/>
    <w:rsid w:val="00A109BD"/>
    <w:rsid w:val="00A10A57"/>
    <w:rsid w:val="00A10D8F"/>
    <w:rsid w:val="00A10FB9"/>
    <w:rsid w:val="00A11040"/>
    <w:rsid w:val="00A11421"/>
    <w:rsid w:val="00A11F53"/>
    <w:rsid w:val="00A120FC"/>
    <w:rsid w:val="00A1280A"/>
    <w:rsid w:val="00A12C37"/>
    <w:rsid w:val="00A13056"/>
    <w:rsid w:val="00A1342E"/>
    <w:rsid w:val="00A135EB"/>
    <w:rsid w:val="00A1371D"/>
    <w:rsid w:val="00A1383E"/>
    <w:rsid w:val="00A1389F"/>
    <w:rsid w:val="00A1390C"/>
    <w:rsid w:val="00A13B4B"/>
    <w:rsid w:val="00A13B7A"/>
    <w:rsid w:val="00A140D0"/>
    <w:rsid w:val="00A140F5"/>
    <w:rsid w:val="00A1463B"/>
    <w:rsid w:val="00A14C52"/>
    <w:rsid w:val="00A14D76"/>
    <w:rsid w:val="00A14D81"/>
    <w:rsid w:val="00A14FDB"/>
    <w:rsid w:val="00A14FE0"/>
    <w:rsid w:val="00A1560D"/>
    <w:rsid w:val="00A157B1"/>
    <w:rsid w:val="00A15848"/>
    <w:rsid w:val="00A15A15"/>
    <w:rsid w:val="00A15B3F"/>
    <w:rsid w:val="00A160E6"/>
    <w:rsid w:val="00A1635B"/>
    <w:rsid w:val="00A16C9F"/>
    <w:rsid w:val="00A1711F"/>
    <w:rsid w:val="00A17253"/>
    <w:rsid w:val="00A1735B"/>
    <w:rsid w:val="00A17462"/>
    <w:rsid w:val="00A17B17"/>
    <w:rsid w:val="00A17C9B"/>
    <w:rsid w:val="00A17DC7"/>
    <w:rsid w:val="00A2021C"/>
    <w:rsid w:val="00A20271"/>
    <w:rsid w:val="00A206C8"/>
    <w:rsid w:val="00A209C7"/>
    <w:rsid w:val="00A20CF9"/>
    <w:rsid w:val="00A20DA5"/>
    <w:rsid w:val="00A20FBB"/>
    <w:rsid w:val="00A211EC"/>
    <w:rsid w:val="00A21656"/>
    <w:rsid w:val="00A216A2"/>
    <w:rsid w:val="00A21BBA"/>
    <w:rsid w:val="00A21C21"/>
    <w:rsid w:val="00A21CB0"/>
    <w:rsid w:val="00A21E76"/>
    <w:rsid w:val="00A21EA4"/>
    <w:rsid w:val="00A22229"/>
    <w:rsid w:val="00A224E0"/>
    <w:rsid w:val="00A22644"/>
    <w:rsid w:val="00A228BB"/>
    <w:rsid w:val="00A22905"/>
    <w:rsid w:val="00A22D1B"/>
    <w:rsid w:val="00A22F61"/>
    <w:rsid w:val="00A22F84"/>
    <w:rsid w:val="00A24415"/>
    <w:rsid w:val="00A24442"/>
    <w:rsid w:val="00A244F7"/>
    <w:rsid w:val="00A24A61"/>
    <w:rsid w:val="00A24ADA"/>
    <w:rsid w:val="00A24C19"/>
    <w:rsid w:val="00A24EB9"/>
    <w:rsid w:val="00A253C6"/>
    <w:rsid w:val="00A254CE"/>
    <w:rsid w:val="00A256A9"/>
    <w:rsid w:val="00A257E8"/>
    <w:rsid w:val="00A25CB6"/>
    <w:rsid w:val="00A25E84"/>
    <w:rsid w:val="00A26192"/>
    <w:rsid w:val="00A26430"/>
    <w:rsid w:val="00A26456"/>
    <w:rsid w:val="00A269BD"/>
    <w:rsid w:val="00A26EA6"/>
    <w:rsid w:val="00A26FEA"/>
    <w:rsid w:val="00A27161"/>
    <w:rsid w:val="00A27193"/>
    <w:rsid w:val="00A27226"/>
    <w:rsid w:val="00A273F7"/>
    <w:rsid w:val="00A2788B"/>
    <w:rsid w:val="00A278B6"/>
    <w:rsid w:val="00A27CD4"/>
    <w:rsid w:val="00A30380"/>
    <w:rsid w:val="00A303B6"/>
    <w:rsid w:val="00A307C8"/>
    <w:rsid w:val="00A30887"/>
    <w:rsid w:val="00A3088A"/>
    <w:rsid w:val="00A30899"/>
    <w:rsid w:val="00A30C50"/>
    <w:rsid w:val="00A311B8"/>
    <w:rsid w:val="00A31206"/>
    <w:rsid w:val="00A31488"/>
    <w:rsid w:val="00A31639"/>
    <w:rsid w:val="00A31682"/>
    <w:rsid w:val="00A31715"/>
    <w:rsid w:val="00A31B04"/>
    <w:rsid w:val="00A321A7"/>
    <w:rsid w:val="00A32201"/>
    <w:rsid w:val="00A324A4"/>
    <w:rsid w:val="00A32577"/>
    <w:rsid w:val="00A32B40"/>
    <w:rsid w:val="00A32CE0"/>
    <w:rsid w:val="00A32D1E"/>
    <w:rsid w:val="00A32F17"/>
    <w:rsid w:val="00A330BB"/>
    <w:rsid w:val="00A3355D"/>
    <w:rsid w:val="00A3379E"/>
    <w:rsid w:val="00A33AE0"/>
    <w:rsid w:val="00A34243"/>
    <w:rsid w:val="00A342FD"/>
    <w:rsid w:val="00A34606"/>
    <w:rsid w:val="00A35423"/>
    <w:rsid w:val="00A35711"/>
    <w:rsid w:val="00A3593D"/>
    <w:rsid w:val="00A35DD2"/>
    <w:rsid w:val="00A35E46"/>
    <w:rsid w:val="00A3609F"/>
    <w:rsid w:val="00A362E3"/>
    <w:rsid w:val="00A362F1"/>
    <w:rsid w:val="00A363F7"/>
    <w:rsid w:val="00A3675B"/>
    <w:rsid w:val="00A367C9"/>
    <w:rsid w:val="00A36CDF"/>
    <w:rsid w:val="00A37E15"/>
    <w:rsid w:val="00A40264"/>
    <w:rsid w:val="00A40727"/>
    <w:rsid w:val="00A4073D"/>
    <w:rsid w:val="00A408A4"/>
    <w:rsid w:val="00A410C6"/>
    <w:rsid w:val="00A41587"/>
    <w:rsid w:val="00A418C3"/>
    <w:rsid w:val="00A41A4A"/>
    <w:rsid w:val="00A41AC1"/>
    <w:rsid w:val="00A41F7C"/>
    <w:rsid w:val="00A425EF"/>
    <w:rsid w:val="00A42771"/>
    <w:rsid w:val="00A428C4"/>
    <w:rsid w:val="00A42C52"/>
    <w:rsid w:val="00A42E1A"/>
    <w:rsid w:val="00A42FD9"/>
    <w:rsid w:val="00A43170"/>
    <w:rsid w:val="00A432F1"/>
    <w:rsid w:val="00A433B3"/>
    <w:rsid w:val="00A4383C"/>
    <w:rsid w:val="00A43E17"/>
    <w:rsid w:val="00A43EAE"/>
    <w:rsid w:val="00A43EC7"/>
    <w:rsid w:val="00A44189"/>
    <w:rsid w:val="00A443D0"/>
    <w:rsid w:val="00A44459"/>
    <w:rsid w:val="00A446F5"/>
    <w:rsid w:val="00A44702"/>
    <w:rsid w:val="00A44862"/>
    <w:rsid w:val="00A44882"/>
    <w:rsid w:val="00A44C40"/>
    <w:rsid w:val="00A44D5A"/>
    <w:rsid w:val="00A45125"/>
    <w:rsid w:val="00A453CD"/>
    <w:rsid w:val="00A45B24"/>
    <w:rsid w:val="00A46007"/>
    <w:rsid w:val="00A463F7"/>
    <w:rsid w:val="00A4683C"/>
    <w:rsid w:val="00A46944"/>
    <w:rsid w:val="00A46C14"/>
    <w:rsid w:val="00A46FDF"/>
    <w:rsid w:val="00A475F0"/>
    <w:rsid w:val="00A47BBC"/>
    <w:rsid w:val="00A501A7"/>
    <w:rsid w:val="00A5029F"/>
    <w:rsid w:val="00A5122E"/>
    <w:rsid w:val="00A51823"/>
    <w:rsid w:val="00A51DF6"/>
    <w:rsid w:val="00A525CE"/>
    <w:rsid w:val="00A5262A"/>
    <w:rsid w:val="00A52A4A"/>
    <w:rsid w:val="00A52BB2"/>
    <w:rsid w:val="00A52EF9"/>
    <w:rsid w:val="00A53C4C"/>
    <w:rsid w:val="00A53DDD"/>
    <w:rsid w:val="00A541D1"/>
    <w:rsid w:val="00A54428"/>
    <w:rsid w:val="00A54715"/>
    <w:rsid w:val="00A54B10"/>
    <w:rsid w:val="00A54C5F"/>
    <w:rsid w:val="00A54F67"/>
    <w:rsid w:val="00A5524D"/>
    <w:rsid w:val="00A5572C"/>
    <w:rsid w:val="00A559CF"/>
    <w:rsid w:val="00A5693B"/>
    <w:rsid w:val="00A56965"/>
    <w:rsid w:val="00A56BD3"/>
    <w:rsid w:val="00A56D68"/>
    <w:rsid w:val="00A56E0B"/>
    <w:rsid w:val="00A57698"/>
    <w:rsid w:val="00A577B6"/>
    <w:rsid w:val="00A604C3"/>
    <w:rsid w:val="00A6061C"/>
    <w:rsid w:val="00A60F70"/>
    <w:rsid w:val="00A62D44"/>
    <w:rsid w:val="00A62EAF"/>
    <w:rsid w:val="00A63AC6"/>
    <w:rsid w:val="00A641DF"/>
    <w:rsid w:val="00A64225"/>
    <w:rsid w:val="00A64E34"/>
    <w:rsid w:val="00A64E53"/>
    <w:rsid w:val="00A650A9"/>
    <w:rsid w:val="00A651DB"/>
    <w:rsid w:val="00A65AE7"/>
    <w:rsid w:val="00A65B68"/>
    <w:rsid w:val="00A66143"/>
    <w:rsid w:val="00A66613"/>
    <w:rsid w:val="00A6679D"/>
    <w:rsid w:val="00A66CE5"/>
    <w:rsid w:val="00A66DA1"/>
    <w:rsid w:val="00A66DEF"/>
    <w:rsid w:val="00A67263"/>
    <w:rsid w:val="00A67722"/>
    <w:rsid w:val="00A67AAB"/>
    <w:rsid w:val="00A701C2"/>
    <w:rsid w:val="00A705E3"/>
    <w:rsid w:val="00A70E3E"/>
    <w:rsid w:val="00A71383"/>
    <w:rsid w:val="00A7161C"/>
    <w:rsid w:val="00A717CD"/>
    <w:rsid w:val="00A71B9C"/>
    <w:rsid w:val="00A71CE4"/>
    <w:rsid w:val="00A721EB"/>
    <w:rsid w:val="00A72AD0"/>
    <w:rsid w:val="00A72F03"/>
    <w:rsid w:val="00A7372B"/>
    <w:rsid w:val="00A738D9"/>
    <w:rsid w:val="00A73982"/>
    <w:rsid w:val="00A73FCE"/>
    <w:rsid w:val="00A7479C"/>
    <w:rsid w:val="00A74AD9"/>
    <w:rsid w:val="00A756A1"/>
    <w:rsid w:val="00A75A02"/>
    <w:rsid w:val="00A77019"/>
    <w:rsid w:val="00A77AA3"/>
    <w:rsid w:val="00A77AF5"/>
    <w:rsid w:val="00A77FCD"/>
    <w:rsid w:val="00A8004E"/>
    <w:rsid w:val="00A810B8"/>
    <w:rsid w:val="00A815DF"/>
    <w:rsid w:val="00A81ABB"/>
    <w:rsid w:val="00A81B7D"/>
    <w:rsid w:val="00A8213F"/>
    <w:rsid w:val="00A8236D"/>
    <w:rsid w:val="00A82593"/>
    <w:rsid w:val="00A8281F"/>
    <w:rsid w:val="00A8293A"/>
    <w:rsid w:val="00A82DBF"/>
    <w:rsid w:val="00A82F3F"/>
    <w:rsid w:val="00A8326C"/>
    <w:rsid w:val="00A83327"/>
    <w:rsid w:val="00A83575"/>
    <w:rsid w:val="00A83C64"/>
    <w:rsid w:val="00A83CE3"/>
    <w:rsid w:val="00A842B0"/>
    <w:rsid w:val="00A845D8"/>
    <w:rsid w:val="00A84BC1"/>
    <w:rsid w:val="00A84F7E"/>
    <w:rsid w:val="00A8519E"/>
    <w:rsid w:val="00A851A0"/>
    <w:rsid w:val="00A85326"/>
    <w:rsid w:val="00A853EE"/>
    <w:rsid w:val="00A854A4"/>
    <w:rsid w:val="00A854EB"/>
    <w:rsid w:val="00A856E5"/>
    <w:rsid w:val="00A85C6B"/>
    <w:rsid w:val="00A85E6F"/>
    <w:rsid w:val="00A85EFA"/>
    <w:rsid w:val="00A864BF"/>
    <w:rsid w:val="00A86B60"/>
    <w:rsid w:val="00A86F90"/>
    <w:rsid w:val="00A8712E"/>
    <w:rsid w:val="00A8723A"/>
    <w:rsid w:val="00A872E5"/>
    <w:rsid w:val="00A87AF7"/>
    <w:rsid w:val="00A9001E"/>
    <w:rsid w:val="00A9021F"/>
    <w:rsid w:val="00A9050D"/>
    <w:rsid w:val="00A90EB1"/>
    <w:rsid w:val="00A90F92"/>
    <w:rsid w:val="00A90FA1"/>
    <w:rsid w:val="00A91147"/>
    <w:rsid w:val="00A91406"/>
    <w:rsid w:val="00A91A51"/>
    <w:rsid w:val="00A921E0"/>
    <w:rsid w:val="00A92817"/>
    <w:rsid w:val="00A92D85"/>
    <w:rsid w:val="00A92E1F"/>
    <w:rsid w:val="00A9303E"/>
    <w:rsid w:val="00A93042"/>
    <w:rsid w:val="00A93432"/>
    <w:rsid w:val="00A9361F"/>
    <w:rsid w:val="00A9381D"/>
    <w:rsid w:val="00A938C4"/>
    <w:rsid w:val="00A93FE9"/>
    <w:rsid w:val="00A9413D"/>
    <w:rsid w:val="00A94BFC"/>
    <w:rsid w:val="00A94E48"/>
    <w:rsid w:val="00A955CA"/>
    <w:rsid w:val="00A95612"/>
    <w:rsid w:val="00A957C8"/>
    <w:rsid w:val="00A95B76"/>
    <w:rsid w:val="00A966F5"/>
    <w:rsid w:val="00A9678C"/>
    <w:rsid w:val="00A967DA"/>
    <w:rsid w:val="00A96C4D"/>
    <w:rsid w:val="00A96E65"/>
    <w:rsid w:val="00A96ECE"/>
    <w:rsid w:val="00A97861"/>
    <w:rsid w:val="00A97A74"/>
    <w:rsid w:val="00A97C72"/>
    <w:rsid w:val="00A97C98"/>
    <w:rsid w:val="00A97F18"/>
    <w:rsid w:val="00AA01B6"/>
    <w:rsid w:val="00AA02DA"/>
    <w:rsid w:val="00AA0385"/>
    <w:rsid w:val="00AA07C2"/>
    <w:rsid w:val="00AA0AE6"/>
    <w:rsid w:val="00AA0EBF"/>
    <w:rsid w:val="00AA0ECF"/>
    <w:rsid w:val="00AA0F18"/>
    <w:rsid w:val="00AA1E71"/>
    <w:rsid w:val="00AA209D"/>
    <w:rsid w:val="00AA263F"/>
    <w:rsid w:val="00AA29B9"/>
    <w:rsid w:val="00AA2CF5"/>
    <w:rsid w:val="00AA2E4F"/>
    <w:rsid w:val="00AA3090"/>
    <w:rsid w:val="00AA310B"/>
    <w:rsid w:val="00AA3229"/>
    <w:rsid w:val="00AA3552"/>
    <w:rsid w:val="00AA35B7"/>
    <w:rsid w:val="00AA37CD"/>
    <w:rsid w:val="00AA3DEB"/>
    <w:rsid w:val="00AA403B"/>
    <w:rsid w:val="00AA43BF"/>
    <w:rsid w:val="00AA44D1"/>
    <w:rsid w:val="00AA4B4A"/>
    <w:rsid w:val="00AA4E1C"/>
    <w:rsid w:val="00AA4E79"/>
    <w:rsid w:val="00AA4FE7"/>
    <w:rsid w:val="00AA5131"/>
    <w:rsid w:val="00AA53AA"/>
    <w:rsid w:val="00AA5461"/>
    <w:rsid w:val="00AA5543"/>
    <w:rsid w:val="00AA59AC"/>
    <w:rsid w:val="00AA5C4D"/>
    <w:rsid w:val="00AA5D47"/>
    <w:rsid w:val="00AA61EB"/>
    <w:rsid w:val="00AA63D4"/>
    <w:rsid w:val="00AA7140"/>
    <w:rsid w:val="00AB03D3"/>
    <w:rsid w:val="00AB057C"/>
    <w:rsid w:val="00AB06E8"/>
    <w:rsid w:val="00AB08A2"/>
    <w:rsid w:val="00AB0B29"/>
    <w:rsid w:val="00AB1359"/>
    <w:rsid w:val="00AB13D2"/>
    <w:rsid w:val="00AB1757"/>
    <w:rsid w:val="00AB1AB7"/>
    <w:rsid w:val="00AB1CD3"/>
    <w:rsid w:val="00AB1D8A"/>
    <w:rsid w:val="00AB1FA5"/>
    <w:rsid w:val="00AB2539"/>
    <w:rsid w:val="00AB2BF0"/>
    <w:rsid w:val="00AB2D6E"/>
    <w:rsid w:val="00AB323D"/>
    <w:rsid w:val="00AB352F"/>
    <w:rsid w:val="00AB3BA5"/>
    <w:rsid w:val="00AB3BED"/>
    <w:rsid w:val="00AB41BF"/>
    <w:rsid w:val="00AB4661"/>
    <w:rsid w:val="00AB49DD"/>
    <w:rsid w:val="00AB5250"/>
    <w:rsid w:val="00AB5694"/>
    <w:rsid w:val="00AB585E"/>
    <w:rsid w:val="00AB5A7C"/>
    <w:rsid w:val="00AB5AA6"/>
    <w:rsid w:val="00AB5B1D"/>
    <w:rsid w:val="00AB5DFF"/>
    <w:rsid w:val="00AB68CF"/>
    <w:rsid w:val="00AB69E0"/>
    <w:rsid w:val="00AB6CF4"/>
    <w:rsid w:val="00AB6EA9"/>
    <w:rsid w:val="00AB7422"/>
    <w:rsid w:val="00AB7740"/>
    <w:rsid w:val="00AB7DBD"/>
    <w:rsid w:val="00AC0405"/>
    <w:rsid w:val="00AC06DD"/>
    <w:rsid w:val="00AC0F2C"/>
    <w:rsid w:val="00AC0F53"/>
    <w:rsid w:val="00AC19C8"/>
    <w:rsid w:val="00AC19DC"/>
    <w:rsid w:val="00AC1D27"/>
    <w:rsid w:val="00AC1D3D"/>
    <w:rsid w:val="00AC2232"/>
    <w:rsid w:val="00AC274B"/>
    <w:rsid w:val="00AC27B8"/>
    <w:rsid w:val="00AC333C"/>
    <w:rsid w:val="00AC3649"/>
    <w:rsid w:val="00AC3880"/>
    <w:rsid w:val="00AC3C67"/>
    <w:rsid w:val="00AC4764"/>
    <w:rsid w:val="00AC4C19"/>
    <w:rsid w:val="00AC4FD8"/>
    <w:rsid w:val="00AC5171"/>
    <w:rsid w:val="00AC55EB"/>
    <w:rsid w:val="00AC59AD"/>
    <w:rsid w:val="00AC5C7D"/>
    <w:rsid w:val="00AC5D57"/>
    <w:rsid w:val="00AC608E"/>
    <w:rsid w:val="00AC60E1"/>
    <w:rsid w:val="00AC6BC1"/>
    <w:rsid w:val="00AC6D36"/>
    <w:rsid w:val="00AC707E"/>
    <w:rsid w:val="00AC71D9"/>
    <w:rsid w:val="00AC7480"/>
    <w:rsid w:val="00AC7713"/>
    <w:rsid w:val="00AC7AC3"/>
    <w:rsid w:val="00AC7FFE"/>
    <w:rsid w:val="00AD059B"/>
    <w:rsid w:val="00AD05F3"/>
    <w:rsid w:val="00AD0812"/>
    <w:rsid w:val="00AD0895"/>
    <w:rsid w:val="00AD0AF9"/>
    <w:rsid w:val="00AD0CBA"/>
    <w:rsid w:val="00AD0DAE"/>
    <w:rsid w:val="00AD10F3"/>
    <w:rsid w:val="00AD11B0"/>
    <w:rsid w:val="00AD1451"/>
    <w:rsid w:val="00AD1638"/>
    <w:rsid w:val="00AD1AE4"/>
    <w:rsid w:val="00AD1CDD"/>
    <w:rsid w:val="00AD1DF3"/>
    <w:rsid w:val="00AD2163"/>
    <w:rsid w:val="00AD249B"/>
    <w:rsid w:val="00AD26E2"/>
    <w:rsid w:val="00AD27E8"/>
    <w:rsid w:val="00AD29FE"/>
    <w:rsid w:val="00AD2AA2"/>
    <w:rsid w:val="00AD2D05"/>
    <w:rsid w:val="00AD3B2E"/>
    <w:rsid w:val="00AD3EC2"/>
    <w:rsid w:val="00AD3F96"/>
    <w:rsid w:val="00AD4711"/>
    <w:rsid w:val="00AD4742"/>
    <w:rsid w:val="00AD4824"/>
    <w:rsid w:val="00AD5459"/>
    <w:rsid w:val="00AD58A6"/>
    <w:rsid w:val="00AD62F9"/>
    <w:rsid w:val="00AD65D1"/>
    <w:rsid w:val="00AD679E"/>
    <w:rsid w:val="00AD6A8A"/>
    <w:rsid w:val="00AD6B30"/>
    <w:rsid w:val="00AD6F6D"/>
    <w:rsid w:val="00AD754A"/>
    <w:rsid w:val="00AD7772"/>
    <w:rsid w:val="00AD784C"/>
    <w:rsid w:val="00AD78DC"/>
    <w:rsid w:val="00AD79BB"/>
    <w:rsid w:val="00AD7A0B"/>
    <w:rsid w:val="00AD7B3C"/>
    <w:rsid w:val="00AD7E67"/>
    <w:rsid w:val="00AE0071"/>
    <w:rsid w:val="00AE0162"/>
    <w:rsid w:val="00AE06FB"/>
    <w:rsid w:val="00AE09ED"/>
    <w:rsid w:val="00AE0A92"/>
    <w:rsid w:val="00AE0B5E"/>
    <w:rsid w:val="00AE0C46"/>
    <w:rsid w:val="00AE11C7"/>
    <w:rsid w:val="00AE126A"/>
    <w:rsid w:val="00AE1BAE"/>
    <w:rsid w:val="00AE1BAF"/>
    <w:rsid w:val="00AE1C09"/>
    <w:rsid w:val="00AE1C90"/>
    <w:rsid w:val="00AE1EC0"/>
    <w:rsid w:val="00AE1F89"/>
    <w:rsid w:val="00AE2344"/>
    <w:rsid w:val="00AE2522"/>
    <w:rsid w:val="00AE3005"/>
    <w:rsid w:val="00AE302D"/>
    <w:rsid w:val="00AE3330"/>
    <w:rsid w:val="00AE34DE"/>
    <w:rsid w:val="00AE35E6"/>
    <w:rsid w:val="00AE36D4"/>
    <w:rsid w:val="00AE39BC"/>
    <w:rsid w:val="00AE3A38"/>
    <w:rsid w:val="00AE3BD5"/>
    <w:rsid w:val="00AE4470"/>
    <w:rsid w:val="00AE44D8"/>
    <w:rsid w:val="00AE4769"/>
    <w:rsid w:val="00AE4972"/>
    <w:rsid w:val="00AE49B9"/>
    <w:rsid w:val="00AE4BF0"/>
    <w:rsid w:val="00AE4C91"/>
    <w:rsid w:val="00AE54D4"/>
    <w:rsid w:val="00AE5555"/>
    <w:rsid w:val="00AE59A0"/>
    <w:rsid w:val="00AE5AFE"/>
    <w:rsid w:val="00AE6154"/>
    <w:rsid w:val="00AE68D9"/>
    <w:rsid w:val="00AE6943"/>
    <w:rsid w:val="00AE6ECF"/>
    <w:rsid w:val="00AE6FB4"/>
    <w:rsid w:val="00AE7250"/>
    <w:rsid w:val="00AE7305"/>
    <w:rsid w:val="00AE744E"/>
    <w:rsid w:val="00AE7626"/>
    <w:rsid w:val="00AE7E59"/>
    <w:rsid w:val="00AE7EBC"/>
    <w:rsid w:val="00AF0C57"/>
    <w:rsid w:val="00AF0D1B"/>
    <w:rsid w:val="00AF0D7D"/>
    <w:rsid w:val="00AF0F2F"/>
    <w:rsid w:val="00AF139C"/>
    <w:rsid w:val="00AF13F8"/>
    <w:rsid w:val="00AF1446"/>
    <w:rsid w:val="00AF15E1"/>
    <w:rsid w:val="00AF15E3"/>
    <w:rsid w:val="00AF15EA"/>
    <w:rsid w:val="00AF1CC1"/>
    <w:rsid w:val="00AF207B"/>
    <w:rsid w:val="00AF232A"/>
    <w:rsid w:val="00AF26F3"/>
    <w:rsid w:val="00AF2E28"/>
    <w:rsid w:val="00AF33DD"/>
    <w:rsid w:val="00AF342B"/>
    <w:rsid w:val="00AF365D"/>
    <w:rsid w:val="00AF378D"/>
    <w:rsid w:val="00AF3BB9"/>
    <w:rsid w:val="00AF3CE4"/>
    <w:rsid w:val="00AF42F6"/>
    <w:rsid w:val="00AF4452"/>
    <w:rsid w:val="00AF47B7"/>
    <w:rsid w:val="00AF49D5"/>
    <w:rsid w:val="00AF4C2B"/>
    <w:rsid w:val="00AF4CBD"/>
    <w:rsid w:val="00AF4E40"/>
    <w:rsid w:val="00AF56C2"/>
    <w:rsid w:val="00AF5789"/>
    <w:rsid w:val="00AF57BB"/>
    <w:rsid w:val="00AF599A"/>
    <w:rsid w:val="00AF5A89"/>
    <w:rsid w:val="00AF5CCC"/>
    <w:rsid w:val="00AF5F04"/>
    <w:rsid w:val="00AF64DE"/>
    <w:rsid w:val="00AF66A9"/>
    <w:rsid w:val="00AF677B"/>
    <w:rsid w:val="00AF6A46"/>
    <w:rsid w:val="00AF7014"/>
    <w:rsid w:val="00AF7106"/>
    <w:rsid w:val="00AF73FD"/>
    <w:rsid w:val="00AF769E"/>
    <w:rsid w:val="00AF77EF"/>
    <w:rsid w:val="00B001AE"/>
    <w:rsid w:val="00B00672"/>
    <w:rsid w:val="00B00B0D"/>
    <w:rsid w:val="00B00BB7"/>
    <w:rsid w:val="00B00D1D"/>
    <w:rsid w:val="00B0107C"/>
    <w:rsid w:val="00B01350"/>
    <w:rsid w:val="00B0139C"/>
    <w:rsid w:val="00B0145D"/>
    <w:rsid w:val="00B014B1"/>
    <w:rsid w:val="00B01B4D"/>
    <w:rsid w:val="00B01C41"/>
    <w:rsid w:val="00B01E39"/>
    <w:rsid w:val="00B0205E"/>
    <w:rsid w:val="00B020BD"/>
    <w:rsid w:val="00B02438"/>
    <w:rsid w:val="00B02C4C"/>
    <w:rsid w:val="00B02C8E"/>
    <w:rsid w:val="00B0310E"/>
    <w:rsid w:val="00B03334"/>
    <w:rsid w:val="00B033DC"/>
    <w:rsid w:val="00B033E2"/>
    <w:rsid w:val="00B0353C"/>
    <w:rsid w:val="00B035C0"/>
    <w:rsid w:val="00B03A64"/>
    <w:rsid w:val="00B040C9"/>
    <w:rsid w:val="00B04116"/>
    <w:rsid w:val="00B0428C"/>
    <w:rsid w:val="00B04489"/>
    <w:rsid w:val="00B04642"/>
    <w:rsid w:val="00B04B36"/>
    <w:rsid w:val="00B04D45"/>
    <w:rsid w:val="00B05171"/>
    <w:rsid w:val="00B0527C"/>
    <w:rsid w:val="00B0527F"/>
    <w:rsid w:val="00B05CF8"/>
    <w:rsid w:val="00B05E61"/>
    <w:rsid w:val="00B05EFD"/>
    <w:rsid w:val="00B0604F"/>
    <w:rsid w:val="00B06071"/>
    <w:rsid w:val="00B06571"/>
    <w:rsid w:val="00B068BA"/>
    <w:rsid w:val="00B06B91"/>
    <w:rsid w:val="00B06ED9"/>
    <w:rsid w:val="00B07217"/>
    <w:rsid w:val="00B0757F"/>
    <w:rsid w:val="00B07DAF"/>
    <w:rsid w:val="00B102C5"/>
    <w:rsid w:val="00B105EE"/>
    <w:rsid w:val="00B1080E"/>
    <w:rsid w:val="00B10AC6"/>
    <w:rsid w:val="00B110AB"/>
    <w:rsid w:val="00B1125C"/>
    <w:rsid w:val="00B11FF5"/>
    <w:rsid w:val="00B12504"/>
    <w:rsid w:val="00B12640"/>
    <w:rsid w:val="00B12760"/>
    <w:rsid w:val="00B12CF2"/>
    <w:rsid w:val="00B12F9C"/>
    <w:rsid w:val="00B13007"/>
    <w:rsid w:val="00B1352B"/>
    <w:rsid w:val="00B135B7"/>
    <w:rsid w:val="00B13794"/>
    <w:rsid w:val="00B13851"/>
    <w:rsid w:val="00B13B1C"/>
    <w:rsid w:val="00B13BEB"/>
    <w:rsid w:val="00B13CE4"/>
    <w:rsid w:val="00B13CF2"/>
    <w:rsid w:val="00B14B5F"/>
    <w:rsid w:val="00B14D48"/>
    <w:rsid w:val="00B1501B"/>
    <w:rsid w:val="00B1541D"/>
    <w:rsid w:val="00B15A2A"/>
    <w:rsid w:val="00B15C43"/>
    <w:rsid w:val="00B15FBF"/>
    <w:rsid w:val="00B1639B"/>
    <w:rsid w:val="00B164A3"/>
    <w:rsid w:val="00B170D5"/>
    <w:rsid w:val="00B1710D"/>
    <w:rsid w:val="00B17131"/>
    <w:rsid w:val="00B1732C"/>
    <w:rsid w:val="00B1795F"/>
    <w:rsid w:val="00B200F9"/>
    <w:rsid w:val="00B20544"/>
    <w:rsid w:val="00B20797"/>
    <w:rsid w:val="00B2088E"/>
    <w:rsid w:val="00B20EC7"/>
    <w:rsid w:val="00B210A9"/>
    <w:rsid w:val="00B21594"/>
    <w:rsid w:val="00B21B8A"/>
    <w:rsid w:val="00B21E1E"/>
    <w:rsid w:val="00B21F90"/>
    <w:rsid w:val="00B22291"/>
    <w:rsid w:val="00B22624"/>
    <w:rsid w:val="00B2273C"/>
    <w:rsid w:val="00B22A20"/>
    <w:rsid w:val="00B22D62"/>
    <w:rsid w:val="00B22EB0"/>
    <w:rsid w:val="00B22F98"/>
    <w:rsid w:val="00B23006"/>
    <w:rsid w:val="00B2349C"/>
    <w:rsid w:val="00B2372C"/>
    <w:rsid w:val="00B2378D"/>
    <w:rsid w:val="00B23B71"/>
    <w:rsid w:val="00B23C78"/>
    <w:rsid w:val="00B23F9A"/>
    <w:rsid w:val="00B23FAE"/>
    <w:rsid w:val="00B2417B"/>
    <w:rsid w:val="00B241ED"/>
    <w:rsid w:val="00B243A9"/>
    <w:rsid w:val="00B2447D"/>
    <w:rsid w:val="00B244F0"/>
    <w:rsid w:val="00B24E16"/>
    <w:rsid w:val="00B24E6F"/>
    <w:rsid w:val="00B264F2"/>
    <w:rsid w:val="00B26699"/>
    <w:rsid w:val="00B26A80"/>
    <w:rsid w:val="00B26B26"/>
    <w:rsid w:val="00B26CB5"/>
    <w:rsid w:val="00B26FD7"/>
    <w:rsid w:val="00B27236"/>
    <w:rsid w:val="00B2752E"/>
    <w:rsid w:val="00B2773F"/>
    <w:rsid w:val="00B27765"/>
    <w:rsid w:val="00B278FA"/>
    <w:rsid w:val="00B30010"/>
    <w:rsid w:val="00B30400"/>
    <w:rsid w:val="00B307CC"/>
    <w:rsid w:val="00B31085"/>
    <w:rsid w:val="00B310B6"/>
    <w:rsid w:val="00B31D72"/>
    <w:rsid w:val="00B32234"/>
    <w:rsid w:val="00B3239A"/>
    <w:rsid w:val="00B326B7"/>
    <w:rsid w:val="00B32978"/>
    <w:rsid w:val="00B337FE"/>
    <w:rsid w:val="00B33A9E"/>
    <w:rsid w:val="00B33E3D"/>
    <w:rsid w:val="00B342BB"/>
    <w:rsid w:val="00B345F5"/>
    <w:rsid w:val="00B3460E"/>
    <w:rsid w:val="00B347C0"/>
    <w:rsid w:val="00B35131"/>
    <w:rsid w:val="00B353CC"/>
    <w:rsid w:val="00B3588E"/>
    <w:rsid w:val="00B359CF"/>
    <w:rsid w:val="00B35B16"/>
    <w:rsid w:val="00B35D5C"/>
    <w:rsid w:val="00B36416"/>
    <w:rsid w:val="00B36BAD"/>
    <w:rsid w:val="00B36F5C"/>
    <w:rsid w:val="00B3704E"/>
    <w:rsid w:val="00B401B3"/>
    <w:rsid w:val="00B40603"/>
    <w:rsid w:val="00B40AAD"/>
    <w:rsid w:val="00B40BE6"/>
    <w:rsid w:val="00B4120C"/>
    <w:rsid w:val="00B41710"/>
    <w:rsid w:val="00B41883"/>
    <w:rsid w:val="00B4198F"/>
    <w:rsid w:val="00B41AB3"/>
    <w:rsid w:val="00B41B60"/>
    <w:rsid w:val="00B41C3A"/>
    <w:rsid w:val="00B41F3D"/>
    <w:rsid w:val="00B41F57"/>
    <w:rsid w:val="00B41FB7"/>
    <w:rsid w:val="00B4238E"/>
    <w:rsid w:val="00B4246E"/>
    <w:rsid w:val="00B42587"/>
    <w:rsid w:val="00B42654"/>
    <w:rsid w:val="00B42914"/>
    <w:rsid w:val="00B430D9"/>
    <w:rsid w:val="00B431CC"/>
    <w:rsid w:val="00B431E8"/>
    <w:rsid w:val="00B432EF"/>
    <w:rsid w:val="00B43696"/>
    <w:rsid w:val="00B43BFE"/>
    <w:rsid w:val="00B43C5E"/>
    <w:rsid w:val="00B43D6D"/>
    <w:rsid w:val="00B43E88"/>
    <w:rsid w:val="00B4404F"/>
    <w:rsid w:val="00B4410E"/>
    <w:rsid w:val="00B44940"/>
    <w:rsid w:val="00B44B71"/>
    <w:rsid w:val="00B44C3B"/>
    <w:rsid w:val="00B44C93"/>
    <w:rsid w:val="00B44EF1"/>
    <w:rsid w:val="00B44F49"/>
    <w:rsid w:val="00B45141"/>
    <w:rsid w:val="00B458AD"/>
    <w:rsid w:val="00B45CDF"/>
    <w:rsid w:val="00B45DB8"/>
    <w:rsid w:val="00B4676A"/>
    <w:rsid w:val="00B46842"/>
    <w:rsid w:val="00B4698A"/>
    <w:rsid w:val="00B46EBC"/>
    <w:rsid w:val="00B47065"/>
    <w:rsid w:val="00B47261"/>
    <w:rsid w:val="00B474E7"/>
    <w:rsid w:val="00B475FE"/>
    <w:rsid w:val="00B47880"/>
    <w:rsid w:val="00B47CB1"/>
    <w:rsid w:val="00B47CF7"/>
    <w:rsid w:val="00B504EA"/>
    <w:rsid w:val="00B50693"/>
    <w:rsid w:val="00B506AC"/>
    <w:rsid w:val="00B507F2"/>
    <w:rsid w:val="00B50B85"/>
    <w:rsid w:val="00B50F5F"/>
    <w:rsid w:val="00B51445"/>
    <w:rsid w:val="00B51777"/>
    <w:rsid w:val="00B519CD"/>
    <w:rsid w:val="00B51C59"/>
    <w:rsid w:val="00B525EA"/>
    <w:rsid w:val="00B5273A"/>
    <w:rsid w:val="00B52B0B"/>
    <w:rsid w:val="00B52B97"/>
    <w:rsid w:val="00B52BD9"/>
    <w:rsid w:val="00B52C66"/>
    <w:rsid w:val="00B53193"/>
    <w:rsid w:val="00B531B9"/>
    <w:rsid w:val="00B531E9"/>
    <w:rsid w:val="00B5325A"/>
    <w:rsid w:val="00B532B0"/>
    <w:rsid w:val="00B53767"/>
    <w:rsid w:val="00B53E0B"/>
    <w:rsid w:val="00B54D29"/>
    <w:rsid w:val="00B553F9"/>
    <w:rsid w:val="00B55456"/>
    <w:rsid w:val="00B560D8"/>
    <w:rsid w:val="00B56109"/>
    <w:rsid w:val="00B5617F"/>
    <w:rsid w:val="00B564B5"/>
    <w:rsid w:val="00B56551"/>
    <w:rsid w:val="00B56924"/>
    <w:rsid w:val="00B5714E"/>
    <w:rsid w:val="00B57329"/>
    <w:rsid w:val="00B57508"/>
    <w:rsid w:val="00B57705"/>
    <w:rsid w:val="00B5793B"/>
    <w:rsid w:val="00B57BAB"/>
    <w:rsid w:val="00B57CEE"/>
    <w:rsid w:val="00B57D03"/>
    <w:rsid w:val="00B6017D"/>
    <w:rsid w:val="00B60B39"/>
    <w:rsid w:val="00B60E61"/>
    <w:rsid w:val="00B61012"/>
    <w:rsid w:val="00B613EC"/>
    <w:rsid w:val="00B614AD"/>
    <w:rsid w:val="00B61715"/>
    <w:rsid w:val="00B61ABB"/>
    <w:rsid w:val="00B61BF2"/>
    <w:rsid w:val="00B61D48"/>
    <w:rsid w:val="00B61DE9"/>
    <w:rsid w:val="00B6203D"/>
    <w:rsid w:val="00B624AB"/>
    <w:rsid w:val="00B62740"/>
    <w:rsid w:val="00B62B35"/>
    <w:rsid w:val="00B62B50"/>
    <w:rsid w:val="00B62E17"/>
    <w:rsid w:val="00B635B7"/>
    <w:rsid w:val="00B6365C"/>
    <w:rsid w:val="00B6390D"/>
    <w:rsid w:val="00B639E2"/>
    <w:rsid w:val="00B63AE8"/>
    <w:rsid w:val="00B6422E"/>
    <w:rsid w:val="00B64243"/>
    <w:rsid w:val="00B645F1"/>
    <w:rsid w:val="00B64C08"/>
    <w:rsid w:val="00B64C9F"/>
    <w:rsid w:val="00B6507B"/>
    <w:rsid w:val="00B6514C"/>
    <w:rsid w:val="00B6519F"/>
    <w:rsid w:val="00B65785"/>
    <w:rsid w:val="00B65896"/>
    <w:rsid w:val="00B65950"/>
    <w:rsid w:val="00B65D84"/>
    <w:rsid w:val="00B65F23"/>
    <w:rsid w:val="00B65FBA"/>
    <w:rsid w:val="00B65FC6"/>
    <w:rsid w:val="00B6607C"/>
    <w:rsid w:val="00B664AB"/>
    <w:rsid w:val="00B66BE5"/>
    <w:rsid w:val="00B66BF1"/>
    <w:rsid w:val="00B66D83"/>
    <w:rsid w:val="00B672C0"/>
    <w:rsid w:val="00B67340"/>
    <w:rsid w:val="00B675C8"/>
    <w:rsid w:val="00B676FD"/>
    <w:rsid w:val="00B678B6"/>
    <w:rsid w:val="00B67C39"/>
    <w:rsid w:val="00B700C3"/>
    <w:rsid w:val="00B70256"/>
    <w:rsid w:val="00B703DC"/>
    <w:rsid w:val="00B70820"/>
    <w:rsid w:val="00B70A56"/>
    <w:rsid w:val="00B70B0E"/>
    <w:rsid w:val="00B70C79"/>
    <w:rsid w:val="00B71053"/>
    <w:rsid w:val="00B7111B"/>
    <w:rsid w:val="00B711E5"/>
    <w:rsid w:val="00B71540"/>
    <w:rsid w:val="00B7170E"/>
    <w:rsid w:val="00B71B64"/>
    <w:rsid w:val="00B71BB2"/>
    <w:rsid w:val="00B71D14"/>
    <w:rsid w:val="00B71ECF"/>
    <w:rsid w:val="00B72457"/>
    <w:rsid w:val="00B72466"/>
    <w:rsid w:val="00B7253B"/>
    <w:rsid w:val="00B72729"/>
    <w:rsid w:val="00B72795"/>
    <w:rsid w:val="00B72EA9"/>
    <w:rsid w:val="00B72FC4"/>
    <w:rsid w:val="00B73000"/>
    <w:rsid w:val="00B73046"/>
    <w:rsid w:val="00B73DEA"/>
    <w:rsid w:val="00B74889"/>
    <w:rsid w:val="00B749BE"/>
    <w:rsid w:val="00B74D6A"/>
    <w:rsid w:val="00B7504A"/>
    <w:rsid w:val="00B750BF"/>
    <w:rsid w:val="00B75646"/>
    <w:rsid w:val="00B75DB2"/>
    <w:rsid w:val="00B75E89"/>
    <w:rsid w:val="00B76299"/>
    <w:rsid w:val="00B7629E"/>
    <w:rsid w:val="00B765FC"/>
    <w:rsid w:val="00B76993"/>
    <w:rsid w:val="00B76CE0"/>
    <w:rsid w:val="00B76E8A"/>
    <w:rsid w:val="00B771BB"/>
    <w:rsid w:val="00B77393"/>
    <w:rsid w:val="00B779DF"/>
    <w:rsid w:val="00B77A90"/>
    <w:rsid w:val="00B77C2B"/>
    <w:rsid w:val="00B80320"/>
    <w:rsid w:val="00B8062A"/>
    <w:rsid w:val="00B80C61"/>
    <w:rsid w:val="00B80F76"/>
    <w:rsid w:val="00B81349"/>
    <w:rsid w:val="00B8192E"/>
    <w:rsid w:val="00B8264C"/>
    <w:rsid w:val="00B82734"/>
    <w:rsid w:val="00B82890"/>
    <w:rsid w:val="00B829D5"/>
    <w:rsid w:val="00B82C78"/>
    <w:rsid w:val="00B82FBF"/>
    <w:rsid w:val="00B83E1F"/>
    <w:rsid w:val="00B8426D"/>
    <w:rsid w:val="00B84499"/>
    <w:rsid w:val="00B844D6"/>
    <w:rsid w:val="00B84766"/>
    <w:rsid w:val="00B84A1F"/>
    <w:rsid w:val="00B84ACD"/>
    <w:rsid w:val="00B84FB2"/>
    <w:rsid w:val="00B84FF0"/>
    <w:rsid w:val="00B850FA"/>
    <w:rsid w:val="00B85181"/>
    <w:rsid w:val="00B853D7"/>
    <w:rsid w:val="00B853E2"/>
    <w:rsid w:val="00B85811"/>
    <w:rsid w:val="00B85A0B"/>
    <w:rsid w:val="00B85A90"/>
    <w:rsid w:val="00B85F01"/>
    <w:rsid w:val="00B86194"/>
    <w:rsid w:val="00B86974"/>
    <w:rsid w:val="00B87E70"/>
    <w:rsid w:val="00B900C2"/>
    <w:rsid w:val="00B90108"/>
    <w:rsid w:val="00B90193"/>
    <w:rsid w:val="00B9019F"/>
    <w:rsid w:val="00B9051D"/>
    <w:rsid w:val="00B90729"/>
    <w:rsid w:val="00B907DA"/>
    <w:rsid w:val="00B90833"/>
    <w:rsid w:val="00B90862"/>
    <w:rsid w:val="00B90B09"/>
    <w:rsid w:val="00B90B96"/>
    <w:rsid w:val="00B90C7C"/>
    <w:rsid w:val="00B90CE8"/>
    <w:rsid w:val="00B91248"/>
    <w:rsid w:val="00B91416"/>
    <w:rsid w:val="00B91B71"/>
    <w:rsid w:val="00B91EEF"/>
    <w:rsid w:val="00B929AA"/>
    <w:rsid w:val="00B92BDD"/>
    <w:rsid w:val="00B92C5A"/>
    <w:rsid w:val="00B932E3"/>
    <w:rsid w:val="00B933FC"/>
    <w:rsid w:val="00B93752"/>
    <w:rsid w:val="00B93AAB"/>
    <w:rsid w:val="00B93D53"/>
    <w:rsid w:val="00B9424F"/>
    <w:rsid w:val="00B94510"/>
    <w:rsid w:val="00B9456D"/>
    <w:rsid w:val="00B94877"/>
    <w:rsid w:val="00B94B8D"/>
    <w:rsid w:val="00B94C5E"/>
    <w:rsid w:val="00B94C84"/>
    <w:rsid w:val="00B94C95"/>
    <w:rsid w:val="00B94F2E"/>
    <w:rsid w:val="00B950BC"/>
    <w:rsid w:val="00B95565"/>
    <w:rsid w:val="00B95BB1"/>
    <w:rsid w:val="00B960D9"/>
    <w:rsid w:val="00B96205"/>
    <w:rsid w:val="00B964B6"/>
    <w:rsid w:val="00B9686F"/>
    <w:rsid w:val="00B96C7E"/>
    <w:rsid w:val="00B96F33"/>
    <w:rsid w:val="00B96FDC"/>
    <w:rsid w:val="00B9714C"/>
    <w:rsid w:val="00B97D44"/>
    <w:rsid w:val="00B97F55"/>
    <w:rsid w:val="00BA0C89"/>
    <w:rsid w:val="00BA1E24"/>
    <w:rsid w:val="00BA1EFA"/>
    <w:rsid w:val="00BA1F2D"/>
    <w:rsid w:val="00BA2051"/>
    <w:rsid w:val="00BA22ED"/>
    <w:rsid w:val="00BA238B"/>
    <w:rsid w:val="00BA23CF"/>
    <w:rsid w:val="00BA26F6"/>
    <w:rsid w:val="00BA29AD"/>
    <w:rsid w:val="00BA2C8A"/>
    <w:rsid w:val="00BA33CF"/>
    <w:rsid w:val="00BA3B2E"/>
    <w:rsid w:val="00BA3C5B"/>
    <w:rsid w:val="00BA3DBC"/>
    <w:rsid w:val="00BA3EF7"/>
    <w:rsid w:val="00BA3F8D"/>
    <w:rsid w:val="00BA5338"/>
    <w:rsid w:val="00BA538D"/>
    <w:rsid w:val="00BA69D4"/>
    <w:rsid w:val="00BA7394"/>
    <w:rsid w:val="00BA7412"/>
    <w:rsid w:val="00BA7D63"/>
    <w:rsid w:val="00BA7E6F"/>
    <w:rsid w:val="00BB023D"/>
    <w:rsid w:val="00BB031C"/>
    <w:rsid w:val="00BB03A0"/>
    <w:rsid w:val="00BB06A3"/>
    <w:rsid w:val="00BB0961"/>
    <w:rsid w:val="00BB1485"/>
    <w:rsid w:val="00BB1691"/>
    <w:rsid w:val="00BB19AB"/>
    <w:rsid w:val="00BB1ACE"/>
    <w:rsid w:val="00BB1BEB"/>
    <w:rsid w:val="00BB1EC9"/>
    <w:rsid w:val="00BB207C"/>
    <w:rsid w:val="00BB257D"/>
    <w:rsid w:val="00BB265F"/>
    <w:rsid w:val="00BB2B4A"/>
    <w:rsid w:val="00BB448F"/>
    <w:rsid w:val="00BB4A51"/>
    <w:rsid w:val="00BB4F46"/>
    <w:rsid w:val="00BB519D"/>
    <w:rsid w:val="00BB56A6"/>
    <w:rsid w:val="00BB65F5"/>
    <w:rsid w:val="00BB73DC"/>
    <w:rsid w:val="00BB74AC"/>
    <w:rsid w:val="00BB759A"/>
    <w:rsid w:val="00BB7944"/>
    <w:rsid w:val="00BB7A10"/>
    <w:rsid w:val="00BB7A1A"/>
    <w:rsid w:val="00BB7D40"/>
    <w:rsid w:val="00BC0217"/>
    <w:rsid w:val="00BC0726"/>
    <w:rsid w:val="00BC1ED0"/>
    <w:rsid w:val="00BC2679"/>
    <w:rsid w:val="00BC2AFC"/>
    <w:rsid w:val="00BC306C"/>
    <w:rsid w:val="00BC38D7"/>
    <w:rsid w:val="00BC396A"/>
    <w:rsid w:val="00BC4187"/>
    <w:rsid w:val="00BC4404"/>
    <w:rsid w:val="00BC451E"/>
    <w:rsid w:val="00BC4547"/>
    <w:rsid w:val="00BC491E"/>
    <w:rsid w:val="00BC4DBE"/>
    <w:rsid w:val="00BC503D"/>
    <w:rsid w:val="00BC51DA"/>
    <w:rsid w:val="00BC55BE"/>
    <w:rsid w:val="00BC56DF"/>
    <w:rsid w:val="00BC57A0"/>
    <w:rsid w:val="00BC5858"/>
    <w:rsid w:val="00BC5C36"/>
    <w:rsid w:val="00BC5D09"/>
    <w:rsid w:val="00BC5D8B"/>
    <w:rsid w:val="00BC5E63"/>
    <w:rsid w:val="00BC60BE"/>
    <w:rsid w:val="00BC6542"/>
    <w:rsid w:val="00BC6F1C"/>
    <w:rsid w:val="00BC7468"/>
    <w:rsid w:val="00BC7BAF"/>
    <w:rsid w:val="00BC7D4F"/>
    <w:rsid w:val="00BC7ED7"/>
    <w:rsid w:val="00BC7EEC"/>
    <w:rsid w:val="00BD0BE9"/>
    <w:rsid w:val="00BD1274"/>
    <w:rsid w:val="00BD17A7"/>
    <w:rsid w:val="00BD1D67"/>
    <w:rsid w:val="00BD2167"/>
    <w:rsid w:val="00BD26E5"/>
    <w:rsid w:val="00BD2850"/>
    <w:rsid w:val="00BD3785"/>
    <w:rsid w:val="00BD3800"/>
    <w:rsid w:val="00BD3F80"/>
    <w:rsid w:val="00BD4034"/>
    <w:rsid w:val="00BD4799"/>
    <w:rsid w:val="00BD4929"/>
    <w:rsid w:val="00BD5582"/>
    <w:rsid w:val="00BD5808"/>
    <w:rsid w:val="00BD5849"/>
    <w:rsid w:val="00BD5D0E"/>
    <w:rsid w:val="00BD5E09"/>
    <w:rsid w:val="00BD5FAA"/>
    <w:rsid w:val="00BD607E"/>
    <w:rsid w:val="00BD622A"/>
    <w:rsid w:val="00BD6479"/>
    <w:rsid w:val="00BD65C7"/>
    <w:rsid w:val="00BD6B9D"/>
    <w:rsid w:val="00BD6FD0"/>
    <w:rsid w:val="00BD7207"/>
    <w:rsid w:val="00BD7473"/>
    <w:rsid w:val="00BD778C"/>
    <w:rsid w:val="00BD77E9"/>
    <w:rsid w:val="00BD7882"/>
    <w:rsid w:val="00BD7B4E"/>
    <w:rsid w:val="00BD7EC0"/>
    <w:rsid w:val="00BD7F5C"/>
    <w:rsid w:val="00BE0516"/>
    <w:rsid w:val="00BE0947"/>
    <w:rsid w:val="00BE1012"/>
    <w:rsid w:val="00BE1376"/>
    <w:rsid w:val="00BE17BA"/>
    <w:rsid w:val="00BE18BB"/>
    <w:rsid w:val="00BE1972"/>
    <w:rsid w:val="00BE1F7E"/>
    <w:rsid w:val="00BE274E"/>
    <w:rsid w:val="00BE28C3"/>
    <w:rsid w:val="00BE28D2"/>
    <w:rsid w:val="00BE2AA5"/>
    <w:rsid w:val="00BE2C43"/>
    <w:rsid w:val="00BE2E06"/>
    <w:rsid w:val="00BE2F64"/>
    <w:rsid w:val="00BE38DC"/>
    <w:rsid w:val="00BE3D19"/>
    <w:rsid w:val="00BE411C"/>
    <w:rsid w:val="00BE4632"/>
    <w:rsid w:val="00BE489C"/>
    <w:rsid w:val="00BE48BC"/>
    <w:rsid w:val="00BE4990"/>
    <w:rsid w:val="00BE4A64"/>
    <w:rsid w:val="00BE4EF8"/>
    <w:rsid w:val="00BE5CDB"/>
    <w:rsid w:val="00BE5E43"/>
    <w:rsid w:val="00BE6022"/>
    <w:rsid w:val="00BE62EB"/>
    <w:rsid w:val="00BE6426"/>
    <w:rsid w:val="00BE66EF"/>
    <w:rsid w:val="00BE6E6D"/>
    <w:rsid w:val="00BE6E9F"/>
    <w:rsid w:val="00BE71DC"/>
    <w:rsid w:val="00BE77BD"/>
    <w:rsid w:val="00BE7832"/>
    <w:rsid w:val="00BE7A49"/>
    <w:rsid w:val="00BE7B28"/>
    <w:rsid w:val="00BE7BF1"/>
    <w:rsid w:val="00BE7C56"/>
    <w:rsid w:val="00BF01D4"/>
    <w:rsid w:val="00BF0374"/>
    <w:rsid w:val="00BF056A"/>
    <w:rsid w:val="00BF079B"/>
    <w:rsid w:val="00BF09CF"/>
    <w:rsid w:val="00BF0C40"/>
    <w:rsid w:val="00BF0FBC"/>
    <w:rsid w:val="00BF1664"/>
    <w:rsid w:val="00BF16BC"/>
    <w:rsid w:val="00BF186D"/>
    <w:rsid w:val="00BF1C24"/>
    <w:rsid w:val="00BF1F1E"/>
    <w:rsid w:val="00BF256E"/>
    <w:rsid w:val="00BF2670"/>
    <w:rsid w:val="00BF287F"/>
    <w:rsid w:val="00BF2D18"/>
    <w:rsid w:val="00BF31AE"/>
    <w:rsid w:val="00BF328F"/>
    <w:rsid w:val="00BF32F8"/>
    <w:rsid w:val="00BF3847"/>
    <w:rsid w:val="00BF40AC"/>
    <w:rsid w:val="00BF471A"/>
    <w:rsid w:val="00BF5385"/>
    <w:rsid w:val="00BF557D"/>
    <w:rsid w:val="00BF5876"/>
    <w:rsid w:val="00BF5A1A"/>
    <w:rsid w:val="00BF5E88"/>
    <w:rsid w:val="00BF5FB7"/>
    <w:rsid w:val="00BF64E4"/>
    <w:rsid w:val="00BF658D"/>
    <w:rsid w:val="00BF668C"/>
    <w:rsid w:val="00BF6BCB"/>
    <w:rsid w:val="00BF6EA4"/>
    <w:rsid w:val="00BF70C4"/>
    <w:rsid w:val="00BF78E8"/>
    <w:rsid w:val="00BF7D31"/>
    <w:rsid w:val="00BF7F58"/>
    <w:rsid w:val="00BF7FC1"/>
    <w:rsid w:val="00C001A4"/>
    <w:rsid w:val="00C00258"/>
    <w:rsid w:val="00C00790"/>
    <w:rsid w:val="00C0079C"/>
    <w:rsid w:val="00C008FE"/>
    <w:rsid w:val="00C00A9A"/>
    <w:rsid w:val="00C00BFD"/>
    <w:rsid w:val="00C01064"/>
    <w:rsid w:val="00C01381"/>
    <w:rsid w:val="00C0139E"/>
    <w:rsid w:val="00C0156B"/>
    <w:rsid w:val="00C01814"/>
    <w:rsid w:val="00C019B8"/>
    <w:rsid w:val="00C01AB1"/>
    <w:rsid w:val="00C01E89"/>
    <w:rsid w:val="00C01F53"/>
    <w:rsid w:val="00C02252"/>
    <w:rsid w:val="00C024FB"/>
    <w:rsid w:val="00C026A0"/>
    <w:rsid w:val="00C02807"/>
    <w:rsid w:val="00C02808"/>
    <w:rsid w:val="00C03678"/>
    <w:rsid w:val="00C0375E"/>
    <w:rsid w:val="00C03D57"/>
    <w:rsid w:val="00C04B26"/>
    <w:rsid w:val="00C04B32"/>
    <w:rsid w:val="00C04EEB"/>
    <w:rsid w:val="00C054B0"/>
    <w:rsid w:val="00C05566"/>
    <w:rsid w:val="00C05683"/>
    <w:rsid w:val="00C059A4"/>
    <w:rsid w:val="00C05CA9"/>
    <w:rsid w:val="00C06137"/>
    <w:rsid w:val="00C064DB"/>
    <w:rsid w:val="00C06929"/>
    <w:rsid w:val="00C06B8F"/>
    <w:rsid w:val="00C06EDA"/>
    <w:rsid w:val="00C06F88"/>
    <w:rsid w:val="00C07379"/>
    <w:rsid w:val="00C075E2"/>
    <w:rsid w:val="00C079B8"/>
    <w:rsid w:val="00C07B44"/>
    <w:rsid w:val="00C07CDF"/>
    <w:rsid w:val="00C07EE7"/>
    <w:rsid w:val="00C10037"/>
    <w:rsid w:val="00C10212"/>
    <w:rsid w:val="00C104B3"/>
    <w:rsid w:val="00C108E3"/>
    <w:rsid w:val="00C10959"/>
    <w:rsid w:val="00C10A07"/>
    <w:rsid w:val="00C10A08"/>
    <w:rsid w:val="00C10B43"/>
    <w:rsid w:val="00C1136D"/>
    <w:rsid w:val="00C115E1"/>
    <w:rsid w:val="00C11C4B"/>
    <w:rsid w:val="00C11E23"/>
    <w:rsid w:val="00C11E82"/>
    <w:rsid w:val="00C11F0F"/>
    <w:rsid w:val="00C1219D"/>
    <w:rsid w:val="00C123EA"/>
    <w:rsid w:val="00C12958"/>
    <w:rsid w:val="00C129E7"/>
    <w:rsid w:val="00C12A49"/>
    <w:rsid w:val="00C131CC"/>
    <w:rsid w:val="00C132CD"/>
    <w:rsid w:val="00C1335B"/>
    <w:rsid w:val="00C133EE"/>
    <w:rsid w:val="00C14173"/>
    <w:rsid w:val="00C1428D"/>
    <w:rsid w:val="00C149D0"/>
    <w:rsid w:val="00C1540C"/>
    <w:rsid w:val="00C15542"/>
    <w:rsid w:val="00C155BF"/>
    <w:rsid w:val="00C15893"/>
    <w:rsid w:val="00C15DA0"/>
    <w:rsid w:val="00C16113"/>
    <w:rsid w:val="00C16405"/>
    <w:rsid w:val="00C1674F"/>
    <w:rsid w:val="00C167FC"/>
    <w:rsid w:val="00C16A0A"/>
    <w:rsid w:val="00C16A45"/>
    <w:rsid w:val="00C17048"/>
    <w:rsid w:val="00C17073"/>
    <w:rsid w:val="00C1795C"/>
    <w:rsid w:val="00C17BB3"/>
    <w:rsid w:val="00C17F3F"/>
    <w:rsid w:val="00C17FBE"/>
    <w:rsid w:val="00C20200"/>
    <w:rsid w:val="00C20398"/>
    <w:rsid w:val="00C209FE"/>
    <w:rsid w:val="00C20C0A"/>
    <w:rsid w:val="00C20C86"/>
    <w:rsid w:val="00C21674"/>
    <w:rsid w:val="00C21F81"/>
    <w:rsid w:val="00C22291"/>
    <w:rsid w:val="00C226EB"/>
    <w:rsid w:val="00C22EFD"/>
    <w:rsid w:val="00C230A5"/>
    <w:rsid w:val="00C230B9"/>
    <w:rsid w:val="00C231DE"/>
    <w:rsid w:val="00C2376F"/>
    <w:rsid w:val="00C23B11"/>
    <w:rsid w:val="00C23C38"/>
    <w:rsid w:val="00C23C74"/>
    <w:rsid w:val="00C23E9B"/>
    <w:rsid w:val="00C23F52"/>
    <w:rsid w:val="00C24023"/>
    <w:rsid w:val="00C25331"/>
    <w:rsid w:val="00C25625"/>
    <w:rsid w:val="00C25AAC"/>
    <w:rsid w:val="00C25BDC"/>
    <w:rsid w:val="00C26036"/>
    <w:rsid w:val="00C2624E"/>
    <w:rsid w:val="00C263E9"/>
    <w:rsid w:val="00C26588"/>
    <w:rsid w:val="00C26A8F"/>
    <w:rsid w:val="00C26D38"/>
    <w:rsid w:val="00C273E5"/>
    <w:rsid w:val="00C27512"/>
    <w:rsid w:val="00C27987"/>
    <w:rsid w:val="00C27D6A"/>
    <w:rsid w:val="00C27DE9"/>
    <w:rsid w:val="00C27E76"/>
    <w:rsid w:val="00C27F3F"/>
    <w:rsid w:val="00C30023"/>
    <w:rsid w:val="00C303F8"/>
    <w:rsid w:val="00C30626"/>
    <w:rsid w:val="00C3074F"/>
    <w:rsid w:val="00C3080C"/>
    <w:rsid w:val="00C30B28"/>
    <w:rsid w:val="00C311AF"/>
    <w:rsid w:val="00C3147A"/>
    <w:rsid w:val="00C31827"/>
    <w:rsid w:val="00C31835"/>
    <w:rsid w:val="00C31E50"/>
    <w:rsid w:val="00C3213D"/>
    <w:rsid w:val="00C32597"/>
    <w:rsid w:val="00C32989"/>
    <w:rsid w:val="00C32D5B"/>
    <w:rsid w:val="00C33388"/>
    <w:rsid w:val="00C33D54"/>
    <w:rsid w:val="00C340DB"/>
    <w:rsid w:val="00C34ED0"/>
    <w:rsid w:val="00C351C7"/>
    <w:rsid w:val="00C35484"/>
    <w:rsid w:val="00C3604B"/>
    <w:rsid w:val="00C360D1"/>
    <w:rsid w:val="00C36C26"/>
    <w:rsid w:val="00C37068"/>
    <w:rsid w:val="00C376D4"/>
    <w:rsid w:val="00C37FC5"/>
    <w:rsid w:val="00C40402"/>
    <w:rsid w:val="00C407A1"/>
    <w:rsid w:val="00C40944"/>
    <w:rsid w:val="00C4117E"/>
    <w:rsid w:val="00C4173A"/>
    <w:rsid w:val="00C41C94"/>
    <w:rsid w:val="00C41DE4"/>
    <w:rsid w:val="00C42680"/>
    <w:rsid w:val="00C42E04"/>
    <w:rsid w:val="00C43689"/>
    <w:rsid w:val="00C438EC"/>
    <w:rsid w:val="00C43C1F"/>
    <w:rsid w:val="00C43EBE"/>
    <w:rsid w:val="00C4439F"/>
    <w:rsid w:val="00C44E32"/>
    <w:rsid w:val="00C45144"/>
    <w:rsid w:val="00C451C3"/>
    <w:rsid w:val="00C4535A"/>
    <w:rsid w:val="00C45DDD"/>
    <w:rsid w:val="00C4620A"/>
    <w:rsid w:val="00C466AE"/>
    <w:rsid w:val="00C4675E"/>
    <w:rsid w:val="00C4713B"/>
    <w:rsid w:val="00C4719A"/>
    <w:rsid w:val="00C472FE"/>
    <w:rsid w:val="00C4786E"/>
    <w:rsid w:val="00C47C8F"/>
    <w:rsid w:val="00C47DBE"/>
    <w:rsid w:val="00C47F83"/>
    <w:rsid w:val="00C5072B"/>
    <w:rsid w:val="00C50D12"/>
    <w:rsid w:val="00C50DED"/>
    <w:rsid w:val="00C514EA"/>
    <w:rsid w:val="00C516A2"/>
    <w:rsid w:val="00C51956"/>
    <w:rsid w:val="00C51DC2"/>
    <w:rsid w:val="00C52217"/>
    <w:rsid w:val="00C5239C"/>
    <w:rsid w:val="00C52AE4"/>
    <w:rsid w:val="00C534A4"/>
    <w:rsid w:val="00C535D3"/>
    <w:rsid w:val="00C53B07"/>
    <w:rsid w:val="00C53C6F"/>
    <w:rsid w:val="00C54453"/>
    <w:rsid w:val="00C547CA"/>
    <w:rsid w:val="00C547EB"/>
    <w:rsid w:val="00C54921"/>
    <w:rsid w:val="00C54E51"/>
    <w:rsid w:val="00C550D7"/>
    <w:rsid w:val="00C55CDC"/>
    <w:rsid w:val="00C55DC9"/>
    <w:rsid w:val="00C55DED"/>
    <w:rsid w:val="00C563B0"/>
    <w:rsid w:val="00C564CA"/>
    <w:rsid w:val="00C56BE2"/>
    <w:rsid w:val="00C56D6F"/>
    <w:rsid w:val="00C57075"/>
    <w:rsid w:val="00C57208"/>
    <w:rsid w:val="00C57870"/>
    <w:rsid w:val="00C600F9"/>
    <w:rsid w:val="00C6026C"/>
    <w:rsid w:val="00C602FF"/>
    <w:rsid w:val="00C60411"/>
    <w:rsid w:val="00C6056F"/>
    <w:rsid w:val="00C6089D"/>
    <w:rsid w:val="00C60A0E"/>
    <w:rsid w:val="00C61174"/>
    <w:rsid w:val="00C613A8"/>
    <w:rsid w:val="00C6148F"/>
    <w:rsid w:val="00C6187D"/>
    <w:rsid w:val="00C619C6"/>
    <w:rsid w:val="00C621B1"/>
    <w:rsid w:val="00C621BB"/>
    <w:rsid w:val="00C62611"/>
    <w:rsid w:val="00C62826"/>
    <w:rsid w:val="00C62B00"/>
    <w:rsid w:val="00C62F7A"/>
    <w:rsid w:val="00C63321"/>
    <w:rsid w:val="00C63B9C"/>
    <w:rsid w:val="00C63C2C"/>
    <w:rsid w:val="00C644FC"/>
    <w:rsid w:val="00C64DAC"/>
    <w:rsid w:val="00C64F0E"/>
    <w:rsid w:val="00C65439"/>
    <w:rsid w:val="00C65694"/>
    <w:rsid w:val="00C6575E"/>
    <w:rsid w:val="00C65767"/>
    <w:rsid w:val="00C65AEC"/>
    <w:rsid w:val="00C65C39"/>
    <w:rsid w:val="00C65D36"/>
    <w:rsid w:val="00C661C5"/>
    <w:rsid w:val="00C6666F"/>
    <w:rsid w:val="00C6682F"/>
    <w:rsid w:val="00C66B54"/>
    <w:rsid w:val="00C6712B"/>
    <w:rsid w:val="00C671A1"/>
    <w:rsid w:val="00C67BF4"/>
    <w:rsid w:val="00C67E68"/>
    <w:rsid w:val="00C67F22"/>
    <w:rsid w:val="00C70288"/>
    <w:rsid w:val="00C70818"/>
    <w:rsid w:val="00C70949"/>
    <w:rsid w:val="00C7140F"/>
    <w:rsid w:val="00C725DD"/>
    <w:rsid w:val="00C7275E"/>
    <w:rsid w:val="00C7291B"/>
    <w:rsid w:val="00C72D7D"/>
    <w:rsid w:val="00C72EBC"/>
    <w:rsid w:val="00C73047"/>
    <w:rsid w:val="00C731AF"/>
    <w:rsid w:val="00C738FE"/>
    <w:rsid w:val="00C73DC3"/>
    <w:rsid w:val="00C74BE6"/>
    <w:rsid w:val="00C74C5D"/>
    <w:rsid w:val="00C74F4A"/>
    <w:rsid w:val="00C75097"/>
    <w:rsid w:val="00C7529B"/>
    <w:rsid w:val="00C753DD"/>
    <w:rsid w:val="00C75DA0"/>
    <w:rsid w:val="00C761E1"/>
    <w:rsid w:val="00C76CC4"/>
    <w:rsid w:val="00C76DC1"/>
    <w:rsid w:val="00C76F0D"/>
    <w:rsid w:val="00C76F14"/>
    <w:rsid w:val="00C801A2"/>
    <w:rsid w:val="00C802F5"/>
    <w:rsid w:val="00C818F1"/>
    <w:rsid w:val="00C81E6E"/>
    <w:rsid w:val="00C82293"/>
    <w:rsid w:val="00C8247E"/>
    <w:rsid w:val="00C826E9"/>
    <w:rsid w:val="00C82921"/>
    <w:rsid w:val="00C83142"/>
    <w:rsid w:val="00C83414"/>
    <w:rsid w:val="00C83B69"/>
    <w:rsid w:val="00C83C3F"/>
    <w:rsid w:val="00C846C5"/>
    <w:rsid w:val="00C84AD1"/>
    <w:rsid w:val="00C84D4E"/>
    <w:rsid w:val="00C85199"/>
    <w:rsid w:val="00C8528E"/>
    <w:rsid w:val="00C85C09"/>
    <w:rsid w:val="00C85ED3"/>
    <w:rsid w:val="00C86381"/>
    <w:rsid w:val="00C863C4"/>
    <w:rsid w:val="00C86527"/>
    <w:rsid w:val="00C865B0"/>
    <w:rsid w:val="00C865C6"/>
    <w:rsid w:val="00C86ACE"/>
    <w:rsid w:val="00C87129"/>
    <w:rsid w:val="00C874DB"/>
    <w:rsid w:val="00C87BFA"/>
    <w:rsid w:val="00C87EAD"/>
    <w:rsid w:val="00C904CB"/>
    <w:rsid w:val="00C90C63"/>
    <w:rsid w:val="00C90DAB"/>
    <w:rsid w:val="00C910F7"/>
    <w:rsid w:val="00C914A4"/>
    <w:rsid w:val="00C92075"/>
    <w:rsid w:val="00C920EA"/>
    <w:rsid w:val="00C92145"/>
    <w:rsid w:val="00C92442"/>
    <w:rsid w:val="00C92460"/>
    <w:rsid w:val="00C9249D"/>
    <w:rsid w:val="00C925DA"/>
    <w:rsid w:val="00C92923"/>
    <w:rsid w:val="00C92D6C"/>
    <w:rsid w:val="00C92FB4"/>
    <w:rsid w:val="00C9331B"/>
    <w:rsid w:val="00C93479"/>
    <w:rsid w:val="00C93C3E"/>
    <w:rsid w:val="00C941A9"/>
    <w:rsid w:val="00C941CB"/>
    <w:rsid w:val="00C94471"/>
    <w:rsid w:val="00C94619"/>
    <w:rsid w:val="00C94A2B"/>
    <w:rsid w:val="00C94BBF"/>
    <w:rsid w:val="00C94DDA"/>
    <w:rsid w:val="00C94DF3"/>
    <w:rsid w:val="00C94E76"/>
    <w:rsid w:val="00C94F61"/>
    <w:rsid w:val="00C94FCC"/>
    <w:rsid w:val="00C9557E"/>
    <w:rsid w:val="00C957B9"/>
    <w:rsid w:val="00C95962"/>
    <w:rsid w:val="00C95C98"/>
    <w:rsid w:val="00C95EC1"/>
    <w:rsid w:val="00C9636D"/>
    <w:rsid w:val="00C964DA"/>
    <w:rsid w:val="00C968B1"/>
    <w:rsid w:val="00C96C3A"/>
    <w:rsid w:val="00C96C8F"/>
    <w:rsid w:val="00C96CC3"/>
    <w:rsid w:val="00C96D6C"/>
    <w:rsid w:val="00C9739C"/>
    <w:rsid w:val="00C9761B"/>
    <w:rsid w:val="00C9773D"/>
    <w:rsid w:val="00CA0794"/>
    <w:rsid w:val="00CA0855"/>
    <w:rsid w:val="00CA095A"/>
    <w:rsid w:val="00CA0F8A"/>
    <w:rsid w:val="00CA107B"/>
    <w:rsid w:val="00CA1110"/>
    <w:rsid w:val="00CA12E3"/>
    <w:rsid w:val="00CA1476"/>
    <w:rsid w:val="00CA156B"/>
    <w:rsid w:val="00CA1A80"/>
    <w:rsid w:val="00CA1C85"/>
    <w:rsid w:val="00CA1EC6"/>
    <w:rsid w:val="00CA224E"/>
    <w:rsid w:val="00CA2F50"/>
    <w:rsid w:val="00CA306B"/>
    <w:rsid w:val="00CA306D"/>
    <w:rsid w:val="00CA30EA"/>
    <w:rsid w:val="00CA33F5"/>
    <w:rsid w:val="00CA3994"/>
    <w:rsid w:val="00CA3E04"/>
    <w:rsid w:val="00CA400D"/>
    <w:rsid w:val="00CA40EB"/>
    <w:rsid w:val="00CA41FE"/>
    <w:rsid w:val="00CA4418"/>
    <w:rsid w:val="00CA5109"/>
    <w:rsid w:val="00CA51AE"/>
    <w:rsid w:val="00CA51BA"/>
    <w:rsid w:val="00CA521D"/>
    <w:rsid w:val="00CA52C8"/>
    <w:rsid w:val="00CA5441"/>
    <w:rsid w:val="00CA545E"/>
    <w:rsid w:val="00CA54CB"/>
    <w:rsid w:val="00CA54E1"/>
    <w:rsid w:val="00CA5E80"/>
    <w:rsid w:val="00CA5ECA"/>
    <w:rsid w:val="00CA6611"/>
    <w:rsid w:val="00CA684F"/>
    <w:rsid w:val="00CA6921"/>
    <w:rsid w:val="00CA6AD7"/>
    <w:rsid w:val="00CA6AE6"/>
    <w:rsid w:val="00CA6C97"/>
    <w:rsid w:val="00CA6D61"/>
    <w:rsid w:val="00CA782F"/>
    <w:rsid w:val="00CA7CD5"/>
    <w:rsid w:val="00CB020A"/>
    <w:rsid w:val="00CB0454"/>
    <w:rsid w:val="00CB0A26"/>
    <w:rsid w:val="00CB0C0A"/>
    <w:rsid w:val="00CB0C2A"/>
    <w:rsid w:val="00CB1106"/>
    <w:rsid w:val="00CB1132"/>
    <w:rsid w:val="00CB1285"/>
    <w:rsid w:val="00CB13BA"/>
    <w:rsid w:val="00CB14F8"/>
    <w:rsid w:val="00CB187B"/>
    <w:rsid w:val="00CB192A"/>
    <w:rsid w:val="00CB1985"/>
    <w:rsid w:val="00CB20D7"/>
    <w:rsid w:val="00CB2258"/>
    <w:rsid w:val="00CB2668"/>
    <w:rsid w:val="00CB2835"/>
    <w:rsid w:val="00CB294C"/>
    <w:rsid w:val="00CB29C5"/>
    <w:rsid w:val="00CB2ACC"/>
    <w:rsid w:val="00CB2C02"/>
    <w:rsid w:val="00CB2D10"/>
    <w:rsid w:val="00CB2FA6"/>
    <w:rsid w:val="00CB3285"/>
    <w:rsid w:val="00CB37AA"/>
    <w:rsid w:val="00CB38FE"/>
    <w:rsid w:val="00CB3ABC"/>
    <w:rsid w:val="00CB3EF7"/>
    <w:rsid w:val="00CB3F01"/>
    <w:rsid w:val="00CB4193"/>
    <w:rsid w:val="00CB4447"/>
    <w:rsid w:val="00CB4500"/>
    <w:rsid w:val="00CB4E88"/>
    <w:rsid w:val="00CB4F0A"/>
    <w:rsid w:val="00CB50ED"/>
    <w:rsid w:val="00CB5B0C"/>
    <w:rsid w:val="00CB5B16"/>
    <w:rsid w:val="00CB6035"/>
    <w:rsid w:val="00CB630F"/>
    <w:rsid w:val="00CB6A27"/>
    <w:rsid w:val="00CB6A3C"/>
    <w:rsid w:val="00CB6D3C"/>
    <w:rsid w:val="00CB733A"/>
    <w:rsid w:val="00CB74AE"/>
    <w:rsid w:val="00CB74EF"/>
    <w:rsid w:val="00CB774E"/>
    <w:rsid w:val="00CB7B46"/>
    <w:rsid w:val="00CB7D9D"/>
    <w:rsid w:val="00CC00D0"/>
    <w:rsid w:val="00CC0211"/>
    <w:rsid w:val="00CC028D"/>
    <w:rsid w:val="00CC0747"/>
    <w:rsid w:val="00CC0C72"/>
    <w:rsid w:val="00CC0D26"/>
    <w:rsid w:val="00CC0EED"/>
    <w:rsid w:val="00CC11B4"/>
    <w:rsid w:val="00CC1290"/>
    <w:rsid w:val="00CC14ED"/>
    <w:rsid w:val="00CC2540"/>
    <w:rsid w:val="00CC2927"/>
    <w:rsid w:val="00CC2BFD"/>
    <w:rsid w:val="00CC2F10"/>
    <w:rsid w:val="00CC33DF"/>
    <w:rsid w:val="00CC382E"/>
    <w:rsid w:val="00CC3AA3"/>
    <w:rsid w:val="00CC3BB0"/>
    <w:rsid w:val="00CC402A"/>
    <w:rsid w:val="00CC415F"/>
    <w:rsid w:val="00CC4538"/>
    <w:rsid w:val="00CC4799"/>
    <w:rsid w:val="00CC47E0"/>
    <w:rsid w:val="00CC556D"/>
    <w:rsid w:val="00CC5EC6"/>
    <w:rsid w:val="00CC60B6"/>
    <w:rsid w:val="00CC6507"/>
    <w:rsid w:val="00CC69F6"/>
    <w:rsid w:val="00CC6B6D"/>
    <w:rsid w:val="00CC6F40"/>
    <w:rsid w:val="00CC7D34"/>
    <w:rsid w:val="00CC7DEE"/>
    <w:rsid w:val="00CD04FC"/>
    <w:rsid w:val="00CD0863"/>
    <w:rsid w:val="00CD0888"/>
    <w:rsid w:val="00CD09CC"/>
    <w:rsid w:val="00CD1208"/>
    <w:rsid w:val="00CD1341"/>
    <w:rsid w:val="00CD1638"/>
    <w:rsid w:val="00CD17C4"/>
    <w:rsid w:val="00CD17E4"/>
    <w:rsid w:val="00CD1975"/>
    <w:rsid w:val="00CD1C7F"/>
    <w:rsid w:val="00CD1CA1"/>
    <w:rsid w:val="00CD1E8A"/>
    <w:rsid w:val="00CD2060"/>
    <w:rsid w:val="00CD22F6"/>
    <w:rsid w:val="00CD23AD"/>
    <w:rsid w:val="00CD268C"/>
    <w:rsid w:val="00CD298D"/>
    <w:rsid w:val="00CD2AE1"/>
    <w:rsid w:val="00CD3476"/>
    <w:rsid w:val="00CD4F19"/>
    <w:rsid w:val="00CD52BE"/>
    <w:rsid w:val="00CD5643"/>
    <w:rsid w:val="00CD5723"/>
    <w:rsid w:val="00CD5876"/>
    <w:rsid w:val="00CD5FE0"/>
    <w:rsid w:val="00CD61C3"/>
    <w:rsid w:val="00CD64DF"/>
    <w:rsid w:val="00CD6644"/>
    <w:rsid w:val="00CD6D9D"/>
    <w:rsid w:val="00CD6E66"/>
    <w:rsid w:val="00CD7131"/>
    <w:rsid w:val="00CD74B2"/>
    <w:rsid w:val="00CE065B"/>
    <w:rsid w:val="00CE078D"/>
    <w:rsid w:val="00CE079E"/>
    <w:rsid w:val="00CE087D"/>
    <w:rsid w:val="00CE08D0"/>
    <w:rsid w:val="00CE0B68"/>
    <w:rsid w:val="00CE0BD1"/>
    <w:rsid w:val="00CE0D59"/>
    <w:rsid w:val="00CE0E35"/>
    <w:rsid w:val="00CE152E"/>
    <w:rsid w:val="00CE1906"/>
    <w:rsid w:val="00CE1C90"/>
    <w:rsid w:val="00CE1F19"/>
    <w:rsid w:val="00CE225F"/>
    <w:rsid w:val="00CE22F6"/>
    <w:rsid w:val="00CE31FF"/>
    <w:rsid w:val="00CE3487"/>
    <w:rsid w:val="00CE356D"/>
    <w:rsid w:val="00CE380A"/>
    <w:rsid w:val="00CE38DF"/>
    <w:rsid w:val="00CE43C3"/>
    <w:rsid w:val="00CE494E"/>
    <w:rsid w:val="00CE5055"/>
    <w:rsid w:val="00CE51A8"/>
    <w:rsid w:val="00CE5283"/>
    <w:rsid w:val="00CE54BA"/>
    <w:rsid w:val="00CE5A7A"/>
    <w:rsid w:val="00CE5FBF"/>
    <w:rsid w:val="00CE61DD"/>
    <w:rsid w:val="00CE6314"/>
    <w:rsid w:val="00CE6326"/>
    <w:rsid w:val="00CE6549"/>
    <w:rsid w:val="00CE6F48"/>
    <w:rsid w:val="00CE743D"/>
    <w:rsid w:val="00CE7620"/>
    <w:rsid w:val="00CE7EB1"/>
    <w:rsid w:val="00CE7EDE"/>
    <w:rsid w:val="00CF02FB"/>
    <w:rsid w:val="00CF08E6"/>
    <w:rsid w:val="00CF0BB1"/>
    <w:rsid w:val="00CF0EB3"/>
    <w:rsid w:val="00CF117E"/>
    <w:rsid w:val="00CF1314"/>
    <w:rsid w:val="00CF14E8"/>
    <w:rsid w:val="00CF1705"/>
    <w:rsid w:val="00CF1F9F"/>
    <w:rsid w:val="00CF20D9"/>
    <w:rsid w:val="00CF24BA"/>
    <w:rsid w:val="00CF271D"/>
    <w:rsid w:val="00CF298A"/>
    <w:rsid w:val="00CF2B66"/>
    <w:rsid w:val="00CF2D69"/>
    <w:rsid w:val="00CF2F50"/>
    <w:rsid w:val="00CF3225"/>
    <w:rsid w:val="00CF3879"/>
    <w:rsid w:val="00CF3959"/>
    <w:rsid w:val="00CF3D66"/>
    <w:rsid w:val="00CF3DA0"/>
    <w:rsid w:val="00CF40BB"/>
    <w:rsid w:val="00CF41BF"/>
    <w:rsid w:val="00CF41F8"/>
    <w:rsid w:val="00CF43FE"/>
    <w:rsid w:val="00CF4676"/>
    <w:rsid w:val="00CF46A9"/>
    <w:rsid w:val="00CF4A4F"/>
    <w:rsid w:val="00CF4AD8"/>
    <w:rsid w:val="00CF4F32"/>
    <w:rsid w:val="00CF5466"/>
    <w:rsid w:val="00CF59A7"/>
    <w:rsid w:val="00CF6099"/>
    <w:rsid w:val="00CF6198"/>
    <w:rsid w:val="00CF6259"/>
    <w:rsid w:val="00CF6300"/>
    <w:rsid w:val="00CF6327"/>
    <w:rsid w:val="00CF6473"/>
    <w:rsid w:val="00CF67F3"/>
    <w:rsid w:val="00CF6B70"/>
    <w:rsid w:val="00CF6E87"/>
    <w:rsid w:val="00CF7261"/>
    <w:rsid w:val="00CF75BE"/>
    <w:rsid w:val="00CF7715"/>
    <w:rsid w:val="00D00A26"/>
    <w:rsid w:val="00D00BCA"/>
    <w:rsid w:val="00D00CC6"/>
    <w:rsid w:val="00D01009"/>
    <w:rsid w:val="00D013EF"/>
    <w:rsid w:val="00D014E6"/>
    <w:rsid w:val="00D016DD"/>
    <w:rsid w:val="00D0222F"/>
    <w:rsid w:val="00D024FE"/>
    <w:rsid w:val="00D026FA"/>
    <w:rsid w:val="00D02919"/>
    <w:rsid w:val="00D02991"/>
    <w:rsid w:val="00D029F9"/>
    <w:rsid w:val="00D02C0F"/>
    <w:rsid w:val="00D035E4"/>
    <w:rsid w:val="00D037A1"/>
    <w:rsid w:val="00D03B6B"/>
    <w:rsid w:val="00D03D27"/>
    <w:rsid w:val="00D03DC5"/>
    <w:rsid w:val="00D04182"/>
    <w:rsid w:val="00D04777"/>
    <w:rsid w:val="00D04A17"/>
    <w:rsid w:val="00D04B09"/>
    <w:rsid w:val="00D04C61"/>
    <w:rsid w:val="00D0523D"/>
    <w:rsid w:val="00D0560B"/>
    <w:rsid w:val="00D05791"/>
    <w:rsid w:val="00D05B8D"/>
    <w:rsid w:val="00D05B9B"/>
    <w:rsid w:val="00D05E01"/>
    <w:rsid w:val="00D063A4"/>
    <w:rsid w:val="00D065A2"/>
    <w:rsid w:val="00D06C8A"/>
    <w:rsid w:val="00D06D58"/>
    <w:rsid w:val="00D07093"/>
    <w:rsid w:val="00D077C2"/>
    <w:rsid w:val="00D079AA"/>
    <w:rsid w:val="00D07F00"/>
    <w:rsid w:val="00D07F08"/>
    <w:rsid w:val="00D1001D"/>
    <w:rsid w:val="00D102AD"/>
    <w:rsid w:val="00D103A0"/>
    <w:rsid w:val="00D107A1"/>
    <w:rsid w:val="00D10805"/>
    <w:rsid w:val="00D10AA7"/>
    <w:rsid w:val="00D10E26"/>
    <w:rsid w:val="00D1119A"/>
    <w:rsid w:val="00D1130F"/>
    <w:rsid w:val="00D114AD"/>
    <w:rsid w:val="00D116FB"/>
    <w:rsid w:val="00D120FA"/>
    <w:rsid w:val="00D1258D"/>
    <w:rsid w:val="00D129B5"/>
    <w:rsid w:val="00D134FE"/>
    <w:rsid w:val="00D13523"/>
    <w:rsid w:val="00D13A45"/>
    <w:rsid w:val="00D13A71"/>
    <w:rsid w:val="00D13D84"/>
    <w:rsid w:val="00D13DDF"/>
    <w:rsid w:val="00D13E3F"/>
    <w:rsid w:val="00D14769"/>
    <w:rsid w:val="00D14CB8"/>
    <w:rsid w:val="00D14E90"/>
    <w:rsid w:val="00D15025"/>
    <w:rsid w:val="00D150C2"/>
    <w:rsid w:val="00D15144"/>
    <w:rsid w:val="00D15251"/>
    <w:rsid w:val="00D15C02"/>
    <w:rsid w:val="00D15F44"/>
    <w:rsid w:val="00D16193"/>
    <w:rsid w:val="00D16198"/>
    <w:rsid w:val="00D1628C"/>
    <w:rsid w:val="00D162C4"/>
    <w:rsid w:val="00D16770"/>
    <w:rsid w:val="00D16987"/>
    <w:rsid w:val="00D16A27"/>
    <w:rsid w:val="00D16A3F"/>
    <w:rsid w:val="00D16A75"/>
    <w:rsid w:val="00D16EBB"/>
    <w:rsid w:val="00D172B9"/>
    <w:rsid w:val="00D174AF"/>
    <w:rsid w:val="00D17864"/>
    <w:rsid w:val="00D178B2"/>
    <w:rsid w:val="00D17B72"/>
    <w:rsid w:val="00D17D7E"/>
    <w:rsid w:val="00D20165"/>
    <w:rsid w:val="00D20656"/>
    <w:rsid w:val="00D20826"/>
    <w:rsid w:val="00D20A24"/>
    <w:rsid w:val="00D20AB0"/>
    <w:rsid w:val="00D20E61"/>
    <w:rsid w:val="00D20F94"/>
    <w:rsid w:val="00D2109F"/>
    <w:rsid w:val="00D210CE"/>
    <w:rsid w:val="00D2130F"/>
    <w:rsid w:val="00D218EE"/>
    <w:rsid w:val="00D21E08"/>
    <w:rsid w:val="00D2220D"/>
    <w:rsid w:val="00D22563"/>
    <w:rsid w:val="00D226FD"/>
    <w:rsid w:val="00D22869"/>
    <w:rsid w:val="00D22C4B"/>
    <w:rsid w:val="00D22E72"/>
    <w:rsid w:val="00D22F63"/>
    <w:rsid w:val="00D2322B"/>
    <w:rsid w:val="00D233F9"/>
    <w:rsid w:val="00D235A6"/>
    <w:rsid w:val="00D23D70"/>
    <w:rsid w:val="00D23FAF"/>
    <w:rsid w:val="00D244EA"/>
    <w:rsid w:val="00D244F1"/>
    <w:rsid w:val="00D247EF"/>
    <w:rsid w:val="00D24DA0"/>
    <w:rsid w:val="00D25453"/>
    <w:rsid w:val="00D2560C"/>
    <w:rsid w:val="00D2585D"/>
    <w:rsid w:val="00D2598B"/>
    <w:rsid w:val="00D262D4"/>
    <w:rsid w:val="00D26A62"/>
    <w:rsid w:val="00D26B07"/>
    <w:rsid w:val="00D26D56"/>
    <w:rsid w:val="00D26F31"/>
    <w:rsid w:val="00D27290"/>
    <w:rsid w:val="00D27ACA"/>
    <w:rsid w:val="00D27DAF"/>
    <w:rsid w:val="00D302BD"/>
    <w:rsid w:val="00D30545"/>
    <w:rsid w:val="00D307C8"/>
    <w:rsid w:val="00D30C69"/>
    <w:rsid w:val="00D30E1D"/>
    <w:rsid w:val="00D310FC"/>
    <w:rsid w:val="00D311B1"/>
    <w:rsid w:val="00D313B5"/>
    <w:rsid w:val="00D3185C"/>
    <w:rsid w:val="00D31908"/>
    <w:rsid w:val="00D31B2D"/>
    <w:rsid w:val="00D31BEC"/>
    <w:rsid w:val="00D31C75"/>
    <w:rsid w:val="00D31CDE"/>
    <w:rsid w:val="00D31EEA"/>
    <w:rsid w:val="00D3205F"/>
    <w:rsid w:val="00D3215C"/>
    <w:rsid w:val="00D32D89"/>
    <w:rsid w:val="00D32F24"/>
    <w:rsid w:val="00D330AA"/>
    <w:rsid w:val="00D3318E"/>
    <w:rsid w:val="00D33298"/>
    <w:rsid w:val="00D33600"/>
    <w:rsid w:val="00D339BB"/>
    <w:rsid w:val="00D33E72"/>
    <w:rsid w:val="00D34843"/>
    <w:rsid w:val="00D34A36"/>
    <w:rsid w:val="00D34A3E"/>
    <w:rsid w:val="00D350D9"/>
    <w:rsid w:val="00D350F4"/>
    <w:rsid w:val="00D35418"/>
    <w:rsid w:val="00D359CC"/>
    <w:rsid w:val="00D35BD6"/>
    <w:rsid w:val="00D35C1D"/>
    <w:rsid w:val="00D3612C"/>
    <w:rsid w:val="00D361B5"/>
    <w:rsid w:val="00D3681C"/>
    <w:rsid w:val="00D36926"/>
    <w:rsid w:val="00D36F1D"/>
    <w:rsid w:val="00D372B5"/>
    <w:rsid w:val="00D37674"/>
    <w:rsid w:val="00D376AD"/>
    <w:rsid w:val="00D37AF7"/>
    <w:rsid w:val="00D37DB0"/>
    <w:rsid w:val="00D37FE2"/>
    <w:rsid w:val="00D4021F"/>
    <w:rsid w:val="00D402C1"/>
    <w:rsid w:val="00D407D9"/>
    <w:rsid w:val="00D40AAF"/>
    <w:rsid w:val="00D40EB4"/>
    <w:rsid w:val="00D40EE0"/>
    <w:rsid w:val="00D411A2"/>
    <w:rsid w:val="00D4172A"/>
    <w:rsid w:val="00D41949"/>
    <w:rsid w:val="00D41E01"/>
    <w:rsid w:val="00D422CA"/>
    <w:rsid w:val="00D422D5"/>
    <w:rsid w:val="00D42A8E"/>
    <w:rsid w:val="00D42BEF"/>
    <w:rsid w:val="00D431FA"/>
    <w:rsid w:val="00D436B0"/>
    <w:rsid w:val="00D436C1"/>
    <w:rsid w:val="00D437FC"/>
    <w:rsid w:val="00D4386F"/>
    <w:rsid w:val="00D43B38"/>
    <w:rsid w:val="00D43F5A"/>
    <w:rsid w:val="00D445D0"/>
    <w:rsid w:val="00D44785"/>
    <w:rsid w:val="00D448BE"/>
    <w:rsid w:val="00D44AF5"/>
    <w:rsid w:val="00D451B3"/>
    <w:rsid w:val="00D45312"/>
    <w:rsid w:val="00D4531E"/>
    <w:rsid w:val="00D4564C"/>
    <w:rsid w:val="00D45BA2"/>
    <w:rsid w:val="00D45F26"/>
    <w:rsid w:val="00D4606D"/>
    <w:rsid w:val="00D463AC"/>
    <w:rsid w:val="00D46A28"/>
    <w:rsid w:val="00D470BB"/>
    <w:rsid w:val="00D47800"/>
    <w:rsid w:val="00D47A72"/>
    <w:rsid w:val="00D47A9B"/>
    <w:rsid w:val="00D50943"/>
    <w:rsid w:val="00D50A42"/>
    <w:rsid w:val="00D50B9C"/>
    <w:rsid w:val="00D50BEA"/>
    <w:rsid w:val="00D513AF"/>
    <w:rsid w:val="00D519B7"/>
    <w:rsid w:val="00D51EF1"/>
    <w:rsid w:val="00D51F2A"/>
    <w:rsid w:val="00D52D73"/>
    <w:rsid w:val="00D52E58"/>
    <w:rsid w:val="00D53397"/>
    <w:rsid w:val="00D533D8"/>
    <w:rsid w:val="00D53432"/>
    <w:rsid w:val="00D53A46"/>
    <w:rsid w:val="00D53BBA"/>
    <w:rsid w:val="00D53D24"/>
    <w:rsid w:val="00D53D2C"/>
    <w:rsid w:val="00D53D5A"/>
    <w:rsid w:val="00D54BB0"/>
    <w:rsid w:val="00D54CCF"/>
    <w:rsid w:val="00D550B0"/>
    <w:rsid w:val="00D55445"/>
    <w:rsid w:val="00D5556E"/>
    <w:rsid w:val="00D556E5"/>
    <w:rsid w:val="00D55E4D"/>
    <w:rsid w:val="00D56285"/>
    <w:rsid w:val="00D56447"/>
    <w:rsid w:val="00D56B20"/>
    <w:rsid w:val="00D56B69"/>
    <w:rsid w:val="00D56DC3"/>
    <w:rsid w:val="00D56ED2"/>
    <w:rsid w:val="00D57771"/>
    <w:rsid w:val="00D578B3"/>
    <w:rsid w:val="00D579C5"/>
    <w:rsid w:val="00D579D3"/>
    <w:rsid w:val="00D57E2E"/>
    <w:rsid w:val="00D60069"/>
    <w:rsid w:val="00D6075F"/>
    <w:rsid w:val="00D6086A"/>
    <w:rsid w:val="00D60AEB"/>
    <w:rsid w:val="00D60BA4"/>
    <w:rsid w:val="00D61435"/>
    <w:rsid w:val="00D615AD"/>
    <w:rsid w:val="00D61677"/>
    <w:rsid w:val="00D618F4"/>
    <w:rsid w:val="00D61971"/>
    <w:rsid w:val="00D61B10"/>
    <w:rsid w:val="00D61B4C"/>
    <w:rsid w:val="00D61CBD"/>
    <w:rsid w:val="00D61F66"/>
    <w:rsid w:val="00D62095"/>
    <w:rsid w:val="00D622A9"/>
    <w:rsid w:val="00D62E05"/>
    <w:rsid w:val="00D62F1C"/>
    <w:rsid w:val="00D63065"/>
    <w:rsid w:val="00D630DC"/>
    <w:rsid w:val="00D631BB"/>
    <w:rsid w:val="00D63567"/>
    <w:rsid w:val="00D63636"/>
    <w:rsid w:val="00D63788"/>
    <w:rsid w:val="00D63871"/>
    <w:rsid w:val="00D639BA"/>
    <w:rsid w:val="00D63BCD"/>
    <w:rsid w:val="00D64081"/>
    <w:rsid w:val="00D640D4"/>
    <w:rsid w:val="00D644D1"/>
    <w:rsid w:val="00D6454C"/>
    <w:rsid w:val="00D647A5"/>
    <w:rsid w:val="00D64CE6"/>
    <w:rsid w:val="00D652F2"/>
    <w:rsid w:val="00D6569A"/>
    <w:rsid w:val="00D656AA"/>
    <w:rsid w:val="00D65852"/>
    <w:rsid w:val="00D65AE0"/>
    <w:rsid w:val="00D662AB"/>
    <w:rsid w:val="00D665D1"/>
    <w:rsid w:val="00D66B25"/>
    <w:rsid w:val="00D66B7E"/>
    <w:rsid w:val="00D66C59"/>
    <w:rsid w:val="00D66E22"/>
    <w:rsid w:val="00D66E91"/>
    <w:rsid w:val="00D67236"/>
    <w:rsid w:val="00D672E0"/>
    <w:rsid w:val="00D6739B"/>
    <w:rsid w:val="00D674E1"/>
    <w:rsid w:val="00D67A63"/>
    <w:rsid w:val="00D67E08"/>
    <w:rsid w:val="00D67FA9"/>
    <w:rsid w:val="00D70094"/>
    <w:rsid w:val="00D70A1F"/>
    <w:rsid w:val="00D70B02"/>
    <w:rsid w:val="00D70C0A"/>
    <w:rsid w:val="00D70F71"/>
    <w:rsid w:val="00D714CC"/>
    <w:rsid w:val="00D718D7"/>
    <w:rsid w:val="00D71DCA"/>
    <w:rsid w:val="00D71E82"/>
    <w:rsid w:val="00D72449"/>
    <w:rsid w:val="00D72462"/>
    <w:rsid w:val="00D72A0F"/>
    <w:rsid w:val="00D72B36"/>
    <w:rsid w:val="00D73179"/>
    <w:rsid w:val="00D73976"/>
    <w:rsid w:val="00D73A38"/>
    <w:rsid w:val="00D73A43"/>
    <w:rsid w:val="00D74568"/>
    <w:rsid w:val="00D749BC"/>
    <w:rsid w:val="00D74E98"/>
    <w:rsid w:val="00D75614"/>
    <w:rsid w:val="00D7567A"/>
    <w:rsid w:val="00D7579B"/>
    <w:rsid w:val="00D75960"/>
    <w:rsid w:val="00D75CA1"/>
    <w:rsid w:val="00D75D40"/>
    <w:rsid w:val="00D75EA7"/>
    <w:rsid w:val="00D75FC4"/>
    <w:rsid w:val="00D7643E"/>
    <w:rsid w:val="00D76ECC"/>
    <w:rsid w:val="00D7704F"/>
    <w:rsid w:val="00D77478"/>
    <w:rsid w:val="00D774B3"/>
    <w:rsid w:val="00D779C2"/>
    <w:rsid w:val="00D77F49"/>
    <w:rsid w:val="00D801E5"/>
    <w:rsid w:val="00D804D3"/>
    <w:rsid w:val="00D80678"/>
    <w:rsid w:val="00D80AFC"/>
    <w:rsid w:val="00D80C72"/>
    <w:rsid w:val="00D81037"/>
    <w:rsid w:val="00D813AE"/>
    <w:rsid w:val="00D813C3"/>
    <w:rsid w:val="00D8156A"/>
    <w:rsid w:val="00D81ADF"/>
    <w:rsid w:val="00D81BBB"/>
    <w:rsid w:val="00D81EC3"/>
    <w:rsid w:val="00D81F21"/>
    <w:rsid w:val="00D82247"/>
    <w:rsid w:val="00D82902"/>
    <w:rsid w:val="00D829F7"/>
    <w:rsid w:val="00D82A63"/>
    <w:rsid w:val="00D82B9D"/>
    <w:rsid w:val="00D83135"/>
    <w:rsid w:val="00D83146"/>
    <w:rsid w:val="00D832A9"/>
    <w:rsid w:val="00D83C23"/>
    <w:rsid w:val="00D84E4D"/>
    <w:rsid w:val="00D85140"/>
    <w:rsid w:val="00D85A89"/>
    <w:rsid w:val="00D85C03"/>
    <w:rsid w:val="00D85D73"/>
    <w:rsid w:val="00D86233"/>
    <w:rsid w:val="00D86257"/>
    <w:rsid w:val="00D864F2"/>
    <w:rsid w:val="00D8654C"/>
    <w:rsid w:val="00D867E3"/>
    <w:rsid w:val="00D86AE7"/>
    <w:rsid w:val="00D86B8D"/>
    <w:rsid w:val="00D86C4C"/>
    <w:rsid w:val="00D86D2E"/>
    <w:rsid w:val="00D87023"/>
    <w:rsid w:val="00D871F1"/>
    <w:rsid w:val="00D87237"/>
    <w:rsid w:val="00D87641"/>
    <w:rsid w:val="00D87C57"/>
    <w:rsid w:val="00D904AC"/>
    <w:rsid w:val="00D90773"/>
    <w:rsid w:val="00D90D23"/>
    <w:rsid w:val="00D90DA6"/>
    <w:rsid w:val="00D91727"/>
    <w:rsid w:val="00D91AEC"/>
    <w:rsid w:val="00D92091"/>
    <w:rsid w:val="00D92DA7"/>
    <w:rsid w:val="00D92E76"/>
    <w:rsid w:val="00D93D5E"/>
    <w:rsid w:val="00D93D65"/>
    <w:rsid w:val="00D93DF6"/>
    <w:rsid w:val="00D93F81"/>
    <w:rsid w:val="00D943F8"/>
    <w:rsid w:val="00D94457"/>
    <w:rsid w:val="00D94DE5"/>
    <w:rsid w:val="00D94E7E"/>
    <w:rsid w:val="00D953E1"/>
    <w:rsid w:val="00D95429"/>
    <w:rsid w:val="00D95470"/>
    <w:rsid w:val="00D95539"/>
    <w:rsid w:val="00D9583C"/>
    <w:rsid w:val="00D96367"/>
    <w:rsid w:val="00D96411"/>
    <w:rsid w:val="00D967C9"/>
    <w:rsid w:val="00D96B55"/>
    <w:rsid w:val="00D96C47"/>
    <w:rsid w:val="00D96E18"/>
    <w:rsid w:val="00D96E23"/>
    <w:rsid w:val="00D97196"/>
    <w:rsid w:val="00D974D3"/>
    <w:rsid w:val="00D97565"/>
    <w:rsid w:val="00D97F6B"/>
    <w:rsid w:val="00DA0147"/>
    <w:rsid w:val="00DA028F"/>
    <w:rsid w:val="00DA0921"/>
    <w:rsid w:val="00DA1308"/>
    <w:rsid w:val="00DA14B3"/>
    <w:rsid w:val="00DA185F"/>
    <w:rsid w:val="00DA1E6C"/>
    <w:rsid w:val="00DA20E2"/>
    <w:rsid w:val="00DA231D"/>
    <w:rsid w:val="00DA24BB"/>
    <w:rsid w:val="00DA2619"/>
    <w:rsid w:val="00DA2A0E"/>
    <w:rsid w:val="00DA2B61"/>
    <w:rsid w:val="00DA2C4E"/>
    <w:rsid w:val="00DA3314"/>
    <w:rsid w:val="00DA3405"/>
    <w:rsid w:val="00DA3904"/>
    <w:rsid w:val="00DA3F89"/>
    <w:rsid w:val="00DA4239"/>
    <w:rsid w:val="00DA52A9"/>
    <w:rsid w:val="00DA5649"/>
    <w:rsid w:val="00DA582B"/>
    <w:rsid w:val="00DA588C"/>
    <w:rsid w:val="00DA5BEF"/>
    <w:rsid w:val="00DA5EAC"/>
    <w:rsid w:val="00DA60A8"/>
    <w:rsid w:val="00DA623C"/>
    <w:rsid w:val="00DA639F"/>
    <w:rsid w:val="00DA6498"/>
    <w:rsid w:val="00DA65DE"/>
    <w:rsid w:val="00DA65E9"/>
    <w:rsid w:val="00DA6973"/>
    <w:rsid w:val="00DA6AA4"/>
    <w:rsid w:val="00DA6D6D"/>
    <w:rsid w:val="00DB01FB"/>
    <w:rsid w:val="00DB04E1"/>
    <w:rsid w:val="00DB0A8A"/>
    <w:rsid w:val="00DB0B61"/>
    <w:rsid w:val="00DB0C34"/>
    <w:rsid w:val="00DB0F03"/>
    <w:rsid w:val="00DB1474"/>
    <w:rsid w:val="00DB1496"/>
    <w:rsid w:val="00DB15D6"/>
    <w:rsid w:val="00DB16B9"/>
    <w:rsid w:val="00DB1D04"/>
    <w:rsid w:val="00DB1F09"/>
    <w:rsid w:val="00DB2962"/>
    <w:rsid w:val="00DB3313"/>
    <w:rsid w:val="00DB3BDE"/>
    <w:rsid w:val="00DB3FD8"/>
    <w:rsid w:val="00DB4079"/>
    <w:rsid w:val="00DB4639"/>
    <w:rsid w:val="00DB47E4"/>
    <w:rsid w:val="00DB4868"/>
    <w:rsid w:val="00DB4A3D"/>
    <w:rsid w:val="00DB4E76"/>
    <w:rsid w:val="00DB52FB"/>
    <w:rsid w:val="00DB5337"/>
    <w:rsid w:val="00DB5CF3"/>
    <w:rsid w:val="00DB7281"/>
    <w:rsid w:val="00DB745D"/>
    <w:rsid w:val="00DB770C"/>
    <w:rsid w:val="00DB7D46"/>
    <w:rsid w:val="00DB7D4A"/>
    <w:rsid w:val="00DB7DBC"/>
    <w:rsid w:val="00DB7E8D"/>
    <w:rsid w:val="00DC00BA"/>
    <w:rsid w:val="00DC013B"/>
    <w:rsid w:val="00DC01EA"/>
    <w:rsid w:val="00DC027E"/>
    <w:rsid w:val="00DC0459"/>
    <w:rsid w:val="00DC090B"/>
    <w:rsid w:val="00DC0C4F"/>
    <w:rsid w:val="00DC0C61"/>
    <w:rsid w:val="00DC0F70"/>
    <w:rsid w:val="00DC1679"/>
    <w:rsid w:val="00DC1714"/>
    <w:rsid w:val="00DC1BC2"/>
    <w:rsid w:val="00DC20A4"/>
    <w:rsid w:val="00DC219B"/>
    <w:rsid w:val="00DC2598"/>
    <w:rsid w:val="00DC260C"/>
    <w:rsid w:val="00DC28CA"/>
    <w:rsid w:val="00DC2939"/>
    <w:rsid w:val="00DC2CF1"/>
    <w:rsid w:val="00DC2DC7"/>
    <w:rsid w:val="00DC2EA0"/>
    <w:rsid w:val="00DC3350"/>
    <w:rsid w:val="00DC3A7C"/>
    <w:rsid w:val="00DC3BC7"/>
    <w:rsid w:val="00DC3E9C"/>
    <w:rsid w:val="00DC3F41"/>
    <w:rsid w:val="00DC3FB6"/>
    <w:rsid w:val="00DC499E"/>
    <w:rsid w:val="00DC4B42"/>
    <w:rsid w:val="00DC4CD6"/>
    <w:rsid w:val="00DC4FCF"/>
    <w:rsid w:val="00DC50E0"/>
    <w:rsid w:val="00DC5227"/>
    <w:rsid w:val="00DC53A2"/>
    <w:rsid w:val="00DC543B"/>
    <w:rsid w:val="00DC56D3"/>
    <w:rsid w:val="00DC574A"/>
    <w:rsid w:val="00DC5939"/>
    <w:rsid w:val="00DC6386"/>
    <w:rsid w:val="00DC6761"/>
    <w:rsid w:val="00DC6A68"/>
    <w:rsid w:val="00DC6BB6"/>
    <w:rsid w:val="00DC6C28"/>
    <w:rsid w:val="00DC6CE5"/>
    <w:rsid w:val="00DC6D96"/>
    <w:rsid w:val="00DC76D9"/>
    <w:rsid w:val="00DC78B0"/>
    <w:rsid w:val="00DC7BA7"/>
    <w:rsid w:val="00DC7C5F"/>
    <w:rsid w:val="00DC7C71"/>
    <w:rsid w:val="00DC7D61"/>
    <w:rsid w:val="00DC7D65"/>
    <w:rsid w:val="00DD00BF"/>
    <w:rsid w:val="00DD0220"/>
    <w:rsid w:val="00DD0356"/>
    <w:rsid w:val="00DD0C6D"/>
    <w:rsid w:val="00DD0D43"/>
    <w:rsid w:val="00DD0DC5"/>
    <w:rsid w:val="00DD1130"/>
    <w:rsid w:val="00DD127B"/>
    <w:rsid w:val="00DD1437"/>
    <w:rsid w:val="00DD14A0"/>
    <w:rsid w:val="00DD1951"/>
    <w:rsid w:val="00DD214F"/>
    <w:rsid w:val="00DD24A8"/>
    <w:rsid w:val="00DD2A8B"/>
    <w:rsid w:val="00DD2C80"/>
    <w:rsid w:val="00DD2D95"/>
    <w:rsid w:val="00DD3031"/>
    <w:rsid w:val="00DD313F"/>
    <w:rsid w:val="00DD36EB"/>
    <w:rsid w:val="00DD44FC"/>
    <w:rsid w:val="00DD484F"/>
    <w:rsid w:val="00DD487D"/>
    <w:rsid w:val="00DD4E83"/>
    <w:rsid w:val="00DD5107"/>
    <w:rsid w:val="00DD53A3"/>
    <w:rsid w:val="00DD5574"/>
    <w:rsid w:val="00DD5AD6"/>
    <w:rsid w:val="00DD6207"/>
    <w:rsid w:val="00DD62CD"/>
    <w:rsid w:val="00DD6361"/>
    <w:rsid w:val="00DD6628"/>
    <w:rsid w:val="00DD6945"/>
    <w:rsid w:val="00DD69A5"/>
    <w:rsid w:val="00DD6B8A"/>
    <w:rsid w:val="00DD6C07"/>
    <w:rsid w:val="00DD6FBE"/>
    <w:rsid w:val="00DD7738"/>
    <w:rsid w:val="00DD7744"/>
    <w:rsid w:val="00DD7876"/>
    <w:rsid w:val="00DD78EC"/>
    <w:rsid w:val="00DE0323"/>
    <w:rsid w:val="00DE0541"/>
    <w:rsid w:val="00DE0674"/>
    <w:rsid w:val="00DE0989"/>
    <w:rsid w:val="00DE0A68"/>
    <w:rsid w:val="00DE0DFE"/>
    <w:rsid w:val="00DE1860"/>
    <w:rsid w:val="00DE2006"/>
    <w:rsid w:val="00DE209D"/>
    <w:rsid w:val="00DE2660"/>
    <w:rsid w:val="00DE2859"/>
    <w:rsid w:val="00DE2D04"/>
    <w:rsid w:val="00DE2F07"/>
    <w:rsid w:val="00DE2FE5"/>
    <w:rsid w:val="00DE3141"/>
    <w:rsid w:val="00DE316B"/>
    <w:rsid w:val="00DE3250"/>
    <w:rsid w:val="00DE34CA"/>
    <w:rsid w:val="00DE350E"/>
    <w:rsid w:val="00DE381D"/>
    <w:rsid w:val="00DE3E13"/>
    <w:rsid w:val="00DE4043"/>
    <w:rsid w:val="00DE41ED"/>
    <w:rsid w:val="00DE43A8"/>
    <w:rsid w:val="00DE45AB"/>
    <w:rsid w:val="00DE45CF"/>
    <w:rsid w:val="00DE4BCE"/>
    <w:rsid w:val="00DE504A"/>
    <w:rsid w:val="00DE5E26"/>
    <w:rsid w:val="00DE6028"/>
    <w:rsid w:val="00DE64B6"/>
    <w:rsid w:val="00DE6C85"/>
    <w:rsid w:val="00DE6E61"/>
    <w:rsid w:val="00DE6F84"/>
    <w:rsid w:val="00DE74A2"/>
    <w:rsid w:val="00DE7509"/>
    <w:rsid w:val="00DE78A3"/>
    <w:rsid w:val="00DF00A9"/>
    <w:rsid w:val="00DF079E"/>
    <w:rsid w:val="00DF0A6E"/>
    <w:rsid w:val="00DF0E87"/>
    <w:rsid w:val="00DF153C"/>
    <w:rsid w:val="00DF1A71"/>
    <w:rsid w:val="00DF1B17"/>
    <w:rsid w:val="00DF1E52"/>
    <w:rsid w:val="00DF1E86"/>
    <w:rsid w:val="00DF24D6"/>
    <w:rsid w:val="00DF26A3"/>
    <w:rsid w:val="00DF2AD5"/>
    <w:rsid w:val="00DF3657"/>
    <w:rsid w:val="00DF3714"/>
    <w:rsid w:val="00DF3721"/>
    <w:rsid w:val="00DF39C9"/>
    <w:rsid w:val="00DF3C43"/>
    <w:rsid w:val="00DF3F2A"/>
    <w:rsid w:val="00DF4603"/>
    <w:rsid w:val="00DF4986"/>
    <w:rsid w:val="00DF49B4"/>
    <w:rsid w:val="00DF4E6D"/>
    <w:rsid w:val="00DF4FA4"/>
    <w:rsid w:val="00DF4FA5"/>
    <w:rsid w:val="00DF50FC"/>
    <w:rsid w:val="00DF5CFC"/>
    <w:rsid w:val="00DF5DD6"/>
    <w:rsid w:val="00DF643E"/>
    <w:rsid w:val="00DF67E1"/>
    <w:rsid w:val="00DF68C7"/>
    <w:rsid w:val="00DF6A25"/>
    <w:rsid w:val="00DF6B0D"/>
    <w:rsid w:val="00DF6E59"/>
    <w:rsid w:val="00DF6F41"/>
    <w:rsid w:val="00DF7059"/>
    <w:rsid w:val="00DF731A"/>
    <w:rsid w:val="00DF739E"/>
    <w:rsid w:val="00E001B6"/>
    <w:rsid w:val="00E00237"/>
    <w:rsid w:val="00E00826"/>
    <w:rsid w:val="00E00851"/>
    <w:rsid w:val="00E009A3"/>
    <w:rsid w:val="00E00D7F"/>
    <w:rsid w:val="00E01085"/>
    <w:rsid w:val="00E0123C"/>
    <w:rsid w:val="00E01508"/>
    <w:rsid w:val="00E0182C"/>
    <w:rsid w:val="00E01A7C"/>
    <w:rsid w:val="00E01B15"/>
    <w:rsid w:val="00E01B2E"/>
    <w:rsid w:val="00E01C7F"/>
    <w:rsid w:val="00E01F1E"/>
    <w:rsid w:val="00E020EE"/>
    <w:rsid w:val="00E022A2"/>
    <w:rsid w:val="00E02713"/>
    <w:rsid w:val="00E03038"/>
    <w:rsid w:val="00E034B7"/>
    <w:rsid w:val="00E03FDB"/>
    <w:rsid w:val="00E04093"/>
    <w:rsid w:val="00E04476"/>
    <w:rsid w:val="00E047FA"/>
    <w:rsid w:val="00E04E97"/>
    <w:rsid w:val="00E052AF"/>
    <w:rsid w:val="00E05C59"/>
    <w:rsid w:val="00E05DDB"/>
    <w:rsid w:val="00E060C9"/>
    <w:rsid w:val="00E06337"/>
    <w:rsid w:val="00E0654B"/>
    <w:rsid w:val="00E0656B"/>
    <w:rsid w:val="00E06584"/>
    <w:rsid w:val="00E06855"/>
    <w:rsid w:val="00E069C9"/>
    <w:rsid w:val="00E06B75"/>
    <w:rsid w:val="00E06E4D"/>
    <w:rsid w:val="00E070B1"/>
    <w:rsid w:val="00E071A3"/>
    <w:rsid w:val="00E0751E"/>
    <w:rsid w:val="00E077C7"/>
    <w:rsid w:val="00E07CB5"/>
    <w:rsid w:val="00E100C0"/>
    <w:rsid w:val="00E103C0"/>
    <w:rsid w:val="00E10571"/>
    <w:rsid w:val="00E107C4"/>
    <w:rsid w:val="00E10D3A"/>
    <w:rsid w:val="00E112C0"/>
    <w:rsid w:val="00E11332"/>
    <w:rsid w:val="00E11352"/>
    <w:rsid w:val="00E1177B"/>
    <w:rsid w:val="00E1183E"/>
    <w:rsid w:val="00E12F6E"/>
    <w:rsid w:val="00E13108"/>
    <w:rsid w:val="00E136A1"/>
    <w:rsid w:val="00E13E51"/>
    <w:rsid w:val="00E13FB1"/>
    <w:rsid w:val="00E145F3"/>
    <w:rsid w:val="00E14A5C"/>
    <w:rsid w:val="00E14E30"/>
    <w:rsid w:val="00E14FB3"/>
    <w:rsid w:val="00E15080"/>
    <w:rsid w:val="00E1537C"/>
    <w:rsid w:val="00E15846"/>
    <w:rsid w:val="00E15881"/>
    <w:rsid w:val="00E15886"/>
    <w:rsid w:val="00E161B9"/>
    <w:rsid w:val="00E1649D"/>
    <w:rsid w:val="00E1660D"/>
    <w:rsid w:val="00E170DC"/>
    <w:rsid w:val="00E1753A"/>
    <w:rsid w:val="00E17546"/>
    <w:rsid w:val="00E1796B"/>
    <w:rsid w:val="00E17B7A"/>
    <w:rsid w:val="00E17BDE"/>
    <w:rsid w:val="00E17F77"/>
    <w:rsid w:val="00E210B5"/>
    <w:rsid w:val="00E21861"/>
    <w:rsid w:val="00E21EDB"/>
    <w:rsid w:val="00E22D3B"/>
    <w:rsid w:val="00E233A9"/>
    <w:rsid w:val="00E247CC"/>
    <w:rsid w:val="00E2508C"/>
    <w:rsid w:val="00E253D4"/>
    <w:rsid w:val="00E25570"/>
    <w:rsid w:val="00E255D4"/>
    <w:rsid w:val="00E25DB0"/>
    <w:rsid w:val="00E2613E"/>
    <w:rsid w:val="00E261B3"/>
    <w:rsid w:val="00E266D9"/>
    <w:rsid w:val="00E26818"/>
    <w:rsid w:val="00E26918"/>
    <w:rsid w:val="00E26FA3"/>
    <w:rsid w:val="00E270A1"/>
    <w:rsid w:val="00E27604"/>
    <w:rsid w:val="00E27C68"/>
    <w:rsid w:val="00E27F28"/>
    <w:rsid w:val="00E27FFC"/>
    <w:rsid w:val="00E303EE"/>
    <w:rsid w:val="00E3066D"/>
    <w:rsid w:val="00E30702"/>
    <w:rsid w:val="00E30B15"/>
    <w:rsid w:val="00E30D9E"/>
    <w:rsid w:val="00E30E19"/>
    <w:rsid w:val="00E313D3"/>
    <w:rsid w:val="00E317DA"/>
    <w:rsid w:val="00E31809"/>
    <w:rsid w:val="00E31891"/>
    <w:rsid w:val="00E32398"/>
    <w:rsid w:val="00E32924"/>
    <w:rsid w:val="00E32C20"/>
    <w:rsid w:val="00E32D55"/>
    <w:rsid w:val="00E33034"/>
    <w:rsid w:val="00E33237"/>
    <w:rsid w:val="00E3389A"/>
    <w:rsid w:val="00E34243"/>
    <w:rsid w:val="00E34291"/>
    <w:rsid w:val="00E343CA"/>
    <w:rsid w:val="00E346B8"/>
    <w:rsid w:val="00E34A3E"/>
    <w:rsid w:val="00E34FD4"/>
    <w:rsid w:val="00E34FDA"/>
    <w:rsid w:val="00E355DE"/>
    <w:rsid w:val="00E35B19"/>
    <w:rsid w:val="00E35E6E"/>
    <w:rsid w:val="00E36F9D"/>
    <w:rsid w:val="00E374D6"/>
    <w:rsid w:val="00E40181"/>
    <w:rsid w:val="00E40E95"/>
    <w:rsid w:val="00E4110D"/>
    <w:rsid w:val="00E41299"/>
    <w:rsid w:val="00E41383"/>
    <w:rsid w:val="00E419AB"/>
    <w:rsid w:val="00E4228F"/>
    <w:rsid w:val="00E42B01"/>
    <w:rsid w:val="00E42C22"/>
    <w:rsid w:val="00E42FED"/>
    <w:rsid w:val="00E4335F"/>
    <w:rsid w:val="00E43A7C"/>
    <w:rsid w:val="00E441C1"/>
    <w:rsid w:val="00E4442D"/>
    <w:rsid w:val="00E44528"/>
    <w:rsid w:val="00E44933"/>
    <w:rsid w:val="00E44ADA"/>
    <w:rsid w:val="00E45388"/>
    <w:rsid w:val="00E4539A"/>
    <w:rsid w:val="00E45458"/>
    <w:rsid w:val="00E45628"/>
    <w:rsid w:val="00E459AF"/>
    <w:rsid w:val="00E45A97"/>
    <w:rsid w:val="00E45E91"/>
    <w:rsid w:val="00E4625F"/>
    <w:rsid w:val="00E46541"/>
    <w:rsid w:val="00E46691"/>
    <w:rsid w:val="00E467CC"/>
    <w:rsid w:val="00E46839"/>
    <w:rsid w:val="00E46CAE"/>
    <w:rsid w:val="00E47572"/>
    <w:rsid w:val="00E47B73"/>
    <w:rsid w:val="00E47B7E"/>
    <w:rsid w:val="00E5052C"/>
    <w:rsid w:val="00E5072B"/>
    <w:rsid w:val="00E50A0A"/>
    <w:rsid w:val="00E50A21"/>
    <w:rsid w:val="00E50A52"/>
    <w:rsid w:val="00E50D60"/>
    <w:rsid w:val="00E50D80"/>
    <w:rsid w:val="00E50DED"/>
    <w:rsid w:val="00E51234"/>
    <w:rsid w:val="00E5164C"/>
    <w:rsid w:val="00E51C25"/>
    <w:rsid w:val="00E51CD6"/>
    <w:rsid w:val="00E51F8B"/>
    <w:rsid w:val="00E5231F"/>
    <w:rsid w:val="00E52721"/>
    <w:rsid w:val="00E530D5"/>
    <w:rsid w:val="00E53D3B"/>
    <w:rsid w:val="00E5402E"/>
    <w:rsid w:val="00E548FC"/>
    <w:rsid w:val="00E54950"/>
    <w:rsid w:val="00E54C12"/>
    <w:rsid w:val="00E54D46"/>
    <w:rsid w:val="00E54E86"/>
    <w:rsid w:val="00E554E6"/>
    <w:rsid w:val="00E5559C"/>
    <w:rsid w:val="00E55625"/>
    <w:rsid w:val="00E55822"/>
    <w:rsid w:val="00E55DFF"/>
    <w:rsid w:val="00E55FB3"/>
    <w:rsid w:val="00E5601F"/>
    <w:rsid w:val="00E56088"/>
    <w:rsid w:val="00E56397"/>
    <w:rsid w:val="00E56487"/>
    <w:rsid w:val="00E56540"/>
    <w:rsid w:val="00E56605"/>
    <w:rsid w:val="00E56A01"/>
    <w:rsid w:val="00E57174"/>
    <w:rsid w:val="00E577E8"/>
    <w:rsid w:val="00E57979"/>
    <w:rsid w:val="00E57CCC"/>
    <w:rsid w:val="00E6037A"/>
    <w:rsid w:val="00E61129"/>
    <w:rsid w:val="00E6112D"/>
    <w:rsid w:val="00E6170D"/>
    <w:rsid w:val="00E6188C"/>
    <w:rsid w:val="00E61972"/>
    <w:rsid w:val="00E61B02"/>
    <w:rsid w:val="00E62621"/>
    <w:rsid w:val="00E629A1"/>
    <w:rsid w:val="00E62CA3"/>
    <w:rsid w:val="00E62F85"/>
    <w:rsid w:val="00E63044"/>
    <w:rsid w:val="00E633E9"/>
    <w:rsid w:val="00E6367A"/>
    <w:rsid w:val="00E64159"/>
    <w:rsid w:val="00E645E0"/>
    <w:rsid w:val="00E646E9"/>
    <w:rsid w:val="00E652B4"/>
    <w:rsid w:val="00E6596E"/>
    <w:rsid w:val="00E659F2"/>
    <w:rsid w:val="00E65B14"/>
    <w:rsid w:val="00E66A78"/>
    <w:rsid w:val="00E66AC2"/>
    <w:rsid w:val="00E6776D"/>
    <w:rsid w:val="00E67888"/>
    <w:rsid w:val="00E6794C"/>
    <w:rsid w:val="00E67A9E"/>
    <w:rsid w:val="00E701A3"/>
    <w:rsid w:val="00E707F0"/>
    <w:rsid w:val="00E70BB9"/>
    <w:rsid w:val="00E71591"/>
    <w:rsid w:val="00E718E6"/>
    <w:rsid w:val="00E71CEB"/>
    <w:rsid w:val="00E72055"/>
    <w:rsid w:val="00E722D0"/>
    <w:rsid w:val="00E722F3"/>
    <w:rsid w:val="00E7253A"/>
    <w:rsid w:val="00E726AC"/>
    <w:rsid w:val="00E7274C"/>
    <w:rsid w:val="00E72C68"/>
    <w:rsid w:val="00E73085"/>
    <w:rsid w:val="00E73087"/>
    <w:rsid w:val="00E73313"/>
    <w:rsid w:val="00E74517"/>
    <w:rsid w:val="00E745D4"/>
    <w:rsid w:val="00E74703"/>
    <w:rsid w:val="00E7474F"/>
    <w:rsid w:val="00E749CF"/>
    <w:rsid w:val="00E74D7C"/>
    <w:rsid w:val="00E74FF8"/>
    <w:rsid w:val="00E75579"/>
    <w:rsid w:val="00E7578C"/>
    <w:rsid w:val="00E75793"/>
    <w:rsid w:val="00E75FD4"/>
    <w:rsid w:val="00E76008"/>
    <w:rsid w:val="00E76399"/>
    <w:rsid w:val="00E763F6"/>
    <w:rsid w:val="00E7658D"/>
    <w:rsid w:val="00E76873"/>
    <w:rsid w:val="00E76C05"/>
    <w:rsid w:val="00E77537"/>
    <w:rsid w:val="00E775B9"/>
    <w:rsid w:val="00E77E3F"/>
    <w:rsid w:val="00E800DA"/>
    <w:rsid w:val="00E80DE3"/>
    <w:rsid w:val="00E811E7"/>
    <w:rsid w:val="00E81424"/>
    <w:rsid w:val="00E81B00"/>
    <w:rsid w:val="00E81B20"/>
    <w:rsid w:val="00E81D15"/>
    <w:rsid w:val="00E81F6F"/>
    <w:rsid w:val="00E82C55"/>
    <w:rsid w:val="00E832CD"/>
    <w:rsid w:val="00E835E2"/>
    <w:rsid w:val="00E8370D"/>
    <w:rsid w:val="00E83BF7"/>
    <w:rsid w:val="00E84BD3"/>
    <w:rsid w:val="00E84F88"/>
    <w:rsid w:val="00E8505A"/>
    <w:rsid w:val="00E852AE"/>
    <w:rsid w:val="00E85898"/>
    <w:rsid w:val="00E85C40"/>
    <w:rsid w:val="00E85E87"/>
    <w:rsid w:val="00E863F1"/>
    <w:rsid w:val="00E865AC"/>
    <w:rsid w:val="00E86760"/>
    <w:rsid w:val="00E87085"/>
    <w:rsid w:val="00E8787E"/>
    <w:rsid w:val="00E8793A"/>
    <w:rsid w:val="00E87961"/>
    <w:rsid w:val="00E87D99"/>
    <w:rsid w:val="00E87EC8"/>
    <w:rsid w:val="00E87F0F"/>
    <w:rsid w:val="00E901D5"/>
    <w:rsid w:val="00E903DE"/>
    <w:rsid w:val="00E9042A"/>
    <w:rsid w:val="00E90691"/>
    <w:rsid w:val="00E90B6A"/>
    <w:rsid w:val="00E91D56"/>
    <w:rsid w:val="00E9253E"/>
    <w:rsid w:val="00E92748"/>
    <w:rsid w:val="00E927E1"/>
    <w:rsid w:val="00E92AC3"/>
    <w:rsid w:val="00E9377D"/>
    <w:rsid w:val="00E938EC"/>
    <w:rsid w:val="00E93A4D"/>
    <w:rsid w:val="00E9408A"/>
    <w:rsid w:val="00E94286"/>
    <w:rsid w:val="00E94FBB"/>
    <w:rsid w:val="00E95C87"/>
    <w:rsid w:val="00E95ECA"/>
    <w:rsid w:val="00E96751"/>
    <w:rsid w:val="00E96940"/>
    <w:rsid w:val="00E9701F"/>
    <w:rsid w:val="00E97E15"/>
    <w:rsid w:val="00EA0319"/>
    <w:rsid w:val="00EA041B"/>
    <w:rsid w:val="00EA0596"/>
    <w:rsid w:val="00EA06DD"/>
    <w:rsid w:val="00EA07EB"/>
    <w:rsid w:val="00EA1A0B"/>
    <w:rsid w:val="00EA1D2F"/>
    <w:rsid w:val="00EA1D78"/>
    <w:rsid w:val="00EA253B"/>
    <w:rsid w:val="00EA262A"/>
    <w:rsid w:val="00EA29AC"/>
    <w:rsid w:val="00EA29BE"/>
    <w:rsid w:val="00EA2DD6"/>
    <w:rsid w:val="00EA2F6A"/>
    <w:rsid w:val="00EA2FC9"/>
    <w:rsid w:val="00EA3099"/>
    <w:rsid w:val="00EA367B"/>
    <w:rsid w:val="00EA3B5F"/>
    <w:rsid w:val="00EA3C3E"/>
    <w:rsid w:val="00EA3EEF"/>
    <w:rsid w:val="00EA4300"/>
    <w:rsid w:val="00EA4A04"/>
    <w:rsid w:val="00EA53A9"/>
    <w:rsid w:val="00EA5712"/>
    <w:rsid w:val="00EA5F5D"/>
    <w:rsid w:val="00EA62C3"/>
    <w:rsid w:val="00EA67FB"/>
    <w:rsid w:val="00EA6B1E"/>
    <w:rsid w:val="00EA6B59"/>
    <w:rsid w:val="00EA6D92"/>
    <w:rsid w:val="00EA71B1"/>
    <w:rsid w:val="00EA7306"/>
    <w:rsid w:val="00EA736E"/>
    <w:rsid w:val="00EA7A2E"/>
    <w:rsid w:val="00EA7CE2"/>
    <w:rsid w:val="00EA7D26"/>
    <w:rsid w:val="00EB00E0"/>
    <w:rsid w:val="00EB033F"/>
    <w:rsid w:val="00EB04BE"/>
    <w:rsid w:val="00EB05D5"/>
    <w:rsid w:val="00EB0B36"/>
    <w:rsid w:val="00EB0BE3"/>
    <w:rsid w:val="00EB0D24"/>
    <w:rsid w:val="00EB100F"/>
    <w:rsid w:val="00EB124A"/>
    <w:rsid w:val="00EB15D1"/>
    <w:rsid w:val="00EB2137"/>
    <w:rsid w:val="00EB2408"/>
    <w:rsid w:val="00EB2537"/>
    <w:rsid w:val="00EB267C"/>
    <w:rsid w:val="00EB2692"/>
    <w:rsid w:val="00EB279D"/>
    <w:rsid w:val="00EB29D8"/>
    <w:rsid w:val="00EB2A69"/>
    <w:rsid w:val="00EB2E9F"/>
    <w:rsid w:val="00EB32D3"/>
    <w:rsid w:val="00EB3381"/>
    <w:rsid w:val="00EB3554"/>
    <w:rsid w:val="00EB3660"/>
    <w:rsid w:val="00EB3C32"/>
    <w:rsid w:val="00EB3FA6"/>
    <w:rsid w:val="00EB4170"/>
    <w:rsid w:val="00EB41CB"/>
    <w:rsid w:val="00EB4380"/>
    <w:rsid w:val="00EB4846"/>
    <w:rsid w:val="00EB4A09"/>
    <w:rsid w:val="00EB4BC7"/>
    <w:rsid w:val="00EB4C5E"/>
    <w:rsid w:val="00EB4F28"/>
    <w:rsid w:val="00EB56B9"/>
    <w:rsid w:val="00EB590C"/>
    <w:rsid w:val="00EB594D"/>
    <w:rsid w:val="00EB5A86"/>
    <w:rsid w:val="00EB5C63"/>
    <w:rsid w:val="00EB6F23"/>
    <w:rsid w:val="00EC0111"/>
    <w:rsid w:val="00EC034E"/>
    <w:rsid w:val="00EC059F"/>
    <w:rsid w:val="00EC0661"/>
    <w:rsid w:val="00EC086F"/>
    <w:rsid w:val="00EC0D08"/>
    <w:rsid w:val="00EC0DBF"/>
    <w:rsid w:val="00EC10B5"/>
    <w:rsid w:val="00EC1134"/>
    <w:rsid w:val="00EC11B8"/>
    <w:rsid w:val="00EC14B0"/>
    <w:rsid w:val="00EC1540"/>
    <w:rsid w:val="00EC15FD"/>
    <w:rsid w:val="00EC17C3"/>
    <w:rsid w:val="00EC1F24"/>
    <w:rsid w:val="00EC2266"/>
    <w:rsid w:val="00EC22F6"/>
    <w:rsid w:val="00EC2842"/>
    <w:rsid w:val="00EC2867"/>
    <w:rsid w:val="00EC2BFF"/>
    <w:rsid w:val="00EC2D7F"/>
    <w:rsid w:val="00EC3C70"/>
    <w:rsid w:val="00EC3DB9"/>
    <w:rsid w:val="00EC4162"/>
    <w:rsid w:val="00EC416D"/>
    <w:rsid w:val="00EC46AB"/>
    <w:rsid w:val="00EC4C4A"/>
    <w:rsid w:val="00EC5001"/>
    <w:rsid w:val="00EC530E"/>
    <w:rsid w:val="00EC5794"/>
    <w:rsid w:val="00EC5B89"/>
    <w:rsid w:val="00EC5F08"/>
    <w:rsid w:val="00EC68B3"/>
    <w:rsid w:val="00EC6A06"/>
    <w:rsid w:val="00EC70E9"/>
    <w:rsid w:val="00EC7517"/>
    <w:rsid w:val="00EC7DBD"/>
    <w:rsid w:val="00EC7E04"/>
    <w:rsid w:val="00ED007D"/>
    <w:rsid w:val="00ED00D1"/>
    <w:rsid w:val="00ED0881"/>
    <w:rsid w:val="00ED0DA8"/>
    <w:rsid w:val="00ED1042"/>
    <w:rsid w:val="00ED1697"/>
    <w:rsid w:val="00ED16B4"/>
    <w:rsid w:val="00ED1B68"/>
    <w:rsid w:val="00ED1D76"/>
    <w:rsid w:val="00ED23CF"/>
    <w:rsid w:val="00ED32A8"/>
    <w:rsid w:val="00ED3343"/>
    <w:rsid w:val="00ED3703"/>
    <w:rsid w:val="00ED388C"/>
    <w:rsid w:val="00ED3930"/>
    <w:rsid w:val="00ED4A9F"/>
    <w:rsid w:val="00ED5257"/>
    <w:rsid w:val="00ED53CB"/>
    <w:rsid w:val="00ED5B9B"/>
    <w:rsid w:val="00ED617B"/>
    <w:rsid w:val="00ED6236"/>
    <w:rsid w:val="00ED65F9"/>
    <w:rsid w:val="00ED6BAD"/>
    <w:rsid w:val="00ED6ED8"/>
    <w:rsid w:val="00ED7347"/>
    <w:rsid w:val="00ED7447"/>
    <w:rsid w:val="00ED746D"/>
    <w:rsid w:val="00ED74E3"/>
    <w:rsid w:val="00ED7762"/>
    <w:rsid w:val="00ED77F9"/>
    <w:rsid w:val="00ED7A3E"/>
    <w:rsid w:val="00ED7A45"/>
    <w:rsid w:val="00ED7C4A"/>
    <w:rsid w:val="00EE00D6"/>
    <w:rsid w:val="00EE016B"/>
    <w:rsid w:val="00EE0AEA"/>
    <w:rsid w:val="00EE0CCE"/>
    <w:rsid w:val="00EE11E7"/>
    <w:rsid w:val="00EE1488"/>
    <w:rsid w:val="00EE14B9"/>
    <w:rsid w:val="00EE16F2"/>
    <w:rsid w:val="00EE17A2"/>
    <w:rsid w:val="00EE1B6F"/>
    <w:rsid w:val="00EE2285"/>
    <w:rsid w:val="00EE22C6"/>
    <w:rsid w:val="00EE269C"/>
    <w:rsid w:val="00EE29AD"/>
    <w:rsid w:val="00EE2A2A"/>
    <w:rsid w:val="00EE2D60"/>
    <w:rsid w:val="00EE36F2"/>
    <w:rsid w:val="00EE39BB"/>
    <w:rsid w:val="00EE39F1"/>
    <w:rsid w:val="00EE3B20"/>
    <w:rsid w:val="00EE3B7F"/>
    <w:rsid w:val="00EE3E24"/>
    <w:rsid w:val="00EE4082"/>
    <w:rsid w:val="00EE4238"/>
    <w:rsid w:val="00EE42AE"/>
    <w:rsid w:val="00EE431E"/>
    <w:rsid w:val="00EE44A0"/>
    <w:rsid w:val="00EE44AA"/>
    <w:rsid w:val="00EE4D5D"/>
    <w:rsid w:val="00EE4D98"/>
    <w:rsid w:val="00EE5008"/>
    <w:rsid w:val="00EE5131"/>
    <w:rsid w:val="00EE5587"/>
    <w:rsid w:val="00EE5AAF"/>
    <w:rsid w:val="00EE5B81"/>
    <w:rsid w:val="00EE6722"/>
    <w:rsid w:val="00EE67BC"/>
    <w:rsid w:val="00EE687D"/>
    <w:rsid w:val="00EE6942"/>
    <w:rsid w:val="00EE6C62"/>
    <w:rsid w:val="00EE7960"/>
    <w:rsid w:val="00EE7B79"/>
    <w:rsid w:val="00EE7D36"/>
    <w:rsid w:val="00EE7E04"/>
    <w:rsid w:val="00EF0925"/>
    <w:rsid w:val="00EF0B48"/>
    <w:rsid w:val="00EF109B"/>
    <w:rsid w:val="00EF16D0"/>
    <w:rsid w:val="00EF16FC"/>
    <w:rsid w:val="00EF1965"/>
    <w:rsid w:val="00EF1D8E"/>
    <w:rsid w:val="00EF1F26"/>
    <w:rsid w:val="00EF201C"/>
    <w:rsid w:val="00EF24DC"/>
    <w:rsid w:val="00EF25CF"/>
    <w:rsid w:val="00EF2686"/>
    <w:rsid w:val="00EF28CF"/>
    <w:rsid w:val="00EF29B8"/>
    <w:rsid w:val="00EF2A03"/>
    <w:rsid w:val="00EF2C72"/>
    <w:rsid w:val="00EF2D64"/>
    <w:rsid w:val="00EF36AF"/>
    <w:rsid w:val="00EF3718"/>
    <w:rsid w:val="00EF384C"/>
    <w:rsid w:val="00EF3A93"/>
    <w:rsid w:val="00EF3F3F"/>
    <w:rsid w:val="00EF3F87"/>
    <w:rsid w:val="00EF3FB4"/>
    <w:rsid w:val="00EF405A"/>
    <w:rsid w:val="00EF4104"/>
    <w:rsid w:val="00EF410A"/>
    <w:rsid w:val="00EF4B09"/>
    <w:rsid w:val="00EF4C72"/>
    <w:rsid w:val="00EF4F0F"/>
    <w:rsid w:val="00EF559E"/>
    <w:rsid w:val="00EF57C7"/>
    <w:rsid w:val="00EF5880"/>
    <w:rsid w:val="00EF59A3"/>
    <w:rsid w:val="00EF6226"/>
    <w:rsid w:val="00EF6675"/>
    <w:rsid w:val="00EF6848"/>
    <w:rsid w:val="00EF6AA0"/>
    <w:rsid w:val="00EF6BEC"/>
    <w:rsid w:val="00EF6D41"/>
    <w:rsid w:val="00EF733C"/>
    <w:rsid w:val="00EF7755"/>
    <w:rsid w:val="00EF7FC4"/>
    <w:rsid w:val="00F0033F"/>
    <w:rsid w:val="00F004C9"/>
    <w:rsid w:val="00F0063D"/>
    <w:rsid w:val="00F006B6"/>
    <w:rsid w:val="00F0093F"/>
    <w:rsid w:val="00F00F9C"/>
    <w:rsid w:val="00F00FF9"/>
    <w:rsid w:val="00F01950"/>
    <w:rsid w:val="00F01AFE"/>
    <w:rsid w:val="00F01E5F"/>
    <w:rsid w:val="00F024F3"/>
    <w:rsid w:val="00F025D0"/>
    <w:rsid w:val="00F02ABA"/>
    <w:rsid w:val="00F02ACB"/>
    <w:rsid w:val="00F02E9F"/>
    <w:rsid w:val="00F034CC"/>
    <w:rsid w:val="00F0426C"/>
    <w:rsid w:val="00F0437A"/>
    <w:rsid w:val="00F04AF5"/>
    <w:rsid w:val="00F0554A"/>
    <w:rsid w:val="00F058A7"/>
    <w:rsid w:val="00F05DC8"/>
    <w:rsid w:val="00F06FA5"/>
    <w:rsid w:val="00F0701F"/>
    <w:rsid w:val="00F072C1"/>
    <w:rsid w:val="00F074C6"/>
    <w:rsid w:val="00F07D0E"/>
    <w:rsid w:val="00F1002E"/>
    <w:rsid w:val="00F101B8"/>
    <w:rsid w:val="00F11037"/>
    <w:rsid w:val="00F1138A"/>
    <w:rsid w:val="00F118D6"/>
    <w:rsid w:val="00F11D25"/>
    <w:rsid w:val="00F1217F"/>
    <w:rsid w:val="00F12380"/>
    <w:rsid w:val="00F12AE8"/>
    <w:rsid w:val="00F130C3"/>
    <w:rsid w:val="00F13133"/>
    <w:rsid w:val="00F133AB"/>
    <w:rsid w:val="00F136EB"/>
    <w:rsid w:val="00F1391B"/>
    <w:rsid w:val="00F13A03"/>
    <w:rsid w:val="00F13A9E"/>
    <w:rsid w:val="00F13AF6"/>
    <w:rsid w:val="00F140C3"/>
    <w:rsid w:val="00F1467E"/>
    <w:rsid w:val="00F149BD"/>
    <w:rsid w:val="00F14E5D"/>
    <w:rsid w:val="00F1502E"/>
    <w:rsid w:val="00F15703"/>
    <w:rsid w:val="00F159BE"/>
    <w:rsid w:val="00F15B11"/>
    <w:rsid w:val="00F15C86"/>
    <w:rsid w:val="00F15CAB"/>
    <w:rsid w:val="00F15E19"/>
    <w:rsid w:val="00F161CC"/>
    <w:rsid w:val="00F169B9"/>
    <w:rsid w:val="00F16BB4"/>
    <w:rsid w:val="00F16C27"/>
    <w:rsid w:val="00F16F1B"/>
    <w:rsid w:val="00F16F1E"/>
    <w:rsid w:val="00F16F68"/>
    <w:rsid w:val="00F16FF2"/>
    <w:rsid w:val="00F1781C"/>
    <w:rsid w:val="00F211A2"/>
    <w:rsid w:val="00F21514"/>
    <w:rsid w:val="00F2169C"/>
    <w:rsid w:val="00F216ED"/>
    <w:rsid w:val="00F2190E"/>
    <w:rsid w:val="00F21FA7"/>
    <w:rsid w:val="00F22B7E"/>
    <w:rsid w:val="00F23141"/>
    <w:rsid w:val="00F2380A"/>
    <w:rsid w:val="00F23DFD"/>
    <w:rsid w:val="00F23E03"/>
    <w:rsid w:val="00F24B17"/>
    <w:rsid w:val="00F25092"/>
    <w:rsid w:val="00F250A9"/>
    <w:rsid w:val="00F25A80"/>
    <w:rsid w:val="00F25CE0"/>
    <w:rsid w:val="00F25FBA"/>
    <w:rsid w:val="00F2660B"/>
    <w:rsid w:val="00F267AF"/>
    <w:rsid w:val="00F26835"/>
    <w:rsid w:val="00F26B5B"/>
    <w:rsid w:val="00F272A4"/>
    <w:rsid w:val="00F27E8F"/>
    <w:rsid w:val="00F3035D"/>
    <w:rsid w:val="00F3036F"/>
    <w:rsid w:val="00F3047D"/>
    <w:rsid w:val="00F3058B"/>
    <w:rsid w:val="00F3068B"/>
    <w:rsid w:val="00F308FA"/>
    <w:rsid w:val="00F309AF"/>
    <w:rsid w:val="00F30FF4"/>
    <w:rsid w:val="00F3122E"/>
    <w:rsid w:val="00F316F6"/>
    <w:rsid w:val="00F3185B"/>
    <w:rsid w:val="00F3210E"/>
    <w:rsid w:val="00F32368"/>
    <w:rsid w:val="00F3238D"/>
    <w:rsid w:val="00F32564"/>
    <w:rsid w:val="00F32EB4"/>
    <w:rsid w:val="00F33076"/>
    <w:rsid w:val="00F331AD"/>
    <w:rsid w:val="00F337F1"/>
    <w:rsid w:val="00F338FA"/>
    <w:rsid w:val="00F33E35"/>
    <w:rsid w:val="00F33F7B"/>
    <w:rsid w:val="00F34761"/>
    <w:rsid w:val="00F3480E"/>
    <w:rsid w:val="00F35287"/>
    <w:rsid w:val="00F35648"/>
    <w:rsid w:val="00F35790"/>
    <w:rsid w:val="00F35BB9"/>
    <w:rsid w:val="00F35D4F"/>
    <w:rsid w:val="00F35EAB"/>
    <w:rsid w:val="00F3631C"/>
    <w:rsid w:val="00F369A1"/>
    <w:rsid w:val="00F36B2A"/>
    <w:rsid w:val="00F36B72"/>
    <w:rsid w:val="00F36D21"/>
    <w:rsid w:val="00F37130"/>
    <w:rsid w:val="00F37AAC"/>
    <w:rsid w:val="00F37D11"/>
    <w:rsid w:val="00F37D8F"/>
    <w:rsid w:val="00F40005"/>
    <w:rsid w:val="00F4021E"/>
    <w:rsid w:val="00F4081B"/>
    <w:rsid w:val="00F408B5"/>
    <w:rsid w:val="00F40A70"/>
    <w:rsid w:val="00F40B82"/>
    <w:rsid w:val="00F40E49"/>
    <w:rsid w:val="00F40E88"/>
    <w:rsid w:val="00F410B9"/>
    <w:rsid w:val="00F413D8"/>
    <w:rsid w:val="00F41BCE"/>
    <w:rsid w:val="00F423D0"/>
    <w:rsid w:val="00F4271A"/>
    <w:rsid w:val="00F42BBC"/>
    <w:rsid w:val="00F42DA2"/>
    <w:rsid w:val="00F43154"/>
    <w:rsid w:val="00F432BB"/>
    <w:rsid w:val="00F43A37"/>
    <w:rsid w:val="00F43F0B"/>
    <w:rsid w:val="00F449B6"/>
    <w:rsid w:val="00F44CAC"/>
    <w:rsid w:val="00F44DAA"/>
    <w:rsid w:val="00F45344"/>
    <w:rsid w:val="00F45B8D"/>
    <w:rsid w:val="00F4610B"/>
    <w:rsid w:val="00F461EF"/>
    <w:rsid w:val="00F463CE"/>
    <w:rsid w:val="00F4641B"/>
    <w:rsid w:val="00F46972"/>
    <w:rsid w:val="00F469A9"/>
    <w:rsid w:val="00F46A3A"/>
    <w:rsid w:val="00F46A67"/>
    <w:rsid w:val="00F46BC1"/>
    <w:rsid w:val="00F46DC4"/>
    <w:rsid w:val="00F46EB8"/>
    <w:rsid w:val="00F46EED"/>
    <w:rsid w:val="00F46FF6"/>
    <w:rsid w:val="00F47308"/>
    <w:rsid w:val="00F473FD"/>
    <w:rsid w:val="00F4798E"/>
    <w:rsid w:val="00F479B2"/>
    <w:rsid w:val="00F47F26"/>
    <w:rsid w:val="00F50CD1"/>
    <w:rsid w:val="00F50DD2"/>
    <w:rsid w:val="00F50F91"/>
    <w:rsid w:val="00F511E4"/>
    <w:rsid w:val="00F5123F"/>
    <w:rsid w:val="00F512A5"/>
    <w:rsid w:val="00F5151D"/>
    <w:rsid w:val="00F518EE"/>
    <w:rsid w:val="00F51EAC"/>
    <w:rsid w:val="00F51FA5"/>
    <w:rsid w:val="00F52C11"/>
    <w:rsid w:val="00F52D09"/>
    <w:rsid w:val="00F52E08"/>
    <w:rsid w:val="00F5364C"/>
    <w:rsid w:val="00F5375E"/>
    <w:rsid w:val="00F53A66"/>
    <w:rsid w:val="00F53AC6"/>
    <w:rsid w:val="00F53D12"/>
    <w:rsid w:val="00F53E88"/>
    <w:rsid w:val="00F542D7"/>
    <w:rsid w:val="00F54421"/>
    <w:rsid w:val="00F5462D"/>
    <w:rsid w:val="00F54D7E"/>
    <w:rsid w:val="00F54EDB"/>
    <w:rsid w:val="00F5511E"/>
    <w:rsid w:val="00F55B21"/>
    <w:rsid w:val="00F56338"/>
    <w:rsid w:val="00F567FF"/>
    <w:rsid w:val="00F56ACC"/>
    <w:rsid w:val="00F56AD1"/>
    <w:rsid w:val="00F56CB2"/>
    <w:rsid w:val="00F56DEE"/>
    <w:rsid w:val="00F56E6F"/>
    <w:rsid w:val="00F56EF6"/>
    <w:rsid w:val="00F56F27"/>
    <w:rsid w:val="00F576B1"/>
    <w:rsid w:val="00F57850"/>
    <w:rsid w:val="00F57B13"/>
    <w:rsid w:val="00F60082"/>
    <w:rsid w:val="00F606C8"/>
    <w:rsid w:val="00F608E0"/>
    <w:rsid w:val="00F61282"/>
    <w:rsid w:val="00F61A9F"/>
    <w:rsid w:val="00F61AEA"/>
    <w:rsid w:val="00F61B5F"/>
    <w:rsid w:val="00F61FAB"/>
    <w:rsid w:val="00F62449"/>
    <w:rsid w:val="00F62F21"/>
    <w:rsid w:val="00F63669"/>
    <w:rsid w:val="00F64696"/>
    <w:rsid w:val="00F64D82"/>
    <w:rsid w:val="00F65575"/>
    <w:rsid w:val="00F65A3D"/>
    <w:rsid w:val="00F65AA9"/>
    <w:rsid w:val="00F65BCC"/>
    <w:rsid w:val="00F65FE5"/>
    <w:rsid w:val="00F66039"/>
    <w:rsid w:val="00F66159"/>
    <w:rsid w:val="00F66506"/>
    <w:rsid w:val="00F665BD"/>
    <w:rsid w:val="00F66A7F"/>
    <w:rsid w:val="00F6768F"/>
    <w:rsid w:val="00F70171"/>
    <w:rsid w:val="00F70287"/>
    <w:rsid w:val="00F70A27"/>
    <w:rsid w:val="00F70C5E"/>
    <w:rsid w:val="00F70EE8"/>
    <w:rsid w:val="00F71230"/>
    <w:rsid w:val="00F712E5"/>
    <w:rsid w:val="00F714F2"/>
    <w:rsid w:val="00F72C2C"/>
    <w:rsid w:val="00F72E08"/>
    <w:rsid w:val="00F72F43"/>
    <w:rsid w:val="00F73306"/>
    <w:rsid w:val="00F73396"/>
    <w:rsid w:val="00F738AC"/>
    <w:rsid w:val="00F73B26"/>
    <w:rsid w:val="00F73F43"/>
    <w:rsid w:val="00F741F2"/>
    <w:rsid w:val="00F741F9"/>
    <w:rsid w:val="00F74755"/>
    <w:rsid w:val="00F74AA2"/>
    <w:rsid w:val="00F74B62"/>
    <w:rsid w:val="00F74D1F"/>
    <w:rsid w:val="00F74F43"/>
    <w:rsid w:val="00F7524C"/>
    <w:rsid w:val="00F75276"/>
    <w:rsid w:val="00F758C6"/>
    <w:rsid w:val="00F75B64"/>
    <w:rsid w:val="00F75D34"/>
    <w:rsid w:val="00F75FAF"/>
    <w:rsid w:val="00F7617C"/>
    <w:rsid w:val="00F7636F"/>
    <w:rsid w:val="00F7647B"/>
    <w:rsid w:val="00F76646"/>
    <w:rsid w:val="00F76932"/>
    <w:rsid w:val="00F76CAB"/>
    <w:rsid w:val="00F772C6"/>
    <w:rsid w:val="00F77454"/>
    <w:rsid w:val="00F80136"/>
    <w:rsid w:val="00F80328"/>
    <w:rsid w:val="00F80362"/>
    <w:rsid w:val="00F804DC"/>
    <w:rsid w:val="00F80AD9"/>
    <w:rsid w:val="00F815B5"/>
    <w:rsid w:val="00F818A0"/>
    <w:rsid w:val="00F81AF6"/>
    <w:rsid w:val="00F81DA0"/>
    <w:rsid w:val="00F81F03"/>
    <w:rsid w:val="00F82093"/>
    <w:rsid w:val="00F8213B"/>
    <w:rsid w:val="00F8225B"/>
    <w:rsid w:val="00F824CE"/>
    <w:rsid w:val="00F82CEC"/>
    <w:rsid w:val="00F82E78"/>
    <w:rsid w:val="00F83076"/>
    <w:rsid w:val="00F837C3"/>
    <w:rsid w:val="00F83862"/>
    <w:rsid w:val="00F8386F"/>
    <w:rsid w:val="00F83B4C"/>
    <w:rsid w:val="00F84098"/>
    <w:rsid w:val="00F84363"/>
    <w:rsid w:val="00F848A2"/>
    <w:rsid w:val="00F84CCD"/>
    <w:rsid w:val="00F8505D"/>
    <w:rsid w:val="00F85195"/>
    <w:rsid w:val="00F853C1"/>
    <w:rsid w:val="00F8562F"/>
    <w:rsid w:val="00F856C8"/>
    <w:rsid w:val="00F85E37"/>
    <w:rsid w:val="00F85EE8"/>
    <w:rsid w:val="00F86668"/>
    <w:rsid w:val="00F868E3"/>
    <w:rsid w:val="00F86B09"/>
    <w:rsid w:val="00F86D77"/>
    <w:rsid w:val="00F8723A"/>
    <w:rsid w:val="00F877DE"/>
    <w:rsid w:val="00F87D8C"/>
    <w:rsid w:val="00F90337"/>
    <w:rsid w:val="00F9055F"/>
    <w:rsid w:val="00F9108B"/>
    <w:rsid w:val="00F914DE"/>
    <w:rsid w:val="00F91A0C"/>
    <w:rsid w:val="00F91BD1"/>
    <w:rsid w:val="00F91C0A"/>
    <w:rsid w:val="00F91D2F"/>
    <w:rsid w:val="00F91DE1"/>
    <w:rsid w:val="00F92195"/>
    <w:rsid w:val="00F924A6"/>
    <w:rsid w:val="00F92EB7"/>
    <w:rsid w:val="00F93108"/>
    <w:rsid w:val="00F938BA"/>
    <w:rsid w:val="00F943B4"/>
    <w:rsid w:val="00F94590"/>
    <w:rsid w:val="00F947B4"/>
    <w:rsid w:val="00F94CC5"/>
    <w:rsid w:val="00F95097"/>
    <w:rsid w:val="00F951E8"/>
    <w:rsid w:val="00F95452"/>
    <w:rsid w:val="00F9583E"/>
    <w:rsid w:val="00F95B6C"/>
    <w:rsid w:val="00F95FEA"/>
    <w:rsid w:val="00F96453"/>
    <w:rsid w:val="00F967E4"/>
    <w:rsid w:val="00F96835"/>
    <w:rsid w:val="00F96B03"/>
    <w:rsid w:val="00F96E52"/>
    <w:rsid w:val="00F9713D"/>
    <w:rsid w:val="00F971C2"/>
    <w:rsid w:val="00F974CA"/>
    <w:rsid w:val="00F9774B"/>
    <w:rsid w:val="00F97919"/>
    <w:rsid w:val="00F97BDD"/>
    <w:rsid w:val="00F97CA7"/>
    <w:rsid w:val="00F97D65"/>
    <w:rsid w:val="00FA067E"/>
    <w:rsid w:val="00FA086E"/>
    <w:rsid w:val="00FA0C31"/>
    <w:rsid w:val="00FA1063"/>
    <w:rsid w:val="00FA11D7"/>
    <w:rsid w:val="00FA12DE"/>
    <w:rsid w:val="00FA13EF"/>
    <w:rsid w:val="00FA19CE"/>
    <w:rsid w:val="00FA1D7F"/>
    <w:rsid w:val="00FA20E4"/>
    <w:rsid w:val="00FA2324"/>
    <w:rsid w:val="00FA2370"/>
    <w:rsid w:val="00FA237D"/>
    <w:rsid w:val="00FA2463"/>
    <w:rsid w:val="00FA2766"/>
    <w:rsid w:val="00FA2C46"/>
    <w:rsid w:val="00FA313A"/>
    <w:rsid w:val="00FA3525"/>
    <w:rsid w:val="00FA3533"/>
    <w:rsid w:val="00FA364D"/>
    <w:rsid w:val="00FA3D4C"/>
    <w:rsid w:val="00FA41DB"/>
    <w:rsid w:val="00FA44E0"/>
    <w:rsid w:val="00FA469A"/>
    <w:rsid w:val="00FA4D09"/>
    <w:rsid w:val="00FA52CE"/>
    <w:rsid w:val="00FA5A53"/>
    <w:rsid w:val="00FA6307"/>
    <w:rsid w:val="00FA6428"/>
    <w:rsid w:val="00FA64A4"/>
    <w:rsid w:val="00FA6603"/>
    <w:rsid w:val="00FA693A"/>
    <w:rsid w:val="00FA6A46"/>
    <w:rsid w:val="00FA6AE4"/>
    <w:rsid w:val="00FA6B2F"/>
    <w:rsid w:val="00FA6D07"/>
    <w:rsid w:val="00FA7099"/>
    <w:rsid w:val="00FA728E"/>
    <w:rsid w:val="00FA737C"/>
    <w:rsid w:val="00FA74AA"/>
    <w:rsid w:val="00FA76D3"/>
    <w:rsid w:val="00FA7B37"/>
    <w:rsid w:val="00FB0007"/>
    <w:rsid w:val="00FB00B8"/>
    <w:rsid w:val="00FB06DB"/>
    <w:rsid w:val="00FB09FD"/>
    <w:rsid w:val="00FB0B4C"/>
    <w:rsid w:val="00FB0B93"/>
    <w:rsid w:val="00FB1097"/>
    <w:rsid w:val="00FB178F"/>
    <w:rsid w:val="00FB1A1C"/>
    <w:rsid w:val="00FB1C21"/>
    <w:rsid w:val="00FB1F6E"/>
    <w:rsid w:val="00FB258A"/>
    <w:rsid w:val="00FB279B"/>
    <w:rsid w:val="00FB2857"/>
    <w:rsid w:val="00FB2FB1"/>
    <w:rsid w:val="00FB300E"/>
    <w:rsid w:val="00FB3433"/>
    <w:rsid w:val="00FB363E"/>
    <w:rsid w:val="00FB368A"/>
    <w:rsid w:val="00FB3E99"/>
    <w:rsid w:val="00FB4769"/>
    <w:rsid w:val="00FB4B2E"/>
    <w:rsid w:val="00FB4CDA"/>
    <w:rsid w:val="00FB4D0D"/>
    <w:rsid w:val="00FB4E0A"/>
    <w:rsid w:val="00FB4E13"/>
    <w:rsid w:val="00FB534F"/>
    <w:rsid w:val="00FB5477"/>
    <w:rsid w:val="00FB5B18"/>
    <w:rsid w:val="00FB6481"/>
    <w:rsid w:val="00FB6B7C"/>
    <w:rsid w:val="00FB6B84"/>
    <w:rsid w:val="00FB6D36"/>
    <w:rsid w:val="00FB6FFA"/>
    <w:rsid w:val="00FB7429"/>
    <w:rsid w:val="00FB75C5"/>
    <w:rsid w:val="00FB76CD"/>
    <w:rsid w:val="00FB7D56"/>
    <w:rsid w:val="00FB7E22"/>
    <w:rsid w:val="00FB7F87"/>
    <w:rsid w:val="00FC0571"/>
    <w:rsid w:val="00FC0829"/>
    <w:rsid w:val="00FC084E"/>
    <w:rsid w:val="00FC0965"/>
    <w:rsid w:val="00FC0F81"/>
    <w:rsid w:val="00FC0F8C"/>
    <w:rsid w:val="00FC107D"/>
    <w:rsid w:val="00FC163F"/>
    <w:rsid w:val="00FC169B"/>
    <w:rsid w:val="00FC1A2A"/>
    <w:rsid w:val="00FC229A"/>
    <w:rsid w:val="00FC252F"/>
    <w:rsid w:val="00FC2709"/>
    <w:rsid w:val="00FC2E09"/>
    <w:rsid w:val="00FC315D"/>
    <w:rsid w:val="00FC3902"/>
    <w:rsid w:val="00FC391B"/>
    <w:rsid w:val="00FC395C"/>
    <w:rsid w:val="00FC3B00"/>
    <w:rsid w:val="00FC3C4A"/>
    <w:rsid w:val="00FC3CF7"/>
    <w:rsid w:val="00FC3FDD"/>
    <w:rsid w:val="00FC4265"/>
    <w:rsid w:val="00FC44DA"/>
    <w:rsid w:val="00FC4575"/>
    <w:rsid w:val="00FC501C"/>
    <w:rsid w:val="00FC507C"/>
    <w:rsid w:val="00FC5DC5"/>
    <w:rsid w:val="00FC5E8E"/>
    <w:rsid w:val="00FC5FC5"/>
    <w:rsid w:val="00FC613B"/>
    <w:rsid w:val="00FC64D6"/>
    <w:rsid w:val="00FC6722"/>
    <w:rsid w:val="00FC699A"/>
    <w:rsid w:val="00FC6B3B"/>
    <w:rsid w:val="00FC6E20"/>
    <w:rsid w:val="00FC717E"/>
    <w:rsid w:val="00FC7213"/>
    <w:rsid w:val="00FC72CB"/>
    <w:rsid w:val="00FC7349"/>
    <w:rsid w:val="00FC7609"/>
    <w:rsid w:val="00FC7F84"/>
    <w:rsid w:val="00FD0374"/>
    <w:rsid w:val="00FD04BF"/>
    <w:rsid w:val="00FD072C"/>
    <w:rsid w:val="00FD0770"/>
    <w:rsid w:val="00FD1126"/>
    <w:rsid w:val="00FD11F1"/>
    <w:rsid w:val="00FD1888"/>
    <w:rsid w:val="00FD1D42"/>
    <w:rsid w:val="00FD21E5"/>
    <w:rsid w:val="00FD2385"/>
    <w:rsid w:val="00FD24CA"/>
    <w:rsid w:val="00FD2ACA"/>
    <w:rsid w:val="00FD2CBF"/>
    <w:rsid w:val="00FD2DF1"/>
    <w:rsid w:val="00FD30E2"/>
    <w:rsid w:val="00FD355C"/>
    <w:rsid w:val="00FD356D"/>
    <w:rsid w:val="00FD3766"/>
    <w:rsid w:val="00FD3D05"/>
    <w:rsid w:val="00FD44F5"/>
    <w:rsid w:val="00FD47C4"/>
    <w:rsid w:val="00FD4B20"/>
    <w:rsid w:val="00FD4CCE"/>
    <w:rsid w:val="00FD4EDF"/>
    <w:rsid w:val="00FD5138"/>
    <w:rsid w:val="00FD51C8"/>
    <w:rsid w:val="00FD5804"/>
    <w:rsid w:val="00FD5AF9"/>
    <w:rsid w:val="00FD5BE4"/>
    <w:rsid w:val="00FD5CFB"/>
    <w:rsid w:val="00FD5FEC"/>
    <w:rsid w:val="00FD61E0"/>
    <w:rsid w:val="00FD6893"/>
    <w:rsid w:val="00FD6986"/>
    <w:rsid w:val="00FD6B1B"/>
    <w:rsid w:val="00FD7C15"/>
    <w:rsid w:val="00FD7F1F"/>
    <w:rsid w:val="00FD7F26"/>
    <w:rsid w:val="00FE000F"/>
    <w:rsid w:val="00FE0403"/>
    <w:rsid w:val="00FE07FE"/>
    <w:rsid w:val="00FE0898"/>
    <w:rsid w:val="00FE0938"/>
    <w:rsid w:val="00FE0A84"/>
    <w:rsid w:val="00FE104D"/>
    <w:rsid w:val="00FE1227"/>
    <w:rsid w:val="00FE1403"/>
    <w:rsid w:val="00FE147E"/>
    <w:rsid w:val="00FE17D5"/>
    <w:rsid w:val="00FE1872"/>
    <w:rsid w:val="00FE199A"/>
    <w:rsid w:val="00FE1A68"/>
    <w:rsid w:val="00FE1CA6"/>
    <w:rsid w:val="00FE29B0"/>
    <w:rsid w:val="00FE2B06"/>
    <w:rsid w:val="00FE2DCF"/>
    <w:rsid w:val="00FE3021"/>
    <w:rsid w:val="00FE3349"/>
    <w:rsid w:val="00FE3402"/>
    <w:rsid w:val="00FE3492"/>
    <w:rsid w:val="00FE3615"/>
    <w:rsid w:val="00FE37C7"/>
    <w:rsid w:val="00FE3BAC"/>
    <w:rsid w:val="00FE3FA7"/>
    <w:rsid w:val="00FE4081"/>
    <w:rsid w:val="00FE4154"/>
    <w:rsid w:val="00FE41E1"/>
    <w:rsid w:val="00FE455C"/>
    <w:rsid w:val="00FE4CFF"/>
    <w:rsid w:val="00FE4D62"/>
    <w:rsid w:val="00FE4FFA"/>
    <w:rsid w:val="00FE59A1"/>
    <w:rsid w:val="00FE5B0C"/>
    <w:rsid w:val="00FE5B77"/>
    <w:rsid w:val="00FE5D7C"/>
    <w:rsid w:val="00FE6201"/>
    <w:rsid w:val="00FE6CA7"/>
    <w:rsid w:val="00FE7063"/>
    <w:rsid w:val="00FE77F9"/>
    <w:rsid w:val="00FE7844"/>
    <w:rsid w:val="00FE7B5E"/>
    <w:rsid w:val="00FF0118"/>
    <w:rsid w:val="00FF01CD"/>
    <w:rsid w:val="00FF0379"/>
    <w:rsid w:val="00FF04A3"/>
    <w:rsid w:val="00FF0850"/>
    <w:rsid w:val="00FF0CFD"/>
    <w:rsid w:val="00FF0F43"/>
    <w:rsid w:val="00FF0FD8"/>
    <w:rsid w:val="00FF1173"/>
    <w:rsid w:val="00FF143A"/>
    <w:rsid w:val="00FF1841"/>
    <w:rsid w:val="00FF1C1F"/>
    <w:rsid w:val="00FF1CC8"/>
    <w:rsid w:val="00FF1F7D"/>
    <w:rsid w:val="00FF2152"/>
    <w:rsid w:val="00FF2502"/>
    <w:rsid w:val="00FF2577"/>
    <w:rsid w:val="00FF2A4E"/>
    <w:rsid w:val="00FF2E1B"/>
    <w:rsid w:val="00FF2FCE"/>
    <w:rsid w:val="00FF314E"/>
    <w:rsid w:val="00FF3506"/>
    <w:rsid w:val="00FF3627"/>
    <w:rsid w:val="00FF4134"/>
    <w:rsid w:val="00FF4500"/>
    <w:rsid w:val="00FF46E7"/>
    <w:rsid w:val="00FF46F8"/>
    <w:rsid w:val="00FF485F"/>
    <w:rsid w:val="00FF4D85"/>
    <w:rsid w:val="00FF4F7D"/>
    <w:rsid w:val="00FF4FB6"/>
    <w:rsid w:val="00FF50F2"/>
    <w:rsid w:val="00FF5527"/>
    <w:rsid w:val="00FF5636"/>
    <w:rsid w:val="00FF576F"/>
    <w:rsid w:val="00FF59EE"/>
    <w:rsid w:val="00FF5E45"/>
    <w:rsid w:val="00FF6351"/>
    <w:rsid w:val="00FF655B"/>
    <w:rsid w:val="00FF6594"/>
    <w:rsid w:val="00FF662B"/>
    <w:rsid w:val="00FF6D9D"/>
    <w:rsid w:val="00FF70F8"/>
    <w:rsid w:val="00FF75DA"/>
    <w:rsid w:val="00FF7606"/>
    <w:rsid w:val="00FF7620"/>
    <w:rsid w:val="00FF788C"/>
    <w:rsid w:val="00FF7A8D"/>
    <w:rsid w:val="00FF7DD5"/>
    <w:rsid w:val="00FF7DE9"/>
    <w:rsid w:val="05969800"/>
    <w:rsid w:val="2769DA45"/>
    <w:rsid w:val="6C4A65D0"/>
    <w:rsid w:val="7AFC00FA"/>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5C2B6B"/>
  <w15:docId w15:val="{54BFE786-39EE-4163-B23F-9E90966E0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lsdException w:name="heading 1" w:uiPriority="1" w:qFormat="1"/>
    <w:lsdException w:name="heading 2" w:uiPriority="9" w:qFormat="1"/>
    <w:lsdException w:name="heading 3" w:uiPriority="9" w:qFormat="1"/>
    <w:lsdException w:name="heading 4" w:uiPriority="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1" w:uiPriority="34" w:qFormat="1"/>
    <w:lsdException w:name="Quote" w:semiHidden="1" w:uiPriority="73" w:qFormat="1"/>
    <w:lsdException w:name="Intense Quote" w:semiHidden="1"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1" w:uiPriority="65" w:qFormat="1"/>
    <w:lsdException w:name="Intense Emphasis" w:semiHidden="1" w:uiPriority="66" w:qFormat="1"/>
    <w:lsdException w:name="Subtle Reference" w:semiHidden="1" w:uiPriority="67" w:qFormat="1"/>
    <w:lsdException w:name="Intense Reference" w:semiHidden="1" w:uiPriority="68" w:qFormat="1"/>
    <w:lsdException w:name="Book Title" w:semiHidden="1" w:uiPriority="69" w:qFormat="1"/>
    <w:lsdException w:name="Bibliography" w:semiHidden="1"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6812ED"/>
    <w:pPr>
      <w:spacing w:after="120" w:line="280" w:lineRule="atLeast"/>
    </w:pPr>
    <w:rPr>
      <w:rFonts w:ascii="Arial" w:hAnsi="Arial"/>
      <w:sz w:val="21"/>
      <w:lang w:eastAsia="en-US"/>
    </w:rPr>
  </w:style>
  <w:style w:type="paragraph" w:styleId="Heading1">
    <w:name w:val="heading 1"/>
    <w:next w:val="Body"/>
    <w:link w:val="Heading1Char"/>
    <w:uiPriority w:val="1"/>
    <w:qFormat/>
    <w:rsid w:val="00CC3BB0"/>
    <w:pPr>
      <w:keepNext/>
      <w:keepLines/>
      <w:spacing w:before="520" w:after="240" w:line="480" w:lineRule="atLeast"/>
      <w:outlineLvl w:val="0"/>
    </w:pPr>
    <w:rPr>
      <w:rFonts w:ascii="Arial" w:eastAsia="MS Gothic" w:hAnsi="Arial" w:cs="Arial"/>
      <w:bCs/>
      <w:color w:val="201547"/>
      <w:kern w:val="32"/>
      <w:sz w:val="44"/>
      <w:szCs w:val="44"/>
      <w:lang w:eastAsia="en-US"/>
    </w:rPr>
  </w:style>
  <w:style w:type="paragraph" w:styleId="Heading2">
    <w:name w:val="heading 2"/>
    <w:next w:val="Body"/>
    <w:link w:val="Heading2Char"/>
    <w:uiPriority w:val="9"/>
    <w:qFormat/>
    <w:rsid w:val="00030CDD"/>
    <w:pPr>
      <w:keepNext/>
      <w:keepLines/>
      <w:spacing w:before="360" w:after="120" w:line="340" w:lineRule="atLeast"/>
      <w:outlineLvl w:val="1"/>
    </w:pPr>
    <w:rPr>
      <w:rFonts w:ascii="Arial" w:hAnsi="Arial"/>
      <w:b/>
      <w:color w:val="53565A"/>
      <w:sz w:val="32"/>
      <w:szCs w:val="28"/>
      <w:lang w:eastAsia="en-US"/>
    </w:rPr>
  </w:style>
  <w:style w:type="paragraph" w:styleId="Heading3">
    <w:name w:val="heading 3"/>
    <w:next w:val="Body"/>
    <w:link w:val="Heading3Char"/>
    <w:uiPriority w:val="9"/>
    <w:qFormat/>
    <w:rsid w:val="00030CDD"/>
    <w:pPr>
      <w:keepNext/>
      <w:keepLines/>
      <w:spacing w:before="360" w:after="120" w:line="320" w:lineRule="atLeast"/>
      <w:outlineLvl w:val="2"/>
    </w:pPr>
    <w:rPr>
      <w:rFonts w:ascii="Arial" w:eastAsia="MS Gothic" w:hAnsi="Arial"/>
      <w:bCs/>
      <w:color w:val="53565A"/>
      <w:sz w:val="30"/>
      <w:szCs w:val="26"/>
      <w:lang w:eastAsia="en-US"/>
    </w:rPr>
  </w:style>
  <w:style w:type="paragraph" w:styleId="Heading4">
    <w:name w:val="heading 4"/>
    <w:next w:val="Body"/>
    <w:link w:val="Heading4Char"/>
    <w:uiPriority w:val="1"/>
    <w:qFormat/>
    <w:rsid w:val="00030CDD"/>
    <w:pPr>
      <w:keepNext/>
      <w:keepLines/>
      <w:spacing w:before="240" w:after="80" w:line="280" w:lineRule="atLeast"/>
      <w:outlineLvl w:val="3"/>
    </w:pPr>
    <w:rPr>
      <w:rFonts w:ascii="Arial" w:eastAsia="MS Mincho" w:hAnsi="Arial"/>
      <w:b/>
      <w:bCs/>
      <w:color w:val="53565A"/>
      <w:sz w:val="24"/>
      <w:szCs w:val="22"/>
      <w:lang w:eastAsia="en-US"/>
    </w:rPr>
  </w:style>
  <w:style w:type="paragraph" w:styleId="Heading5">
    <w:name w:val="heading 5"/>
    <w:basedOn w:val="Normal"/>
    <w:next w:val="Body"/>
    <w:link w:val="Heading5Char"/>
    <w:uiPriority w:val="98"/>
    <w:qFormat/>
    <w:rsid w:val="00454A7D"/>
    <w:pPr>
      <w:keepNext/>
      <w:keepLines/>
      <w:spacing w:before="240" w:after="0"/>
      <w:outlineLvl w:val="4"/>
    </w:pPr>
    <w:rPr>
      <w:rFonts w:eastAsia="MS Mincho"/>
      <w:b/>
      <w:bCs/>
      <w:iCs/>
      <w:color w:val="000000" w:themeColor="text1"/>
      <w:szCs w:val="26"/>
    </w:rPr>
  </w:style>
  <w:style w:type="paragraph" w:styleId="Heading6">
    <w:name w:val="heading 6"/>
    <w:basedOn w:val="Normal"/>
    <w:next w:val="Normal"/>
    <w:link w:val="Heading6Char"/>
    <w:uiPriority w:val="9"/>
    <w:semiHidden/>
    <w:unhideWhenUsed/>
    <w:qFormat/>
    <w:rsid w:val="009103C1"/>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9103C1"/>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9103C1"/>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9103C1"/>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link w:val="BodyChar"/>
    <w:qFormat/>
    <w:rsid w:val="002365B4"/>
    <w:pPr>
      <w:spacing w:after="120" w:line="280" w:lineRule="atLeast"/>
    </w:pPr>
    <w:rPr>
      <w:rFonts w:ascii="Arial" w:eastAsia="Times" w:hAnsi="Arial"/>
      <w:sz w:val="21"/>
      <w:lang w:eastAsia="en-US"/>
    </w:rPr>
  </w:style>
  <w:style w:type="character" w:customStyle="1" w:styleId="Heading1Char">
    <w:name w:val="Heading 1 Char"/>
    <w:link w:val="Heading1"/>
    <w:uiPriority w:val="1"/>
    <w:rsid w:val="00CC3BB0"/>
    <w:rPr>
      <w:rFonts w:ascii="Arial" w:eastAsia="MS Gothic" w:hAnsi="Arial" w:cs="Arial"/>
      <w:bCs/>
      <w:color w:val="201547"/>
      <w:kern w:val="32"/>
      <w:sz w:val="44"/>
      <w:szCs w:val="44"/>
      <w:lang w:eastAsia="en-US"/>
    </w:rPr>
  </w:style>
  <w:style w:type="character" w:customStyle="1" w:styleId="Heading2Char">
    <w:name w:val="Heading 2 Char"/>
    <w:link w:val="Heading2"/>
    <w:uiPriority w:val="9"/>
    <w:rsid w:val="00030CDD"/>
    <w:rPr>
      <w:rFonts w:ascii="Arial" w:hAnsi="Arial"/>
      <w:b/>
      <w:color w:val="53565A"/>
      <w:sz w:val="32"/>
      <w:szCs w:val="28"/>
      <w:lang w:eastAsia="en-US"/>
    </w:rPr>
  </w:style>
  <w:style w:type="character" w:customStyle="1" w:styleId="Heading3Char">
    <w:name w:val="Heading 3 Char"/>
    <w:link w:val="Heading3"/>
    <w:uiPriority w:val="9"/>
    <w:rsid w:val="00030CDD"/>
    <w:rPr>
      <w:rFonts w:ascii="Arial" w:eastAsia="MS Gothic" w:hAnsi="Arial"/>
      <w:bCs/>
      <w:color w:val="53565A"/>
      <w:sz w:val="30"/>
      <w:szCs w:val="26"/>
      <w:lang w:eastAsia="en-US"/>
    </w:rPr>
  </w:style>
  <w:style w:type="character" w:customStyle="1" w:styleId="Heading4Char">
    <w:name w:val="Heading 4 Char"/>
    <w:link w:val="Heading4"/>
    <w:uiPriority w:val="1"/>
    <w:rsid w:val="00030CDD"/>
    <w:rPr>
      <w:rFonts w:ascii="Arial" w:eastAsia="MS Mincho" w:hAnsi="Arial"/>
      <w:b/>
      <w:bCs/>
      <w:color w:val="53565A"/>
      <w:sz w:val="24"/>
      <w:szCs w:val="22"/>
      <w:lang w:eastAsia="en-US"/>
    </w:rPr>
  </w:style>
  <w:style w:type="paragraph" w:styleId="Header">
    <w:name w:val="header"/>
    <w:link w:val="HeaderChar"/>
    <w:uiPriority w:val="10"/>
    <w:rsid w:val="00454A7D"/>
    <w:pPr>
      <w:spacing w:after="300"/>
    </w:pPr>
    <w:rPr>
      <w:rFonts w:ascii="Arial" w:hAnsi="Arial" w:cs="Arial"/>
      <w:b/>
      <w:color w:val="53565A"/>
      <w:sz w:val="18"/>
      <w:szCs w:val="18"/>
      <w:lang w:eastAsia="en-US"/>
    </w:rPr>
  </w:style>
  <w:style w:type="paragraph" w:styleId="Footer">
    <w:name w:val="footer"/>
    <w:link w:val="FooterChar"/>
    <w:uiPriority w:val="8"/>
    <w:rsid w:val="00A13B7A"/>
    <w:pPr>
      <w:spacing w:before="300"/>
      <w:jc w:val="right"/>
    </w:pPr>
    <w:rPr>
      <w:rFonts w:ascii="Arial" w:hAnsi="Arial" w:cs="Arial"/>
      <w:szCs w:val="18"/>
      <w:lang w:eastAsia="en-US"/>
    </w:rPr>
  </w:style>
  <w:style w:type="character" w:styleId="FollowedHyperlink">
    <w:name w:val="FollowedHyperlink"/>
    <w:uiPriority w:val="99"/>
    <w:rsid w:val="009E7A69"/>
    <w:rPr>
      <w:color w:val="87189D"/>
      <w:u w:val="dotted"/>
    </w:rPr>
  </w:style>
  <w:style w:type="paragraph" w:customStyle="1" w:styleId="Tabletext6pt">
    <w:name w:val="Table text + 6pt"/>
    <w:basedOn w:val="Tabletext"/>
    <w:rsid w:val="00152073"/>
    <w:pPr>
      <w:spacing w:after="120"/>
    </w:pPr>
  </w:style>
  <w:style w:type="paragraph" w:styleId="EndnoteText">
    <w:name w:val="endnote text"/>
    <w:basedOn w:val="Normal"/>
    <w:link w:val="EndnoteTextChar"/>
    <w:semiHidden/>
    <w:rsid w:val="00EA6F2B"/>
    <w:rPr>
      <w:sz w:val="24"/>
      <w:szCs w:val="24"/>
    </w:rPr>
  </w:style>
  <w:style w:type="character" w:customStyle="1" w:styleId="EndnoteTextChar">
    <w:name w:val="Endnote Text Char"/>
    <w:link w:val="EndnoteText"/>
    <w:semiHidden/>
    <w:rsid w:val="0042084E"/>
    <w:rPr>
      <w:rFonts w:ascii="Verdana" w:hAnsi="Verdana"/>
      <w:sz w:val="24"/>
      <w:szCs w:val="24"/>
      <w:lang w:eastAsia="en-US"/>
    </w:rPr>
  </w:style>
  <w:style w:type="character" w:styleId="EndnoteReference">
    <w:name w:val="endnote reference"/>
    <w:semiHidden/>
    <w:rsid w:val="00EA6F2B"/>
    <w:rPr>
      <w:vertAlign w:val="superscript"/>
    </w:rPr>
  </w:style>
  <w:style w:type="table" w:styleId="TableGrid">
    <w:name w:val="Table Grid"/>
    <w:basedOn w:val="TableNormal"/>
    <w:uiPriority w:val="39"/>
    <w:rsid w:val="00C62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nospace">
    <w:name w:val="Body no space"/>
    <w:basedOn w:val="Body"/>
    <w:uiPriority w:val="1"/>
    <w:rsid w:val="00F772C6"/>
    <w:pPr>
      <w:spacing w:after="0"/>
    </w:pPr>
  </w:style>
  <w:style w:type="paragraph" w:customStyle="1" w:styleId="Bullet1">
    <w:name w:val="Bullet 1"/>
    <w:basedOn w:val="Body"/>
    <w:qFormat/>
    <w:rsid w:val="00C60411"/>
    <w:pPr>
      <w:numPr>
        <w:numId w:val="2"/>
      </w:numPr>
      <w:spacing w:after="40"/>
    </w:pPr>
  </w:style>
  <w:style w:type="paragraph" w:styleId="DocumentMap">
    <w:name w:val="Document Map"/>
    <w:basedOn w:val="Normal"/>
    <w:link w:val="DocumentMapChar"/>
    <w:uiPriority w:val="99"/>
    <w:semiHidden/>
    <w:unhideWhenUsed/>
    <w:rsid w:val="001D60EC"/>
    <w:rPr>
      <w:rFonts w:ascii="Lucida Grande" w:hAnsi="Lucida Grande" w:cs="Lucida Grande"/>
      <w:sz w:val="24"/>
      <w:szCs w:val="24"/>
    </w:rPr>
  </w:style>
  <w:style w:type="character" w:customStyle="1" w:styleId="DocumentMapChar">
    <w:name w:val="Document Map Char"/>
    <w:link w:val="DocumentMap"/>
    <w:uiPriority w:val="99"/>
    <w:semiHidden/>
    <w:rsid w:val="001D60EC"/>
    <w:rPr>
      <w:rFonts w:ascii="Lucida Grande" w:hAnsi="Lucida Grande" w:cs="Lucida Grande"/>
      <w:sz w:val="24"/>
      <w:szCs w:val="24"/>
    </w:rPr>
  </w:style>
  <w:style w:type="character" w:styleId="PageNumber">
    <w:name w:val="page number"/>
    <w:uiPriority w:val="99"/>
    <w:semiHidden/>
    <w:unhideWhenUsed/>
    <w:rsid w:val="003744CF"/>
    <w:rPr>
      <w:sz w:val="18"/>
    </w:rPr>
  </w:style>
  <w:style w:type="paragraph" w:styleId="TOC1">
    <w:name w:val="toc 1"/>
    <w:basedOn w:val="Normal"/>
    <w:next w:val="Normal"/>
    <w:uiPriority w:val="39"/>
    <w:rsid w:val="000033F7"/>
    <w:pPr>
      <w:keepNext/>
      <w:keepLines/>
      <w:tabs>
        <w:tab w:val="right" w:leader="dot" w:pos="9299"/>
      </w:tabs>
      <w:spacing w:before="160" w:after="60"/>
    </w:pPr>
    <w:rPr>
      <w:b/>
      <w:noProof/>
    </w:rPr>
  </w:style>
  <w:style w:type="character" w:customStyle="1" w:styleId="Heading5Char">
    <w:name w:val="Heading 5 Char"/>
    <w:link w:val="Heading5"/>
    <w:uiPriority w:val="98"/>
    <w:rsid w:val="00454A7D"/>
    <w:rPr>
      <w:rFonts w:ascii="Arial" w:eastAsia="MS Mincho" w:hAnsi="Arial"/>
      <w:b/>
      <w:bCs/>
      <w:iCs/>
      <w:color w:val="000000" w:themeColor="text1"/>
      <w:sz w:val="21"/>
      <w:szCs w:val="26"/>
      <w:lang w:eastAsia="en-US"/>
    </w:rPr>
  </w:style>
  <w:style w:type="character" w:styleId="Strong">
    <w:name w:val="Strong"/>
    <w:uiPriority w:val="22"/>
    <w:qFormat/>
    <w:rsid w:val="00FA3525"/>
    <w:rPr>
      <w:b/>
      <w:bCs/>
    </w:rPr>
  </w:style>
  <w:style w:type="paragraph" w:customStyle="1" w:styleId="TOCheadingreport">
    <w:name w:val="TOC heading report"/>
    <w:basedOn w:val="Heading1"/>
    <w:next w:val="Body"/>
    <w:link w:val="TOCheadingreportChar"/>
    <w:uiPriority w:val="4"/>
    <w:rsid w:val="00A71CE4"/>
    <w:pPr>
      <w:pageBreakBefore/>
      <w:spacing w:before="0"/>
      <w:outlineLvl w:val="9"/>
    </w:pPr>
  </w:style>
  <w:style w:type="character" w:customStyle="1" w:styleId="TOCheadingreportChar">
    <w:name w:val="TOC heading report Char"/>
    <w:link w:val="TOCheadingreport"/>
    <w:uiPriority w:val="4"/>
    <w:rsid w:val="00A71CE4"/>
    <w:rPr>
      <w:rFonts w:ascii="Arial" w:eastAsia="MS Gothic" w:hAnsi="Arial" w:cs="Arial"/>
      <w:bCs/>
      <w:color w:val="201547"/>
      <w:kern w:val="32"/>
      <w:sz w:val="44"/>
      <w:szCs w:val="44"/>
      <w:lang w:eastAsia="en-US"/>
    </w:rPr>
  </w:style>
  <w:style w:type="paragraph" w:styleId="TOC2">
    <w:name w:val="toc 2"/>
    <w:basedOn w:val="Normal"/>
    <w:next w:val="Normal"/>
    <w:uiPriority w:val="39"/>
    <w:rsid w:val="000033F7"/>
    <w:pPr>
      <w:keepLines/>
      <w:tabs>
        <w:tab w:val="right" w:leader="dot" w:pos="9299"/>
      </w:tabs>
      <w:spacing w:after="60"/>
    </w:pPr>
    <w:rPr>
      <w:noProof/>
    </w:rPr>
  </w:style>
  <w:style w:type="paragraph" w:styleId="TOC3">
    <w:name w:val="toc 3"/>
    <w:basedOn w:val="Normal"/>
    <w:next w:val="Normal"/>
    <w:uiPriority w:val="39"/>
    <w:rsid w:val="000033F7"/>
    <w:pPr>
      <w:keepLines/>
      <w:tabs>
        <w:tab w:val="right" w:leader="dot" w:pos="9299"/>
      </w:tabs>
      <w:spacing w:after="60"/>
      <w:ind w:left="284"/>
    </w:pPr>
    <w:rPr>
      <w:rFonts w:cs="Arial"/>
    </w:rPr>
  </w:style>
  <w:style w:type="paragraph" w:styleId="TOC4">
    <w:name w:val="toc 4"/>
    <w:basedOn w:val="TOC3"/>
    <w:uiPriority w:val="39"/>
    <w:rsid w:val="000033F7"/>
    <w:pPr>
      <w:ind w:left="567"/>
    </w:pPr>
  </w:style>
  <w:style w:type="paragraph" w:styleId="TOC5">
    <w:name w:val="toc 5"/>
    <w:basedOn w:val="TOC4"/>
    <w:rsid w:val="000033F7"/>
    <w:pPr>
      <w:ind w:left="851"/>
    </w:pPr>
  </w:style>
  <w:style w:type="paragraph" w:styleId="TOC6">
    <w:name w:val="toc 6"/>
    <w:basedOn w:val="Normal"/>
    <w:next w:val="Normal"/>
    <w:autoRedefine/>
    <w:uiPriority w:val="39"/>
    <w:semiHidden/>
    <w:rsid w:val="0021053D"/>
    <w:pPr>
      <w:ind w:left="1000"/>
    </w:pPr>
  </w:style>
  <w:style w:type="paragraph" w:styleId="TOC7">
    <w:name w:val="toc 7"/>
    <w:basedOn w:val="Normal"/>
    <w:next w:val="Normal"/>
    <w:autoRedefine/>
    <w:uiPriority w:val="39"/>
    <w:semiHidden/>
    <w:rsid w:val="0021053D"/>
    <w:pPr>
      <w:ind w:left="1200"/>
    </w:pPr>
  </w:style>
  <w:style w:type="paragraph" w:styleId="TOC8">
    <w:name w:val="toc 8"/>
    <w:basedOn w:val="Normal"/>
    <w:next w:val="Normal"/>
    <w:autoRedefine/>
    <w:uiPriority w:val="39"/>
    <w:semiHidden/>
    <w:rsid w:val="0021053D"/>
    <w:pPr>
      <w:ind w:left="1400"/>
    </w:pPr>
  </w:style>
  <w:style w:type="paragraph" w:styleId="TOC9">
    <w:name w:val="toc 9"/>
    <w:basedOn w:val="Normal"/>
    <w:next w:val="Normal"/>
    <w:autoRedefine/>
    <w:uiPriority w:val="39"/>
    <w:semiHidden/>
    <w:rsid w:val="0021053D"/>
    <w:pPr>
      <w:ind w:left="1600"/>
    </w:pPr>
  </w:style>
  <w:style w:type="paragraph" w:styleId="Subtitle">
    <w:name w:val="Subtitle"/>
    <w:basedOn w:val="Normal"/>
    <w:next w:val="Normal"/>
    <w:link w:val="SubtitleChar"/>
    <w:uiPriority w:val="11"/>
    <w:qFormat/>
    <w:rsid w:val="00152073"/>
    <w:pPr>
      <w:spacing w:after="60"/>
      <w:jc w:val="center"/>
    </w:pPr>
    <w:rPr>
      <w:rFonts w:ascii="Calibri Light" w:hAnsi="Calibri Light"/>
      <w:sz w:val="24"/>
      <w:szCs w:val="24"/>
    </w:rPr>
  </w:style>
  <w:style w:type="paragraph" w:customStyle="1" w:styleId="Sectionbreakfirstpage">
    <w:name w:val="Section break first page"/>
    <w:uiPriority w:val="5"/>
    <w:rsid w:val="004C6EEE"/>
    <w:pPr>
      <w:spacing w:after="400"/>
    </w:pPr>
    <w:rPr>
      <w:rFonts w:ascii="Arial" w:hAnsi="Arial"/>
      <w:lang w:eastAsia="en-US"/>
    </w:rPr>
  </w:style>
  <w:style w:type="paragraph" w:customStyle="1" w:styleId="Tabletext">
    <w:name w:val="Table text"/>
    <w:qFormat/>
    <w:rsid w:val="004A4195"/>
    <w:pPr>
      <w:spacing w:before="80" w:after="60"/>
    </w:pPr>
    <w:rPr>
      <w:rFonts w:ascii="Arial" w:hAnsi="Arial"/>
      <w:sz w:val="21"/>
      <w:lang w:eastAsia="en-US"/>
    </w:rPr>
  </w:style>
  <w:style w:type="paragraph" w:customStyle="1" w:styleId="Tablecaption">
    <w:name w:val="Table caption"/>
    <w:next w:val="Body"/>
    <w:autoRedefine/>
    <w:uiPriority w:val="3"/>
    <w:qFormat/>
    <w:rsid w:val="00614670"/>
    <w:pPr>
      <w:keepNext/>
      <w:keepLines/>
      <w:spacing w:before="240" w:after="120" w:line="250" w:lineRule="atLeast"/>
      <w:ind w:right="1956"/>
    </w:pPr>
    <w:rPr>
      <w:rFonts w:ascii="Arial" w:hAnsi="Arial"/>
      <w:b/>
      <w:sz w:val="21"/>
      <w:lang w:eastAsia="en-US"/>
    </w:rPr>
  </w:style>
  <w:style w:type="paragraph" w:customStyle="1" w:styleId="Documenttitle">
    <w:name w:val="Document title"/>
    <w:uiPriority w:val="8"/>
    <w:rsid w:val="00CC3BB0"/>
    <w:pPr>
      <w:spacing w:after="240" w:line="560" w:lineRule="atLeast"/>
    </w:pPr>
    <w:rPr>
      <w:rFonts w:ascii="Arial" w:hAnsi="Arial"/>
      <w:b/>
      <w:color w:val="201547"/>
      <w:sz w:val="48"/>
      <w:szCs w:val="50"/>
      <w:lang w:eastAsia="en-US"/>
    </w:rPr>
  </w:style>
  <w:style w:type="character" w:styleId="FootnoteReference">
    <w:name w:val="footnote reference"/>
    <w:uiPriority w:val="99"/>
    <w:rsid w:val="00BC7ED7"/>
    <w:rPr>
      <w:vertAlign w:val="superscript"/>
    </w:rPr>
  </w:style>
  <w:style w:type="paragraph" w:customStyle="1" w:styleId="Accessibilitypara">
    <w:name w:val="Accessibility para"/>
    <w:uiPriority w:val="8"/>
    <w:rsid w:val="008119CA"/>
    <w:pPr>
      <w:spacing w:before="240" w:after="200" w:line="300" w:lineRule="atLeast"/>
    </w:pPr>
    <w:rPr>
      <w:rFonts w:ascii="Arial" w:eastAsia="Times" w:hAnsi="Arial"/>
      <w:sz w:val="24"/>
      <w:szCs w:val="19"/>
      <w:lang w:eastAsia="en-US"/>
    </w:rPr>
  </w:style>
  <w:style w:type="paragraph" w:customStyle="1" w:styleId="Figurecaption">
    <w:name w:val="Figure caption"/>
    <w:next w:val="Body"/>
    <w:autoRedefine/>
    <w:rsid w:val="00C16405"/>
    <w:pPr>
      <w:keepNext/>
      <w:keepLines/>
      <w:spacing w:before="240" w:after="120" w:line="250" w:lineRule="atLeast"/>
      <w:jc w:val="both"/>
    </w:pPr>
    <w:rPr>
      <w:rFonts w:ascii="Arial" w:hAnsi="Arial"/>
      <w:b/>
      <w:bCs/>
      <w:sz w:val="21"/>
      <w:lang w:eastAsia="en-US"/>
    </w:rPr>
  </w:style>
  <w:style w:type="paragraph" w:customStyle="1" w:styleId="Bullet2">
    <w:name w:val="Bullet 2"/>
    <w:basedOn w:val="Body"/>
    <w:uiPriority w:val="2"/>
    <w:qFormat/>
    <w:rsid w:val="00C60411"/>
    <w:pPr>
      <w:numPr>
        <w:ilvl w:val="1"/>
        <w:numId w:val="2"/>
      </w:numPr>
      <w:spacing w:after="40"/>
    </w:pPr>
  </w:style>
  <w:style w:type="paragraph" w:customStyle="1" w:styleId="Bodyafterbullets">
    <w:name w:val="Body after bullets"/>
    <w:basedOn w:val="Body"/>
    <w:uiPriority w:val="11"/>
    <w:rsid w:val="00E11352"/>
    <w:pPr>
      <w:spacing w:before="120"/>
    </w:pPr>
  </w:style>
  <w:style w:type="paragraph" w:customStyle="1" w:styleId="Tablebullet2">
    <w:name w:val="Table bullet 2"/>
    <w:basedOn w:val="Tabletext"/>
    <w:uiPriority w:val="11"/>
    <w:rsid w:val="00C60411"/>
    <w:pPr>
      <w:numPr>
        <w:ilvl w:val="1"/>
        <w:numId w:val="3"/>
      </w:numPr>
    </w:pPr>
  </w:style>
  <w:style w:type="character" w:customStyle="1" w:styleId="SubtitleChar">
    <w:name w:val="Subtitle Char"/>
    <w:link w:val="Subtitle"/>
    <w:uiPriority w:val="11"/>
    <w:rsid w:val="00152073"/>
    <w:rPr>
      <w:rFonts w:ascii="Calibri Light" w:hAnsi="Calibri Light"/>
      <w:sz w:val="24"/>
      <w:szCs w:val="24"/>
      <w:lang w:eastAsia="en-US"/>
    </w:rPr>
  </w:style>
  <w:style w:type="paragraph" w:customStyle="1" w:styleId="Tablebullet1">
    <w:name w:val="Table bullet 1"/>
    <w:basedOn w:val="Tabletext"/>
    <w:uiPriority w:val="3"/>
    <w:qFormat/>
    <w:rsid w:val="00C60411"/>
    <w:pPr>
      <w:numPr>
        <w:numId w:val="3"/>
      </w:numPr>
    </w:pPr>
  </w:style>
  <w:style w:type="numbering" w:customStyle="1" w:styleId="ZZTablebullets">
    <w:name w:val="ZZ Table bullets"/>
    <w:basedOn w:val="NoList"/>
    <w:rsid w:val="00C60411"/>
    <w:pPr>
      <w:numPr>
        <w:numId w:val="3"/>
      </w:numPr>
    </w:pPr>
  </w:style>
  <w:style w:type="paragraph" w:customStyle="1" w:styleId="Tablecolhead">
    <w:name w:val="Table col head"/>
    <w:qFormat/>
    <w:rsid w:val="00030CDD"/>
    <w:pPr>
      <w:spacing w:before="80" w:after="60"/>
    </w:pPr>
    <w:rPr>
      <w:rFonts w:ascii="Arial" w:hAnsi="Arial"/>
      <w:b/>
      <w:color w:val="53565A"/>
      <w:sz w:val="21"/>
      <w:lang w:eastAsia="en-US"/>
    </w:rPr>
  </w:style>
  <w:style w:type="paragraph" w:customStyle="1" w:styleId="Bulletafternumbers1">
    <w:name w:val="Bullet after numbers 1"/>
    <w:basedOn w:val="Body"/>
    <w:uiPriority w:val="4"/>
    <w:rsid w:val="00C60411"/>
    <w:pPr>
      <w:numPr>
        <w:ilvl w:val="2"/>
        <w:numId w:val="1"/>
      </w:numPr>
    </w:pPr>
  </w:style>
  <w:style w:type="character" w:styleId="Hyperlink">
    <w:name w:val="Hyperlink"/>
    <w:uiPriority w:val="99"/>
    <w:rsid w:val="009E7A69"/>
    <w:rPr>
      <w:color w:val="004C97"/>
      <w:u w:val="dotted"/>
    </w:rPr>
  </w:style>
  <w:style w:type="paragraph" w:customStyle="1" w:styleId="Documentsubtitle">
    <w:name w:val="Document subtitle"/>
    <w:uiPriority w:val="8"/>
    <w:rsid w:val="00030CDD"/>
    <w:pPr>
      <w:spacing w:after="120"/>
    </w:pPr>
    <w:rPr>
      <w:rFonts w:ascii="Arial" w:hAnsi="Arial"/>
      <w:color w:val="53565A"/>
      <w:sz w:val="28"/>
      <w:szCs w:val="24"/>
      <w:lang w:eastAsia="en-US"/>
    </w:rPr>
  </w:style>
  <w:style w:type="paragraph" w:styleId="FootnoteText">
    <w:name w:val="footnote text"/>
    <w:basedOn w:val="Normal"/>
    <w:link w:val="FootnoteTextChar"/>
    <w:uiPriority w:val="99"/>
    <w:rsid w:val="004A4195"/>
    <w:pPr>
      <w:spacing w:before="60" w:after="60" w:line="220" w:lineRule="atLeast"/>
    </w:pPr>
    <w:rPr>
      <w:rFonts w:eastAsia="MS Gothic" w:cs="Arial"/>
      <w:sz w:val="18"/>
      <w:szCs w:val="16"/>
    </w:rPr>
  </w:style>
  <w:style w:type="character" w:customStyle="1" w:styleId="FootnoteTextChar">
    <w:name w:val="Footnote Text Char"/>
    <w:link w:val="FootnoteText"/>
    <w:uiPriority w:val="99"/>
    <w:rsid w:val="004A4195"/>
    <w:rPr>
      <w:rFonts w:ascii="Arial" w:eastAsia="MS Gothic" w:hAnsi="Arial" w:cs="Arial"/>
      <w:sz w:val="18"/>
      <w:szCs w:val="16"/>
      <w:lang w:eastAsia="en-US"/>
    </w:rPr>
  </w:style>
  <w:style w:type="paragraph" w:customStyle="1" w:styleId="Spacerparatopoffirstpage">
    <w:name w:val="Spacer para top of first page"/>
    <w:basedOn w:val="Bodynospace"/>
    <w:semiHidden/>
    <w:rsid w:val="00DE6028"/>
    <w:pPr>
      <w:spacing w:line="240" w:lineRule="auto"/>
    </w:pPr>
    <w:rPr>
      <w:noProof/>
      <w:sz w:val="12"/>
    </w:rPr>
  </w:style>
  <w:style w:type="paragraph" w:styleId="Title">
    <w:name w:val="Title"/>
    <w:basedOn w:val="Normal"/>
    <w:next w:val="Normal"/>
    <w:link w:val="TitleChar"/>
    <w:uiPriority w:val="10"/>
    <w:qFormat/>
    <w:rsid w:val="00152073"/>
    <w:pPr>
      <w:spacing w:before="240" w:after="60"/>
      <w:jc w:val="center"/>
    </w:pPr>
    <w:rPr>
      <w:rFonts w:ascii="Calibri Light" w:hAnsi="Calibri Light"/>
      <w:b/>
      <w:bCs/>
      <w:kern w:val="28"/>
      <w:sz w:val="32"/>
      <w:szCs w:val="32"/>
    </w:rPr>
  </w:style>
  <w:style w:type="character" w:customStyle="1" w:styleId="TitleChar">
    <w:name w:val="Title Char"/>
    <w:link w:val="Title"/>
    <w:uiPriority w:val="10"/>
    <w:rsid w:val="00152073"/>
    <w:rPr>
      <w:rFonts w:ascii="Calibri Light" w:hAnsi="Calibri Light"/>
      <w:b/>
      <w:bCs/>
      <w:kern w:val="28"/>
      <w:sz w:val="32"/>
      <w:szCs w:val="32"/>
      <w:lang w:eastAsia="en-US"/>
    </w:rPr>
  </w:style>
  <w:style w:type="numbering" w:customStyle="1" w:styleId="ZZBullets">
    <w:name w:val="ZZ Bullets"/>
    <w:rsid w:val="00C60411"/>
    <w:pPr>
      <w:numPr>
        <w:numId w:val="2"/>
      </w:numPr>
    </w:pPr>
  </w:style>
  <w:style w:type="numbering" w:customStyle="1" w:styleId="ZZNumbersdigit">
    <w:name w:val="ZZ Numbers digit"/>
    <w:rsid w:val="00C60411"/>
  </w:style>
  <w:style w:type="numbering" w:customStyle="1" w:styleId="ZZQuotebullets">
    <w:name w:val="ZZ Quote bullets"/>
    <w:basedOn w:val="ZZNumbersdigit"/>
    <w:rsid w:val="00C60411"/>
    <w:pPr>
      <w:numPr>
        <w:numId w:val="4"/>
      </w:numPr>
    </w:pPr>
  </w:style>
  <w:style w:type="paragraph" w:customStyle="1" w:styleId="Numberdigit">
    <w:name w:val="Number digit"/>
    <w:basedOn w:val="Body"/>
    <w:uiPriority w:val="2"/>
    <w:rsid w:val="00C60411"/>
    <w:pPr>
      <w:numPr>
        <w:numId w:val="1"/>
      </w:numPr>
    </w:pPr>
  </w:style>
  <w:style w:type="paragraph" w:customStyle="1" w:styleId="Numberloweralphaindent">
    <w:name w:val="Number lower alpha indent"/>
    <w:basedOn w:val="Body"/>
    <w:uiPriority w:val="3"/>
    <w:rsid w:val="00C60411"/>
    <w:pPr>
      <w:numPr>
        <w:ilvl w:val="1"/>
        <w:numId w:val="6"/>
      </w:numPr>
    </w:pPr>
  </w:style>
  <w:style w:type="paragraph" w:customStyle="1" w:styleId="Numberdigitindent">
    <w:name w:val="Number digit indent"/>
    <w:basedOn w:val="Numberloweralphaindent"/>
    <w:uiPriority w:val="3"/>
    <w:rsid w:val="00C60411"/>
    <w:pPr>
      <w:numPr>
        <w:numId w:val="1"/>
      </w:numPr>
    </w:pPr>
  </w:style>
  <w:style w:type="paragraph" w:customStyle="1" w:styleId="Numberloweralpha">
    <w:name w:val="Number lower alpha"/>
    <w:basedOn w:val="Body"/>
    <w:uiPriority w:val="3"/>
    <w:rsid w:val="00C60411"/>
    <w:pPr>
      <w:numPr>
        <w:numId w:val="6"/>
      </w:numPr>
    </w:pPr>
  </w:style>
  <w:style w:type="paragraph" w:customStyle="1" w:styleId="Numberlowerroman">
    <w:name w:val="Number lower roman"/>
    <w:basedOn w:val="Body"/>
    <w:uiPriority w:val="3"/>
    <w:rsid w:val="00C60411"/>
    <w:pPr>
      <w:numPr>
        <w:numId w:val="5"/>
      </w:numPr>
    </w:pPr>
  </w:style>
  <w:style w:type="paragraph" w:customStyle="1" w:styleId="Numberlowerromanindent">
    <w:name w:val="Number lower roman indent"/>
    <w:basedOn w:val="Body"/>
    <w:uiPriority w:val="3"/>
    <w:rsid w:val="00C60411"/>
    <w:pPr>
      <w:numPr>
        <w:ilvl w:val="1"/>
        <w:numId w:val="5"/>
      </w:numPr>
    </w:pPr>
  </w:style>
  <w:style w:type="paragraph" w:customStyle="1" w:styleId="Quotetext">
    <w:name w:val="Quote text"/>
    <w:basedOn w:val="Body"/>
    <w:uiPriority w:val="4"/>
    <w:rsid w:val="00152073"/>
    <w:pPr>
      <w:ind w:left="397"/>
    </w:pPr>
    <w:rPr>
      <w:szCs w:val="18"/>
    </w:rPr>
  </w:style>
  <w:style w:type="paragraph" w:customStyle="1" w:styleId="Tablefigurenote">
    <w:name w:val="Table/figure note"/>
    <w:uiPriority w:val="4"/>
    <w:rsid w:val="004A4195"/>
    <w:pPr>
      <w:spacing w:before="60" w:after="60" w:line="240" w:lineRule="exact"/>
    </w:pPr>
    <w:rPr>
      <w:rFonts w:ascii="Arial" w:hAnsi="Arial"/>
      <w:lang w:eastAsia="en-US"/>
    </w:rPr>
  </w:style>
  <w:style w:type="paragraph" w:customStyle="1" w:styleId="Bodyaftertablefigure">
    <w:name w:val="Body after table/figure"/>
    <w:basedOn w:val="Body"/>
    <w:next w:val="Body"/>
    <w:uiPriority w:val="1"/>
    <w:rsid w:val="00951D50"/>
    <w:pPr>
      <w:spacing w:before="240"/>
    </w:pPr>
  </w:style>
  <w:style w:type="paragraph" w:customStyle="1" w:styleId="Bulletafternumbers2">
    <w:name w:val="Bullet after numbers 2"/>
    <w:basedOn w:val="Body"/>
    <w:rsid w:val="00C60411"/>
    <w:pPr>
      <w:numPr>
        <w:ilvl w:val="3"/>
        <w:numId w:val="1"/>
      </w:numPr>
    </w:pPr>
  </w:style>
  <w:style w:type="numbering" w:customStyle="1" w:styleId="ZZNumberslowerroman">
    <w:name w:val="ZZ Numbers lower roman"/>
    <w:basedOn w:val="ZZQuotebullets"/>
    <w:rsid w:val="00C60411"/>
    <w:pPr>
      <w:numPr>
        <w:numId w:val="5"/>
      </w:numPr>
    </w:pPr>
  </w:style>
  <w:style w:type="numbering" w:customStyle="1" w:styleId="ZZNumbersloweralpha">
    <w:name w:val="ZZ Numbers lower alpha"/>
    <w:basedOn w:val="NoList"/>
    <w:rsid w:val="00C60411"/>
    <w:pPr>
      <w:numPr>
        <w:numId w:val="6"/>
      </w:numPr>
    </w:pPr>
  </w:style>
  <w:style w:type="paragraph" w:customStyle="1" w:styleId="Quotebullet1">
    <w:name w:val="Quote bullet 1"/>
    <w:basedOn w:val="Quotetext"/>
    <w:rsid w:val="00C60411"/>
    <w:pPr>
      <w:numPr>
        <w:numId w:val="4"/>
      </w:numPr>
    </w:pPr>
  </w:style>
  <w:style w:type="paragraph" w:customStyle="1" w:styleId="Quotebullet2">
    <w:name w:val="Quote bullet 2"/>
    <w:basedOn w:val="Quotetext"/>
    <w:rsid w:val="00C60411"/>
    <w:pPr>
      <w:numPr>
        <w:ilvl w:val="1"/>
        <w:numId w:val="4"/>
      </w:numPr>
    </w:pPr>
  </w:style>
  <w:style w:type="paragraph" w:styleId="CommentText">
    <w:name w:val="annotation text"/>
    <w:basedOn w:val="Normal"/>
    <w:link w:val="CommentTextChar"/>
    <w:uiPriority w:val="99"/>
    <w:unhideWhenUsed/>
    <w:rsid w:val="00982454"/>
  </w:style>
  <w:style w:type="character" w:customStyle="1" w:styleId="CommentTextChar">
    <w:name w:val="Comment Text Char"/>
    <w:basedOn w:val="DefaultParagraphFont"/>
    <w:link w:val="CommentText"/>
    <w:uiPriority w:val="99"/>
    <w:rsid w:val="00982454"/>
    <w:rPr>
      <w:rFonts w:ascii="Cambria" w:hAnsi="Cambria"/>
      <w:lang w:eastAsia="en-US"/>
    </w:rPr>
  </w:style>
  <w:style w:type="character" w:styleId="CommentReference">
    <w:name w:val="annotation reference"/>
    <w:basedOn w:val="DefaultParagraphFont"/>
    <w:uiPriority w:val="99"/>
    <w:semiHidden/>
    <w:unhideWhenUsed/>
    <w:rsid w:val="00982454"/>
    <w:rPr>
      <w:sz w:val="16"/>
      <w:szCs w:val="16"/>
    </w:rPr>
  </w:style>
  <w:style w:type="paragraph" w:styleId="Revision">
    <w:name w:val="Revision"/>
    <w:hidden/>
    <w:uiPriority w:val="71"/>
    <w:rsid w:val="00982454"/>
    <w:rPr>
      <w:rFonts w:ascii="Cambria" w:hAnsi="Cambria"/>
      <w:lang w:eastAsia="en-US"/>
    </w:rPr>
  </w:style>
  <w:style w:type="paragraph" w:styleId="BalloonText">
    <w:name w:val="Balloon Text"/>
    <w:basedOn w:val="Normal"/>
    <w:link w:val="BalloonTextChar"/>
    <w:uiPriority w:val="99"/>
    <w:semiHidden/>
    <w:unhideWhenUsed/>
    <w:rsid w:val="009824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454"/>
    <w:rPr>
      <w:rFonts w:ascii="Segoe UI" w:hAnsi="Segoe UI" w:cs="Segoe UI"/>
      <w:sz w:val="18"/>
      <w:szCs w:val="18"/>
      <w:lang w:eastAsia="en-US"/>
    </w:rPr>
  </w:style>
  <w:style w:type="paragraph" w:styleId="CommentSubject">
    <w:name w:val="annotation subject"/>
    <w:basedOn w:val="CommentText"/>
    <w:next w:val="CommentText"/>
    <w:link w:val="CommentSubjectChar"/>
    <w:uiPriority w:val="99"/>
    <w:semiHidden/>
    <w:unhideWhenUsed/>
    <w:rsid w:val="00EE29AD"/>
    <w:rPr>
      <w:b/>
      <w:bCs/>
    </w:rPr>
  </w:style>
  <w:style w:type="character" w:customStyle="1" w:styleId="CommentSubjectChar">
    <w:name w:val="Comment Subject Char"/>
    <w:basedOn w:val="CommentTextChar"/>
    <w:link w:val="CommentSubject"/>
    <w:uiPriority w:val="99"/>
    <w:semiHidden/>
    <w:rsid w:val="00EE29AD"/>
    <w:rPr>
      <w:rFonts w:ascii="Cambria" w:hAnsi="Cambria"/>
      <w:b/>
      <w:bCs/>
      <w:lang w:eastAsia="en-US"/>
    </w:rPr>
  </w:style>
  <w:style w:type="character" w:customStyle="1" w:styleId="BodyChar">
    <w:name w:val="Body Char"/>
    <w:basedOn w:val="DefaultParagraphFont"/>
    <w:link w:val="Body"/>
    <w:rsid w:val="002365B4"/>
    <w:rPr>
      <w:rFonts w:ascii="Arial" w:eastAsia="Times" w:hAnsi="Arial"/>
      <w:sz w:val="21"/>
      <w:lang w:eastAsia="en-US"/>
    </w:rPr>
  </w:style>
  <w:style w:type="paragraph" w:customStyle="1" w:styleId="Bannermarking">
    <w:name w:val="Banner marking"/>
    <w:basedOn w:val="Body"/>
    <w:uiPriority w:val="11"/>
    <w:rsid w:val="00430393"/>
    <w:pPr>
      <w:spacing w:after="0"/>
    </w:pPr>
    <w:rPr>
      <w:b/>
      <w:bCs/>
      <w:color w:val="000000" w:themeColor="text1"/>
    </w:rPr>
  </w:style>
  <w:style w:type="character" w:styleId="UnresolvedMention">
    <w:name w:val="Unresolved Mention"/>
    <w:basedOn w:val="DefaultParagraphFont"/>
    <w:uiPriority w:val="99"/>
    <w:semiHidden/>
    <w:unhideWhenUsed/>
    <w:rsid w:val="00165A57"/>
    <w:rPr>
      <w:color w:val="605E5C"/>
      <w:shd w:val="clear" w:color="auto" w:fill="E1DFDD"/>
    </w:rPr>
  </w:style>
  <w:style w:type="paragraph" w:customStyle="1" w:styleId="Imprint">
    <w:name w:val="Imprint"/>
    <w:basedOn w:val="Body"/>
    <w:uiPriority w:val="11"/>
    <w:rsid w:val="004B4185"/>
    <w:pPr>
      <w:spacing w:after="60" w:line="270" w:lineRule="atLeast"/>
    </w:pPr>
    <w:rPr>
      <w:color w:val="000000" w:themeColor="text1"/>
      <w:sz w:val="20"/>
    </w:rPr>
  </w:style>
  <w:style w:type="paragraph" w:customStyle="1" w:styleId="Introtext">
    <w:name w:val="Intro text"/>
    <w:basedOn w:val="Body"/>
    <w:uiPriority w:val="11"/>
    <w:rsid w:val="00BD6B9D"/>
    <w:pPr>
      <w:spacing w:line="320" w:lineRule="atLeast"/>
    </w:pPr>
    <w:rPr>
      <w:color w:val="201547"/>
      <w:sz w:val="24"/>
    </w:rPr>
  </w:style>
  <w:style w:type="character" w:customStyle="1" w:styleId="HeaderChar">
    <w:name w:val="Header Char"/>
    <w:basedOn w:val="DefaultParagraphFont"/>
    <w:link w:val="Header"/>
    <w:uiPriority w:val="10"/>
    <w:rsid w:val="00BC5C36"/>
    <w:rPr>
      <w:rFonts w:ascii="Arial" w:hAnsi="Arial" w:cs="Arial"/>
      <w:b/>
      <w:color w:val="53565A"/>
      <w:sz w:val="18"/>
      <w:szCs w:val="18"/>
      <w:lang w:eastAsia="en-US"/>
    </w:rPr>
  </w:style>
  <w:style w:type="character" w:customStyle="1" w:styleId="FooterChar">
    <w:name w:val="Footer Char"/>
    <w:basedOn w:val="DefaultParagraphFont"/>
    <w:link w:val="Footer"/>
    <w:uiPriority w:val="8"/>
    <w:rsid w:val="00BC5C36"/>
    <w:rPr>
      <w:rFonts w:ascii="Arial" w:hAnsi="Arial" w:cs="Arial"/>
      <w:szCs w:val="18"/>
      <w:lang w:eastAsia="en-US"/>
    </w:rPr>
  </w:style>
  <w:style w:type="numbering" w:customStyle="1" w:styleId="ZZNumbers">
    <w:name w:val="ZZ Numbers"/>
    <w:rsid w:val="00BC5C36"/>
    <w:pPr>
      <w:numPr>
        <w:numId w:val="7"/>
      </w:numPr>
    </w:pPr>
  </w:style>
  <w:style w:type="character" w:styleId="Emphasis">
    <w:name w:val="Emphasis"/>
    <w:basedOn w:val="DefaultParagraphFont"/>
    <w:uiPriority w:val="20"/>
    <w:qFormat/>
    <w:rsid w:val="00BC5C36"/>
    <w:rPr>
      <w:i/>
      <w:iCs/>
    </w:rPr>
  </w:style>
  <w:style w:type="paragraph" w:styleId="ListParagraph">
    <w:name w:val="List Paragraph"/>
    <w:basedOn w:val="Normal"/>
    <w:uiPriority w:val="34"/>
    <w:qFormat/>
    <w:rsid w:val="00BC5C36"/>
    <w:pPr>
      <w:spacing w:after="200" w:line="276" w:lineRule="auto"/>
      <w:ind w:left="720"/>
      <w:contextualSpacing/>
    </w:pPr>
    <w:rPr>
      <w:rFonts w:asciiTheme="minorHAnsi" w:eastAsiaTheme="minorHAnsi" w:hAnsiTheme="minorHAnsi" w:cstheme="minorBidi"/>
      <w:sz w:val="22"/>
      <w:szCs w:val="22"/>
    </w:rPr>
  </w:style>
  <w:style w:type="character" w:customStyle="1" w:styleId="normaltextrun">
    <w:name w:val="normaltextrun"/>
    <w:basedOn w:val="DefaultParagraphFont"/>
    <w:rsid w:val="00BC5C36"/>
  </w:style>
  <w:style w:type="paragraph" w:customStyle="1" w:styleId="paragraph">
    <w:name w:val="paragraph"/>
    <w:basedOn w:val="Normal"/>
    <w:rsid w:val="00BC5C36"/>
    <w:pPr>
      <w:spacing w:before="100" w:beforeAutospacing="1" w:after="100" w:afterAutospacing="1" w:line="240" w:lineRule="auto"/>
    </w:pPr>
    <w:rPr>
      <w:rFonts w:ascii="Times New Roman" w:eastAsiaTheme="minorHAnsi" w:hAnsi="Times New Roman"/>
      <w:sz w:val="24"/>
      <w:szCs w:val="24"/>
      <w:lang w:eastAsia="en-AU"/>
    </w:rPr>
  </w:style>
  <w:style w:type="character" w:styleId="Mention">
    <w:name w:val="Mention"/>
    <w:basedOn w:val="DefaultParagraphFont"/>
    <w:uiPriority w:val="99"/>
    <w:unhideWhenUsed/>
    <w:rsid w:val="00823CDE"/>
    <w:rPr>
      <w:color w:val="2B579A"/>
      <w:shd w:val="clear" w:color="auto" w:fill="E1DFDD"/>
    </w:rPr>
  </w:style>
  <w:style w:type="paragraph" w:styleId="NormalWeb">
    <w:name w:val="Normal (Web)"/>
    <w:basedOn w:val="Normal"/>
    <w:uiPriority w:val="99"/>
    <w:semiHidden/>
    <w:unhideWhenUsed/>
    <w:rsid w:val="00140051"/>
    <w:pPr>
      <w:spacing w:before="100" w:beforeAutospacing="1" w:after="100" w:afterAutospacing="1" w:line="240" w:lineRule="auto"/>
    </w:pPr>
    <w:rPr>
      <w:rFonts w:ascii="Times New Roman" w:hAnsi="Times New Roman"/>
      <w:sz w:val="24"/>
      <w:szCs w:val="24"/>
      <w:lang w:eastAsia="en-AU"/>
    </w:rPr>
  </w:style>
  <w:style w:type="numbering" w:customStyle="1" w:styleId="ZZQuotebullets1">
    <w:name w:val="ZZ Quote bullets1"/>
    <w:basedOn w:val="ZZNumbersdigit"/>
    <w:rsid w:val="00BC6542"/>
  </w:style>
  <w:style w:type="numbering" w:customStyle="1" w:styleId="ZZQuotebullets2">
    <w:name w:val="ZZ Quote bullets2"/>
    <w:basedOn w:val="ZZNumbersdigit"/>
    <w:rsid w:val="00BC6542"/>
    <w:pPr>
      <w:numPr>
        <w:numId w:val="1"/>
      </w:numPr>
    </w:pPr>
  </w:style>
  <w:style w:type="paragraph" w:styleId="TableofFigures">
    <w:name w:val="table of figures"/>
    <w:basedOn w:val="Normal"/>
    <w:next w:val="Normal"/>
    <w:uiPriority w:val="99"/>
    <w:semiHidden/>
    <w:unhideWhenUsed/>
    <w:rsid w:val="00CB29C5"/>
    <w:pPr>
      <w:spacing w:after="0"/>
    </w:pPr>
  </w:style>
  <w:style w:type="paragraph" w:styleId="Caption">
    <w:name w:val="caption"/>
    <w:basedOn w:val="Normal"/>
    <w:next w:val="Normal"/>
    <w:uiPriority w:val="35"/>
    <w:unhideWhenUsed/>
    <w:qFormat/>
    <w:rsid w:val="008F5AD9"/>
    <w:pPr>
      <w:spacing w:after="200" w:line="240" w:lineRule="auto"/>
    </w:pPr>
    <w:rPr>
      <w:i/>
      <w:iCs/>
      <w:color w:val="1F497D" w:themeColor="text2"/>
      <w:sz w:val="18"/>
      <w:szCs w:val="18"/>
    </w:rPr>
  </w:style>
  <w:style w:type="table" w:styleId="TableGridLight">
    <w:name w:val="Grid Table Light"/>
    <w:basedOn w:val="TableNormal"/>
    <w:uiPriority w:val="40"/>
    <w:rsid w:val="00A966F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sid w:val="009103C1"/>
    <w:rPr>
      <w:rFonts w:asciiTheme="majorHAnsi" w:eastAsiaTheme="majorEastAsia" w:hAnsiTheme="majorHAnsi" w:cstheme="majorBidi"/>
      <w:color w:val="243F60" w:themeColor="accent1" w:themeShade="7F"/>
      <w:sz w:val="21"/>
      <w:lang w:eastAsia="en-US"/>
    </w:rPr>
  </w:style>
  <w:style w:type="character" w:customStyle="1" w:styleId="Heading7Char">
    <w:name w:val="Heading 7 Char"/>
    <w:basedOn w:val="DefaultParagraphFont"/>
    <w:link w:val="Heading7"/>
    <w:uiPriority w:val="9"/>
    <w:semiHidden/>
    <w:rsid w:val="009103C1"/>
    <w:rPr>
      <w:rFonts w:asciiTheme="majorHAnsi" w:eastAsiaTheme="majorEastAsia" w:hAnsiTheme="majorHAnsi" w:cstheme="majorBidi"/>
      <w:i/>
      <w:iCs/>
      <w:color w:val="243F60" w:themeColor="accent1" w:themeShade="7F"/>
      <w:sz w:val="21"/>
      <w:lang w:eastAsia="en-US"/>
    </w:rPr>
  </w:style>
  <w:style w:type="character" w:customStyle="1" w:styleId="Heading8Char">
    <w:name w:val="Heading 8 Char"/>
    <w:basedOn w:val="DefaultParagraphFont"/>
    <w:link w:val="Heading8"/>
    <w:uiPriority w:val="9"/>
    <w:semiHidden/>
    <w:rsid w:val="009103C1"/>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semiHidden/>
    <w:rsid w:val="009103C1"/>
    <w:rPr>
      <w:rFonts w:asciiTheme="majorHAnsi" w:eastAsiaTheme="majorEastAsia" w:hAnsiTheme="majorHAnsi" w:cstheme="majorBidi"/>
      <w:i/>
      <w:iCs/>
      <w:color w:val="272727" w:themeColor="text1" w:themeTint="D8"/>
      <w:sz w:val="21"/>
      <w:szCs w:val="21"/>
      <w:lang w:eastAsia="en-US"/>
    </w:rPr>
  </w:style>
  <w:style w:type="character" w:styleId="BookTitle">
    <w:name w:val="Book Title"/>
    <w:basedOn w:val="DefaultParagraphFont"/>
    <w:uiPriority w:val="69"/>
    <w:semiHidden/>
    <w:qFormat/>
    <w:rsid w:val="009103C1"/>
    <w:rPr>
      <w:b/>
      <w:bCs/>
      <w:i/>
      <w:iCs/>
      <w:spacing w:val="5"/>
    </w:rPr>
  </w:style>
  <w:style w:type="character" w:styleId="IntenseEmphasis">
    <w:name w:val="Intense Emphasis"/>
    <w:basedOn w:val="DefaultParagraphFont"/>
    <w:uiPriority w:val="66"/>
    <w:semiHidden/>
    <w:qFormat/>
    <w:rsid w:val="009103C1"/>
    <w:rPr>
      <w:i/>
      <w:iCs/>
      <w:color w:val="4F81BD" w:themeColor="accent1"/>
    </w:rPr>
  </w:style>
  <w:style w:type="paragraph" w:styleId="IntenseQuote">
    <w:name w:val="Intense Quote"/>
    <w:basedOn w:val="Normal"/>
    <w:next w:val="Normal"/>
    <w:link w:val="IntenseQuoteChar"/>
    <w:uiPriority w:val="60"/>
    <w:semiHidden/>
    <w:qFormat/>
    <w:rsid w:val="009103C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60"/>
    <w:semiHidden/>
    <w:rsid w:val="009103C1"/>
    <w:rPr>
      <w:rFonts w:ascii="Arial" w:hAnsi="Arial"/>
      <w:i/>
      <w:iCs/>
      <w:color w:val="4F81BD" w:themeColor="accent1"/>
      <w:sz w:val="21"/>
      <w:lang w:eastAsia="en-US"/>
    </w:rPr>
  </w:style>
  <w:style w:type="character" w:styleId="IntenseReference">
    <w:name w:val="Intense Reference"/>
    <w:basedOn w:val="DefaultParagraphFont"/>
    <w:uiPriority w:val="68"/>
    <w:semiHidden/>
    <w:qFormat/>
    <w:rsid w:val="009103C1"/>
    <w:rPr>
      <w:b/>
      <w:bCs/>
      <w:smallCaps/>
      <w:color w:val="4F81BD" w:themeColor="accent1"/>
      <w:spacing w:val="5"/>
    </w:rPr>
  </w:style>
  <w:style w:type="paragraph" w:styleId="NoSpacing">
    <w:name w:val="No Spacing"/>
    <w:uiPriority w:val="99"/>
    <w:semiHidden/>
    <w:qFormat/>
    <w:rsid w:val="009103C1"/>
    <w:rPr>
      <w:rFonts w:ascii="Arial" w:hAnsi="Arial"/>
      <w:sz w:val="21"/>
      <w:lang w:eastAsia="en-US"/>
    </w:rPr>
  </w:style>
  <w:style w:type="paragraph" w:styleId="Quote">
    <w:name w:val="Quote"/>
    <w:basedOn w:val="Normal"/>
    <w:next w:val="Normal"/>
    <w:link w:val="QuoteChar"/>
    <w:uiPriority w:val="73"/>
    <w:semiHidden/>
    <w:qFormat/>
    <w:rsid w:val="009103C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73"/>
    <w:semiHidden/>
    <w:rsid w:val="009103C1"/>
    <w:rPr>
      <w:rFonts w:ascii="Arial" w:hAnsi="Arial"/>
      <w:i/>
      <w:iCs/>
      <w:color w:val="404040" w:themeColor="text1" w:themeTint="BF"/>
      <w:sz w:val="21"/>
      <w:lang w:eastAsia="en-US"/>
    </w:rPr>
  </w:style>
  <w:style w:type="character" w:styleId="SubtleEmphasis">
    <w:name w:val="Subtle Emphasis"/>
    <w:basedOn w:val="DefaultParagraphFont"/>
    <w:uiPriority w:val="65"/>
    <w:semiHidden/>
    <w:qFormat/>
    <w:rsid w:val="009103C1"/>
    <w:rPr>
      <w:i/>
      <w:iCs/>
      <w:color w:val="404040" w:themeColor="text1" w:themeTint="BF"/>
    </w:rPr>
  </w:style>
  <w:style w:type="character" w:styleId="SubtleReference">
    <w:name w:val="Subtle Reference"/>
    <w:basedOn w:val="DefaultParagraphFont"/>
    <w:uiPriority w:val="67"/>
    <w:semiHidden/>
    <w:qFormat/>
    <w:rsid w:val="009103C1"/>
    <w:rPr>
      <w:smallCaps/>
      <w:color w:val="5A5A5A" w:themeColor="text1" w:themeTint="A5"/>
    </w:rPr>
  </w:style>
  <w:style w:type="paragraph" w:styleId="TOCHeading">
    <w:name w:val="TOC Heading"/>
    <w:basedOn w:val="Heading1"/>
    <w:next w:val="Normal"/>
    <w:uiPriority w:val="71"/>
    <w:semiHidden/>
    <w:unhideWhenUsed/>
    <w:qFormat/>
    <w:rsid w:val="009103C1"/>
    <w:pPr>
      <w:spacing w:before="240" w:after="0" w:line="280" w:lineRule="atLeast"/>
      <w:outlineLvl w:val="9"/>
    </w:pPr>
    <w:rPr>
      <w:rFonts w:asciiTheme="majorHAnsi" w:eastAsiaTheme="majorEastAsia" w:hAnsiTheme="majorHAnsi" w:cstheme="majorBidi"/>
      <w:bCs w:val="0"/>
      <w:color w:val="365F91" w:themeColor="accent1" w:themeShade="BF"/>
      <w:kern w:val="0"/>
      <w:sz w:val="32"/>
      <w:szCs w:val="32"/>
    </w:rPr>
  </w:style>
  <w:style w:type="table" w:styleId="GridTable4-Accent1">
    <w:name w:val="Grid Table 4 Accent 1"/>
    <w:basedOn w:val="TableNormal"/>
    <w:uiPriority w:val="49"/>
    <w:rsid w:val="00413FF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04755">
      <w:bodyDiv w:val="1"/>
      <w:marLeft w:val="0"/>
      <w:marRight w:val="0"/>
      <w:marTop w:val="0"/>
      <w:marBottom w:val="0"/>
      <w:divBdr>
        <w:top w:val="none" w:sz="0" w:space="0" w:color="auto"/>
        <w:left w:val="none" w:sz="0" w:space="0" w:color="auto"/>
        <w:bottom w:val="none" w:sz="0" w:space="0" w:color="auto"/>
        <w:right w:val="none" w:sz="0" w:space="0" w:color="auto"/>
      </w:divBdr>
      <w:divsChild>
        <w:div w:id="94056959">
          <w:marLeft w:val="0"/>
          <w:marRight w:val="0"/>
          <w:marTop w:val="0"/>
          <w:marBottom w:val="0"/>
          <w:divBdr>
            <w:top w:val="none" w:sz="0" w:space="0" w:color="auto"/>
            <w:left w:val="none" w:sz="0" w:space="0" w:color="auto"/>
            <w:bottom w:val="none" w:sz="0" w:space="0" w:color="auto"/>
            <w:right w:val="none" w:sz="0" w:space="0" w:color="auto"/>
          </w:divBdr>
        </w:div>
      </w:divsChild>
    </w:div>
    <w:div w:id="299071615">
      <w:bodyDiv w:val="1"/>
      <w:marLeft w:val="0"/>
      <w:marRight w:val="0"/>
      <w:marTop w:val="0"/>
      <w:marBottom w:val="0"/>
      <w:divBdr>
        <w:top w:val="none" w:sz="0" w:space="0" w:color="auto"/>
        <w:left w:val="none" w:sz="0" w:space="0" w:color="auto"/>
        <w:bottom w:val="none" w:sz="0" w:space="0" w:color="auto"/>
        <w:right w:val="none" w:sz="0" w:space="0" w:color="auto"/>
      </w:divBdr>
    </w:div>
    <w:div w:id="441850267">
      <w:marLeft w:val="0"/>
      <w:marRight w:val="0"/>
      <w:marTop w:val="0"/>
      <w:marBottom w:val="0"/>
      <w:divBdr>
        <w:top w:val="none" w:sz="0" w:space="0" w:color="auto"/>
        <w:left w:val="none" w:sz="0" w:space="0" w:color="auto"/>
        <w:bottom w:val="none" w:sz="0" w:space="0" w:color="auto"/>
        <w:right w:val="none" w:sz="0" w:space="0" w:color="auto"/>
      </w:divBdr>
    </w:div>
    <w:div w:id="700594254">
      <w:bodyDiv w:val="1"/>
      <w:marLeft w:val="0"/>
      <w:marRight w:val="0"/>
      <w:marTop w:val="0"/>
      <w:marBottom w:val="0"/>
      <w:divBdr>
        <w:top w:val="none" w:sz="0" w:space="0" w:color="auto"/>
        <w:left w:val="none" w:sz="0" w:space="0" w:color="auto"/>
        <w:bottom w:val="none" w:sz="0" w:space="0" w:color="auto"/>
        <w:right w:val="none" w:sz="0" w:space="0" w:color="auto"/>
      </w:divBdr>
    </w:div>
    <w:div w:id="851146005">
      <w:bodyDiv w:val="1"/>
      <w:marLeft w:val="0"/>
      <w:marRight w:val="0"/>
      <w:marTop w:val="0"/>
      <w:marBottom w:val="0"/>
      <w:divBdr>
        <w:top w:val="none" w:sz="0" w:space="0" w:color="auto"/>
        <w:left w:val="none" w:sz="0" w:space="0" w:color="auto"/>
        <w:bottom w:val="none" w:sz="0" w:space="0" w:color="auto"/>
        <w:right w:val="none" w:sz="0" w:space="0" w:color="auto"/>
      </w:divBdr>
    </w:div>
    <w:div w:id="873467878">
      <w:bodyDiv w:val="1"/>
      <w:marLeft w:val="0"/>
      <w:marRight w:val="0"/>
      <w:marTop w:val="0"/>
      <w:marBottom w:val="0"/>
      <w:divBdr>
        <w:top w:val="none" w:sz="0" w:space="0" w:color="auto"/>
        <w:left w:val="none" w:sz="0" w:space="0" w:color="auto"/>
        <w:bottom w:val="none" w:sz="0" w:space="0" w:color="auto"/>
        <w:right w:val="none" w:sz="0" w:space="0" w:color="auto"/>
      </w:divBdr>
    </w:div>
    <w:div w:id="937248508">
      <w:bodyDiv w:val="1"/>
      <w:marLeft w:val="0"/>
      <w:marRight w:val="0"/>
      <w:marTop w:val="0"/>
      <w:marBottom w:val="0"/>
      <w:divBdr>
        <w:top w:val="none" w:sz="0" w:space="0" w:color="auto"/>
        <w:left w:val="none" w:sz="0" w:space="0" w:color="auto"/>
        <w:bottom w:val="none" w:sz="0" w:space="0" w:color="auto"/>
        <w:right w:val="none" w:sz="0" w:space="0" w:color="auto"/>
      </w:divBdr>
      <w:divsChild>
        <w:div w:id="617221559">
          <w:marLeft w:val="0"/>
          <w:marRight w:val="0"/>
          <w:marTop w:val="0"/>
          <w:marBottom w:val="0"/>
          <w:divBdr>
            <w:top w:val="none" w:sz="0" w:space="0" w:color="auto"/>
            <w:left w:val="none" w:sz="0" w:space="0" w:color="auto"/>
            <w:bottom w:val="none" w:sz="0" w:space="0" w:color="auto"/>
            <w:right w:val="none" w:sz="0" w:space="0" w:color="auto"/>
          </w:divBdr>
        </w:div>
      </w:divsChild>
    </w:div>
    <w:div w:id="1237713830">
      <w:bodyDiv w:val="1"/>
      <w:marLeft w:val="0"/>
      <w:marRight w:val="0"/>
      <w:marTop w:val="0"/>
      <w:marBottom w:val="0"/>
      <w:divBdr>
        <w:top w:val="none" w:sz="0" w:space="0" w:color="auto"/>
        <w:left w:val="none" w:sz="0" w:space="0" w:color="auto"/>
        <w:bottom w:val="none" w:sz="0" w:space="0" w:color="auto"/>
        <w:right w:val="none" w:sz="0" w:space="0" w:color="auto"/>
      </w:divBdr>
      <w:divsChild>
        <w:div w:id="2013414453">
          <w:marLeft w:val="0"/>
          <w:marRight w:val="0"/>
          <w:marTop w:val="0"/>
          <w:marBottom w:val="0"/>
          <w:divBdr>
            <w:top w:val="none" w:sz="0" w:space="0" w:color="auto"/>
            <w:left w:val="none" w:sz="0" w:space="0" w:color="auto"/>
            <w:bottom w:val="none" w:sz="0" w:space="0" w:color="auto"/>
            <w:right w:val="none" w:sz="0" w:space="0" w:color="auto"/>
          </w:divBdr>
        </w:div>
      </w:divsChild>
    </w:div>
    <w:div w:id="1237937574">
      <w:marLeft w:val="0"/>
      <w:marRight w:val="0"/>
      <w:marTop w:val="0"/>
      <w:marBottom w:val="0"/>
      <w:divBdr>
        <w:top w:val="none" w:sz="0" w:space="0" w:color="auto"/>
        <w:left w:val="none" w:sz="0" w:space="0" w:color="auto"/>
        <w:bottom w:val="none" w:sz="0" w:space="0" w:color="auto"/>
        <w:right w:val="none" w:sz="0" w:space="0" w:color="auto"/>
      </w:divBdr>
    </w:div>
    <w:div w:id="1409155498">
      <w:bodyDiv w:val="1"/>
      <w:marLeft w:val="0"/>
      <w:marRight w:val="0"/>
      <w:marTop w:val="0"/>
      <w:marBottom w:val="0"/>
      <w:divBdr>
        <w:top w:val="none" w:sz="0" w:space="0" w:color="auto"/>
        <w:left w:val="none" w:sz="0" w:space="0" w:color="auto"/>
        <w:bottom w:val="none" w:sz="0" w:space="0" w:color="auto"/>
        <w:right w:val="none" w:sz="0" w:space="0" w:color="auto"/>
      </w:divBdr>
    </w:div>
    <w:div w:id="1410925346">
      <w:bodyDiv w:val="1"/>
      <w:marLeft w:val="0"/>
      <w:marRight w:val="0"/>
      <w:marTop w:val="0"/>
      <w:marBottom w:val="0"/>
      <w:divBdr>
        <w:top w:val="none" w:sz="0" w:space="0" w:color="auto"/>
        <w:left w:val="none" w:sz="0" w:space="0" w:color="auto"/>
        <w:bottom w:val="none" w:sz="0" w:space="0" w:color="auto"/>
        <w:right w:val="none" w:sz="0" w:space="0" w:color="auto"/>
      </w:divBdr>
    </w:div>
    <w:div w:id="1441948880">
      <w:bodyDiv w:val="1"/>
      <w:marLeft w:val="0"/>
      <w:marRight w:val="0"/>
      <w:marTop w:val="0"/>
      <w:marBottom w:val="0"/>
      <w:divBdr>
        <w:top w:val="none" w:sz="0" w:space="0" w:color="auto"/>
        <w:left w:val="none" w:sz="0" w:space="0" w:color="auto"/>
        <w:bottom w:val="none" w:sz="0" w:space="0" w:color="auto"/>
        <w:right w:val="none" w:sz="0" w:space="0" w:color="auto"/>
      </w:divBdr>
    </w:div>
    <w:div w:id="1491293446">
      <w:bodyDiv w:val="1"/>
      <w:marLeft w:val="0"/>
      <w:marRight w:val="0"/>
      <w:marTop w:val="0"/>
      <w:marBottom w:val="0"/>
      <w:divBdr>
        <w:top w:val="none" w:sz="0" w:space="0" w:color="auto"/>
        <w:left w:val="none" w:sz="0" w:space="0" w:color="auto"/>
        <w:bottom w:val="none" w:sz="0" w:space="0" w:color="auto"/>
        <w:right w:val="none" w:sz="0" w:space="0" w:color="auto"/>
      </w:divBdr>
    </w:div>
    <w:div w:id="1609505145">
      <w:bodyDiv w:val="1"/>
      <w:marLeft w:val="0"/>
      <w:marRight w:val="0"/>
      <w:marTop w:val="0"/>
      <w:marBottom w:val="0"/>
      <w:divBdr>
        <w:top w:val="none" w:sz="0" w:space="0" w:color="auto"/>
        <w:left w:val="none" w:sz="0" w:space="0" w:color="auto"/>
        <w:bottom w:val="none" w:sz="0" w:space="0" w:color="auto"/>
        <w:right w:val="none" w:sz="0" w:space="0" w:color="auto"/>
      </w:divBdr>
    </w:div>
    <w:div w:id="1748379978">
      <w:bodyDiv w:val="1"/>
      <w:marLeft w:val="0"/>
      <w:marRight w:val="0"/>
      <w:marTop w:val="0"/>
      <w:marBottom w:val="0"/>
      <w:divBdr>
        <w:top w:val="none" w:sz="0" w:space="0" w:color="auto"/>
        <w:left w:val="none" w:sz="0" w:space="0" w:color="auto"/>
        <w:bottom w:val="none" w:sz="0" w:space="0" w:color="auto"/>
        <w:right w:val="none" w:sz="0" w:space="0" w:color="auto"/>
      </w:divBdr>
    </w:div>
    <w:div w:id="1939751816">
      <w:bodyDiv w:val="1"/>
      <w:marLeft w:val="0"/>
      <w:marRight w:val="0"/>
      <w:marTop w:val="0"/>
      <w:marBottom w:val="0"/>
      <w:divBdr>
        <w:top w:val="none" w:sz="0" w:space="0" w:color="auto"/>
        <w:left w:val="none" w:sz="0" w:space="0" w:color="auto"/>
        <w:bottom w:val="none" w:sz="0" w:space="0" w:color="auto"/>
        <w:right w:val="none" w:sz="0" w:space="0" w:color="auto"/>
      </w:divBdr>
    </w:div>
    <w:div w:id="1949308266">
      <w:bodyDiv w:val="1"/>
      <w:marLeft w:val="0"/>
      <w:marRight w:val="0"/>
      <w:marTop w:val="0"/>
      <w:marBottom w:val="0"/>
      <w:divBdr>
        <w:top w:val="none" w:sz="0" w:space="0" w:color="auto"/>
        <w:left w:val="none" w:sz="0" w:space="0" w:color="auto"/>
        <w:bottom w:val="none" w:sz="0" w:space="0" w:color="auto"/>
        <w:right w:val="none" w:sz="0" w:space="0" w:color="auto"/>
      </w:divBdr>
    </w:div>
    <w:div w:id="1997301538">
      <w:bodyDiv w:val="1"/>
      <w:marLeft w:val="0"/>
      <w:marRight w:val="0"/>
      <w:marTop w:val="0"/>
      <w:marBottom w:val="0"/>
      <w:divBdr>
        <w:top w:val="none" w:sz="0" w:space="0" w:color="auto"/>
        <w:left w:val="none" w:sz="0" w:space="0" w:color="auto"/>
        <w:bottom w:val="none" w:sz="0" w:space="0" w:color="auto"/>
        <w:right w:val="none" w:sz="0" w:space="0" w:color="auto"/>
      </w:divBdr>
    </w:div>
    <w:div w:id="2102951647">
      <w:marLeft w:val="0"/>
      <w:marRight w:val="0"/>
      <w:marTop w:val="0"/>
      <w:marBottom w:val="0"/>
      <w:divBdr>
        <w:top w:val="none" w:sz="0" w:space="0" w:color="auto"/>
        <w:left w:val="none" w:sz="0" w:space="0" w:color="auto"/>
        <w:bottom w:val="none" w:sz="0" w:space="0" w:color="auto"/>
        <w:right w:val="none" w:sz="0" w:space="0" w:color="auto"/>
      </w:divBdr>
    </w:div>
    <w:div w:id="214611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health.vic.gov.au/publications/victorias-digital-health-roadmap" TargetMode="External"/><Relationship Id="rId26" Type="http://schemas.openxmlformats.org/officeDocument/2006/relationships/footer" Target="footer5.xml"/><Relationship Id="rId39" Type="http://schemas.openxmlformats.org/officeDocument/2006/relationships/image" Target="media/image17.png"/><Relationship Id="rId21" Type="http://schemas.openxmlformats.org/officeDocument/2006/relationships/image" Target="media/image3.png"/><Relationship Id="rId34" Type="http://schemas.openxmlformats.org/officeDocument/2006/relationships/image" Target="media/image12.png"/><Relationship Id="rId42" Type="http://schemas.openxmlformats.org/officeDocument/2006/relationships/image" Target="media/image2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4.xm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5.png"/><Relationship Id="rId28" Type="http://schemas.openxmlformats.org/officeDocument/2006/relationships/image" Target="media/image6.png"/><Relationship Id="rId36" Type="http://schemas.openxmlformats.org/officeDocument/2006/relationships/image" Target="media/image14.png"/><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image" Target="media/image9.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4.png"/><Relationship Id="rId27" Type="http://schemas.openxmlformats.org/officeDocument/2006/relationships/footer" Target="footer6.xml"/><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image" Target="media/image21.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5.xml"/><Relationship Id="rId33" Type="http://schemas.openxmlformats.org/officeDocument/2006/relationships/image" Target="media/image11.png"/><Relationship Id="rId38" Type="http://schemas.openxmlformats.org/officeDocument/2006/relationships/image" Target="media/image16.png"/><Relationship Id="rId46" Type="http://schemas.microsoft.com/office/2019/05/relationships/documenttasks" Target="documenttasks/documenttasks1.xml"/><Relationship Id="rId20" Type="http://schemas.openxmlformats.org/officeDocument/2006/relationships/image" Target="media/image2.png"/><Relationship Id="rId41" Type="http://schemas.openxmlformats.org/officeDocument/2006/relationships/image" Target="media/image19.png"/></Relationships>
</file>

<file path=word/_rels/footnotes.xml.rels><?xml version="1.0" encoding="UTF-8" standalone="yes"?>
<Relationships xmlns="http://schemas.openxmlformats.org/package/2006/relationships"><Relationship Id="rId8" Type="http://schemas.openxmlformats.org/officeDocument/2006/relationships/hyperlink" Target="https://www.aihw.gov.au/reports/australias-health/chronic-conditions" TargetMode="External"/><Relationship Id="rId13" Type="http://schemas.openxmlformats.org/officeDocument/2006/relationships/hyperlink" Target="https://www.health.vic.gov.au/healthcare-reform/health-services-plan" TargetMode="External"/><Relationship Id="rId18" Type="http://schemas.openxmlformats.org/officeDocument/2006/relationships/hyperlink" Target="https://www.vaccho.org.au/policies/vaccho-position-statement-on-indigenous-data-sovereignty/" TargetMode="External"/><Relationship Id="rId3" Type="http://schemas.openxmlformats.org/officeDocument/2006/relationships/hyperlink" Target="https://www.firstpeoplesrelations.vic.gov.au/sites/default/files/2025-11/Victorias-Statewide-Treaty-SIGNED.pdf" TargetMode="External"/><Relationship Id="rId7" Type="http://schemas.openxmlformats.org/officeDocument/2006/relationships/hyperlink" Target="https://www.pc.gov.au/inquiries-and-research/digital-healthcare" TargetMode="External"/><Relationship Id="rId12" Type="http://schemas.openxmlformats.org/officeDocument/2006/relationships/hyperlink" Target="https://www.infrastructurevictoria.com.au/infrastructure-strategy" TargetMode="External"/><Relationship Id="rId17" Type="http://schemas.openxmlformats.org/officeDocument/2006/relationships/hyperlink" Target="https://www.health.vic.gov.au/quality-safety-service/victorias-digital-health-maturity-model" TargetMode="External"/><Relationship Id="rId2" Type="http://schemas.openxmlformats.org/officeDocument/2006/relationships/hyperlink" Target="https://www.closingthegap.gov.au/national-agreement" TargetMode="External"/><Relationship Id="rId16" Type="http://schemas.openxmlformats.org/officeDocument/2006/relationships/hyperlink" Target="https://www.health.vic.gov.au/planned-surgery-reform-blueprint" TargetMode="External"/><Relationship Id="rId1" Type="http://schemas.openxmlformats.org/officeDocument/2006/relationships/hyperlink" Target="https://www.vaccho.org.au/wp-content/uploads/2023/06/Aboriginal-Health-and-Wellbeing-Agreement-2022-2032-FINAL-22-Mar-23.pdf" TargetMode="External"/><Relationship Id="rId6" Type="http://schemas.openxmlformats.org/officeDocument/2006/relationships/hyperlink" Target="https://www.infrastructurevictoria.com.au/resources/victorias-30-year-strategy" TargetMode="External"/><Relationship Id="rId11" Type="http://schemas.openxmlformats.org/officeDocument/2006/relationships/hyperlink" Target="https://www.digitalhealth.gov.au/sites/default/files/documents/national-digital-health-strategy-2023-2028.pdf" TargetMode="External"/><Relationship Id="rId5" Type="http://schemas.openxmlformats.org/officeDocument/2006/relationships/hyperlink" Target="https://www.ihacpa.gov.au/resources/virtual-care-project-final-report" TargetMode="External"/><Relationship Id="rId15" Type="http://schemas.openxmlformats.org/officeDocument/2006/relationships/hyperlink" Target="https://www.health.vic.gov.au/patient-care/specialist-care-reform" TargetMode="External"/><Relationship Id="rId10" Type="http://schemas.openxmlformats.org/officeDocument/2006/relationships/hyperlink" Target="https://chf.org.au/get-involved/australia-s-health-panel/what-australia-s-health-panel-said-about-artificial-intelligence-in-healthcare-ju" TargetMode="External"/><Relationship Id="rId4" Type="http://schemas.openxmlformats.org/officeDocument/2006/relationships/hyperlink" Target="https://www.health.vic.gov.au/healthcare-reform/health-services-plan" TargetMode="External"/><Relationship Id="rId9" Type="http://schemas.openxmlformats.org/officeDocument/2006/relationships/hyperlink" Target="https://www.aihw.gov.au/reports-data/health-conditions-disability-deaths/chronic-disease/overview" TargetMode="External"/><Relationship Id="rId14" Type="http://schemas.openxmlformats.org/officeDocument/2006/relationships/hyperlink" Target="https://www.safercare.vic.gov.au/sites/default/files/2025-11/Vic%20Maternity%20Taskforce%20Report.pdf" TargetMode="External"/></Relationships>
</file>

<file path=word/documenttasks/documenttasks1.xml><?xml version="1.0" encoding="utf-8"?>
<t:Tasks xmlns:t="http://schemas.microsoft.com/office/tasks/2019/documenttasks" xmlns:oel="http://schemas.microsoft.com/office/2019/extlst">
  <t:Task id="{81A3A154-3A7D-4125-94CF-9EC95054E45B}">
    <t:Anchor>
      <t:Comment id="1315136231"/>
    </t:Anchor>
    <t:History>
      <t:Event id="{8A30460E-FE6C-4E76-BA46-A5518E610BBD}" time="2026-07-21T21:43:32.078Z">
        <t:Attribution userId="S::sharon.hakkennes@health.vic.gov.au::8188b30d-5481-4dcd-96f2-fa28defbaf60" userProvider="AD" userName="Sharon Hakkennes (Health)"/>
        <t:Anchor>
          <t:Comment id="1315136231"/>
        </t:Anchor>
        <t:Create/>
      </t:Event>
      <t:Event id="{AAEE321D-F83A-4C3B-B48D-F289BB9BA332}" time="2026-07-21T21:43:32.078Z">
        <t:Attribution userId="S::sharon.hakkennes@health.vic.gov.au::8188b30d-5481-4dcd-96f2-fa28defbaf60" userProvider="AD" userName="Sharon Hakkennes (Health)"/>
        <t:Anchor>
          <t:Comment id="1315136231"/>
        </t:Anchor>
        <t:Assign userId="S::jennifer.andersen@health.vic.gov.au::e76890e2-6394-4cf2-b04e-1d8ba7f1c47d" userProvider="AD" userName="Jennifer Andersen (Health)"/>
      </t:Event>
      <t:Event id="{82C574AB-8AB9-40C9-A826-E56B5D204192}" time="2026-07-21T21:43:32.078Z">
        <t:Attribution userId="S::sharon.hakkennes@health.vic.gov.au::8188b30d-5481-4dcd-96f2-fa28defbaf60" userProvider="AD" userName="Sharon Hakkennes (Health)"/>
        <t:Anchor>
          <t:Comment id="1315136231"/>
        </t:Anchor>
        <t:SetTitle title="@Jennifer Andersen (Health) I think we need to broaden our definition of Health Services in the glossary to include public community and mental health services (PSRACs are covered in public hospitals as these services are provided by those hospitals)"/>
      </t:Event>
      <t:Event id="{DB16FEBA-26B3-41C5-B02B-440BEB1D8F0B}" time="2026-07-22T06:00:09.364Z">
        <t:Attribution userId="S::jennifer.andersen@health.vic.gov.au::e76890e2-6394-4cf2-b04e-1d8ba7f1c47d" userProvider="AD" userName="Jennifer Andersen (Health)"/>
        <t:Progress percentComplete="100"/>
      </t:Event>
      <t:Event id="{49732C5E-B3AA-4343-BD5B-5DCA3B7BED98}" time="2026-07-22T06:00:12.948Z">
        <t:Attribution userId="S::jennifer.andersen@health.vic.gov.au::e76890e2-6394-4cf2-b04e-1d8ba7f1c47d" userProvider="AD" userName="Jennifer Andersen (Health)"/>
        <t:Undo id="{DB16FEBA-26B3-41C5-B02B-440BEB1D8F0B}"/>
      </t:Event>
      <t:Event id="{D09CB248-9FA1-4F15-86D2-5FA92159EC2E}" time="2026-07-23T01:43:11.052Z">
        <t:Attribution userId="S::jennifer.andersen@health.vic.gov.au::e76890e2-6394-4cf2-b04e-1d8ba7f1c47d" userProvider="AD" userName="Jennifer Andersen (Health)"/>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1f33072-dc9d-42af-a223-94bedab1aa44" xsi:nil="true"/>
    <lcf76f155ced4ddcb4097134ff3c332f xmlns="bea91c73-9d69-47e0-b150-ee4e1b8bf95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58481F3B902E4D80F79F1B55F713E6" ma:contentTypeVersion="9" ma:contentTypeDescription="Create a new document." ma:contentTypeScope="" ma:versionID="145e61376a47841d53d8c40c1c8e3a80">
  <xsd:schema xmlns:xsd="http://www.w3.org/2001/XMLSchema" xmlns:xs="http://www.w3.org/2001/XMLSchema" xmlns:p="http://schemas.microsoft.com/office/2006/metadata/properties" xmlns:ns2="bea91c73-9d69-47e0-b150-ee4e1b8bf956" xmlns:ns3="01f33072-dc9d-42af-a223-94bedab1aa44" targetNamespace="http://schemas.microsoft.com/office/2006/metadata/properties" ma:root="true" ma:fieldsID="95f100d079d794343f28378b1dbb944d" ns2:_="" ns3:_="">
    <xsd:import namespace="bea91c73-9d69-47e0-b150-ee4e1b8bf956"/>
    <xsd:import namespace="01f33072-dc9d-42af-a223-94bedab1aa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91c73-9d69-47e0-b150-ee4e1b8bf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f33072-dc9d-42af-a223-94bedab1aa4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cb39ca-d999-4bc7-9ed9-20b67654208e}" ma:internalName="TaxCatchAll" ma:showField="CatchAllData" ma:web="01f33072-dc9d-42af-a223-94bedab1aa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AC28CD-794A-4DE5-9080-AF945367D2AC}">
  <ds:schemaRefs>
    <ds:schemaRef ds:uri="http://schemas.microsoft.com/office/2006/metadata/properties"/>
    <ds:schemaRef ds:uri="http://schemas.microsoft.com/office/infopath/2007/PartnerControls"/>
    <ds:schemaRef ds:uri="01f33072-dc9d-42af-a223-94bedab1aa44"/>
    <ds:schemaRef ds:uri="bea91c73-9d69-47e0-b150-ee4e1b8bf956"/>
  </ds:schemaRefs>
</ds:datastoreItem>
</file>

<file path=customXml/itemProps2.xml><?xml version="1.0" encoding="utf-8"?>
<ds:datastoreItem xmlns:ds="http://schemas.openxmlformats.org/officeDocument/2006/customXml" ds:itemID="{D0FCF52A-1CD2-4EF1-BDF5-EAD47DD29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91c73-9d69-47e0-b150-ee4e1b8bf956"/>
    <ds:schemaRef ds:uri="01f33072-dc9d-42af-a223-94bedab1aa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197775-4BB8-434A-BEFB-F7AB0B36ED32}">
  <ds:schemaRefs>
    <ds:schemaRef ds:uri="http://schemas.openxmlformats.org/officeDocument/2006/bibliography"/>
  </ds:schemaRefs>
</ds:datastoreItem>
</file>

<file path=customXml/itemProps4.xml><?xml version="1.0" encoding="utf-8"?>
<ds:datastoreItem xmlns:ds="http://schemas.openxmlformats.org/officeDocument/2006/customXml" ds:itemID="{58CE1EBB-C189-4849-810F-0EC61D30BA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65</Pages>
  <Words>16609</Words>
  <Characters>106800</Characters>
  <Application>Microsoft Office Word</Application>
  <DocSecurity>0</DocSecurity>
  <Lines>2604</Lines>
  <Paragraphs>1209</Paragraphs>
  <ScaleCrop>false</ScaleCrop>
  <HeadingPairs>
    <vt:vector size="2" baseType="variant">
      <vt:variant>
        <vt:lpstr>Title</vt:lpstr>
      </vt:variant>
      <vt:variant>
        <vt:i4>1</vt:i4>
      </vt:variant>
    </vt:vector>
  </HeadingPairs>
  <TitlesOfParts>
    <vt:vector size="1" baseType="lpstr">
      <vt:lpstr>Victoria’s digital health vision and roadmap 2026–31</vt:lpstr>
    </vt:vector>
  </TitlesOfParts>
  <Manager/>
  <Company>Victoria State Government, Department of Health</Company>
  <LinksUpToDate>false</LinksUpToDate>
  <CharactersWithSpaces>122200</CharactersWithSpaces>
  <SharedDoc>false</SharedDoc>
  <HyperlinkBase/>
  <HLinks>
    <vt:vector size="480" baseType="variant">
      <vt:variant>
        <vt:i4>1114162</vt:i4>
      </vt:variant>
      <vt:variant>
        <vt:i4>356</vt:i4>
      </vt:variant>
      <vt:variant>
        <vt:i4>0</vt:i4>
      </vt:variant>
      <vt:variant>
        <vt:i4>5</vt:i4>
      </vt:variant>
      <vt:variant>
        <vt:lpwstr/>
      </vt:variant>
      <vt:variant>
        <vt:lpwstr>_Toc242436108</vt:lpwstr>
      </vt:variant>
      <vt:variant>
        <vt:i4>1114162</vt:i4>
      </vt:variant>
      <vt:variant>
        <vt:i4>350</vt:i4>
      </vt:variant>
      <vt:variant>
        <vt:i4>0</vt:i4>
      </vt:variant>
      <vt:variant>
        <vt:i4>5</vt:i4>
      </vt:variant>
      <vt:variant>
        <vt:lpwstr/>
      </vt:variant>
      <vt:variant>
        <vt:lpwstr>_Toc242436107</vt:lpwstr>
      </vt:variant>
      <vt:variant>
        <vt:i4>1114162</vt:i4>
      </vt:variant>
      <vt:variant>
        <vt:i4>344</vt:i4>
      </vt:variant>
      <vt:variant>
        <vt:i4>0</vt:i4>
      </vt:variant>
      <vt:variant>
        <vt:i4>5</vt:i4>
      </vt:variant>
      <vt:variant>
        <vt:lpwstr/>
      </vt:variant>
      <vt:variant>
        <vt:lpwstr>_Toc242436106</vt:lpwstr>
      </vt:variant>
      <vt:variant>
        <vt:i4>1114162</vt:i4>
      </vt:variant>
      <vt:variant>
        <vt:i4>338</vt:i4>
      </vt:variant>
      <vt:variant>
        <vt:i4>0</vt:i4>
      </vt:variant>
      <vt:variant>
        <vt:i4>5</vt:i4>
      </vt:variant>
      <vt:variant>
        <vt:lpwstr/>
      </vt:variant>
      <vt:variant>
        <vt:lpwstr>_Toc242436105</vt:lpwstr>
      </vt:variant>
      <vt:variant>
        <vt:i4>1114162</vt:i4>
      </vt:variant>
      <vt:variant>
        <vt:i4>332</vt:i4>
      </vt:variant>
      <vt:variant>
        <vt:i4>0</vt:i4>
      </vt:variant>
      <vt:variant>
        <vt:i4>5</vt:i4>
      </vt:variant>
      <vt:variant>
        <vt:lpwstr/>
      </vt:variant>
      <vt:variant>
        <vt:lpwstr>_Toc242436104</vt:lpwstr>
      </vt:variant>
      <vt:variant>
        <vt:i4>1114162</vt:i4>
      </vt:variant>
      <vt:variant>
        <vt:i4>326</vt:i4>
      </vt:variant>
      <vt:variant>
        <vt:i4>0</vt:i4>
      </vt:variant>
      <vt:variant>
        <vt:i4>5</vt:i4>
      </vt:variant>
      <vt:variant>
        <vt:lpwstr/>
      </vt:variant>
      <vt:variant>
        <vt:lpwstr>_Toc242436103</vt:lpwstr>
      </vt:variant>
      <vt:variant>
        <vt:i4>1114162</vt:i4>
      </vt:variant>
      <vt:variant>
        <vt:i4>320</vt:i4>
      </vt:variant>
      <vt:variant>
        <vt:i4>0</vt:i4>
      </vt:variant>
      <vt:variant>
        <vt:i4>5</vt:i4>
      </vt:variant>
      <vt:variant>
        <vt:lpwstr/>
      </vt:variant>
      <vt:variant>
        <vt:lpwstr>_Toc242436102</vt:lpwstr>
      </vt:variant>
      <vt:variant>
        <vt:i4>1114162</vt:i4>
      </vt:variant>
      <vt:variant>
        <vt:i4>314</vt:i4>
      </vt:variant>
      <vt:variant>
        <vt:i4>0</vt:i4>
      </vt:variant>
      <vt:variant>
        <vt:i4>5</vt:i4>
      </vt:variant>
      <vt:variant>
        <vt:lpwstr/>
      </vt:variant>
      <vt:variant>
        <vt:lpwstr>_Toc242436101</vt:lpwstr>
      </vt:variant>
      <vt:variant>
        <vt:i4>1114162</vt:i4>
      </vt:variant>
      <vt:variant>
        <vt:i4>308</vt:i4>
      </vt:variant>
      <vt:variant>
        <vt:i4>0</vt:i4>
      </vt:variant>
      <vt:variant>
        <vt:i4>5</vt:i4>
      </vt:variant>
      <vt:variant>
        <vt:lpwstr/>
      </vt:variant>
      <vt:variant>
        <vt:lpwstr>_Toc242436100</vt:lpwstr>
      </vt:variant>
      <vt:variant>
        <vt:i4>1572915</vt:i4>
      </vt:variant>
      <vt:variant>
        <vt:i4>302</vt:i4>
      </vt:variant>
      <vt:variant>
        <vt:i4>0</vt:i4>
      </vt:variant>
      <vt:variant>
        <vt:i4>5</vt:i4>
      </vt:variant>
      <vt:variant>
        <vt:lpwstr/>
      </vt:variant>
      <vt:variant>
        <vt:lpwstr>_Toc242436099</vt:lpwstr>
      </vt:variant>
      <vt:variant>
        <vt:i4>1572915</vt:i4>
      </vt:variant>
      <vt:variant>
        <vt:i4>296</vt:i4>
      </vt:variant>
      <vt:variant>
        <vt:i4>0</vt:i4>
      </vt:variant>
      <vt:variant>
        <vt:i4>5</vt:i4>
      </vt:variant>
      <vt:variant>
        <vt:lpwstr/>
      </vt:variant>
      <vt:variant>
        <vt:lpwstr>_Toc242436098</vt:lpwstr>
      </vt:variant>
      <vt:variant>
        <vt:i4>1572915</vt:i4>
      </vt:variant>
      <vt:variant>
        <vt:i4>290</vt:i4>
      </vt:variant>
      <vt:variant>
        <vt:i4>0</vt:i4>
      </vt:variant>
      <vt:variant>
        <vt:i4>5</vt:i4>
      </vt:variant>
      <vt:variant>
        <vt:lpwstr/>
      </vt:variant>
      <vt:variant>
        <vt:lpwstr>_Toc242436097</vt:lpwstr>
      </vt:variant>
      <vt:variant>
        <vt:i4>1572915</vt:i4>
      </vt:variant>
      <vt:variant>
        <vt:i4>284</vt:i4>
      </vt:variant>
      <vt:variant>
        <vt:i4>0</vt:i4>
      </vt:variant>
      <vt:variant>
        <vt:i4>5</vt:i4>
      </vt:variant>
      <vt:variant>
        <vt:lpwstr/>
      </vt:variant>
      <vt:variant>
        <vt:lpwstr>_Toc242436096</vt:lpwstr>
      </vt:variant>
      <vt:variant>
        <vt:i4>1572915</vt:i4>
      </vt:variant>
      <vt:variant>
        <vt:i4>278</vt:i4>
      </vt:variant>
      <vt:variant>
        <vt:i4>0</vt:i4>
      </vt:variant>
      <vt:variant>
        <vt:i4>5</vt:i4>
      </vt:variant>
      <vt:variant>
        <vt:lpwstr/>
      </vt:variant>
      <vt:variant>
        <vt:lpwstr>_Toc242436095</vt:lpwstr>
      </vt:variant>
      <vt:variant>
        <vt:i4>1572915</vt:i4>
      </vt:variant>
      <vt:variant>
        <vt:i4>272</vt:i4>
      </vt:variant>
      <vt:variant>
        <vt:i4>0</vt:i4>
      </vt:variant>
      <vt:variant>
        <vt:i4>5</vt:i4>
      </vt:variant>
      <vt:variant>
        <vt:lpwstr/>
      </vt:variant>
      <vt:variant>
        <vt:lpwstr>_Toc242436094</vt:lpwstr>
      </vt:variant>
      <vt:variant>
        <vt:i4>1572915</vt:i4>
      </vt:variant>
      <vt:variant>
        <vt:i4>266</vt:i4>
      </vt:variant>
      <vt:variant>
        <vt:i4>0</vt:i4>
      </vt:variant>
      <vt:variant>
        <vt:i4>5</vt:i4>
      </vt:variant>
      <vt:variant>
        <vt:lpwstr/>
      </vt:variant>
      <vt:variant>
        <vt:lpwstr>_Toc242436093</vt:lpwstr>
      </vt:variant>
      <vt:variant>
        <vt:i4>1572915</vt:i4>
      </vt:variant>
      <vt:variant>
        <vt:i4>260</vt:i4>
      </vt:variant>
      <vt:variant>
        <vt:i4>0</vt:i4>
      </vt:variant>
      <vt:variant>
        <vt:i4>5</vt:i4>
      </vt:variant>
      <vt:variant>
        <vt:lpwstr/>
      </vt:variant>
      <vt:variant>
        <vt:lpwstr>_Toc242436092</vt:lpwstr>
      </vt:variant>
      <vt:variant>
        <vt:i4>1572915</vt:i4>
      </vt:variant>
      <vt:variant>
        <vt:i4>254</vt:i4>
      </vt:variant>
      <vt:variant>
        <vt:i4>0</vt:i4>
      </vt:variant>
      <vt:variant>
        <vt:i4>5</vt:i4>
      </vt:variant>
      <vt:variant>
        <vt:lpwstr/>
      </vt:variant>
      <vt:variant>
        <vt:lpwstr>_Toc242436091</vt:lpwstr>
      </vt:variant>
      <vt:variant>
        <vt:i4>1572915</vt:i4>
      </vt:variant>
      <vt:variant>
        <vt:i4>248</vt:i4>
      </vt:variant>
      <vt:variant>
        <vt:i4>0</vt:i4>
      </vt:variant>
      <vt:variant>
        <vt:i4>5</vt:i4>
      </vt:variant>
      <vt:variant>
        <vt:lpwstr/>
      </vt:variant>
      <vt:variant>
        <vt:lpwstr>_Toc242436090</vt:lpwstr>
      </vt:variant>
      <vt:variant>
        <vt:i4>1638451</vt:i4>
      </vt:variant>
      <vt:variant>
        <vt:i4>242</vt:i4>
      </vt:variant>
      <vt:variant>
        <vt:i4>0</vt:i4>
      </vt:variant>
      <vt:variant>
        <vt:i4>5</vt:i4>
      </vt:variant>
      <vt:variant>
        <vt:lpwstr/>
      </vt:variant>
      <vt:variant>
        <vt:lpwstr>_Toc242436089</vt:lpwstr>
      </vt:variant>
      <vt:variant>
        <vt:i4>1638451</vt:i4>
      </vt:variant>
      <vt:variant>
        <vt:i4>236</vt:i4>
      </vt:variant>
      <vt:variant>
        <vt:i4>0</vt:i4>
      </vt:variant>
      <vt:variant>
        <vt:i4>5</vt:i4>
      </vt:variant>
      <vt:variant>
        <vt:lpwstr/>
      </vt:variant>
      <vt:variant>
        <vt:lpwstr>_Toc242436088</vt:lpwstr>
      </vt:variant>
      <vt:variant>
        <vt:i4>1638451</vt:i4>
      </vt:variant>
      <vt:variant>
        <vt:i4>230</vt:i4>
      </vt:variant>
      <vt:variant>
        <vt:i4>0</vt:i4>
      </vt:variant>
      <vt:variant>
        <vt:i4>5</vt:i4>
      </vt:variant>
      <vt:variant>
        <vt:lpwstr/>
      </vt:variant>
      <vt:variant>
        <vt:lpwstr>_Toc242436087</vt:lpwstr>
      </vt:variant>
      <vt:variant>
        <vt:i4>1638451</vt:i4>
      </vt:variant>
      <vt:variant>
        <vt:i4>224</vt:i4>
      </vt:variant>
      <vt:variant>
        <vt:i4>0</vt:i4>
      </vt:variant>
      <vt:variant>
        <vt:i4>5</vt:i4>
      </vt:variant>
      <vt:variant>
        <vt:lpwstr/>
      </vt:variant>
      <vt:variant>
        <vt:lpwstr>_Toc242436086</vt:lpwstr>
      </vt:variant>
      <vt:variant>
        <vt:i4>1638451</vt:i4>
      </vt:variant>
      <vt:variant>
        <vt:i4>218</vt:i4>
      </vt:variant>
      <vt:variant>
        <vt:i4>0</vt:i4>
      </vt:variant>
      <vt:variant>
        <vt:i4>5</vt:i4>
      </vt:variant>
      <vt:variant>
        <vt:lpwstr/>
      </vt:variant>
      <vt:variant>
        <vt:lpwstr>_Toc242436085</vt:lpwstr>
      </vt:variant>
      <vt:variant>
        <vt:i4>1638451</vt:i4>
      </vt:variant>
      <vt:variant>
        <vt:i4>212</vt:i4>
      </vt:variant>
      <vt:variant>
        <vt:i4>0</vt:i4>
      </vt:variant>
      <vt:variant>
        <vt:i4>5</vt:i4>
      </vt:variant>
      <vt:variant>
        <vt:lpwstr/>
      </vt:variant>
      <vt:variant>
        <vt:lpwstr>_Toc242436084</vt:lpwstr>
      </vt:variant>
      <vt:variant>
        <vt:i4>1638451</vt:i4>
      </vt:variant>
      <vt:variant>
        <vt:i4>206</vt:i4>
      </vt:variant>
      <vt:variant>
        <vt:i4>0</vt:i4>
      </vt:variant>
      <vt:variant>
        <vt:i4>5</vt:i4>
      </vt:variant>
      <vt:variant>
        <vt:lpwstr/>
      </vt:variant>
      <vt:variant>
        <vt:lpwstr>_Toc242436083</vt:lpwstr>
      </vt:variant>
      <vt:variant>
        <vt:i4>1638451</vt:i4>
      </vt:variant>
      <vt:variant>
        <vt:i4>200</vt:i4>
      </vt:variant>
      <vt:variant>
        <vt:i4>0</vt:i4>
      </vt:variant>
      <vt:variant>
        <vt:i4>5</vt:i4>
      </vt:variant>
      <vt:variant>
        <vt:lpwstr/>
      </vt:variant>
      <vt:variant>
        <vt:lpwstr>_Toc242436082</vt:lpwstr>
      </vt:variant>
      <vt:variant>
        <vt:i4>1638451</vt:i4>
      </vt:variant>
      <vt:variant>
        <vt:i4>194</vt:i4>
      </vt:variant>
      <vt:variant>
        <vt:i4>0</vt:i4>
      </vt:variant>
      <vt:variant>
        <vt:i4>5</vt:i4>
      </vt:variant>
      <vt:variant>
        <vt:lpwstr/>
      </vt:variant>
      <vt:variant>
        <vt:lpwstr>_Toc242436081</vt:lpwstr>
      </vt:variant>
      <vt:variant>
        <vt:i4>1638451</vt:i4>
      </vt:variant>
      <vt:variant>
        <vt:i4>188</vt:i4>
      </vt:variant>
      <vt:variant>
        <vt:i4>0</vt:i4>
      </vt:variant>
      <vt:variant>
        <vt:i4>5</vt:i4>
      </vt:variant>
      <vt:variant>
        <vt:lpwstr/>
      </vt:variant>
      <vt:variant>
        <vt:lpwstr>_Toc242436080</vt:lpwstr>
      </vt:variant>
      <vt:variant>
        <vt:i4>1441843</vt:i4>
      </vt:variant>
      <vt:variant>
        <vt:i4>182</vt:i4>
      </vt:variant>
      <vt:variant>
        <vt:i4>0</vt:i4>
      </vt:variant>
      <vt:variant>
        <vt:i4>5</vt:i4>
      </vt:variant>
      <vt:variant>
        <vt:lpwstr/>
      </vt:variant>
      <vt:variant>
        <vt:lpwstr>_Toc242436079</vt:lpwstr>
      </vt:variant>
      <vt:variant>
        <vt:i4>1441843</vt:i4>
      </vt:variant>
      <vt:variant>
        <vt:i4>176</vt:i4>
      </vt:variant>
      <vt:variant>
        <vt:i4>0</vt:i4>
      </vt:variant>
      <vt:variant>
        <vt:i4>5</vt:i4>
      </vt:variant>
      <vt:variant>
        <vt:lpwstr/>
      </vt:variant>
      <vt:variant>
        <vt:lpwstr>_Toc242436078</vt:lpwstr>
      </vt:variant>
      <vt:variant>
        <vt:i4>1441843</vt:i4>
      </vt:variant>
      <vt:variant>
        <vt:i4>170</vt:i4>
      </vt:variant>
      <vt:variant>
        <vt:i4>0</vt:i4>
      </vt:variant>
      <vt:variant>
        <vt:i4>5</vt:i4>
      </vt:variant>
      <vt:variant>
        <vt:lpwstr/>
      </vt:variant>
      <vt:variant>
        <vt:lpwstr>_Toc242436077</vt:lpwstr>
      </vt:variant>
      <vt:variant>
        <vt:i4>1441843</vt:i4>
      </vt:variant>
      <vt:variant>
        <vt:i4>164</vt:i4>
      </vt:variant>
      <vt:variant>
        <vt:i4>0</vt:i4>
      </vt:variant>
      <vt:variant>
        <vt:i4>5</vt:i4>
      </vt:variant>
      <vt:variant>
        <vt:lpwstr/>
      </vt:variant>
      <vt:variant>
        <vt:lpwstr>_Toc242436076</vt:lpwstr>
      </vt:variant>
      <vt:variant>
        <vt:i4>1441843</vt:i4>
      </vt:variant>
      <vt:variant>
        <vt:i4>158</vt:i4>
      </vt:variant>
      <vt:variant>
        <vt:i4>0</vt:i4>
      </vt:variant>
      <vt:variant>
        <vt:i4>5</vt:i4>
      </vt:variant>
      <vt:variant>
        <vt:lpwstr/>
      </vt:variant>
      <vt:variant>
        <vt:lpwstr>_Toc242436075</vt:lpwstr>
      </vt:variant>
      <vt:variant>
        <vt:i4>1441843</vt:i4>
      </vt:variant>
      <vt:variant>
        <vt:i4>152</vt:i4>
      </vt:variant>
      <vt:variant>
        <vt:i4>0</vt:i4>
      </vt:variant>
      <vt:variant>
        <vt:i4>5</vt:i4>
      </vt:variant>
      <vt:variant>
        <vt:lpwstr/>
      </vt:variant>
      <vt:variant>
        <vt:lpwstr>_Toc242436074</vt:lpwstr>
      </vt:variant>
      <vt:variant>
        <vt:i4>1441843</vt:i4>
      </vt:variant>
      <vt:variant>
        <vt:i4>146</vt:i4>
      </vt:variant>
      <vt:variant>
        <vt:i4>0</vt:i4>
      </vt:variant>
      <vt:variant>
        <vt:i4>5</vt:i4>
      </vt:variant>
      <vt:variant>
        <vt:lpwstr/>
      </vt:variant>
      <vt:variant>
        <vt:lpwstr>_Toc242436073</vt:lpwstr>
      </vt:variant>
      <vt:variant>
        <vt:i4>1441843</vt:i4>
      </vt:variant>
      <vt:variant>
        <vt:i4>140</vt:i4>
      </vt:variant>
      <vt:variant>
        <vt:i4>0</vt:i4>
      </vt:variant>
      <vt:variant>
        <vt:i4>5</vt:i4>
      </vt:variant>
      <vt:variant>
        <vt:lpwstr/>
      </vt:variant>
      <vt:variant>
        <vt:lpwstr>_Toc242436072</vt:lpwstr>
      </vt:variant>
      <vt:variant>
        <vt:i4>1441843</vt:i4>
      </vt:variant>
      <vt:variant>
        <vt:i4>134</vt:i4>
      </vt:variant>
      <vt:variant>
        <vt:i4>0</vt:i4>
      </vt:variant>
      <vt:variant>
        <vt:i4>5</vt:i4>
      </vt:variant>
      <vt:variant>
        <vt:lpwstr/>
      </vt:variant>
      <vt:variant>
        <vt:lpwstr>_Toc242436071</vt:lpwstr>
      </vt:variant>
      <vt:variant>
        <vt:i4>1441843</vt:i4>
      </vt:variant>
      <vt:variant>
        <vt:i4>128</vt:i4>
      </vt:variant>
      <vt:variant>
        <vt:i4>0</vt:i4>
      </vt:variant>
      <vt:variant>
        <vt:i4>5</vt:i4>
      </vt:variant>
      <vt:variant>
        <vt:lpwstr/>
      </vt:variant>
      <vt:variant>
        <vt:lpwstr>_Toc242436070</vt:lpwstr>
      </vt:variant>
      <vt:variant>
        <vt:i4>1507379</vt:i4>
      </vt:variant>
      <vt:variant>
        <vt:i4>122</vt:i4>
      </vt:variant>
      <vt:variant>
        <vt:i4>0</vt:i4>
      </vt:variant>
      <vt:variant>
        <vt:i4>5</vt:i4>
      </vt:variant>
      <vt:variant>
        <vt:lpwstr/>
      </vt:variant>
      <vt:variant>
        <vt:lpwstr>_Toc242436069</vt:lpwstr>
      </vt:variant>
      <vt:variant>
        <vt:i4>1507379</vt:i4>
      </vt:variant>
      <vt:variant>
        <vt:i4>116</vt:i4>
      </vt:variant>
      <vt:variant>
        <vt:i4>0</vt:i4>
      </vt:variant>
      <vt:variant>
        <vt:i4>5</vt:i4>
      </vt:variant>
      <vt:variant>
        <vt:lpwstr/>
      </vt:variant>
      <vt:variant>
        <vt:lpwstr>_Toc242436068</vt:lpwstr>
      </vt:variant>
      <vt:variant>
        <vt:i4>1507379</vt:i4>
      </vt:variant>
      <vt:variant>
        <vt:i4>110</vt:i4>
      </vt:variant>
      <vt:variant>
        <vt:i4>0</vt:i4>
      </vt:variant>
      <vt:variant>
        <vt:i4>5</vt:i4>
      </vt:variant>
      <vt:variant>
        <vt:lpwstr/>
      </vt:variant>
      <vt:variant>
        <vt:lpwstr>_Toc242436067</vt:lpwstr>
      </vt:variant>
      <vt:variant>
        <vt:i4>1507379</vt:i4>
      </vt:variant>
      <vt:variant>
        <vt:i4>104</vt:i4>
      </vt:variant>
      <vt:variant>
        <vt:i4>0</vt:i4>
      </vt:variant>
      <vt:variant>
        <vt:i4>5</vt:i4>
      </vt:variant>
      <vt:variant>
        <vt:lpwstr/>
      </vt:variant>
      <vt:variant>
        <vt:lpwstr>_Toc242436066</vt:lpwstr>
      </vt:variant>
      <vt:variant>
        <vt:i4>1507379</vt:i4>
      </vt:variant>
      <vt:variant>
        <vt:i4>98</vt:i4>
      </vt:variant>
      <vt:variant>
        <vt:i4>0</vt:i4>
      </vt:variant>
      <vt:variant>
        <vt:i4>5</vt:i4>
      </vt:variant>
      <vt:variant>
        <vt:lpwstr/>
      </vt:variant>
      <vt:variant>
        <vt:lpwstr>_Toc242436065</vt:lpwstr>
      </vt:variant>
      <vt:variant>
        <vt:i4>1507379</vt:i4>
      </vt:variant>
      <vt:variant>
        <vt:i4>92</vt:i4>
      </vt:variant>
      <vt:variant>
        <vt:i4>0</vt:i4>
      </vt:variant>
      <vt:variant>
        <vt:i4>5</vt:i4>
      </vt:variant>
      <vt:variant>
        <vt:lpwstr/>
      </vt:variant>
      <vt:variant>
        <vt:lpwstr>_Toc242436064</vt:lpwstr>
      </vt:variant>
      <vt:variant>
        <vt:i4>1507379</vt:i4>
      </vt:variant>
      <vt:variant>
        <vt:i4>86</vt:i4>
      </vt:variant>
      <vt:variant>
        <vt:i4>0</vt:i4>
      </vt:variant>
      <vt:variant>
        <vt:i4>5</vt:i4>
      </vt:variant>
      <vt:variant>
        <vt:lpwstr/>
      </vt:variant>
      <vt:variant>
        <vt:lpwstr>_Toc242436063</vt:lpwstr>
      </vt:variant>
      <vt:variant>
        <vt:i4>1507379</vt:i4>
      </vt:variant>
      <vt:variant>
        <vt:i4>80</vt:i4>
      </vt:variant>
      <vt:variant>
        <vt:i4>0</vt:i4>
      </vt:variant>
      <vt:variant>
        <vt:i4>5</vt:i4>
      </vt:variant>
      <vt:variant>
        <vt:lpwstr/>
      </vt:variant>
      <vt:variant>
        <vt:lpwstr>_Toc242436062</vt:lpwstr>
      </vt:variant>
      <vt:variant>
        <vt:i4>1507379</vt:i4>
      </vt:variant>
      <vt:variant>
        <vt:i4>74</vt:i4>
      </vt:variant>
      <vt:variant>
        <vt:i4>0</vt:i4>
      </vt:variant>
      <vt:variant>
        <vt:i4>5</vt:i4>
      </vt:variant>
      <vt:variant>
        <vt:lpwstr/>
      </vt:variant>
      <vt:variant>
        <vt:lpwstr>_Toc242436061</vt:lpwstr>
      </vt:variant>
      <vt:variant>
        <vt:i4>1507379</vt:i4>
      </vt:variant>
      <vt:variant>
        <vt:i4>68</vt:i4>
      </vt:variant>
      <vt:variant>
        <vt:i4>0</vt:i4>
      </vt:variant>
      <vt:variant>
        <vt:i4>5</vt:i4>
      </vt:variant>
      <vt:variant>
        <vt:lpwstr/>
      </vt:variant>
      <vt:variant>
        <vt:lpwstr>_Toc242436060</vt:lpwstr>
      </vt:variant>
      <vt:variant>
        <vt:i4>1310771</vt:i4>
      </vt:variant>
      <vt:variant>
        <vt:i4>62</vt:i4>
      </vt:variant>
      <vt:variant>
        <vt:i4>0</vt:i4>
      </vt:variant>
      <vt:variant>
        <vt:i4>5</vt:i4>
      </vt:variant>
      <vt:variant>
        <vt:lpwstr/>
      </vt:variant>
      <vt:variant>
        <vt:lpwstr>_Toc242436059</vt:lpwstr>
      </vt:variant>
      <vt:variant>
        <vt:i4>1310771</vt:i4>
      </vt:variant>
      <vt:variant>
        <vt:i4>56</vt:i4>
      </vt:variant>
      <vt:variant>
        <vt:i4>0</vt:i4>
      </vt:variant>
      <vt:variant>
        <vt:i4>5</vt:i4>
      </vt:variant>
      <vt:variant>
        <vt:lpwstr/>
      </vt:variant>
      <vt:variant>
        <vt:lpwstr>_Toc242436058</vt:lpwstr>
      </vt:variant>
      <vt:variant>
        <vt:i4>1310771</vt:i4>
      </vt:variant>
      <vt:variant>
        <vt:i4>50</vt:i4>
      </vt:variant>
      <vt:variant>
        <vt:i4>0</vt:i4>
      </vt:variant>
      <vt:variant>
        <vt:i4>5</vt:i4>
      </vt:variant>
      <vt:variant>
        <vt:lpwstr/>
      </vt:variant>
      <vt:variant>
        <vt:lpwstr>_Toc242436057</vt:lpwstr>
      </vt:variant>
      <vt:variant>
        <vt:i4>1310771</vt:i4>
      </vt:variant>
      <vt:variant>
        <vt:i4>44</vt:i4>
      </vt:variant>
      <vt:variant>
        <vt:i4>0</vt:i4>
      </vt:variant>
      <vt:variant>
        <vt:i4>5</vt:i4>
      </vt:variant>
      <vt:variant>
        <vt:lpwstr/>
      </vt:variant>
      <vt:variant>
        <vt:lpwstr>_Toc242436056</vt:lpwstr>
      </vt:variant>
      <vt:variant>
        <vt:i4>1310771</vt:i4>
      </vt:variant>
      <vt:variant>
        <vt:i4>38</vt:i4>
      </vt:variant>
      <vt:variant>
        <vt:i4>0</vt:i4>
      </vt:variant>
      <vt:variant>
        <vt:i4>5</vt:i4>
      </vt:variant>
      <vt:variant>
        <vt:lpwstr/>
      </vt:variant>
      <vt:variant>
        <vt:lpwstr>_Toc242436055</vt:lpwstr>
      </vt:variant>
      <vt:variant>
        <vt:i4>1310771</vt:i4>
      </vt:variant>
      <vt:variant>
        <vt:i4>32</vt:i4>
      </vt:variant>
      <vt:variant>
        <vt:i4>0</vt:i4>
      </vt:variant>
      <vt:variant>
        <vt:i4>5</vt:i4>
      </vt:variant>
      <vt:variant>
        <vt:lpwstr/>
      </vt:variant>
      <vt:variant>
        <vt:lpwstr>_Toc242436054</vt:lpwstr>
      </vt:variant>
      <vt:variant>
        <vt:i4>1310771</vt:i4>
      </vt:variant>
      <vt:variant>
        <vt:i4>26</vt:i4>
      </vt:variant>
      <vt:variant>
        <vt:i4>0</vt:i4>
      </vt:variant>
      <vt:variant>
        <vt:i4>5</vt:i4>
      </vt:variant>
      <vt:variant>
        <vt:lpwstr/>
      </vt:variant>
      <vt:variant>
        <vt:lpwstr>_Toc242436053</vt:lpwstr>
      </vt:variant>
      <vt:variant>
        <vt:i4>1310771</vt:i4>
      </vt:variant>
      <vt:variant>
        <vt:i4>20</vt:i4>
      </vt:variant>
      <vt:variant>
        <vt:i4>0</vt:i4>
      </vt:variant>
      <vt:variant>
        <vt:i4>5</vt:i4>
      </vt:variant>
      <vt:variant>
        <vt:lpwstr/>
      </vt:variant>
      <vt:variant>
        <vt:lpwstr>_Toc242436052</vt:lpwstr>
      </vt:variant>
      <vt:variant>
        <vt:i4>1310771</vt:i4>
      </vt:variant>
      <vt:variant>
        <vt:i4>14</vt:i4>
      </vt:variant>
      <vt:variant>
        <vt:i4>0</vt:i4>
      </vt:variant>
      <vt:variant>
        <vt:i4>5</vt:i4>
      </vt:variant>
      <vt:variant>
        <vt:lpwstr/>
      </vt:variant>
      <vt:variant>
        <vt:lpwstr>_Toc242436051</vt:lpwstr>
      </vt:variant>
      <vt:variant>
        <vt:i4>1310771</vt:i4>
      </vt:variant>
      <vt:variant>
        <vt:i4>8</vt:i4>
      </vt:variant>
      <vt:variant>
        <vt:i4>0</vt:i4>
      </vt:variant>
      <vt:variant>
        <vt:i4>5</vt:i4>
      </vt:variant>
      <vt:variant>
        <vt:lpwstr/>
      </vt:variant>
      <vt:variant>
        <vt:lpwstr>_Toc242436050</vt:lpwstr>
      </vt:variant>
      <vt:variant>
        <vt:i4>3145762</vt:i4>
      </vt:variant>
      <vt:variant>
        <vt:i4>3</vt:i4>
      </vt:variant>
      <vt:variant>
        <vt:i4>0</vt:i4>
      </vt:variant>
      <vt:variant>
        <vt:i4>5</vt:i4>
      </vt:variant>
      <vt:variant>
        <vt:lpwstr>https://www.health.vic.gov.au/publications/victorias-digital-health-roadmap</vt:lpwstr>
      </vt:variant>
      <vt:variant>
        <vt:lpwstr/>
      </vt:variant>
      <vt:variant>
        <vt:i4>1704002</vt:i4>
      </vt:variant>
      <vt:variant>
        <vt:i4>57</vt:i4>
      </vt:variant>
      <vt:variant>
        <vt:i4>0</vt:i4>
      </vt:variant>
      <vt:variant>
        <vt:i4>5</vt:i4>
      </vt:variant>
      <vt:variant>
        <vt:lpwstr>https://www.vaccho.org.au/policies/vaccho-position-statement-on-indigenous-data-sovereignty/</vt:lpwstr>
      </vt:variant>
      <vt:variant>
        <vt:lpwstr/>
      </vt:variant>
      <vt:variant>
        <vt:i4>1638469</vt:i4>
      </vt:variant>
      <vt:variant>
        <vt:i4>54</vt:i4>
      </vt:variant>
      <vt:variant>
        <vt:i4>0</vt:i4>
      </vt:variant>
      <vt:variant>
        <vt:i4>5</vt:i4>
      </vt:variant>
      <vt:variant>
        <vt:lpwstr>https://www.health.vic.gov.au/quality-safety-service/victorias-digital-health-maturity-model</vt:lpwstr>
      </vt:variant>
      <vt:variant>
        <vt:lpwstr/>
      </vt:variant>
      <vt:variant>
        <vt:i4>7929912</vt:i4>
      </vt:variant>
      <vt:variant>
        <vt:i4>51</vt:i4>
      </vt:variant>
      <vt:variant>
        <vt:i4>0</vt:i4>
      </vt:variant>
      <vt:variant>
        <vt:i4>5</vt:i4>
      </vt:variant>
      <vt:variant>
        <vt:lpwstr>https://www.health.vic.gov.au/planned-surgery-reform-blueprint</vt:lpwstr>
      </vt:variant>
      <vt:variant>
        <vt:lpwstr/>
      </vt:variant>
      <vt:variant>
        <vt:i4>196626</vt:i4>
      </vt:variant>
      <vt:variant>
        <vt:i4>48</vt:i4>
      </vt:variant>
      <vt:variant>
        <vt:i4>0</vt:i4>
      </vt:variant>
      <vt:variant>
        <vt:i4>5</vt:i4>
      </vt:variant>
      <vt:variant>
        <vt:lpwstr>https://www.health.vic.gov.au/patient-care/specialist-care-reform</vt:lpwstr>
      </vt:variant>
      <vt:variant>
        <vt:lpwstr/>
      </vt:variant>
      <vt:variant>
        <vt:i4>3145834</vt:i4>
      </vt:variant>
      <vt:variant>
        <vt:i4>45</vt:i4>
      </vt:variant>
      <vt:variant>
        <vt:i4>0</vt:i4>
      </vt:variant>
      <vt:variant>
        <vt:i4>5</vt:i4>
      </vt:variant>
      <vt:variant>
        <vt:lpwstr>https://www.safercare.vic.gov.au/sites/default/files/2025-11/Vic Maternity Taskforce Report.pdf</vt:lpwstr>
      </vt:variant>
      <vt:variant>
        <vt:lpwstr/>
      </vt:variant>
      <vt:variant>
        <vt:i4>786436</vt:i4>
      </vt:variant>
      <vt:variant>
        <vt:i4>42</vt:i4>
      </vt:variant>
      <vt:variant>
        <vt:i4>0</vt:i4>
      </vt:variant>
      <vt:variant>
        <vt:i4>5</vt:i4>
      </vt:variant>
      <vt:variant>
        <vt:lpwstr>https://www.health.vic.gov.au/healthcare-reform/health-services-plan</vt:lpwstr>
      </vt:variant>
      <vt:variant>
        <vt:lpwstr/>
      </vt:variant>
      <vt:variant>
        <vt:i4>1310740</vt:i4>
      </vt:variant>
      <vt:variant>
        <vt:i4>39</vt:i4>
      </vt:variant>
      <vt:variant>
        <vt:i4>0</vt:i4>
      </vt:variant>
      <vt:variant>
        <vt:i4>5</vt:i4>
      </vt:variant>
      <vt:variant>
        <vt:lpwstr>https://www.infrastructurevictoria.com.au/infrastructure-strategy</vt:lpwstr>
      </vt:variant>
      <vt:variant>
        <vt:lpwstr/>
      </vt:variant>
      <vt:variant>
        <vt:i4>5570587</vt:i4>
      </vt:variant>
      <vt:variant>
        <vt:i4>36</vt:i4>
      </vt:variant>
      <vt:variant>
        <vt:i4>0</vt:i4>
      </vt:variant>
      <vt:variant>
        <vt:i4>5</vt:i4>
      </vt:variant>
      <vt:variant>
        <vt:lpwstr>https://www.digitalhealth.gov.au/sites/default/files/documents/national-digital-health-strategy-2023-2028.pdf</vt:lpwstr>
      </vt:variant>
      <vt:variant>
        <vt:lpwstr/>
      </vt:variant>
      <vt:variant>
        <vt:i4>8126501</vt:i4>
      </vt:variant>
      <vt:variant>
        <vt:i4>33</vt:i4>
      </vt:variant>
      <vt:variant>
        <vt:i4>0</vt:i4>
      </vt:variant>
      <vt:variant>
        <vt:i4>5</vt:i4>
      </vt:variant>
      <vt:variant>
        <vt:lpwstr>https://chf.org.au/get-involved/australia-s-health-panel/what-australia-s-health-panel-said-about-artificial-intelligence-in-healthcare-ju</vt:lpwstr>
      </vt:variant>
      <vt:variant>
        <vt:lpwstr/>
      </vt:variant>
      <vt:variant>
        <vt:i4>6094861</vt:i4>
      </vt:variant>
      <vt:variant>
        <vt:i4>30</vt:i4>
      </vt:variant>
      <vt:variant>
        <vt:i4>0</vt:i4>
      </vt:variant>
      <vt:variant>
        <vt:i4>5</vt:i4>
      </vt:variant>
      <vt:variant>
        <vt:lpwstr>https://www.aihw.gov.au/reports-data/health-conditions-disability-deaths/chronic-disease/overview</vt:lpwstr>
      </vt:variant>
      <vt:variant>
        <vt:lpwstr/>
      </vt:variant>
      <vt:variant>
        <vt:i4>5242894</vt:i4>
      </vt:variant>
      <vt:variant>
        <vt:i4>27</vt:i4>
      </vt:variant>
      <vt:variant>
        <vt:i4>0</vt:i4>
      </vt:variant>
      <vt:variant>
        <vt:i4>5</vt:i4>
      </vt:variant>
      <vt:variant>
        <vt:lpwstr>https://www.aihw.gov.au/reports/australias-health/chronic-conditions</vt:lpwstr>
      </vt:variant>
      <vt:variant>
        <vt:lpwstr/>
      </vt:variant>
      <vt:variant>
        <vt:i4>5505089</vt:i4>
      </vt:variant>
      <vt:variant>
        <vt:i4>24</vt:i4>
      </vt:variant>
      <vt:variant>
        <vt:i4>0</vt:i4>
      </vt:variant>
      <vt:variant>
        <vt:i4>5</vt:i4>
      </vt:variant>
      <vt:variant>
        <vt:lpwstr>https://www.pc.gov.au/inquiries-and-research/digital-healthcare/</vt:lpwstr>
      </vt:variant>
      <vt:variant>
        <vt:lpwstr/>
      </vt:variant>
      <vt:variant>
        <vt:i4>7667775</vt:i4>
      </vt:variant>
      <vt:variant>
        <vt:i4>21</vt:i4>
      </vt:variant>
      <vt:variant>
        <vt:i4>0</vt:i4>
      </vt:variant>
      <vt:variant>
        <vt:i4>5</vt:i4>
      </vt:variant>
      <vt:variant>
        <vt:lpwstr>https://www.infrastructurevictoria.com.au/resources/victorias-30-year-strategy</vt:lpwstr>
      </vt:variant>
      <vt:variant>
        <vt:lpwstr/>
      </vt:variant>
      <vt:variant>
        <vt:i4>5505089</vt:i4>
      </vt:variant>
      <vt:variant>
        <vt:i4>18</vt:i4>
      </vt:variant>
      <vt:variant>
        <vt:i4>0</vt:i4>
      </vt:variant>
      <vt:variant>
        <vt:i4>5</vt:i4>
      </vt:variant>
      <vt:variant>
        <vt:lpwstr>https://www.pc.gov.au/inquiries-and-research/digital-healthcare/</vt:lpwstr>
      </vt:variant>
      <vt:variant>
        <vt:lpwstr/>
      </vt:variant>
      <vt:variant>
        <vt:i4>7667775</vt:i4>
      </vt:variant>
      <vt:variant>
        <vt:i4>15</vt:i4>
      </vt:variant>
      <vt:variant>
        <vt:i4>0</vt:i4>
      </vt:variant>
      <vt:variant>
        <vt:i4>5</vt:i4>
      </vt:variant>
      <vt:variant>
        <vt:lpwstr>https://www.infrastructurevictoria.com.au/resources/victorias-30-year-strategy</vt:lpwstr>
      </vt:variant>
      <vt:variant>
        <vt:lpwstr/>
      </vt:variant>
      <vt:variant>
        <vt:i4>30</vt:i4>
      </vt:variant>
      <vt:variant>
        <vt:i4>12</vt:i4>
      </vt:variant>
      <vt:variant>
        <vt:i4>0</vt:i4>
      </vt:variant>
      <vt:variant>
        <vt:i4>5</vt:i4>
      </vt:variant>
      <vt:variant>
        <vt:lpwstr>https://www.ihacpa.gov.au/resources/virtual-care-project-final-report</vt:lpwstr>
      </vt:variant>
      <vt:variant>
        <vt:lpwstr/>
      </vt:variant>
      <vt:variant>
        <vt:i4>786436</vt:i4>
      </vt:variant>
      <vt:variant>
        <vt:i4>9</vt:i4>
      </vt:variant>
      <vt:variant>
        <vt:i4>0</vt:i4>
      </vt:variant>
      <vt:variant>
        <vt:i4>5</vt:i4>
      </vt:variant>
      <vt:variant>
        <vt:lpwstr>https://www.health.vic.gov.au/healthcare-reform/health-services-plan</vt:lpwstr>
      </vt:variant>
      <vt:variant>
        <vt:lpwstr/>
      </vt:variant>
      <vt:variant>
        <vt:i4>3670140</vt:i4>
      </vt:variant>
      <vt:variant>
        <vt:i4>6</vt:i4>
      </vt:variant>
      <vt:variant>
        <vt:i4>0</vt:i4>
      </vt:variant>
      <vt:variant>
        <vt:i4>5</vt:i4>
      </vt:variant>
      <vt:variant>
        <vt:lpwstr>https://www.firstpeoplesrelations.vic.gov.au/sites/default/files/2025-11/Victorias-Statewide-Treaty-SIGNED.pdf</vt:lpwstr>
      </vt:variant>
      <vt:variant>
        <vt:lpwstr/>
      </vt:variant>
      <vt:variant>
        <vt:i4>7012475</vt:i4>
      </vt:variant>
      <vt:variant>
        <vt:i4>3</vt:i4>
      </vt:variant>
      <vt:variant>
        <vt:i4>0</vt:i4>
      </vt:variant>
      <vt:variant>
        <vt:i4>5</vt:i4>
      </vt:variant>
      <vt:variant>
        <vt:lpwstr>https://www.closingthegap.gov.au/national-agreement</vt:lpwstr>
      </vt:variant>
      <vt:variant>
        <vt:lpwstr/>
      </vt:variant>
      <vt:variant>
        <vt:i4>1441865</vt:i4>
      </vt:variant>
      <vt:variant>
        <vt:i4>0</vt:i4>
      </vt:variant>
      <vt:variant>
        <vt:i4>0</vt:i4>
      </vt:variant>
      <vt:variant>
        <vt:i4>5</vt:i4>
      </vt:variant>
      <vt:variant>
        <vt:lpwstr>https://www.vaccho.org.au/wp-content/uploads/2023/06/Aboriginal-Health-and-Wellbeing-Agreement-2022-2032-FINAL-22-Mar-23.pdf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Victoria’s Digital Health Vision and Roadmap 2026–31</dc:title>
  <dc:subject>Victorian digital health strategy and investment roadmap 2026-31</dc:subject>
  <dc:creator>digitalhealth@health.vic.gov.au</dc:creator>
  <cp:keywords/>
  <dc:description/>
  <cp:lastPrinted>2021-01-30T19:27:00Z</cp:lastPrinted>
  <dcterms:created xsi:type="dcterms:W3CDTF">2026-10-29T07:06:00Z</dcterms:created>
  <dcterms:modified xsi:type="dcterms:W3CDTF">2026-10-30T02:08:00Z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0x0101007E58481F3B902E4D80F79F1B55F713E6</vt:lpwstr>
  </property>
  <property fmtid="{D5CDD505-2E9C-101B-9397-08002B2CF9AE}" pid="4" name="version">
    <vt:lpwstr>v5 15032021</vt:lpwstr>
  </property>
  <property fmtid="{D5CDD505-2E9C-101B-9397-08002B2CF9AE}" pid="5" name="Order">
    <vt:r8>2700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TemplateVersion">
    <vt:i4>1</vt:i4>
  </property>
  <property fmtid="{D5CDD505-2E9C-101B-9397-08002B2CF9AE}" pid="11" name="Category">
    <vt:lpwstr>Report</vt:lpwstr>
  </property>
  <property fmtid="{D5CDD505-2E9C-101B-9397-08002B2CF9AE}" pid="12" name="WebPage">
    <vt:lpwstr>https://dhhsvicgovau.sharepoint.com/:w:/s/health/EcCdxoQtkoZJoXn6lektW3QBAD6Bt_2RdAEQpTUn2-aiAQ, https://dhhsvicgovau.sharepoint.com/:w:/s/health/EcCdxoQtkoZJoXn6lektW3QBAD6Bt_2RdAEQpTUn2-aiAQ</vt:lpwstr>
  </property>
  <property fmtid="{D5CDD505-2E9C-101B-9397-08002B2CF9AE}" pid="13" name="Days before next review">
    <vt:r8>365</vt:r8>
  </property>
  <property fmtid="{D5CDD505-2E9C-101B-9397-08002B2CF9AE}" pid="14" name="_ExtendedDescription">
    <vt:lpwstr/>
  </property>
  <property fmtid="{D5CDD505-2E9C-101B-9397-08002B2CF9AE}" pid="15" name="_MarkAsFinal">
    <vt:lpwstr>true</vt:lpwstr>
  </property>
  <property fmtid="{D5CDD505-2E9C-101B-9397-08002B2CF9AE}" pid="16" name="Tags">
    <vt:lpwstr>17;#Templates|74cf097d-f69e-47d4-ab23-b0e64f517102</vt:lpwstr>
  </property>
  <property fmtid="{D5CDD505-2E9C-101B-9397-08002B2CF9AE}" pid="17" name="MediaServiceImageTags">
    <vt:lpwstr/>
  </property>
  <property fmtid="{D5CDD505-2E9C-101B-9397-08002B2CF9AE}" pid="18" name="docLang">
    <vt:lpwstr>en</vt:lpwstr>
  </property>
  <property fmtid="{D5CDD505-2E9C-101B-9397-08002B2CF9AE}" pid="19" name="MSIP_Label_43e64453-338c-4f93-8a4d-0039a0a41f2a_Enabled">
    <vt:lpwstr>true</vt:lpwstr>
  </property>
  <property fmtid="{D5CDD505-2E9C-101B-9397-08002B2CF9AE}" pid="20" name="MSIP_Label_43e64453-338c-4f93-8a4d-0039a0a41f2a_SetDate">
    <vt:lpwstr>2026-09-24T00:16:45Z</vt:lpwstr>
  </property>
  <property fmtid="{D5CDD505-2E9C-101B-9397-08002B2CF9AE}" pid="21" name="MSIP_Label_43e64453-338c-4f93-8a4d-0039a0a41f2a_Method">
    <vt:lpwstr>Privileged</vt:lpwstr>
  </property>
  <property fmtid="{D5CDD505-2E9C-101B-9397-08002B2CF9AE}" pid="22" name="MSIP_Label_43e64453-338c-4f93-8a4d-0039a0a41f2a_Name">
    <vt:lpwstr>43e64453-338c-4f93-8a4d-0039a0a41f2a</vt:lpwstr>
  </property>
  <property fmtid="{D5CDD505-2E9C-101B-9397-08002B2CF9AE}" pid="23" name="MSIP_Label_43e64453-338c-4f93-8a4d-0039a0a41f2a_SiteId">
    <vt:lpwstr>c0e0601f-0fac-449c-9c88-a104c4eb9f28</vt:lpwstr>
  </property>
  <property fmtid="{D5CDD505-2E9C-101B-9397-08002B2CF9AE}" pid="24" name="MSIP_Label_43e64453-338c-4f93-8a4d-0039a0a41f2a_ActionId">
    <vt:lpwstr>63f486b4-8569-4046-8df0-77b8936f4c9d</vt:lpwstr>
  </property>
  <property fmtid="{D5CDD505-2E9C-101B-9397-08002B2CF9AE}" pid="25" name="MSIP_Label_43e64453-338c-4f93-8a4d-0039a0a41f2a_ContentBits">
    <vt:lpwstr>0</vt:lpwstr>
  </property>
</Properties>
</file>