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4EB7B" w14:textId="77777777" w:rsidR="0074696E" w:rsidRPr="004C6EEE" w:rsidRDefault="00356314" w:rsidP="00EC40D5">
      <w:pPr>
        <w:pStyle w:val="Sectionbreakfirstpage"/>
      </w:pPr>
      <w:r>
        <w:drawing>
          <wp:anchor distT="0" distB="0" distL="114300" distR="114300" simplePos="0" relativeHeight="251658240" behindDoc="1" locked="1" layoutInCell="1" allowOverlap="1" wp14:anchorId="3A616D73" wp14:editId="46B0B79C">
            <wp:simplePos x="0" y="0"/>
            <wp:positionH relativeFrom="page">
              <wp:posOffset>0</wp:posOffset>
            </wp:positionH>
            <wp:positionV relativeFrom="page">
              <wp:posOffset>635</wp:posOffset>
            </wp:positionV>
            <wp:extent cx="7555865" cy="1358265"/>
            <wp:effectExtent l="0" t="0" r="635" b="63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5865" cy="1358265"/>
                    </a:xfrm>
                    <a:prstGeom prst="rect">
                      <a:avLst/>
                    </a:prstGeom>
                  </pic:spPr>
                </pic:pic>
              </a:graphicData>
            </a:graphic>
            <wp14:sizeRelH relativeFrom="margin">
              <wp14:pctWidth>0</wp14:pctWidth>
            </wp14:sizeRelH>
            <wp14:sizeRelV relativeFrom="margin">
              <wp14:pctHeight>0</wp14:pctHeight>
            </wp14:sizeRelV>
          </wp:anchor>
        </w:drawing>
      </w:r>
    </w:p>
    <w:p w14:paraId="78BA9AA2" w14:textId="77777777" w:rsidR="00A62D44" w:rsidRPr="004C6EEE" w:rsidRDefault="00A62D44" w:rsidP="00EC40D5">
      <w:pPr>
        <w:pStyle w:val="Sectionbreakfirstpage"/>
        <w:sectPr w:rsidR="00A62D44" w:rsidRPr="004C6EEE" w:rsidSect="00E62622">
          <w:headerReference w:type="default" r:id="rId12"/>
          <w:footerReference w:type="default" r:id="rId13"/>
          <w:footerReference w:type="first" r:id="rId14"/>
          <w:pgSz w:w="11906" w:h="16838" w:code="9"/>
          <w:pgMar w:top="454" w:right="851" w:bottom="1418" w:left="851" w:header="340" w:footer="851" w:gutter="0"/>
          <w:cols w:space="708"/>
          <w:docGrid w:linePitch="360"/>
        </w:sectPr>
      </w:pP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348"/>
      </w:tblGrid>
      <w:tr w:rsidR="003B5733" w14:paraId="71BADE0A" w14:textId="77777777" w:rsidTr="00B07FF7">
        <w:trPr>
          <w:trHeight w:val="622"/>
        </w:trPr>
        <w:tc>
          <w:tcPr>
            <w:tcW w:w="10348" w:type="dxa"/>
            <w:tcMar>
              <w:top w:w="1531" w:type="dxa"/>
              <w:left w:w="0" w:type="dxa"/>
              <w:right w:w="0" w:type="dxa"/>
            </w:tcMar>
          </w:tcPr>
          <w:p w14:paraId="29CB2799" w14:textId="0CD8E7FB" w:rsidR="003B5733" w:rsidRPr="003B5733" w:rsidRDefault="0019772C" w:rsidP="003B5733">
            <w:pPr>
              <w:pStyle w:val="Documenttitle"/>
            </w:pPr>
            <w:r>
              <w:t xml:space="preserve">Sublocade® discontinuation </w:t>
            </w:r>
          </w:p>
        </w:tc>
      </w:tr>
      <w:tr w:rsidR="003B5733" w14:paraId="765A1D8F" w14:textId="77777777" w:rsidTr="00B07FF7">
        <w:tc>
          <w:tcPr>
            <w:tcW w:w="10348" w:type="dxa"/>
          </w:tcPr>
          <w:p w14:paraId="28E50E16" w14:textId="644F7B2E" w:rsidR="003B5733" w:rsidRPr="00A1389F" w:rsidRDefault="0019772C">
            <w:pPr>
              <w:pStyle w:val="Documentsubtitle"/>
            </w:pPr>
            <w:r>
              <w:t>Guidance for</w:t>
            </w:r>
            <w:r w:rsidR="00B71F2C">
              <w:t xml:space="preserve"> </w:t>
            </w:r>
            <w:r w:rsidR="00D11A4D">
              <w:t xml:space="preserve">health professionals </w:t>
            </w:r>
            <w:r w:rsidR="00B71F2C">
              <w:t>transferring patients to other</w:t>
            </w:r>
            <w:r w:rsidR="00A34AA6">
              <w:t xml:space="preserve"> opioid dependence treatment or completing treatment</w:t>
            </w:r>
          </w:p>
        </w:tc>
      </w:tr>
      <w:tr w:rsidR="003B5733" w14:paraId="26A5AC70" w14:textId="77777777" w:rsidTr="00B07FF7">
        <w:tc>
          <w:tcPr>
            <w:tcW w:w="10348" w:type="dxa"/>
          </w:tcPr>
          <w:p w14:paraId="7A2CE04C" w14:textId="77777777" w:rsidR="003B5733" w:rsidRPr="001E5058" w:rsidRDefault="003F30C3" w:rsidP="001E5058">
            <w:pPr>
              <w:pStyle w:val="Bannermarking"/>
            </w:pPr>
            <w:fldSimple w:instr="FILLIN  &quot;Type the protective marking&quot; \d OFFICIAL \o  \* MERGEFORMAT">
              <w:r>
                <w:t>OFFICIAL</w:t>
              </w:r>
            </w:fldSimple>
          </w:p>
        </w:tc>
      </w:tr>
    </w:tbl>
    <w:p w14:paraId="3CD4FCA9" w14:textId="77777777" w:rsidR="00AD784C" w:rsidRPr="00B57329" w:rsidRDefault="00AD784C" w:rsidP="002365B4">
      <w:pPr>
        <w:pStyle w:val="TOCheadingfactsheet"/>
      </w:pPr>
      <w:r>
        <w:t>Contents</w:t>
      </w:r>
    </w:p>
    <w:p w14:paraId="5B02F097" w14:textId="2B5AD628" w:rsidR="00EF5309"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35541644" w:history="1">
        <w:r w:rsidR="00EF5309" w:rsidRPr="00571B14">
          <w:rPr>
            <w:rStyle w:val="Hyperlink"/>
          </w:rPr>
          <w:t>Sublocade® discontinuation in Australia</w:t>
        </w:r>
        <w:r w:rsidR="00EF5309">
          <w:rPr>
            <w:webHidden/>
          </w:rPr>
          <w:tab/>
        </w:r>
        <w:r w:rsidR="00EF5309">
          <w:rPr>
            <w:webHidden/>
          </w:rPr>
          <w:fldChar w:fldCharType="begin"/>
        </w:r>
        <w:r w:rsidR="00EF5309">
          <w:rPr>
            <w:webHidden/>
          </w:rPr>
          <w:instrText xml:space="preserve"> PAGEREF _Toc235541644 \h </w:instrText>
        </w:r>
        <w:r w:rsidR="00EF5309">
          <w:rPr>
            <w:webHidden/>
          </w:rPr>
        </w:r>
        <w:r w:rsidR="00EF5309">
          <w:rPr>
            <w:webHidden/>
          </w:rPr>
          <w:fldChar w:fldCharType="separate"/>
        </w:r>
        <w:r w:rsidR="00EF5309">
          <w:rPr>
            <w:webHidden/>
          </w:rPr>
          <w:t>1</w:t>
        </w:r>
        <w:r w:rsidR="00EF5309">
          <w:rPr>
            <w:webHidden/>
          </w:rPr>
          <w:fldChar w:fldCharType="end"/>
        </w:r>
      </w:hyperlink>
    </w:p>
    <w:p w14:paraId="1AD4B87C" w14:textId="7D7136F0" w:rsidR="00EF5309" w:rsidRDefault="00EF5309">
      <w:pPr>
        <w:pStyle w:val="TOC1"/>
        <w:rPr>
          <w:rFonts w:asciiTheme="minorHAnsi" w:eastAsiaTheme="minorEastAsia" w:hAnsiTheme="minorHAnsi" w:cstheme="minorBidi"/>
          <w:b w:val="0"/>
          <w:kern w:val="2"/>
          <w:sz w:val="24"/>
          <w:szCs w:val="24"/>
          <w:lang w:eastAsia="en-AU"/>
          <w14:ligatures w14:val="standardContextual"/>
        </w:rPr>
      </w:pPr>
      <w:hyperlink w:anchor="_Toc235541645" w:history="1">
        <w:r w:rsidRPr="00571B14">
          <w:rPr>
            <w:rStyle w:val="Hyperlink"/>
            <w:rFonts w:eastAsia="Arial"/>
          </w:rPr>
          <w:t>Key suggested treatment transition regimens following Sublocade® discontinuation</w:t>
        </w:r>
        <w:r>
          <w:rPr>
            <w:webHidden/>
          </w:rPr>
          <w:tab/>
        </w:r>
        <w:r>
          <w:rPr>
            <w:webHidden/>
          </w:rPr>
          <w:fldChar w:fldCharType="begin"/>
        </w:r>
        <w:r>
          <w:rPr>
            <w:webHidden/>
          </w:rPr>
          <w:instrText xml:space="preserve"> PAGEREF _Toc235541645 \h </w:instrText>
        </w:r>
        <w:r>
          <w:rPr>
            <w:webHidden/>
          </w:rPr>
        </w:r>
        <w:r>
          <w:rPr>
            <w:webHidden/>
          </w:rPr>
          <w:fldChar w:fldCharType="separate"/>
        </w:r>
        <w:r>
          <w:rPr>
            <w:webHidden/>
          </w:rPr>
          <w:t>2</w:t>
        </w:r>
        <w:r>
          <w:rPr>
            <w:webHidden/>
          </w:rPr>
          <w:fldChar w:fldCharType="end"/>
        </w:r>
      </w:hyperlink>
    </w:p>
    <w:p w14:paraId="6DB6288A" w14:textId="1B799B37" w:rsidR="00EF5309" w:rsidRDefault="00EF530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5541646" w:history="1">
        <w:r w:rsidRPr="00571B14">
          <w:rPr>
            <w:rStyle w:val="Hyperlink"/>
            <w:rFonts w:eastAsia="Arial"/>
          </w:rPr>
          <w:t>1.</w:t>
        </w:r>
        <w:r>
          <w:rPr>
            <w:rFonts w:asciiTheme="minorHAnsi" w:eastAsiaTheme="minorEastAsia" w:hAnsiTheme="minorHAnsi" w:cstheme="minorBidi"/>
            <w:kern w:val="2"/>
            <w:sz w:val="24"/>
            <w:szCs w:val="24"/>
            <w:lang w:eastAsia="en-AU"/>
            <w14:ligatures w14:val="standardContextual"/>
          </w:rPr>
          <w:tab/>
        </w:r>
        <w:r w:rsidRPr="00571B14">
          <w:rPr>
            <w:rStyle w:val="Hyperlink"/>
            <w:rFonts w:eastAsia="Arial"/>
          </w:rPr>
          <w:t>Sublocade® to Buvidal®</w:t>
        </w:r>
        <w:r>
          <w:rPr>
            <w:webHidden/>
          </w:rPr>
          <w:tab/>
        </w:r>
        <w:r>
          <w:rPr>
            <w:webHidden/>
          </w:rPr>
          <w:fldChar w:fldCharType="begin"/>
        </w:r>
        <w:r>
          <w:rPr>
            <w:webHidden/>
          </w:rPr>
          <w:instrText xml:space="preserve"> PAGEREF _Toc235541646 \h </w:instrText>
        </w:r>
        <w:r>
          <w:rPr>
            <w:webHidden/>
          </w:rPr>
        </w:r>
        <w:r>
          <w:rPr>
            <w:webHidden/>
          </w:rPr>
          <w:fldChar w:fldCharType="separate"/>
        </w:r>
        <w:r>
          <w:rPr>
            <w:webHidden/>
          </w:rPr>
          <w:t>2</w:t>
        </w:r>
        <w:r>
          <w:rPr>
            <w:webHidden/>
          </w:rPr>
          <w:fldChar w:fldCharType="end"/>
        </w:r>
      </w:hyperlink>
    </w:p>
    <w:p w14:paraId="003E1885" w14:textId="0E8BC19B" w:rsidR="00EF5309" w:rsidRDefault="00EF530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5541647" w:history="1">
        <w:r w:rsidRPr="00571B14">
          <w:rPr>
            <w:rStyle w:val="Hyperlink"/>
            <w:rFonts w:eastAsia="Arial"/>
          </w:rPr>
          <w:t>2.</w:t>
        </w:r>
        <w:r>
          <w:rPr>
            <w:rFonts w:asciiTheme="minorHAnsi" w:eastAsiaTheme="minorEastAsia" w:hAnsiTheme="minorHAnsi" w:cstheme="minorBidi"/>
            <w:kern w:val="2"/>
            <w:sz w:val="24"/>
            <w:szCs w:val="24"/>
            <w:lang w:eastAsia="en-AU"/>
            <w14:ligatures w14:val="standardContextual"/>
          </w:rPr>
          <w:tab/>
        </w:r>
        <w:r w:rsidRPr="00571B14">
          <w:rPr>
            <w:rStyle w:val="Hyperlink"/>
            <w:rFonts w:eastAsia="Arial"/>
          </w:rPr>
          <w:t>Sublocade® to sublingual buprenorphine/naloxone</w:t>
        </w:r>
        <w:r>
          <w:rPr>
            <w:webHidden/>
          </w:rPr>
          <w:tab/>
        </w:r>
        <w:r>
          <w:rPr>
            <w:webHidden/>
          </w:rPr>
          <w:fldChar w:fldCharType="begin"/>
        </w:r>
        <w:r>
          <w:rPr>
            <w:webHidden/>
          </w:rPr>
          <w:instrText xml:space="preserve"> PAGEREF _Toc235541647 \h </w:instrText>
        </w:r>
        <w:r>
          <w:rPr>
            <w:webHidden/>
          </w:rPr>
        </w:r>
        <w:r>
          <w:rPr>
            <w:webHidden/>
          </w:rPr>
          <w:fldChar w:fldCharType="separate"/>
        </w:r>
        <w:r>
          <w:rPr>
            <w:webHidden/>
          </w:rPr>
          <w:t>2</w:t>
        </w:r>
        <w:r>
          <w:rPr>
            <w:webHidden/>
          </w:rPr>
          <w:fldChar w:fldCharType="end"/>
        </w:r>
      </w:hyperlink>
    </w:p>
    <w:p w14:paraId="693F4675" w14:textId="67F06C69" w:rsidR="00EF5309" w:rsidRDefault="00EF5309">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5541648" w:history="1">
        <w:r w:rsidRPr="00571B14">
          <w:rPr>
            <w:rStyle w:val="Hyperlink"/>
            <w:rFonts w:eastAsia="Arial"/>
          </w:rPr>
          <w:t>3.</w:t>
        </w:r>
        <w:r>
          <w:rPr>
            <w:rFonts w:asciiTheme="minorHAnsi" w:eastAsiaTheme="minorEastAsia" w:hAnsiTheme="minorHAnsi" w:cstheme="minorBidi"/>
            <w:kern w:val="2"/>
            <w:sz w:val="24"/>
            <w:szCs w:val="24"/>
            <w:lang w:eastAsia="en-AU"/>
            <w14:ligatures w14:val="standardContextual"/>
          </w:rPr>
          <w:tab/>
        </w:r>
        <w:r w:rsidRPr="00571B14">
          <w:rPr>
            <w:rStyle w:val="Hyperlink"/>
            <w:rFonts w:eastAsia="Arial"/>
          </w:rPr>
          <w:t>Sublocade® to methadone</w:t>
        </w:r>
        <w:r>
          <w:rPr>
            <w:webHidden/>
          </w:rPr>
          <w:tab/>
        </w:r>
        <w:r>
          <w:rPr>
            <w:webHidden/>
          </w:rPr>
          <w:fldChar w:fldCharType="begin"/>
        </w:r>
        <w:r>
          <w:rPr>
            <w:webHidden/>
          </w:rPr>
          <w:instrText xml:space="preserve"> PAGEREF _Toc235541648 \h </w:instrText>
        </w:r>
        <w:r>
          <w:rPr>
            <w:webHidden/>
          </w:rPr>
        </w:r>
        <w:r>
          <w:rPr>
            <w:webHidden/>
          </w:rPr>
          <w:fldChar w:fldCharType="separate"/>
        </w:r>
        <w:r>
          <w:rPr>
            <w:webHidden/>
          </w:rPr>
          <w:t>2</w:t>
        </w:r>
        <w:r>
          <w:rPr>
            <w:webHidden/>
          </w:rPr>
          <w:fldChar w:fldCharType="end"/>
        </w:r>
      </w:hyperlink>
    </w:p>
    <w:p w14:paraId="3B7EF3C9" w14:textId="634D358B" w:rsidR="00EF5309" w:rsidRDefault="00EF5309">
      <w:pPr>
        <w:pStyle w:val="TOC1"/>
        <w:rPr>
          <w:rFonts w:asciiTheme="minorHAnsi" w:eastAsiaTheme="minorEastAsia" w:hAnsiTheme="minorHAnsi" w:cstheme="minorBidi"/>
          <w:b w:val="0"/>
          <w:kern w:val="2"/>
          <w:sz w:val="24"/>
          <w:szCs w:val="24"/>
          <w:lang w:eastAsia="en-AU"/>
          <w14:ligatures w14:val="standardContextual"/>
        </w:rPr>
      </w:pPr>
      <w:hyperlink w:anchor="_Toc235541649" w:history="1">
        <w:r w:rsidRPr="00571B14">
          <w:rPr>
            <w:rStyle w:val="Hyperlink"/>
          </w:rPr>
          <w:t>Communication with consumers</w:t>
        </w:r>
        <w:r>
          <w:rPr>
            <w:webHidden/>
          </w:rPr>
          <w:tab/>
        </w:r>
        <w:r>
          <w:rPr>
            <w:webHidden/>
          </w:rPr>
          <w:fldChar w:fldCharType="begin"/>
        </w:r>
        <w:r>
          <w:rPr>
            <w:webHidden/>
          </w:rPr>
          <w:instrText xml:space="preserve"> PAGEREF _Toc235541649 \h </w:instrText>
        </w:r>
        <w:r>
          <w:rPr>
            <w:webHidden/>
          </w:rPr>
        </w:r>
        <w:r>
          <w:rPr>
            <w:webHidden/>
          </w:rPr>
          <w:fldChar w:fldCharType="separate"/>
        </w:r>
        <w:r>
          <w:rPr>
            <w:webHidden/>
          </w:rPr>
          <w:t>2</w:t>
        </w:r>
        <w:r>
          <w:rPr>
            <w:webHidden/>
          </w:rPr>
          <w:fldChar w:fldCharType="end"/>
        </w:r>
      </w:hyperlink>
    </w:p>
    <w:p w14:paraId="105B42DC" w14:textId="7B8FE964" w:rsidR="00EF5309" w:rsidRDefault="00EF530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5541650" w:history="1">
        <w:r w:rsidRPr="00571B14">
          <w:rPr>
            <w:rStyle w:val="Hyperlink"/>
          </w:rPr>
          <w:t>1.</w:t>
        </w:r>
        <w:r>
          <w:rPr>
            <w:rFonts w:asciiTheme="minorHAnsi" w:eastAsiaTheme="minorEastAsia" w:hAnsiTheme="minorHAnsi" w:cstheme="minorBidi"/>
            <w:b w:val="0"/>
            <w:kern w:val="2"/>
            <w:sz w:val="24"/>
            <w:szCs w:val="24"/>
            <w:lang w:eastAsia="en-AU"/>
            <w14:ligatures w14:val="standardContextual"/>
          </w:rPr>
          <w:tab/>
        </w:r>
        <w:r w:rsidRPr="00571B14">
          <w:rPr>
            <w:rStyle w:val="Hyperlink"/>
          </w:rPr>
          <w:t>Sublocade® to Buvidal®</w:t>
        </w:r>
        <w:r>
          <w:rPr>
            <w:webHidden/>
          </w:rPr>
          <w:tab/>
        </w:r>
        <w:r>
          <w:rPr>
            <w:webHidden/>
          </w:rPr>
          <w:fldChar w:fldCharType="begin"/>
        </w:r>
        <w:r>
          <w:rPr>
            <w:webHidden/>
          </w:rPr>
          <w:instrText xml:space="preserve"> PAGEREF _Toc235541650 \h </w:instrText>
        </w:r>
        <w:r>
          <w:rPr>
            <w:webHidden/>
          </w:rPr>
        </w:r>
        <w:r>
          <w:rPr>
            <w:webHidden/>
          </w:rPr>
          <w:fldChar w:fldCharType="separate"/>
        </w:r>
        <w:r>
          <w:rPr>
            <w:webHidden/>
          </w:rPr>
          <w:t>3</w:t>
        </w:r>
        <w:r>
          <w:rPr>
            <w:webHidden/>
          </w:rPr>
          <w:fldChar w:fldCharType="end"/>
        </w:r>
      </w:hyperlink>
    </w:p>
    <w:p w14:paraId="1820A76C" w14:textId="33A00835" w:rsidR="00EF5309" w:rsidRDefault="00EF5309">
      <w:pPr>
        <w:pStyle w:val="TOC2"/>
        <w:rPr>
          <w:rFonts w:asciiTheme="minorHAnsi" w:eastAsiaTheme="minorEastAsia" w:hAnsiTheme="minorHAnsi" w:cstheme="minorBidi"/>
          <w:kern w:val="2"/>
          <w:sz w:val="24"/>
          <w:szCs w:val="24"/>
          <w:lang w:eastAsia="en-AU"/>
          <w14:ligatures w14:val="standardContextual"/>
        </w:rPr>
      </w:pPr>
      <w:hyperlink w:anchor="_Toc235541651" w:history="1">
        <w:r w:rsidRPr="00571B14">
          <w:rPr>
            <w:rStyle w:val="Hyperlink"/>
          </w:rPr>
          <w:t>Pharmacokinetic basis for transition dosing</w:t>
        </w:r>
        <w:r>
          <w:rPr>
            <w:webHidden/>
          </w:rPr>
          <w:tab/>
        </w:r>
        <w:r>
          <w:rPr>
            <w:webHidden/>
          </w:rPr>
          <w:fldChar w:fldCharType="begin"/>
        </w:r>
        <w:r>
          <w:rPr>
            <w:webHidden/>
          </w:rPr>
          <w:instrText xml:space="preserve"> PAGEREF _Toc235541651 \h </w:instrText>
        </w:r>
        <w:r>
          <w:rPr>
            <w:webHidden/>
          </w:rPr>
        </w:r>
        <w:r>
          <w:rPr>
            <w:webHidden/>
          </w:rPr>
          <w:fldChar w:fldCharType="separate"/>
        </w:r>
        <w:r>
          <w:rPr>
            <w:webHidden/>
          </w:rPr>
          <w:t>3</w:t>
        </w:r>
        <w:r>
          <w:rPr>
            <w:webHidden/>
          </w:rPr>
          <w:fldChar w:fldCharType="end"/>
        </w:r>
      </w:hyperlink>
    </w:p>
    <w:p w14:paraId="37C3A83C" w14:textId="2F2BC76F" w:rsidR="00EF5309" w:rsidRDefault="00EF5309">
      <w:pPr>
        <w:pStyle w:val="TOC2"/>
        <w:rPr>
          <w:rFonts w:asciiTheme="minorHAnsi" w:eastAsiaTheme="minorEastAsia" w:hAnsiTheme="minorHAnsi" w:cstheme="minorBidi"/>
          <w:kern w:val="2"/>
          <w:sz w:val="24"/>
          <w:szCs w:val="24"/>
          <w:lang w:eastAsia="en-AU"/>
          <w14:ligatures w14:val="standardContextual"/>
        </w:rPr>
      </w:pPr>
      <w:hyperlink w:anchor="_Toc235541652" w:history="1">
        <w:r w:rsidRPr="00571B14">
          <w:rPr>
            <w:rStyle w:val="Hyperlink"/>
          </w:rPr>
          <w:t>Complex transition cohort</w:t>
        </w:r>
        <w:r>
          <w:rPr>
            <w:webHidden/>
          </w:rPr>
          <w:tab/>
        </w:r>
        <w:r>
          <w:rPr>
            <w:webHidden/>
          </w:rPr>
          <w:fldChar w:fldCharType="begin"/>
        </w:r>
        <w:r>
          <w:rPr>
            <w:webHidden/>
          </w:rPr>
          <w:instrText xml:space="preserve"> PAGEREF _Toc235541652 \h </w:instrText>
        </w:r>
        <w:r>
          <w:rPr>
            <w:webHidden/>
          </w:rPr>
        </w:r>
        <w:r>
          <w:rPr>
            <w:webHidden/>
          </w:rPr>
          <w:fldChar w:fldCharType="separate"/>
        </w:r>
        <w:r>
          <w:rPr>
            <w:webHidden/>
          </w:rPr>
          <w:t>3</w:t>
        </w:r>
        <w:r>
          <w:rPr>
            <w:webHidden/>
          </w:rPr>
          <w:fldChar w:fldCharType="end"/>
        </w:r>
      </w:hyperlink>
    </w:p>
    <w:p w14:paraId="6819E301" w14:textId="27DA9AAF" w:rsidR="00EF5309" w:rsidRDefault="00EF530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5541653" w:history="1">
        <w:r w:rsidRPr="00571B14">
          <w:rPr>
            <w:rStyle w:val="Hyperlink"/>
          </w:rPr>
          <w:t>2.</w:t>
        </w:r>
        <w:r>
          <w:rPr>
            <w:rFonts w:asciiTheme="minorHAnsi" w:eastAsiaTheme="minorEastAsia" w:hAnsiTheme="minorHAnsi" w:cstheme="minorBidi"/>
            <w:b w:val="0"/>
            <w:kern w:val="2"/>
            <w:sz w:val="24"/>
            <w:szCs w:val="24"/>
            <w:lang w:eastAsia="en-AU"/>
            <w14:ligatures w14:val="standardContextual"/>
          </w:rPr>
          <w:tab/>
        </w:r>
        <w:r w:rsidRPr="00571B14">
          <w:rPr>
            <w:rStyle w:val="Hyperlink"/>
          </w:rPr>
          <w:t>Sublocade® to sublingual buprenorphine/naloxone</w:t>
        </w:r>
        <w:r>
          <w:rPr>
            <w:webHidden/>
          </w:rPr>
          <w:tab/>
        </w:r>
        <w:r>
          <w:rPr>
            <w:webHidden/>
          </w:rPr>
          <w:fldChar w:fldCharType="begin"/>
        </w:r>
        <w:r>
          <w:rPr>
            <w:webHidden/>
          </w:rPr>
          <w:instrText xml:space="preserve"> PAGEREF _Toc235541653 \h </w:instrText>
        </w:r>
        <w:r>
          <w:rPr>
            <w:webHidden/>
          </w:rPr>
        </w:r>
        <w:r>
          <w:rPr>
            <w:webHidden/>
          </w:rPr>
          <w:fldChar w:fldCharType="separate"/>
        </w:r>
        <w:r>
          <w:rPr>
            <w:webHidden/>
          </w:rPr>
          <w:t>4</w:t>
        </w:r>
        <w:r>
          <w:rPr>
            <w:webHidden/>
          </w:rPr>
          <w:fldChar w:fldCharType="end"/>
        </w:r>
      </w:hyperlink>
    </w:p>
    <w:p w14:paraId="44269C11" w14:textId="56F48205" w:rsidR="00EF5309" w:rsidRDefault="00EF530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5541654" w:history="1">
        <w:r w:rsidRPr="00571B14">
          <w:rPr>
            <w:rStyle w:val="Hyperlink"/>
          </w:rPr>
          <w:t>3.</w:t>
        </w:r>
        <w:r>
          <w:rPr>
            <w:rFonts w:asciiTheme="minorHAnsi" w:eastAsiaTheme="minorEastAsia" w:hAnsiTheme="minorHAnsi" w:cstheme="minorBidi"/>
            <w:b w:val="0"/>
            <w:kern w:val="2"/>
            <w:sz w:val="24"/>
            <w:szCs w:val="24"/>
            <w:lang w:eastAsia="en-AU"/>
            <w14:ligatures w14:val="standardContextual"/>
          </w:rPr>
          <w:tab/>
        </w:r>
        <w:r w:rsidRPr="00571B14">
          <w:rPr>
            <w:rStyle w:val="Hyperlink"/>
          </w:rPr>
          <w:t>Sublocade® to methadone</w:t>
        </w:r>
        <w:r>
          <w:rPr>
            <w:webHidden/>
          </w:rPr>
          <w:tab/>
        </w:r>
        <w:r>
          <w:rPr>
            <w:webHidden/>
          </w:rPr>
          <w:fldChar w:fldCharType="begin"/>
        </w:r>
        <w:r>
          <w:rPr>
            <w:webHidden/>
          </w:rPr>
          <w:instrText xml:space="preserve"> PAGEREF _Toc235541654 \h </w:instrText>
        </w:r>
        <w:r>
          <w:rPr>
            <w:webHidden/>
          </w:rPr>
        </w:r>
        <w:r>
          <w:rPr>
            <w:webHidden/>
          </w:rPr>
          <w:fldChar w:fldCharType="separate"/>
        </w:r>
        <w:r>
          <w:rPr>
            <w:webHidden/>
          </w:rPr>
          <w:t>4</w:t>
        </w:r>
        <w:r>
          <w:rPr>
            <w:webHidden/>
          </w:rPr>
          <w:fldChar w:fldCharType="end"/>
        </w:r>
      </w:hyperlink>
    </w:p>
    <w:p w14:paraId="183E17F0" w14:textId="3B6D4974" w:rsidR="00EF5309" w:rsidRDefault="00EF5309">
      <w:pPr>
        <w:pStyle w:val="TOC1"/>
        <w:rPr>
          <w:rFonts w:asciiTheme="minorHAnsi" w:eastAsiaTheme="minorEastAsia" w:hAnsiTheme="minorHAnsi" w:cstheme="minorBidi"/>
          <w:b w:val="0"/>
          <w:kern w:val="2"/>
          <w:sz w:val="24"/>
          <w:szCs w:val="24"/>
          <w:lang w:eastAsia="en-AU"/>
          <w14:ligatures w14:val="standardContextual"/>
        </w:rPr>
      </w:pPr>
      <w:hyperlink w:anchor="_Toc235541655" w:history="1">
        <w:r w:rsidRPr="00571B14">
          <w:rPr>
            <w:rStyle w:val="Hyperlink"/>
          </w:rPr>
          <w:t>Overdose risk during transition</w:t>
        </w:r>
        <w:r>
          <w:rPr>
            <w:webHidden/>
          </w:rPr>
          <w:tab/>
        </w:r>
        <w:r>
          <w:rPr>
            <w:webHidden/>
          </w:rPr>
          <w:fldChar w:fldCharType="begin"/>
        </w:r>
        <w:r>
          <w:rPr>
            <w:webHidden/>
          </w:rPr>
          <w:instrText xml:space="preserve"> PAGEREF _Toc235541655 \h </w:instrText>
        </w:r>
        <w:r>
          <w:rPr>
            <w:webHidden/>
          </w:rPr>
        </w:r>
        <w:r>
          <w:rPr>
            <w:webHidden/>
          </w:rPr>
          <w:fldChar w:fldCharType="separate"/>
        </w:r>
        <w:r>
          <w:rPr>
            <w:webHidden/>
          </w:rPr>
          <w:t>6</w:t>
        </w:r>
        <w:r>
          <w:rPr>
            <w:webHidden/>
          </w:rPr>
          <w:fldChar w:fldCharType="end"/>
        </w:r>
      </w:hyperlink>
    </w:p>
    <w:p w14:paraId="21290AE9" w14:textId="413E67DF" w:rsidR="00EF5309" w:rsidRDefault="00EF5309">
      <w:pPr>
        <w:pStyle w:val="TOC1"/>
        <w:rPr>
          <w:rFonts w:asciiTheme="minorHAnsi" w:eastAsiaTheme="minorEastAsia" w:hAnsiTheme="minorHAnsi" w:cstheme="minorBidi"/>
          <w:b w:val="0"/>
          <w:kern w:val="2"/>
          <w:sz w:val="24"/>
          <w:szCs w:val="24"/>
          <w:lang w:eastAsia="en-AU"/>
          <w14:ligatures w14:val="standardContextual"/>
        </w:rPr>
      </w:pPr>
      <w:hyperlink w:anchor="_Toc235541656" w:history="1">
        <w:r w:rsidRPr="00571B14">
          <w:rPr>
            <w:rStyle w:val="Hyperlink"/>
            <w:rFonts w:eastAsia="Times"/>
          </w:rPr>
          <w:t>When to seek specialist advice</w:t>
        </w:r>
        <w:r>
          <w:rPr>
            <w:webHidden/>
          </w:rPr>
          <w:tab/>
        </w:r>
        <w:r>
          <w:rPr>
            <w:webHidden/>
          </w:rPr>
          <w:fldChar w:fldCharType="begin"/>
        </w:r>
        <w:r>
          <w:rPr>
            <w:webHidden/>
          </w:rPr>
          <w:instrText xml:space="preserve"> PAGEREF _Toc235541656 \h </w:instrText>
        </w:r>
        <w:r>
          <w:rPr>
            <w:webHidden/>
          </w:rPr>
        </w:r>
        <w:r>
          <w:rPr>
            <w:webHidden/>
          </w:rPr>
          <w:fldChar w:fldCharType="separate"/>
        </w:r>
        <w:r>
          <w:rPr>
            <w:webHidden/>
          </w:rPr>
          <w:t>6</w:t>
        </w:r>
        <w:r>
          <w:rPr>
            <w:webHidden/>
          </w:rPr>
          <w:fldChar w:fldCharType="end"/>
        </w:r>
      </w:hyperlink>
    </w:p>
    <w:p w14:paraId="76AA063C" w14:textId="3E945361" w:rsidR="00580394" w:rsidRPr="00B519CD" w:rsidRDefault="00AD784C" w:rsidP="007173CA">
      <w:pPr>
        <w:pStyle w:val="Body"/>
        <w:sectPr w:rsidR="00580394" w:rsidRPr="00B519CD" w:rsidSect="00E62622">
          <w:headerReference w:type="default" r:id="rId15"/>
          <w:type w:val="continuous"/>
          <w:pgSz w:w="11906" w:h="16838" w:code="9"/>
          <w:pgMar w:top="1418" w:right="851" w:bottom="1418" w:left="851" w:header="851" w:footer="851" w:gutter="0"/>
          <w:cols w:space="340"/>
          <w:titlePg/>
          <w:docGrid w:linePitch="360"/>
        </w:sectPr>
      </w:pPr>
      <w:r>
        <w:fldChar w:fldCharType="end"/>
      </w:r>
    </w:p>
    <w:p w14:paraId="03C9CFA6" w14:textId="30DBE23D" w:rsidR="006E2869" w:rsidRPr="00CB0168" w:rsidRDefault="00E07656" w:rsidP="00C51F0A">
      <w:pPr>
        <w:pStyle w:val="Heading1"/>
        <w:spacing w:before="0"/>
        <w:rPr>
          <w:sz w:val="24"/>
          <w:szCs w:val="24"/>
        </w:rPr>
      </w:pPr>
      <w:bookmarkStart w:id="0" w:name="_Toc235541644"/>
      <w:r w:rsidRPr="00CB0168">
        <w:rPr>
          <w:sz w:val="24"/>
          <w:szCs w:val="24"/>
        </w:rPr>
        <w:t>Sublocade® discontinuation in Australia</w:t>
      </w:r>
      <w:bookmarkEnd w:id="0"/>
    </w:p>
    <w:p w14:paraId="49681132" w14:textId="0AA578CC" w:rsidR="00D94F67" w:rsidRDefault="00AE6A33" w:rsidP="00AE6A33">
      <w:pPr>
        <w:pStyle w:val="Body"/>
      </w:pPr>
      <w:r w:rsidRPr="00AE6A33">
        <w:t xml:space="preserve">Sublocade® is a monthly long-acting injectable buprenorphine </w:t>
      </w:r>
      <w:r w:rsidR="003B04FD">
        <w:t xml:space="preserve">(LAIB) </w:t>
      </w:r>
      <w:r w:rsidRPr="00AE6A33">
        <w:t>medicine used in opioid dependence treatment. In June 2026, its manufacturer, Indivior, advised that Sublocade® will be discontinued in Australia after 31 December 2026 for commercial reasons</w:t>
      </w:r>
      <w:r w:rsidR="00D94F67">
        <w:t xml:space="preserve">. </w:t>
      </w:r>
    </w:p>
    <w:p w14:paraId="1ED1515F" w14:textId="77777777" w:rsidR="00D94F67" w:rsidRDefault="00D94F67" w:rsidP="00AE6A33">
      <w:pPr>
        <w:pStyle w:val="Body"/>
      </w:pPr>
      <w:r>
        <w:t xml:space="preserve">This decision is not related to </w:t>
      </w:r>
      <w:r w:rsidR="00AE6A33" w:rsidRPr="00AE6A33">
        <w:t xml:space="preserve">any identified safety, quality or efficacy concerns. Stock is expected to remain available during the transition period, with final orders accepted until 11 December 2026 and PBS claims able to be made until 31 December 2026, subject to PBS requirements. </w:t>
      </w:r>
    </w:p>
    <w:p w14:paraId="18CF5E48" w14:textId="77777777" w:rsidR="00530D05" w:rsidRDefault="000820CA">
      <w:pPr>
        <w:pStyle w:val="Body"/>
      </w:pPr>
      <w:r>
        <w:t>During the discontinuation period, new patients should not be commenced on Sublocade® unless there is a clear clinical rationale and a documented plan, discussed with the patient, for transition to an available alternative ODT medicine before supply ceases.</w:t>
      </w:r>
    </w:p>
    <w:p w14:paraId="6EDDBB3B" w14:textId="1F424F40" w:rsidR="00C36F5F" w:rsidRDefault="00271EE5" w:rsidP="006E2869">
      <w:pPr>
        <w:pStyle w:val="Body"/>
      </w:pPr>
      <w:r>
        <w:t>Th</w:t>
      </w:r>
      <w:r w:rsidR="006C3B9D">
        <w:t>e Department of Health’s</w:t>
      </w:r>
      <w:r>
        <w:t xml:space="preserve"> guidance supports Victorian health professionals to plan safe, timely and individualised treatment transitions for people currently receiving Sublocade® for opioid dependence treatment (ODT). It brings together clinical transition advice and sets out the department’s recommended approach to medication transition management.</w:t>
      </w:r>
    </w:p>
    <w:p w14:paraId="1EA54F8D" w14:textId="4104C5DC" w:rsidR="00530D05" w:rsidRDefault="00271C06">
      <w:pPr>
        <w:pStyle w:val="Body"/>
      </w:pPr>
      <w:r>
        <w:lastRenderedPageBreak/>
        <w:t xml:space="preserve">The options below </w:t>
      </w:r>
      <w:r w:rsidR="00BD73BE">
        <w:t>reflect the fact that r</w:t>
      </w:r>
      <w:r w:rsidR="000820CA">
        <w:t>esidual Sublocade® exposure may persist for weeks or months after the last injection and influence the timing and clinical experience of transition. This long and variable pharmacokinetic tail should be explained as part of informed decision-making when selecting and planning an alternative treatment.</w:t>
      </w:r>
    </w:p>
    <w:p w14:paraId="38113B14" w14:textId="709B21B8" w:rsidR="00AE3EFF" w:rsidRPr="000106BC" w:rsidRDefault="000106BC" w:rsidP="000106BC">
      <w:pPr>
        <w:pStyle w:val="Heading1"/>
        <w:rPr>
          <w:rFonts w:eastAsia="Arial"/>
          <w:sz w:val="24"/>
          <w:szCs w:val="24"/>
        </w:rPr>
      </w:pPr>
      <w:bookmarkStart w:id="1" w:name="_Toc235541645"/>
      <w:r w:rsidRPr="000106BC">
        <w:rPr>
          <w:rFonts w:eastAsia="Arial"/>
          <w:sz w:val="24"/>
          <w:szCs w:val="24"/>
        </w:rPr>
        <w:t>Key suggested treatment transition regimens following Sublocade® discontinuation</w:t>
      </w:r>
      <w:bookmarkEnd w:id="1"/>
    </w:p>
    <w:p w14:paraId="043ED539" w14:textId="1BA69A40" w:rsidR="345E5044" w:rsidRPr="000106BC" w:rsidRDefault="3EE1CB06" w:rsidP="00932210">
      <w:pPr>
        <w:pStyle w:val="Heading2"/>
        <w:numPr>
          <w:ilvl w:val="0"/>
          <w:numId w:val="61"/>
        </w:numPr>
        <w:rPr>
          <w:sz w:val="24"/>
          <w:szCs w:val="24"/>
        </w:rPr>
      </w:pPr>
      <w:bookmarkStart w:id="2" w:name="_Toc235541646"/>
      <w:r w:rsidRPr="000106BC">
        <w:rPr>
          <w:rFonts w:eastAsia="Arial"/>
          <w:sz w:val="24"/>
          <w:szCs w:val="24"/>
        </w:rPr>
        <w:t>Sublocade® to Buvidal®</w:t>
      </w:r>
      <w:bookmarkEnd w:id="2"/>
      <w:r w:rsidRPr="000106BC">
        <w:rPr>
          <w:rFonts w:eastAsia="Arial"/>
          <w:sz w:val="24"/>
          <w:szCs w:val="24"/>
        </w:rPr>
        <w:t xml:space="preserve"> </w:t>
      </w:r>
    </w:p>
    <w:tbl>
      <w:tblPr>
        <w:tblStyle w:val="TableGrid"/>
        <w:tblW w:w="0" w:type="auto"/>
        <w:tblLook w:val="04A0" w:firstRow="1" w:lastRow="0" w:firstColumn="1" w:lastColumn="0" w:noHBand="0" w:noVBand="1"/>
      </w:tblPr>
      <w:tblGrid>
        <w:gridCol w:w="3549"/>
        <w:gridCol w:w="6175"/>
      </w:tblGrid>
      <w:tr w:rsidR="5433A1E0" w14:paraId="1FAC001A" w14:textId="77777777" w:rsidTr="5433A1E0">
        <w:trPr>
          <w:trHeight w:val="300"/>
        </w:trPr>
        <w:tc>
          <w:tcPr>
            <w:tcW w:w="3549" w:type="dxa"/>
            <w:tcBorders>
              <w:top w:val="single" w:sz="8" w:space="0" w:color="auto"/>
              <w:left w:val="single" w:sz="8" w:space="0" w:color="auto"/>
              <w:bottom w:val="single" w:sz="8" w:space="0" w:color="auto"/>
              <w:right w:val="single" w:sz="8" w:space="0" w:color="auto"/>
            </w:tcBorders>
            <w:shd w:val="clear" w:color="auto" w:fill="FDE9D9" w:themeFill="accent6" w:themeFillTint="33"/>
            <w:tcMar>
              <w:top w:w="60" w:type="dxa"/>
              <w:left w:w="108" w:type="dxa"/>
              <w:bottom w:w="60" w:type="dxa"/>
              <w:right w:w="108" w:type="dxa"/>
            </w:tcMar>
            <w:vAlign w:val="center"/>
          </w:tcPr>
          <w:p w14:paraId="36EDB21E" w14:textId="53585788" w:rsidR="5433A1E0" w:rsidRDefault="5433A1E0" w:rsidP="5433A1E0">
            <w:pPr>
              <w:tabs>
                <w:tab w:val="left" w:pos="1064"/>
              </w:tabs>
              <w:spacing w:after="0"/>
            </w:pPr>
            <w:r w:rsidRPr="5433A1E0">
              <w:rPr>
                <w:rFonts w:eastAsia="Arial" w:cs="Arial"/>
                <w:b/>
                <w:bCs/>
                <w:color w:val="000000" w:themeColor="text1"/>
                <w:szCs w:val="21"/>
              </w:rPr>
              <w:t>Current Sublocade® regimen</w:t>
            </w:r>
          </w:p>
        </w:tc>
        <w:tc>
          <w:tcPr>
            <w:tcW w:w="6175" w:type="dxa"/>
            <w:tcBorders>
              <w:top w:val="single" w:sz="8" w:space="0" w:color="auto"/>
              <w:left w:val="single" w:sz="8" w:space="0" w:color="auto"/>
              <w:bottom w:val="single" w:sz="8" w:space="0" w:color="auto"/>
              <w:right w:val="single" w:sz="8" w:space="0" w:color="auto"/>
            </w:tcBorders>
            <w:shd w:val="clear" w:color="auto" w:fill="FDE9D9" w:themeFill="accent6" w:themeFillTint="33"/>
            <w:tcMar>
              <w:top w:w="60" w:type="dxa"/>
              <w:left w:w="108" w:type="dxa"/>
              <w:bottom w:w="60" w:type="dxa"/>
              <w:right w:w="108" w:type="dxa"/>
            </w:tcMar>
            <w:vAlign w:val="center"/>
          </w:tcPr>
          <w:p w14:paraId="1DA58C00" w14:textId="4E7C8074" w:rsidR="5433A1E0" w:rsidRPr="00932210" w:rsidRDefault="5433A1E0" w:rsidP="5433A1E0">
            <w:pPr>
              <w:spacing w:after="0"/>
            </w:pPr>
            <w:r w:rsidRPr="00932210">
              <w:rPr>
                <w:rFonts w:eastAsia="Arial" w:cs="Arial"/>
                <w:b/>
                <w:bCs/>
                <w:szCs w:val="21"/>
              </w:rPr>
              <w:t>Recommended Buvidal® regimen</w:t>
            </w:r>
          </w:p>
        </w:tc>
      </w:tr>
      <w:tr w:rsidR="5433A1E0" w14:paraId="1443B660" w14:textId="77777777" w:rsidTr="5433A1E0">
        <w:trPr>
          <w:trHeight w:val="300"/>
        </w:trPr>
        <w:tc>
          <w:tcPr>
            <w:tcW w:w="3549" w:type="dxa"/>
            <w:tcBorders>
              <w:top w:val="single" w:sz="8" w:space="0" w:color="auto"/>
              <w:left w:val="single" w:sz="8" w:space="0" w:color="auto"/>
              <w:bottom w:val="single" w:sz="8" w:space="0" w:color="auto"/>
              <w:right w:val="single" w:sz="8" w:space="0" w:color="auto"/>
            </w:tcBorders>
            <w:tcMar>
              <w:top w:w="60" w:type="dxa"/>
              <w:left w:w="108" w:type="dxa"/>
              <w:bottom w:w="60" w:type="dxa"/>
              <w:right w:w="108" w:type="dxa"/>
            </w:tcMar>
            <w:vAlign w:val="center"/>
          </w:tcPr>
          <w:p w14:paraId="53D84065" w14:textId="04C59807" w:rsidR="5433A1E0" w:rsidRDefault="5433A1E0" w:rsidP="5433A1E0">
            <w:pPr>
              <w:tabs>
                <w:tab w:val="left" w:pos="1064"/>
              </w:tabs>
              <w:spacing w:after="0"/>
            </w:pPr>
            <w:r w:rsidRPr="5433A1E0">
              <w:rPr>
                <w:rFonts w:eastAsia="Arial" w:cs="Arial"/>
                <w:szCs w:val="21"/>
              </w:rPr>
              <w:t>Sublocade® 100 mg maintenance</w:t>
            </w:r>
          </w:p>
        </w:tc>
        <w:tc>
          <w:tcPr>
            <w:tcW w:w="6175" w:type="dxa"/>
            <w:tcBorders>
              <w:top w:val="single" w:sz="8" w:space="0" w:color="auto"/>
              <w:left w:val="single" w:sz="8" w:space="0" w:color="auto"/>
              <w:bottom w:val="single" w:sz="8" w:space="0" w:color="auto"/>
              <w:right w:val="single" w:sz="8" w:space="0" w:color="auto"/>
            </w:tcBorders>
            <w:tcMar>
              <w:top w:w="60" w:type="dxa"/>
              <w:left w:w="108" w:type="dxa"/>
              <w:bottom w:w="60" w:type="dxa"/>
              <w:right w:w="108" w:type="dxa"/>
            </w:tcMar>
            <w:vAlign w:val="center"/>
          </w:tcPr>
          <w:p w14:paraId="40F029BC" w14:textId="58C2801D" w:rsidR="5433A1E0" w:rsidRDefault="5433A1E0" w:rsidP="5433A1E0">
            <w:pPr>
              <w:spacing w:after="0"/>
            </w:pPr>
            <w:r w:rsidRPr="5433A1E0">
              <w:rPr>
                <w:rFonts w:eastAsia="Arial" w:cs="Arial"/>
                <w:szCs w:val="21"/>
              </w:rPr>
              <w:t>Buvidal® Monthly 128 mg. Consider Monthly 160 mg or Weekly 32 mg.</w:t>
            </w:r>
          </w:p>
        </w:tc>
      </w:tr>
      <w:tr w:rsidR="5433A1E0" w14:paraId="47B21A9A" w14:textId="77777777" w:rsidTr="5433A1E0">
        <w:trPr>
          <w:trHeight w:val="300"/>
        </w:trPr>
        <w:tc>
          <w:tcPr>
            <w:tcW w:w="3549" w:type="dxa"/>
            <w:tcBorders>
              <w:top w:val="single" w:sz="8" w:space="0" w:color="auto"/>
              <w:left w:val="single" w:sz="8" w:space="0" w:color="auto"/>
              <w:bottom w:val="single" w:sz="8" w:space="0" w:color="auto"/>
              <w:right w:val="single" w:sz="8" w:space="0" w:color="auto"/>
            </w:tcBorders>
            <w:tcMar>
              <w:top w:w="60" w:type="dxa"/>
              <w:left w:w="108" w:type="dxa"/>
              <w:bottom w:w="60" w:type="dxa"/>
              <w:right w:w="108" w:type="dxa"/>
            </w:tcMar>
            <w:vAlign w:val="center"/>
          </w:tcPr>
          <w:p w14:paraId="0D7FFC6D" w14:textId="07D801F1" w:rsidR="5433A1E0" w:rsidRDefault="5433A1E0" w:rsidP="5433A1E0">
            <w:pPr>
              <w:spacing w:after="0"/>
            </w:pPr>
            <w:r w:rsidRPr="5433A1E0">
              <w:rPr>
                <w:rFonts w:eastAsia="Arial" w:cs="Arial"/>
                <w:szCs w:val="21"/>
              </w:rPr>
              <w:t>Sublocade® 300 mg maintenance</w:t>
            </w:r>
          </w:p>
        </w:tc>
        <w:tc>
          <w:tcPr>
            <w:tcW w:w="6175" w:type="dxa"/>
            <w:tcBorders>
              <w:top w:val="single" w:sz="8" w:space="0" w:color="auto"/>
              <w:left w:val="single" w:sz="8" w:space="0" w:color="auto"/>
              <w:bottom w:val="single" w:sz="8" w:space="0" w:color="auto"/>
              <w:right w:val="single" w:sz="8" w:space="0" w:color="auto"/>
            </w:tcBorders>
            <w:tcMar>
              <w:top w:w="60" w:type="dxa"/>
              <w:left w:w="108" w:type="dxa"/>
              <w:bottom w:w="60" w:type="dxa"/>
              <w:right w:w="108" w:type="dxa"/>
            </w:tcMar>
            <w:vAlign w:val="center"/>
          </w:tcPr>
          <w:p w14:paraId="3E007008" w14:textId="20976C4D" w:rsidR="00AE3EFF" w:rsidRDefault="5433A1E0" w:rsidP="5433A1E0">
            <w:pPr>
              <w:spacing w:after="0"/>
            </w:pPr>
            <w:r w:rsidRPr="5433A1E0">
              <w:rPr>
                <w:rFonts w:eastAsia="Arial" w:cs="Arial"/>
                <w:szCs w:val="21"/>
              </w:rPr>
              <w:t>Buvidal® Monthly 160 mg or Weekly 32 mg. Consider shorter intervals or supplemental buprenorphine.</w:t>
            </w:r>
          </w:p>
        </w:tc>
      </w:tr>
    </w:tbl>
    <w:p w14:paraId="172BA7F9" w14:textId="13F2A6C9" w:rsidR="3AF1DF8E" w:rsidRDefault="3AF1DF8E" w:rsidP="663796A8">
      <w:pPr>
        <w:rPr>
          <w:rFonts w:eastAsia="Arial" w:cs="Arial"/>
          <w:i/>
          <w:iCs/>
          <w:szCs w:val="21"/>
        </w:rPr>
      </w:pPr>
      <w:r w:rsidRPr="663796A8">
        <w:rPr>
          <w:rFonts w:eastAsia="Arial" w:cs="Arial"/>
          <w:i/>
          <w:iCs/>
          <w:szCs w:val="21"/>
        </w:rPr>
        <w:t>Table 1 – Recommended transition regimens from Sublocade® to Buvidal®</w:t>
      </w:r>
      <w:r w:rsidR="00E875C0">
        <w:rPr>
          <w:rFonts w:eastAsia="Arial" w:cs="Arial"/>
          <w:i/>
          <w:iCs/>
          <w:szCs w:val="21"/>
        </w:rPr>
        <w:t xml:space="preserve"> </w:t>
      </w:r>
      <w:r w:rsidR="00E875C0">
        <w:rPr>
          <w:i/>
          <w:iCs/>
        </w:rPr>
        <w:t>with adjustments to be made according to clinical judgement</w:t>
      </w:r>
    </w:p>
    <w:p w14:paraId="22252506" w14:textId="4A91AAB4" w:rsidR="000106BC" w:rsidRDefault="000106BC" w:rsidP="000106BC">
      <w:pPr>
        <w:rPr>
          <w:rFonts w:eastAsia="Arial" w:cs="Arial"/>
          <w:i/>
        </w:rPr>
      </w:pPr>
    </w:p>
    <w:p w14:paraId="56818DCD" w14:textId="32B934F2" w:rsidR="345E5044" w:rsidRPr="000106BC" w:rsidRDefault="3EE1CB06" w:rsidP="00932210">
      <w:pPr>
        <w:pStyle w:val="Heading2"/>
        <w:numPr>
          <w:ilvl w:val="0"/>
          <w:numId w:val="61"/>
        </w:numPr>
        <w:rPr>
          <w:sz w:val="24"/>
          <w:szCs w:val="24"/>
        </w:rPr>
      </w:pPr>
      <w:bookmarkStart w:id="3" w:name="_Toc235541647"/>
      <w:r w:rsidRPr="000106BC">
        <w:rPr>
          <w:rFonts w:eastAsia="Arial"/>
          <w:sz w:val="24"/>
          <w:szCs w:val="24"/>
        </w:rPr>
        <w:t>Sublocade® to sublingual buprenorphine/naloxone</w:t>
      </w:r>
      <w:bookmarkEnd w:id="3"/>
    </w:p>
    <w:tbl>
      <w:tblPr>
        <w:tblStyle w:val="TableGrid"/>
        <w:tblW w:w="0" w:type="auto"/>
        <w:tblLook w:val="04A0" w:firstRow="1" w:lastRow="0" w:firstColumn="1" w:lastColumn="0" w:noHBand="0" w:noVBand="1"/>
      </w:tblPr>
      <w:tblGrid>
        <w:gridCol w:w="3504"/>
        <w:gridCol w:w="6220"/>
      </w:tblGrid>
      <w:tr w:rsidR="5433A1E0" w14:paraId="2EAFA27E" w14:textId="77777777" w:rsidTr="5433A1E0">
        <w:trPr>
          <w:trHeight w:val="300"/>
        </w:trPr>
        <w:tc>
          <w:tcPr>
            <w:tcW w:w="3504" w:type="dxa"/>
            <w:tcBorders>
              <w:top w:val="single" w:sz="8" w:space="0" w:color="auto"/>
              <w:left w:val="single" w:sz="8" w:space="0" w:color="auto"/>
              <w:bottom w:val="single" w:sz="8" w:space="0" w:color="auto"/>
              <w:right w:val="single" w:sz="8" w:space="0" w:color="auto"/>
            </w:tcBorders>
            <w:shd w:val="clear" w:color="auto" w:fill="FDE9D9" w:themeFill="accent6" w:themeFillTint="33"/>
            <w:tcMar>
              <w:top w:w="60" w:type="dxa"/>
              <w:left w:w="108" w:type="dxa"/>
              <w:bottom w:w="60" w:type="dxa"/>
              <w:right w:w="108" w:type="dxa"/>
            </w:tcMar>
            <w:vAlign w:val="center"/>
          </w:tcPr>
          <w:p w14:paraId="65633DF0" w14:textId="0813D05C" w:rsidR="5433A1E0" w:rsidRPr="00932210" w:rsidRDefault="5433A1E0" w:rsidP="5433A1E0">
            <w:pPr>
              <w:tabs>
                <w:tab w:val="left" w:pos="1064"/>
              </w:tabs>
              <w:spacing w:after="0"/>
            </w:pPr>
            <w:r w:rsidRPr="00932210">
              <w:rPr>
                <w:rFonts w:eastAsia="Arial" w:cs="Arial"/>
                <w:b/>
                <w:bCs/>
                <w:szCs w:val="21"/>
              </w:rPr>
              <w:t>Current Sublocade® regimen</w:t>
            </w:r>
          </w:p>
        </w:tc>
        <w:tc>
          <w:tcPr>
            <w:tcW w:w="6220" w:type="dxa"/>
            <w:tcBorders>
              <w:top w:val="single" w:sz="8" w:space="0" w:color="auto"/>
              <w:left w:val="single" w:sz="8" w:space="0" w:color="auto"/>
              <w:bottom w:val="single" w:sz="8" w:space="0" w:color="auto"/>
              <w:right w:val="single" w:sz="8" w:space="0" w:color="auto"/>
            </w:tcBorders>
            <w:shd w:val="clear" w:color="auto" w:fill="FDE9D9" w:themeFill="accent6" w:themeFillTint="33"/>
            <w:tcMar>
              <w:top w:w="60" w:type="dxa"/>
              <w:left w:w="108" w:type="dxa"/>
              <w:bottom w:w="60" w:type="dxa"/>
              <w:right w:w="108" w:type="dxa"/>
            </w:tcMar>
            <w:vAlign w:val="center"/>
          </w:tcPr>
          <w:p w14:paraId="22A32769" w14:textId="09CBEB01" w:rsidR="5433A1E0" w:rsidRPr="00932210" w:rsidRDefault="5433A1E0" w:rsidP="5433A1E0">
            <w:pPr>
              <w:tabs>
                <w:tab w:val="left" w:pos="1064"/>
              </w:tabs>
              <w:spacing w:after="0"/>
            </w:pPr>
            <w:r w:rsidRPr="00932210">
              <w:rPr>
                <w:rFonts w:eastAsia="Arial" w:cs="Arial"/>
                <w:b/>
                <w:bCs/>
                <w:szCs w:val="21"/>
              </w:rPr>
              <w:t>Recommended sublingual buprenorphine/naloxone regimen</w:t>
            </w:r>
          </w:p>
        </w:tc>
      </w:tr>
      <w:tr w:rsidR="5433A1E0" w14:paraId="5485FC0F" w14:textId="77777777" w:rsidTr="5433A1E0">
        <w:trPr>
          <w:trHeight w:val="300"/>
        </w:trPr>
        <w:tc>
          <w:tcPr>
            <w:tcW w:w="3504" w:type="dxa"/>
            <w:tcBorders>
              <w:top w:val="single" w:sz="8" w:space="0" w:color="auto"/>
              <w:left w:val="single" w:sz="8" w:space="0" w:color="auto"/>
              <w:bottom w:val="single" w:sz="8" w:space="0" w:color="auto"/>
              <w:right w:val="single" w:sz="8" w:space="0" w:color="auto"/>
            </w:tcBorders>
            <w:tcMar>
              <w:top w:w="60" w:type="dxa"/>
              <w:left w:w="108" w:type="dxa"/>
              <w:bottom w:w="60" w:type="dxa"/>
              <w:right w:w="108" w:type="dxa"/>
            </w:tcMar>
            <w:vAlign w:val="center"/>
          </w:tcPr>
          <w:p w14:paraId="5BBB40B7" w14:textId="43604DA6" w:rsidR="5433A1E0" w:rsidRPr="00932210" w:rsidRDefault="5433A1E0" w:rsidP="5433A1E0">
            <w:pPr>
              <w:tabs>
                <w:tab w:val="left" w:pos="1064"/>
              </w:tabs>
              <w:spacing w:after="0"/>
            </w:pPr>
            <w:r w:rsidRPr="00932210">
              <w:rPr>
                <w:rFonts w:eastAsia="Arial" w:cs="Arial"/>
                <w:szCs w:val="21"/>
              </w:rPr>
              <w:t>Sublocade</w:t>
            </w:r>
            <w:r w:rsidRPr="00932210">
              <w:rPr>
                <w:rFonts w:eastAsia="Arial" w:cs="Arial"/>
                <w:szCs w:val="21"/>
                <w:u w:val="single"/>
              </w:rPr>
              <w:t>® 100 mg maintenance</w:t>
            </w:r>
          </w:p>
        </w:tc>
        <w:tc>
          <w:tcPr>
            <w:tcW w:w="6220" w:type="dxa"/>
            <w:tcBorders>
              <w:top w:val="single" w:sz="8" w:space="0" w:color="auto"/>
              <w:left w:val="single" w:sz="8" w:space="0" w:color="auto"/>
              <w:bottom w:val="single" w:sz="8" w:space="0" w:color="auto"/>
              <w:right w:val="single" w:sz="8" w:space="0" w:color="auto"/>
            </w:tcBorders>
            <w:tcMar>
              <w:top w:w="60" w:type="dxa"/>
              <w:left w:w="108" w:type="dxa"/>
              <w:bottom w:w="60" w:type="dxa"/>
              <w:right w:w="108" w:type="dxa"/>
            </w:tcMar>
            <w:vAlign w:val="center"/>
          </w:tcPr>
          <w:p w14:paraId="193DD40D" w14:textId="064FDB59" w:rsidR="5433A1E0" w:rsidRPr="00932210" w:rsidRDefault="5433A1E0" w:rsidP="5433A1E0">
            <w:pPr>
              <w:tabs>
                <w:tab w:val="left" w:pos="1064"/>
                <w:tab w:val="left" w:pos="1139"/>
              </w:tabs>
              <w:spacing w:after="0"/>
            </w:pPr>
            <w:r w:rsidRPr="00932210">
              <w:rPr>
                <w:rFonts w:eastAsia="Arial" w:cs="Arial"/>
                <w:szCs w:val="21"/>
              </w:rPr>
              <w:t>First dose: at least 16 mg. Expected maintenance: 32 mg daily.</w:t>
            </w:r>
          </w:p>
        </w:tc>
      </w:tr>
      <w:tr w:rsidR="5433A1E0" w14:paraId="40018A3A" w14:textId="77777777" w:rsidTr="00AE3EFF">
        <w:trPr>
          <w:trHeight w:val="235"/>
        </w:trPr>
        <w:tc>
          <w:tcPr>
            <w:tcW w:w="3504" w:type="dxa"/>
            <w:tcBorders>
              <w:top w:val="single" w:sz="8" w:space="0" w:color="auto"/>
              <w:left w:val="single" w:sz="8" w:space="0" w:color="auto"/>
              <w:bottom w:val="single" w:sz="8" w:space="0" w:color="auto"/>
              <w:right w:val="single" w:sz="8" w:space="0" w:color="auto"/>
            </w:tcBorders>
            <w:tcMar>
              <w:top w:w="60" w:type="dxa"/>
              <w:left w:w="108" w:type="dxa"/>
              <w:bottom w:w="60" w:type="dxa"/>
              <w:right w:w="108" w:type="dxa"/>
            </w:tcMar>
            <w:vAlign w:val="center"/>
          </w:tcPr>
          <w:p w14:paraId="6371B648" w14:textId="768BEACF" w:rsidR="5433A1E0" w:rsidRPr="00932210" w:rsidRDefault="5433A1E0" w:rsidP="5433A1E0">
            <w:pPr>
              <w:tabs>
                <w:tab w:val="left" w:pos="1064"/>
              </w:tabs>
              <w:spacing w:after="0"/>
            </w:pPr>
            <w:r w:rsidRPr="00932210">
              <w:rPr>
                <w:rFonts w:eastAsia="Arial" w:cs="Arial"/>
                <w:szCs w:val="21"/>
              </w:rPr>
              <w:t>Sublocade® 300 mg maintenance</w:t>
            </w:r>
          </w:p>
        </w:tc>
        <w:tc>
          <w:tcPr>
            <w:tcW w:w="6220" w:type="dxa"/>
            <w:tcBorders>
              <w:top w:val="single" w:sz="8" w:space="0" w:color="auto"/>
              <w:left w:val="single" w:sz="8" w:space="0" w:color="auto"/>
              <w:bottom w:val="single" w:sz="8" w:space="0" w:color="auto"/>
              <w:right w:val="single" w:sz="8" w:space="0" w:color="auto"/>
            </w:tcBorders>
            <w:tcMar>
              <w:top w:w="60" w:type="dxa"/>
              <w:left w:w="108" w:type="dxa"/>
              <w:bottom w:w="60" w:type="dxa"/>
              <w:right w:w="108" w:type="dxa"/>
            </w:tcMar>
            <w:vAlign w:val="center"/>
          </w:tcPr>
          <w:p w14:paraId="18487FE9" w14:textId="0689904D" w:rsidR="5433A1E0" w:rsidRPr="00932210" w:rsidRDefault="5433A1E0" w:rsidP="5433A1E0">
            <w:pPr>
              <w:tabs>
                <w:tab w:val="left" w:pos="1064"/>
              </w:tabs>
              <w:spacing w:after="0"/>
            </w:pPr>
            <w:r w:rsidRPr="00932210">
              <w:rPr>
                <w:rFonts w:eastAsia="Arial" w:cs="Arial"/>
                <w:szCs w:val="21"/>
              </w:rPr>
              <w:t>First dose: 32 mg. Consider divided dosing or supplemental buprenorphine if clinically required.</w:t>
            </w:r>
          </w:p>
        </w:tc>
      </w:tr>
    </w:tbl>
    <w:p w14:paraId="30C9BFBA" w14:textId="00B24E5C" w:rsidR="00AE3EFF" w:rsidRPr="007E2E0C" w:rsidRDefault="2C048335" w:rsidP="663796A8">
      <w:pPr>
        <w:rPr>
          <w:rFonts w:eastAsia="Arial" w:cs="Arial"/>
          <w:i/>
          <w:iCs/>
          <w:szCs w:val="21"/>
          <w:u w:val="single"/>
        </w:rPr>
      </w:pPr>
      <w:r w:rsidRPr="663796A8">
        <w:rPr>
          <w:rFonts w:eastAsia="Arial" w:cs="Arial"/>
          <w:szCs w:val="21"/>
          <w:u w:val="single"/>
        </w:rPr>
        <w:t xml:space="preserve"> </w:t>
      </w:r>
      <w:r w:rsidRPr="663796A8">
        <w:rPr>
          <w:rFonts w:eastAsia="Arial" w:cs="Arial"/>
          <w:i/>
          <w:iCs/>
          <w:szCs w:val="21"/>
        </w:rPr>
        <w:t xml:space="preserve">Table 2 – </w:t>
      </w:r>
      <w:r w:rsidR="00DD5D25">
        <w:rPr>
          <w:rFonts w:eastAsia="Arial" w:cs="Arial"/>
          <w:i/>
          <w:iCs/>
          <w:szCs w:val="21"/>
        </w:rPr>
        <w:t>Recommended</w:t>
      </w:r>
      <w:r w:rsidRPr="663796A8">
        <w:rPr>
          <w:rFonts w:eastAsia="Arial" w:cs="Arial"/>
          <w:i/>
          <w:iCs/>
          <w:szCs w:val="21"/>
        </w:rPr>
        <w:t xml:space="preserve"> sublingual buprenorphine/naloxone transition doses</w:t>
      </w:r>
      <w:r w:rsidR="00E875C0">
        <w:rPr>
          <w:rFonts w:eastAsia="Arial" w:cs="Arial"/>
          <w:i/>
          <w:iCs/>
          <w:szCs w:val="21"/>
        </w:rPr>
        <w:t xml:space="preserve"> </w:t>
      </w:r>
      <w:r w:rsidR="00E875C0">
        <w:rPr>
          <w:i/>
          <w:iCs/>
        </w:rPr>
        <w:t>with adjustments to be made according to clinical judgement</w:t>
      </w:r>
    </w:p>
    <w:p w14:paraId="5D07A512" w14:textId="1191270A" w:rsidR="00AE3EFF" w:rsidRPr="007E2E0C" w:rsidRDefault="00AE3EFF" w:rsidP="00AE3EFF">
      <w:pPr>
        <w:rPr>
          <w:rFonts w:eastAsia="Arial" w:cs="Arial"/>
          <w:i/>
        </w:rPr>
      </w:pPr>
    </w:p>
    <w:p w14:paraId="6B78B27F" w14:textId="778344ED" w:rsidR="345E5044" w:rsidRPr="000106BC" w:rsidRDefault="3EE1CB06" w:rsidP="00932210">
      <w:pPr>
        <w:pStyle w:val="Heading2"/>
        <w:numPr>
          <w:ilvl w:val="0"/>
          <w:numId w:val="61"/>
        </w:numPr>
        <w:rPr>
          <w:sz w:val="24"/>
          <w:szCs w:val="24"/>
        </w:rPr>
      </w:pPr>
      <w:bookmarkStart w:id="4" w:name="_Toc235541648"/>
      <w:r w:rsidRPr="000106BC">
        <w:rPr>
          <w:rFonts w:eastAsia="Arial"/>
          <w:sz w:val="24"/>
          <w:szCs w:val="24"/>
        </w:rPr>
        <w:t>Sublocade® to methadone</w:t>
      </w:r>
      <w:bookmarkEnd w:id="4"/>
    </w:p>
    <w:tbl>
      <w:tblPr>
        <w:tblStyle w:val="TableGrid"/>
        <w:tblW w:w="0" w:type="auto"/>
        <w:tblLook w:val="04A0" w:firstRow="1" w:lastRow="0" w:firstColumn="1" w:lastColumn="0" w:noHBand="0" w:noVBand="1"/>
      </w:tblPr>
      <w:tblGrid>
        <w:gridCol w:w="3534"/>
        <w:gridCol w:w="6190"/>
      </w:tblGrid>
      <w:tr w:rsidR="5433A1E0" w14:paraId="10623ABD" w14:textId="77777777" w:rsidTr="5433A1E0">
        <w:trPr>
          <w:trHeight w:val="300"/>
        </w:trPr>
        <w:tc>
          <w:tcPr>
            <w:tcW w:w="3534" w:type="dxa"/>
            <w:tcBorders>
              <w:top w:val="single" w:sz="8" w:space="0" w:color="auto"/>
              <w:left w:val="single" w:sz="8" w:space="0" w:color="auto"/>
              <w:bottom w:val="single" w:sz="8" w:space="0" w:color="auto"/>
              <w:right w:val="single" w:sz="8" w:space="0" w:color="auto"/>
            </w:tcBorders>
            <w:shd w:val="clear" w:color="auto" w:fill="FDE9D9" w:themeFill="accent6" w:themeFillTint="33"/>
            <w:tcMar>
              <w:top w:w="60" w:type="dxa"/>
              <w:left w:w="108" w:type="dxa"/>
              <w:bottom w:w="60" w:type="dxa"/>
              <w:right w:w="108" w:type="dxa"/>
            </w:tcMar>
            <w:vAlign w:val="center"/>
          </w:tcPr>
          <w:p w14:paraId="3AC0E71C" w14:textId="5FCA9CD0" w:rsidR="5433A1E0" w:rsidRDefault="5433A1E0" w:rsidP="5433A1E0">
            <w:pPr>
              <w:tabs>
                <w:tab w:val="left" w:pos="1139"/>
              </w:tabs>
              <w:spacing w:after="0"/>
            </w:pPr>
            <w:r w:rsidRPr="5433A1E0">
              <w:rPr>
                <w:rFonts w:eastAsia="Arial" w:cs="Arial"/>
                <w:b/>
                <w:bCs/>
                <w:color w:val="000000" w:themeColor="text1"/>
                <w:szCs w:val="21"/>
              </w:rPr>
              <w:t>Current Sublocade® regimen</w:t>
            </w:r>
          </w:p>
        </w:tc>
        <w:tc>
          <w:tcPr>
            <w:tcW w:w="6190" w:type="dxa"/>
            <w:tcBorders>
              <w:top w:val="single" w:sz="8" w:space="0" w:color="auto"/>
              <w:left w:val="single" w:sz="8" w:space="0" w:color="auto"/>
              <w:bottom w:val="single" w:sz="8" w:space="0" w:color="auto"/>
              <w:right w:val="single" w:sz="8" w:space="0" w:color="auto"/>
            </w:tcBorders>
            <w:shd w:val="clear" w:color="auto" w:fill="FDE9D9" w:themeFill="accent6" w:themeFillTint="33"/>
            <w:tcMar>
              <w:top w:w="60" w:type="dxa"/>
              <w:left w:w="108" w:type="dxa"/>
              <w:bottom w:w="60" w:type="dxa"/>
              <w:right w:w="108" w:type="dxa"/>
            </w:tcMar>
            <w:vAlign w:val="center"/>
          </w:tcPr>
          <w:p w14:paraId="0C62D374" w14:textId="444D1DAD" w:rsidR="5433A1E0" w:rsidRDefault="5433A1E0" w:rsidP="5433A1E0">
            <w:pPr>
              <w:tabs>
                <w:tab w:val="left" w:pos="1139"/>
              </w:tabs>
              <w:spacing w:after="0"/>
            </w:pPr>
            <w:r w:rsidRPr="5433A1E0">
              <w:rPr>
                <w:rFonts w:eastAsia="Arial" w:cs="Arial"/>
                <w:b/>
                <w:bCs/>
                <w:color w:val="000000" w:themeColor="text1"/>
                <w:szCs w:val="21"/>
              </w:rPr>
              <w:t>Suggested methadone starting dose</w:t>
            </w:r>
          </w:p>
        </w:tc>
      </w:tr>
      <w:tr w:rsidR="5433A1E0" w14:paraId="1B7C68FE" w14:textId="77777777" w:rsidTr="5433A1E0">
        <w:trPr>
          <w:trHeight w:val="300"/>
        </w:trPr>
        <w:tc>
          <w:tcPr>
            <w:tcW w:w="3534" w:type="dxa"/>
            <w:tcBorders>
              <w:top w:val="single" w:sz="8" w:space="0" w:color="auto"/>
              <w:left w:val="single" w:sz="8" w:space="0" w:color="auto"/>
              <w:bottom w:val="single" w:sz="8" w:space="0" w:color="auto"/>
              <w:right w:val="single" w:sz="8" w:space="0" w:color="auto"/>
            </w:tcBorders>
            <w:shd w:val="clear" w:color="auto" w:fill="FFFFFF" w:themeFill="background1"/>
            <w:tcMar>
              <w:top w:w="60" w:type="dxa"/>
              <w:left w:w="108" w:type="dxa"/>
              <w:bottom w:w="60" w:type="dxa"/>
              <w:right w:w="108" w:type="dxa"/>
            </w:tcMar>
            <w:vAlign w:val="center"/>
          </w:tcPr>
          <w:p w14:paraId="0F49F4F4" w14:textId="47A87DEA" w:rsidR="5433A1E0" w:rsidRDefault="5433A1E0" w:rsidP="5433A1E0">
            <w:pPr>
              <w:tabs>
                <w:tab w:val="left" w:pos="1139"/>
              </w:tabs>
              <w:spacing w:after="0"/>
            </w:pPr>
            <w:r w:rsidRPr="5433A1E0">
              <w:rPr>
                <w:rFonts w:eastAsia="Arial" w:cs="Arial"/>
                <w:color w:val="000000" w:themeColor="text1"/>
                <w:szCs w:val="21"/>
              </w:rPr>
              <w:t>Sublocade® 100 mg maintenance</w:t>
            </w:r>
          </w:p>
        </w:tc>
        <w:tc>
          <w:tcPr>
            <w:tcW w:w="6190" w:type="dxa"/>
            <w:tcBorders>
              <w:top w:val="single" w:sz="8" w:space="0" w:color="auto"/>
              <w:left w:val="single" w:sz="8" w:space="0" w:color="auto"/>
              <w:bottom w:val="single" w:sz="8" w:space="0" w:color="auto"/>
              <w:right w:val="single" w:sz="8" w:space="0" w:color="auto"/>
            </w:tcBorders>
            <w:shd w:val="clear" w:color="auto" w:fill="FFFFFF" w:themeFill="background1"/>
            <w:tcMar>
              <w:top w:w="60" w:type="dxa"/>
              <w:left w:w="108" w:type="dxa"/>
              <w:bottom w:w="60" w:type="dxa"/>
              <w:right w:w="108" w:type="dxa"/>
            </w:tcMar>
            <w:vAlign w:val="center"/>
          </w:tcPr>
          <w:p w14:paraId="59316BCD" w14:textId="43797C6F" w:rsidR="5433A1E0" w:rsidRDefault="5433A1E0" w:rsidP="5433A1E0">
            <w:pPr>
              <w:tabs>
                <w:tab w:val="left" w:pos="1139"/>
              </w:tabs>
              <w:spacing w:after="0"/>
            </w:pPr>
            <w:r w:rsidRPr="5433A1E0">
              <w:rPr>
                <w:rFonts w:eastAsia="Arial" w:cs="Arial"/>
                <w:color w:val="000000" w:themeColor="text1"/>
                <w:szCs w:val="21"/>
              </w:rPr>
              <w:t>20–30 mg daily</w:t>
            </w:r>
          </w:p>
        </w:tc>
      </w:tr>
      <w:tr w:rsidR="5433A1E0" w14:paraId="0E8B02F7" w14:textId="77777777" w:rsidTr="5433A1E0">
        <w:trPr>
          <w:trHeight w:val="300"/>
        </w:trPr>
        <w:tc>
          <w:tcPr>
            <w:tcW w:w="3534" w:type="dxa"/>
            <w:tcBorders>
              <w:top w:val="single" w:sz="8" w:space="0" w:color="auto"/>
              <w:left w:val="single" w:sz="8" w:space="0" w:color="auto"/>
              <w:bottom w:val="single" w:sz="8" w:space="0" w:color="auto"/>
              <w:right w:val="single" w:sz="8" w:space="0" w:color="auto"/>
            </w:tcBorders>
            <w:tcMar>
              <w:top w:w="60" w:type="dxa"/>
              <w:left w:w="108" w:type="dxa"/>
              <w:bottom w:w="60" w:type="dxa"/>
              <w:right w:w="108" w:type="dxa"/>
            </w:tcMar>
            <w:vAlign w:val="center"/>
          </w:tcPr>
          <w:p w14:paraId="40DFE224" w14:textId="4B3B128E" w:rsidR="5433A1E0" w:rsidRDefault="5433A1E0" w:rsidP="5433A1E0">
            <w:pPr>
              <w:tabs>
                <w:tab w:val="left" w:pos="1139"/>
              </w:tabs>
              <w:spacing w:after="0"/>
            </w:pPr>
            <w:r w:rsidRPr="5433A1E0">
              <w:rPr>
                <w:rFonts w:eastAsia="Arial" w:cs="Arial"/>
                <w:szCs w:val="21"/>
              </w:rPr>
              <w:t>Sublocade® 300 mg maintenance</w:t>
            </w:r>
          </w:p>
        </w:tc>
        <w:tc>
          <w:tcPr>
            <w:tcW w:w="6190" w:type="dxa"/>
            <w:tcBorders>
              <w:top w:val="single" w:sz="8" w:space="0" w:color="auto"/>
              <w:left w:val="single" w:sz="8" w:space="0" w:color="auto"/>
              <w:bottom w:val="single" w:sz="8" w:space="0" w:color="auto"/>
              <w:right w:val="single" w:sz="8" w:space="0" w:color="auto"/>
            </w:tcBorders>
            <w:tcMar>
              <w:top w:w="60" w:type="dxa"/>
              <w:left w:w="108" w:type="dxa"/>
              <w:bottom w:w="60" w:type="dxa"/>
              <w:right w:w="108" w:type="dxa"/>
            </w:tcMar>
            <w:vAlign w:val="center"/>
          </w:tcPr>
          <w:p w14:paraId="3B0DA7A7" w14:textId="3F187425" w:rsidR="5433A1E0" w:rsidRDefault="5433A1E0" w:rsidP="5433A1E0">
            <w:pPr>
              <w:tabs>
                <w:tab w:val="left" w:pos="1139"/>
              </w:tabs>
              <w:spacing w:after="0"/>
            </w:pPr>
            <w:r w:rsidRPr="5433A1E0">
              <w:rPr>
                <w:rFonts w:eastAsia="Arial" w:cs="Arial"/>
                <w:szCs w:val="21"/>
              </w:rPr>
              <w:t>30–40 mg daily, with close clinical review</w:t>
            </w:r>
          </w:p>
        </w:tc>
      </w:tr>
    </w:tbl>
    <w:p w14:paraId="7F5D403D" w14:textId="43305A36" w:rsidR="345E5044" w:rsidRPr="007E2E0C" w:rsidRDefault="3EE1CB06" w:rsidP="5433A1E0">
      <w:pPr>
        <w:rPr>
          <w:i/>
          <w:iCs/>
        </w:rPr>
      </w:pPr>
      <w:r w:rsidRPr="007E2E0C">
        <w:rPr>
          <w:rFonts w:eastAsia="Arial" w:cs="Arial"/>
          <w:i/>
          <w:iCs/>
          <w:szCs w:val="21"/>
        </w:rPr>
        <w:t xml:space="preserve">Table 3 – </w:t>
      </w:r>
      <w:r w:rsidR="00DD5D25">
        <w:rPr>
          <w:rFonts w:eastAsia="Arial" w:cs="Arial"/>
          <w:i/>
          <w:iCs/>
          <w:szCs w:val="21"/>
        </w:rPr>
        <w:t>Recommended</w:t>
      </w:r>
      <w:r w:rsidRPr="007E2E0C">
        <w:rPr>
          <w:rFonts w:eastAsia="Arial" w:cs="Arial"/>
          <w:i/>
          <w:iCs/>
          <w:szCs w:val="21"/>
        </w:rPr>
        <w:t xml:space="preserve"> conservative methadone starting doses after Sublocade®</w:t>
      </w:r>
      <w:r w:rsidR="00E875C0">
        <w:rPr>
          <w:rFonts w:eastAsia="Arial" w:cs="Arial"/>
          <w:i/>
          <w:iCs/>
          <w:szCs w:val="21"/>
        </w:rPr>
        <w:t xml:space="preserve"> </w:t>
      </w:r>
      <w:r w:rsidR="00E875C0">
        <w:rPr>
          <w:i/>
          <w:iCs/>
        </w:rPr>
        <w:t>with adjustments to be made according to clinical judgement</w:t>
      </w:r>
    </w:p>
    <w:p w14:paraId="7CD9AB66" w14:textId="051675B2" w:rsidR="345E5044" w:rsidRDefault="345E5044" w:rsidP="5433A1E0">
      <w:pPr>
        <w:spacing w:after="0"/>
      </w:pPr>
    </w:p>
    <w:p w14:paraId="4ED32909" w14:textId="1D72769A" w:rsidR="345E5044" w:rsidRDefault="3EE1CB06" w:rsidP="5433A1E0">
      <w:pPr>
        <w:pStyle w:val="Heading1"/>
        <w:spacing w:before="0"/>
        <w:rPr>
          <w:sz w:val="24"/>
          <w:szCs w:val="24"/>
        </w:rPr>
      </w:pPr>
      <w:bookmarkStart w:id="5" w:name="_Toc235541649"/>
      <w:r w:rsidRPr="5433A1E0">
        <w:rPr>
          <w:sz w:val="24"/>
          <w:szCs w:val="24"/>
        </w:rPr>
        <w:t>Communication with consumers</w:t>
      </w:r>
      <w:bookmarkEnd w:id="5"/>
    </w:p>
    <w:p w14:paraId="0211FF67" w14:textId="59A2936D" w:rsidR="345E5044" w:rsidRDefault="6A0C996D" w:rsidP="5433A1E0">
      <w:pPr>
        <w:pStyle w:val="Bodyafterbullets"/>
        <w:spacing w:before="0"/>
      </w:pPr>
      <w:r>
        <w:t>Health professionals</w:t>
      </w:r>
      <w:r w:rsidR="55686923">
        <w:t xml:space="preserve"> should recognise that the discontinuation of Sublocade® may be distressing for some patients. </w:t>
      </w:r>
      <w:r w:rsidR="64A120AD" w:rsidRPr="59996053">
        <w:rPr>
          <w:szCs w:val="21"/>
        </w:rPr>
        <w:t>Offering support, understanding, accurate clinical information and an opportunity for questions is usually helpful for people in this situation.</w:t>
      </w:r>
      <w:r w:rsidR="64A120AD" w:rsidRPr="59996053">
        <w:t xml:space="preserve"> </w:t>
      </w:r>
      <w:r w:rsidR="55686923">
        <w:t>This may be particularly significant for patients who:</w:t>
      </w:r>
    </w:p>
    <w:p w14:paraId="736A5D68" w14:textId="66B415DF" w:rsidR="345E5044" w:rsidRDefault="3EE1CB06" w:rsidP="5433A1E0">
      <w:pPr>
        <w:pStyle w:val="Bodyafterbullets"/>
        <w:numPr>
          <w:ilvl w:val="0"/>
          <w:numId w:val="44"/>
        </w:numPr>
        <w:spacing w:before="0"/>
      </w:pPr>
      <w:r>
        <w:t>have experienced Sublocade® as uniquely stabilising</w:t>
      </w:r>
    </w:p>
    <w:p w14:paraId="714FE887" w14:textId="25B8076C" w:rsidR="345E5044" w:rsidRDefault="3EE1CB06" w:rsidP="5433A1E0">
      <w:pPr>
        <w:pStyle w:val="Bodyafterbullets"/>
        <w:numPr>
          <w:ilvl w:val="0"/>
          <w:numId w:val="44"/>
        </w:numPr>
        <w:spacing w:before="0"/>
      </w:pPr>
      <w:r>
        <w:lastRenderedPageBreak/>
        <w:t>previously tried Buvidal® or other treatment options without success</w:t>
      </w:r>
    </w:p>
    <w:p w14:paraId="0DB81B8E" w14:textId="200173EE" w:rsidR="345E5044" w:rsidRDefault="3EE1CB06" w:rsidP="5433A1E0">
      <w:pPr>
        <w:pStyle w:val="Bodyafterbullets"/>
        <w:numPr>
          <w:ilvl w:val="0"/>
          <w:numId w:val="44"/>
        </w:numPr>
        <w:spacing w:before="0"/>
      </w:pPr>
      <w:r>
        <w:t>have complex trauma, pain or mental health needs</w:t>
      </w:r>
    </w:p>
    <w:p w14:paraId="5DF4FCF0" w14:textId="72C9460D" w:rsidR="345E5044" w:rsidRDefault="3EE1CB06" w:rsidP="5433A1E0">
      <w:pPr>
        <w:pStyle w:val="Bodyafterbullets"/>
        <w:numPr>
          <w:ilvl w:val="0"/>
          <w:numId w:val="44"/>
        </w:numPr>
        <w:spacing w:before="0"/>
      </w:pPr>
      <w:r>
        <w:t>have limited capacity to attend frequent appointments</w:t>
      </w:r>
    </w:p>
    <w:p w14:paraId="4C5432D8" w14:textId="56D69193" w:rsidR="345E5044" w:rsidRDefault="3EE1CB06" w:rsidP="5433A1E0">
      <w:pPr>
        <w:pStyle w:val="Bodyafterbullets"/>
        <w:numPr>
          <w:ilvl w:val="0"/>
          <w:numId w:val="44"/>
        </w:numPr>
        <w:spacing w:before="0"/>
      </w:pPr>
      <w:r>
        <w:t>have work, caring or family responsibilities that may be disrupted by more frequent dosing</w:t>
      </w:r>
    </w:p>
    <w:p w14:paraId="0F71AF2E" w14:textId="4189FB09" w:rsidR="5433A1E0" w:rsidRDefault="55686923" w:rsidP="5433A1E0">
      <w:pPr>
        <w:pStyle w:val="Bodyafterbullets"/>
        <w:numPr>
          <w:ilvl w:val="0"/>
          <w:numId w:val="44"/>
        </w:numPr>
        <w:spacing w:before="0"/>
      </w:pPr>
      <w:r>
        <w:t>are concerned about privacy, stigma, return to regular pharmacy attendance or potential additional costs for patients prescribed multiple formulations of ODT.</w:t>
      </w:r>
    </w:p>
    <w:p w14:paraId="064A2691" w14:textId="5737C65D" w:rsidR="00504970" w:rsidRPr="00504970" w:rsidRDefault="00504970" w:rsidP="00504970">
      <w:pPr>
        <w:pStyle w:val="Bodyafterbullets"/>
        <w:spacing w:before="0"/>
      </w:pPr>
      <w:r w:rsidRPr="00504970">
        <w:t>Patients should be offered clinically appropriate options and should not be automatically moved to one replacement product. The selected pathway should reflect clinical history, previous treatment response, patient preference, access and safety considerations.</w:t>
      </w:r>
    </w:p>
    <w:p w14:paraId="733A4DA4" w14:textId="271057AC" w:rsidR="04AA524B" w:rsidRDefault="04AA524B" w:rsidP="59996053">
      <w:pPr>
        <w:pStyle w:val="Bodyafterbullets"/>
        <w:spacing w:before="0"/>
        <w:rPr>
          <w:szCs w:val="21"/>
        </w:rPr>
      </w:pPr>
      <w:r w:rsidRPr="59996053">
        <w:rPr>
          <w:szCs w:val="21"/>
        </w:rPr>
        <w:t>It is important prescribers are prepared for the consumer to choose one treatment initially and then an alternative option if necessary.</w:t>
      </w:r>
    </w:p>
    <w:p w14:paraId="4067F4C4" w14:textId="2188777E" w:rsidR="59996053" w:rsidRDefault="59996053" w:rsidP="59996053">
      <w:pPr>
        <w:pStyle w:val="Bodyafterbullets"/>
        <w:spacing w:before="0"/>
        <w:ind w:left="720"/>
      </w:pPr>
    </w:p>
    <w:p w14:paraId="38C3CC4B" w14:textId="3AC3C783" w:rsidR="00C51F0A" w:rsidRPr="00CB0168" w:rsidRDefault="00374117" w:rsidP="00932210">
      <w:pPr>
        <w:pStyle w:val="Heading1"/>
        <w:numPr>
          <w:ilvl w:val="0"/>
          <w:numId w:val="62"/>
        </w:numPr>
        <w:spacing w:before="0"/>
        <w:rPr>
          <w:sz w:val="24"/>
          <w:szCs w:val="24"/>
        </w:rPr>
      </w:pPr>
      <w:bookmarkStart w:id="6" w:name="_Toc235541650"/>
      <w:r w:rsidRPr="00CB0168">
        <w:rPr>
          <w:sz w:val="24"/>
          <w:szCs w:val="24"/>
        </w:rPr>
        <w:t>Sublocade</w:t>
      </w:r>
      <w:r w:rsidR="006E2869" w:rsidRPr="00CB0168">
        <w:rPr>
          <w:sz w:val="24"/>
          <w:szCs w:val="24"/>
        </w:rPr>
        <w:t>®</w:t>
      </w:r>
      <w:r w:rsidRPr="00CB0168">
        <w:rPr>
          <w:sz w:val="24"/>
          <w:szCs w:val="24"/>
        </w:rPr>
        <w:t xml:space="preserve"> to </w:t>
      </w:r>
      <w:r w:rsidR="008B22F2" w:rsidRPr="00CB0168">
        <w:rPr>
          <w:sz w:val="24"/>
          <w:szCs w:val="24"/>
        </w:rPr>
        <w:t>Buvidal</w:t>
      </w:r>
      <w:r w:rsidR="006E2869" w:rsidRPr="00CB0168">
        <w:rPr>
          <w:sz w:val="24"/>
          <w:szCs w:val="24"/>
        </w:rPr>
        <w:t>®</w:t>
      </w:r>
      <w:bookmarkEnd w:id="6"/>
      <w:r w:rsidR="006E2869" w:rsidRPr="00CB0168">
        <w:rPr>
          <w:sz w:val="24"/>
          <w:szCs w:val="24"/>
        </w:rPr>
        <w:t xml:space="preserve"> </w:t>
      </w:r>
    </w:p>
    <w:tbl>
      <w:tblPr>
        <w:tblStyle w:val="TableGrid"/>
        <w:tblW w:w="10194" w:type="dxa"/>
        <w:tblLayout w:type="fixed"/>
        <w:tblCellMar>
          <w:top w:w="60" w:type="dxa"/>
          <w:bottom w:w="60" w:type="dxa"/>
        </w:tblCellMar>
        <w:tblLook w:val="04A0" w:firstRow="1" w:lastRow="0" w:firstColumn="1" w:lastColumn="0" w:noHBand="0" w:noVBand="1"/>
      </w:tblPr>
      <w:tblGrid>
        <w:gridCol w:w="3682"/>
        <w:gridCol w:w="6512"/>
      </w:tblGrid>
      <w:tr w:rsidR="00144CDD" w:rsidRPr="006E28ED" w14:paraId="5406190C" w14:textId="77777777" w:rsidTr="00FF792B">
        <w:trPr>
          <w:cantSplit/>
        </w:trPr>
        <w:tc>
          <w:tcPr>
            <w:tcW w:w="3682" w:type="dxa"/>
            <w:shd w:val="clear" w:color="auto" w:fill="FDE9D9" w:themeFill="accent6" w:themeFillTint="33"/>
            <w:vAlign w:val="center"/>
          </w:tcPr>
          <w:p w14:paraId="39FE3800" w14:textId="77777777" w:rsidR="00144CDD" w:rsidRPr="00B52A51" w:rsidRDefault="00144CDD" w:rsidP="00FF792B">
            <w:pPr>
              <w:pStyle w:val="Body"/>
              <w:keepNext/>
              <w:tabs>
                <w:tab w:val="left" w:pos="1064"/>
              </w:tabs>
              <w:spacing w:after="0" w:line="240" w:lineRule="auto"/>
            </w:pPr>
            <w:r w:rsidRPr="00740CB6">
              <w:rPr>
                <w:b/>
                <w:bCs/>
              </w:rPr>
              <w:t>Current Sublocade® regimen</w:t>
            </w:r>
          </w:p>
        </w:tc>
        <w:tc>
          <w:tcPr>
            <w:tcW w:w="6512" w:type="dxa"/>
            <w:shd w:val="clear" w:color="auto" w:fill="FDE9D9" w:themeFill="accent6" w:themeFillTint="33"/>
            <w:vAlign w:val="center"/>
          </w:tcPr>
          <w:p w14:paraId="68B71DFB" w14:textId="77777777" w:rsidR="00144CDD" w:rsidRPr="006E28ED" w:rsidRDefault="00144CDD" w:rsidP="00FF792B">
            <w:pPr>
              <w:pStyle w:val="Body"/>
              <w:keepNext/>
              <w:spacing w:after="0" w:line="240" w:lineRule="auto"/>
              <w:rPr>
                <w:b/>
                <w:bCs/>
              </w:rPr>
            </w:pPr>
            <w:r>
              <w:rPr>
                <w:b/>
                <w:bCs/>
              </w:rPr>
              <w:t>Recommended Buvidal® regimen</w:t>
            </w:r>
          </w:p>
        </w:tc>
      </w:tr>
      <w:tr w:rsidR="00144CDD" w14:paraId="44D28F71" w14:textId="77777777" w:rsidTr="00FF792B">
        <w:trPr>
          <w:cantSplit/>
        </w:trPr>
        <w:tc>
          <w:tcPr>
            <w:tcW w:w="3682" w:type="dxa"/>
            <w:vAlign w:val="center"/>
          </w:tcPr>
          <w:p w14:paraId="08FBCCA9" w14:textId="77777777" w:rsidR="00144CDD" w:rsidRDefault="00144CDD" w:rsidP="00FF792B">
            <w:pPr>
              <w:pStyle w:val="Body"/>
              <w:tabs>
                <w:tab w:val="left" w:pos="1064"/>
              </w:tabs>
              <w:spacing w:after="0" w:line="240" w:lineRule="auto"/>
            </w:pPr>
            <w:r>
              <w:t>Sublocade® 100 mg maintenance</w:t>
            </w:r>
          </w:p>
        </w:tc>
        <w:tc>
          <w:tcPr>
            <w:tcW w:w="6512" w:type="dxa"/>
            <w:vAlign w:val="center"/>
          </w:tcPr>
          <w:p w14:paraId="3EE72711" w14:textId="77777777" w:rsidR="00144CDD" w:rsidRDefault="00144CDD" w:rsidP="00FF792B">
            <w:pPr>
              <w:pStyle w:val="Body"/>
              <w:spacing w:after="0" w:line="240" w:lineRule="auto"/>
            </w:pPr>
            <w:r>
              <w:t>Buvidal® Monthly 128 mg. Consider Monthly 160 mg or Weekly 32 mg.</w:t>
            </w:r>
          </w:p>
        </w:tc>
      </w:tr>
      <w:tr w:rsidR="00144CDD" w:rsidRPr="00B52A51" w14:paraId="209E9C6C" w14:textId="77777777" w:rsidTr="00FF792B">
        <w:trPr>
          <w:cantSplit/>
        </w:trPr>
        <w:tc>
          <w:tcPr>
            <w:tcW w:w="3682" w:type="dxa"/>
            <w:vAlign w:val="center"/>
          </w:tcPr>
          <w:p w14:paraId="5CD5BAD7" w14:textId="77777777" w:rsidR="00144CDD" w:rsidRDefault="00144CDD" w:rsidP="00FF792B">
            <w:pPr>
              <w:pStyle w:val="Body"/>
              <w:spacing w:after="0" w:line="240" w:lineRule="auto"/>
            </w:pPr>
            <w:r>
              <w:t>Sublocade® 300 mg maintenance</w:t>
            </w:r>
          </w:p>
        </w:tc>
        <w:tc>
          <w:tcPr>
            <w:tcW w:w="6512" w:type="dxa"/>
            <w:vAlign w:val="center"/>
          </w:tcPr>
          <w:p w14:paraId="0E6DAD50" w14:textId="0E8D48C1" w:rsidR="00144CDD" w:rsidRPr="00B52A51" w:rsidRDefault="00144CDD" w:rsidP="00FF792B">
            <w:pPr>
              <w:pStyle w:val="Body"/>
              <w:spacing w:after="0" w:line="240" w:lineRule="auto"/>
            </w:pPr>
            <w:r>
              <w:t xml:space="preserve">Buvidal® Monthly 160 mg or Weekly 32 mg. Consider shorter intervals or supplemental </w:t>
            </w:r>
            <w:r w:rsidR="001B55A6">
              <w:t xml:space="preserve">Buvidal Weekly or Sublingual </w:t>
            </w:r>
            <w:r>
              <w:t>buprenorphine.</w:t>
            </w:r>
          </w:p>
        </w:tc>
      </w:tr>
    </w:tbl>
    <w:p w14:paraId="6D2DE069" w14:textId="722E28C8" w:rsidR="00B37A86" w:rsidRDefault="00810950" w:rsidP="003B04FD">
      <w:pPr>
        <w:pStyle w:val="Body"/>
      </w:pPr>
      <w:r w:rsidRPr="00810950">
        <w:rPr>
          <w:i/>
          <w:iCs/>
        </w:rPr>
        <w:t>Table 1</w:t>
      </w:r>
      <w:r>
        <w:rPr>
          <w:i/>
          <w:iCs/>
        </w:rPr>
        <w:t>-</w:t>
      </w:r>
      <w:r>
        <w:t xml:space="preserve"> </w:t>
      </w:r>
      <w:r w:rsidRPr="663796A8">
        <w:rPr>
          <w:rFonts w:eastAsia="Arial" w:cs="Arial"/>
          <w:i/>
          <w:iCs/>
          <w:szCs w:val="21"/>
        </w:rPr>
        <w:t>Recommended transition regimens from Sublocade® to Buvidal®</w:t>
      </w:r>
      <w:r w:rsidR="00655A59">
        <w:rPr>
          <w:rStyle w:val="FootnoteReference"/>
          <w:rFonts w:eastAsia="Arial" w:cs="Arial"/>
          <w:i/>
          <w:iCs/>
          <w:szCs w:val="21"/>
        </w:rPr>
        <w:footnoteReference w:id="1"/>
      </w:r>
      <w:r w:rsidR="00E875C0">
        <w:rPr>
          <w:rFonts w:eastAsia="Arial" w:cs="Arial"/>
          <w:i/>
          <w:iCs/>
          <w:szCs w:val="21"/>
        </w:rPr>
        <w:t xml:space="preserve"> </w:t>
      </w:r>
      <w:r w:rsidR="00E875C0">
        <w:rPr>
          <w:i/>
          <w:iCs/>
        </w:rPr>
        <w:t>with adjustments to be made according to clinical judgement</w:t>
      </w:r>
    </w:p>
    <w:p w14:paraId="25012FEA" w14:textId="43715099" w:rsidR="003B04FD" w:rsidRPr="003B04FD" w:rsidRDefault="003B04FD" w:rsidP="003B04FD">
      <w:pPr>
        <w:pStyle w:val="Body"/>
      </w:pPr>
      <w:r w:rsidRPr="003B04FD">
        <w:t xml:space="preserve">For most patients, transition from Sublocade® to another </w:t>
      </w:r>
      <w:r w:rsidR="005B33AD">
        <w:t>LAIB</w:t>
      </w:r>
      <w:r w:rsidRPr="003B04FD">
        <w:t xml:space="preserve"> product, Buvidal®, is likely to be the least disruptive treatment pathway.</w:t>
      </w:r>
    </w:p>
    <w:p w14:paraId="1754C138" w14:textId="0B6AD09E" w:rsidR="00E12561" w:rsidRPr="003B04FD" w:rsidRDefault="003B04FD" w:rsidP="166799BC">
      <w:pPr>
        <w:pStyle w:val="Body"/>
        <w:keepNext/>
      </w:pPr>
      <w:r>
        <w:t>This approach maintains a long-acting injectable treatment modality and may reduce disruption for patients who have benefited from less frequent dosing, reduced daily medication burden or reduced frequency of pharmacy attendance. With appropriate planning, review and dose adjustment, most patients are expected to transition successfully to Buvidal®. Some patients may require several weeks or months before treatment stability is re-established.</w:t>
      </w:r>
    </w:p>
    <w:p w14:paraId="272977E5" w14:textId="77777777" w:rsidR="00314CA4" w:rsidRPr="007E2E0C" w:rsidRDefault="00BC1D56" w:rsidP="007E2E0C">
      <w:pPr>
        <w:pStyle w:val="Heading2"/>
        <w:rPr>
          <w:sz w:val="24"/>
          <w:szCs w:val="24"/>
        </w:rPr>
      </w:pPr>
      <w:bookmarkStart w:id="7" w:name="_Toc235541651"/>
      <w:r w:rsidRPr="007E2E0C">
        <w:rPr>
          <w:sz w:val="24"/>
          <w:szCs w:val="24"/>
        </w:rPr>
        <w:t>Pharmacokinetic basis for transition dosing</w:t>
      </w:r>
      <w:bookmarkEnd w:id="7"/>
    </w:p>
    <w:p w14:paraId="404279DF" w14:textId="5708C5BC" w:rsidR="00B308E7" w:rsidRDefault="00B308E7" w:rsidP="00B308E7">
      <w:pPr>
        <w:pStyle w:val="Body"/>
      </w:pPr>
      <w:r>
        <w:t xml:space="preserve">Sublocade® and Buvidal® use different depot technologies and their pharmacokinetics are not interchangeable. Sublocade® </w:t>
      </w:r>
      <w:r w:rsidR="00C14BC3">
        <w:t xml:space="preserve">has a </w:t>
      </w:r>
      <w:r>
        <w:t xml:space="preserve">plasma half-life of 43 to 60 days. Buvidal® </w:t>
      </w:r>
      <w:r w:rsidR="00290D55">
        <w:t>has</w:t>
      </w:r>
      <w:r>
        <w:t xml:space="preserve"> plasma half-lives of 3 to 5 days for </w:t>
      </w:r>
      <w:r w:rsidR="00347B6B">
        <w:t xml:space="preserve">Buvidal® </w:t>
      </w:r>
      <w:r w:rsidR="005E7D0D">
        <w:t>W</w:t>
      </w:r>
      <w:r w:rsidR="00347B6B">
        <w:t>eekly product</w:t>
      </w:r>
      <w:r>
        <w:t xml:space="preserve"> and 19 to 25 days for </w:t>
      </w:r>
      <w:r w:rsidR="00347B6B">
        <w:t>Buvidal® Monthly</w:t>
      </w:r>
      <w:r w:rsidR="002D31A6">
        <w:t>.</w:t>
      </w:r>
      <w:r w:rsidR="002D31A6">
        <w:rPr>
          <w:rStyle w:val="FootnoteReference"/>
        </w:rPr>
        <w:footnoteReference w:id="2"/>
      </w:r>
    </w:p>
    <w:p w14:paraId="410E00BE" w14:textId="5796C2DA" w:rsidR="14532EB2" w:rsidRDefault="14532EB2" w:rsidP="166799BC">
      <w:pPr>
        <w:pStyle w:val="Body"/>
      </w:pPr>
      <w:r>
        <w:t>These comparisons support the use of Buvidal® Monthly 128 mg every four weeks as the usual transition from Sublocade® 100 mg maintenance and Buvidal® Monthly 160 mg every four weeks as the usual transition from Sublocade® 300 mg maintenance</w:t>
      </w:r>
      <w:r w:rsidR="00BD73BE">
        <w:t>.</w:t>
      </w:r>
    </w:p>
    <w:p w14:paraId="34BA9036" w14:textId="4ECCE3DB" w:rsidR="00B308E7" w:rsidRDefault="2DD33707" w:rsidP="00AF7610">
      <w:pPr>
        <w:pStyle w:val="Body"/>
      </w:pPr>
      <w:r>
        <w:lastRenderedPageBreak/>
        <w:t xml:space="preserve">In most patients, the first Buvidal® dose should be administered when the next Sublocade® dose would have been due. </w:t>
      </w:r>
      <w:r w:rsidR="002D4CE5">
        <w:t>During transition, c</w:t>
      </w:r>
      <w:r w:rsidR="00BC1D56">
        <w:t>ontin</w:t>
      </w:r>
      <w:r w:rsidR="002D4CE5">
        <w:t>ual</w:t>
      </w:r>
      <w:r w:rsidR="00BC1D56">
        <w:t xml:space="preserve"> clinical review </w:t>
      </w:r>
      <w:r w:rsidR="009853D0">
        <w:t xml:space="preserve">is advised </w:t>
      </w:r>
      <w:r w:rsidR="00BC1D56">
        <w:t xml:space="preserve">as residual exposure declines; withdrawal, craving or destabilisation may emerge months after the last injection. </w:t>
      </w:r>
      <w:r w:rsidR="00A251CD" w:rsidRPr="008F03A9">
        <w:t>Supplemental buprenorphine should be clinically reviewed as residual Sublocade® exposure declines</w:t>
      </w:r>
      <w:r w:rsidR="008F03A9" w:rsidRPr="008F03A9">
        <w:t>. Consider</w:t>
      </w:r>
      <w:r w:rsidR="00A251CD" w:rsidRPr="008F03A9">
        <w:t xml:space="preserve"> specialist advice where ongoing or high-dose supplementation is required</w:t>
      </w:r>
      <w:r w:rsidR="008F03A9" w:rsidRPr="008F03A9">
        <w:t>.</w:t>
      </w:r>
    </w:p>
    <w:p w14:paraId="0F618FAE" w14:textId="3C15FC3F" w:rsidR="00A2365E" w:rsidRPr="00BC4E9B" w:rsidRDefault="00A2365E" w:rsidP="00BC4E9B">
      <w:pPr>
        <w:pStyle w:val="Heading2"/>
        <w:rPr>
          <w:sz w:val="24"/>
          <w:szCs w:val="24"/>
        </w:rPr>
      </w:pPr>
      <w:bookmarkStart w:id="8" w:name="_Toc235541652"/>
      <w:r w:rsidRPr="00BC4E9B">
        <w:rPr>
          <w:sz w:val="24"/>
          <w:szCs w:val="24"/>
        </w:rPr>
        <w:t>Complex transition cohort</w:t>
      </w:r>
      <w:bookmarkEnd w:id="8"/>
    </w:p>
    <w:p w14:paraId="2CD1C05B" w14:textId="647B663B" w:rsidR="00A2365E" w:rsidRDefault="00A2365E" w:rsidP="00A2365E">
      <w:pPr>
        <w:pStyle w:val="Body"/>
      </w:pPr>
      <w:r>
        <w:t xml:space="preserve">Patients receiving Sublocade® 300 mg </w:t>
      </w:r>
      <w:r w:rsidRPr="00D64B3B">
        <w:t>maintenance</w:t>
      </w:r>
      <w:r>
        <w:t xml:space="preserve"> should be managed as a complex transition cohort. Sublocade® 300 mg maintenance means a third or subsequent scheduled 300 mg injection after completion of the loading phase. The first two 300 mg injections are loading doses and do not, by themselves, place a patient in this cohort.</w:t>
      </w:r>
    </w:p>
    <w:p w14:paraId="05CD3B1A" w14:textId="4563DB99" w:rsidR="00A2365E" w:rsidRDefault="00A2365E" w:rsidP="00A2365E">
      <w:pPr>
        <w:pStyle w:val="Body"/>
      </w:pPr>
      <w:r>
        <w:t xml:space="preserve">Patients receiving Sublocade® 300 mg maintenance generally have had an unsatisfactory clinical response at lower LAIB doses or lower buprenorphine </w:t>
      </w:r>
      <w:r w:rsidR="006A653F">
        <w:t>exposure or</w:t>
      </w:r>
      <w:r>
        <w:t xml:space="preserve"> have previously destabilised when treatment exposure was reduced. Relevant indicators include:</w:t>
      </w:r>
    </w:p>
    <w:p w14:paraId="2D611855" w14:textId="77777777" w:rsidR="00A2365E" w:rsidRDefault="00A2365E" w:rsidP="00A2365E">
      <w:pPr>
        <w:pStyle w:val="Body"/>
        <w:numPr>
          <w:ilvl w:val="0"/>
          <w:numId w:val="40"/>
        </w:numPr>
      </w:pPr>
      <w:r>
        <w:t>clinically significant withdrawal, particularly late in the dosing interval;</w:t>
      </w:r>
    </w:p>
    <w:p w14:paraId="00EF3E17" w14:textId="77777777" w:rsidR="00A2365E" w:rsidRDefault="00A2365E" w:rsidP="00A2365E">
      <w:pPr>
        <w:pStyle w:val="Body"/>
        <w:numPr>
          <w:ilvl w:val="0"/>
          <w:numId w:val="40"/>
        </w:numPr>
      </w:pPr>
      <w:r>
        <w:t>persistent or recurrent opioid craving;</w:t>
      </w:r>
    </w:p>
    <w:p w14:paraId="752D9739" w14:textId="01A932BB" w:rsidR="00A2365E" w:rsidRDefault="00A2365E" w:rsidP="00A2365E">
      <w:pPr>
        <w:pStyle w:val="Body"/>
        <w:numPr>
          <w:ilvl w:val="0"/>
          <w:numId w:val="40"/>
        </w:numPr>
      </w:pPr>
      <w:r>
        <w:t>recurrent unprescribed opioid use or breakthrough opioid</w:t>
      </w:r>
      <w:r w:rsidR="660E7D3B">
        <w:t xml:space="preserve"> withdrawal</w:t>
      </w:r>
      <w:r>
        <w:t xml:space="preserve"> effects despite treatment;</w:t>
      </w:r>
    </w:p>
    <w:p w14:paraId="710F5F9D" w14:textId="77777777" w:rsidR="00A2365E" w:rsidRDefault="00A2365E" w:rsidP="00A2365E">
      <w:pPr>
        <w:pStyle w:val="Body"/>
        <w:numPr>
          <w:ilvl w:val="0"/>
          <w:numId w:val="40"/>
        </w:numPr>
      </w:pPr>
      <w:r>
        <w:t>recurrent requirement for supplemental</w:t>
      </w:r>
      <w:r w:rsidR="00377F30">
        <w:t xml:space="preserve"> </w:t>
      </w:r>
      <w:r>
        <w:t>buprenorphine;</w:t>
      </w:r>
    </w:p>
    <w:p w14:paraId="75D403CA" w14:textId="77777777" w:rsidR="00A2365E" w:rsidRDefault="00A2365E" w:rsidP="00A2365E">
      <w:pPr>
        <w:pStyle w:val="Body"/>
        <w:numPr>
          <w:ilvl w:val="0"/>
          <w:numId w:val="40"/>
        </w:numPr>
      </w:pPr>
      <w:r>
        <w:t>previous destabilisation following dose reduction or transfer to another buprenorphine formulation; or</w:t>
      </w:r>
    </w:p>
    <w:p w14:paraId="61A26307" w14:textId="77777777" w:rsidR="00A2365E" w:rsidRDefault="00A2365E" w:rsidP="00A2365E">
      <w:pPr>
        <w:pStyle w:val="Body"/>
        <w:numPr>
          <w:ilvl w:val="0"/>
          <w:numId w:val="40"/>
        </w:numPr>
      </w:pPr>
      <w:r>
        <w:t>loss of clinical, functional or treatment stability at lower buprenorphine exposure.</w:t>
      </w:r>
    </w:p>
    <w:p w14:paraId="6A3E6F1D" w14:textId="73490976" w:rsidR="00A2365E" w:rsidRDefault="00A2365E" w:rsidP="00A2365E">
      <w:pPr>
        <w:pStyle w:val="Body"/>
      </w:pPr>
      <w:r>
        <w:t xml:space="preserve">Patients in this cohort require an individualised transition plan, closer clinical review and a documented contingency plan for withdrawal, craving, return to opioid use or other destabilisation. </w:t>
      </w:r>
    </w:p>
    <w:p w14:paraId="5B921CA3" w14:textId="5AD32D8F" w:rsidR="00A2365E" w:rsidRPr="007E2E0C" w:rsidRDefault="00A2365E" w:rsidP="008B22F2">
      <w:pPr>
        <w:pStyle w:val="Body"/>
      </w:pPr>
      <w:r>
        <w:t xml:space="preserve">Where the clinical rationale for Sublocade® 300 mg maintenance is unclear, </w:t>
      </w:r>
      <w:r w:rsidR="0013647C">
        <w:t>prescribers</w:t>
      </w:r>
      <w:r>
        <w:t xml:space="preserve"> can review the patient’s dosing and treatment history when planning the transition.</w:t>
      </w:r>
    </w:p>
    <w:p w14:paraId="4462CB09" w14:textId="7D61973B" w:rsidR="00314CA4" w:rsidRPr="00377F30" w:rsidRDefault="008B22F2" w:rsidP="00377F30">
      <w:pPr>
        <w:pStyle w:val="Heading1"/>
        <w:numPr>
          <w:ilvl w:val="0"/>
          <w:numId w:val="62"/>
        </w:numPr>
        <w:rPr>
          <w:sz w:val="24"/>
          <w:szCs w:val="24"/>
        </w:rPr>
      </w:pPr>
      <w:bookmarkStart w:id="9" w:name="_Toc235541653"/>
      <w:bookmarkStart w:id="10" w:name="_Hlk63948051"/>
      <w:r w:rsidRPr="00E249E7">
        <w:rPr>
          <w:sz w:val="24"/>
          <w:szCs w:val="24"/>
        </w:rPr>
        <w:t>Sublocade</w:t>
      </w:r>
      <w:r w:rsidR="00902D21" w:rsidRPr="00E249E7">
        <w:rPr>
          <w:sz w:val="24"/>
          <w:szCs w:val="24"/>
        </w:rPr>
        <w:t>®</w:t>
      </w:r>
      <w:r w:rsidRPr="00E249E7">
        <w:rPr>
          <w:sz w:val="24"/>
          <w:szCs w:val="24"/>
        </w:rPr>
        <w:t xml:space="preserve"> to</w:t>
      </w:r>
      <w:r w:rsidR="00416043" w:rsidRPr="00E249E7">
        <w:rPr>
          <w:sz w:val="24"/>
          <w:szCs w:val="24"/>
        </w:rPr>
        <w:t xml:space="preserve"> sublingual </w:t>
      </w:r>
      <w:r w:rsidR="00416043" w:rsidRPr="35B95349">
        <w:rPr>
          <w:color w:val="C00000"/>
          <w:sz w:val="24"/>
          <w:szCs w:val="24"/>
        </w:rPr>
        <w:t>buprenorphine</w:t>
      </w:r>
      <w:r w:rsidR="00DD0DAE" w:rsidRPr="00E249E7">
        <w:rPr>
          <w:sz w:val="24"/>
          <w:szCs w:val="24"/>
        </w:rPr>
        <w:t>/naloxone</w:t>
      </w:r>
      <w:bookmarkEnd w:id="9"/>
    </w:p>
    <w:tbl>
      <w:tblPr>
        <w:tblStyle w:val="TableGrid"/>
        <w:tblW w:w="10194" w:type="dxa"/>
        <w:tblLayout w:type="fixed"/>
        <w:tblCellMar>
          <w:top w:w="60" w:type="dxa"/>
          <w:bottom w:w="60" w:type="dxa"/>
        </w:tblCellMar>
        <w:tblLook w:val="04A0" w:firstRow="1" w:lastRow="0" w:firstColumn="1" w:lastColumn="0" w:noHBand="0" w:noVBand="1"/>
      </w:tblPr>
      <w:tblGrid>
        <w:gridCol w:w="3682"/>
        <w:gridCol w:w="6512"/>
      </w:tblGrid>
      <w:tr w:rsidR="002F2D45" w14:paraId="45D79600" w14:textId="77777777" w:rsidTr="005E3F02">
        <w:trPr>
          <w:cantSplit/>
        </w:trPr>
        <w:tc>
          <w:tcPr>
            <w:tcW w:w="3682" w:type="dxa"/>
            <w:shd w:val="clear" w:color="auto" w:fill="FDE9D9" w:themeFill="accent6" w:themeFillTint="33"/>
            <w:vAlign w:val="center"/>
          </w:tcPr>
          <w:p w14:paraId="41C38D0A" w14:textId="7CDFECB8" w:rsidR="002F2D45" w:rsidRPr="00192E09" w:rsidRDefault="002F2D45" w:rsidP="00192E09">
            <w:pPr>
              <w:pStyle w:val="Body"/>
              <w:keepNext/>
              <w:tabs>
                <w:tab w:val="left" w:pos="1064"/>
              </w:tabs>
              <w:spacing w:after="0" w:line="240" w:lineRule="auto"/>
              <w:rPr>
                <w:b/>
                <w:bCs/>
              </w:rPr>
            </w:pPr>
            <w:r>
              <w:rPr>
                <w:b/>
                <w:bCs/>
              </w:rPr>
              <w:t>Current Sublocade® regimen</w:t>
            </w:r>
          </w:p>
        </w:tc>
        <w:tc>
          <w:tcPr>
            <w:tcW w:w="6512" w:type="dxa"/>
            <w:shd w:val="clear" w:color="auto" w:fill="FDE9D9" w:themeFill="accent6" w:themeFillTint="33"/>
            <w:vAlign w:val="center"/>
          </w:tcPr>
          <w:p w14:paraId="060696E5" w14:textId="182DC626" w:rsidR="002F2D45" w:rsidRPr="00192E09" w:rsidRDefault="002F2D45" w:rsidP="00192E09">
            <w:pPr>
              <w:pStyle w:val="Body"/>
              <w:keepNext/>
              <w:tabs>
                <w:tab w:val="left" w:pos="1064"/>
              </w:tabs>
              <w:spacing w:after="0" w:line="240" w:lineRule="auto"/>
              <w:rPr>
                <w:b/>
                <w:bCs/>
              </w:rPr>
            </w:pPr>
            <w:r>
              <w:rPr>
                <w:b/>
                <w:bCs/>
              </w:rPr>
              <w:t>Recommended sublingual buprenorphine/naloxone regimen</w:t>
            </w:r>
          </w:p>
        </w:tc>
      </w:tr>
      <w:tr w:rsidR="002F2D45" w14:paraId="3BD4B660" w14:textId="77777777" w:rsidTr="00192E09">
        <w:trPr>
          <w:cantSplit/>
        </w:trPr>
        <w:tc>
          <w:tcPr>
            <w:tcW w:w="3682" w:type="dxa"/>
            <w:vAlign w:val="center"/>
          </w:tcPr>
          <w:p w14:paraId="7AA24A6C" w14:textId="35893F50" w:rsidR="002F2D45" w:rsidRPr="009F21C5" w:rsidRDefault="002F2D45" w:rsidP="00192E09">
            <w:pPr>
              <w:pStyle w:val="Body"/>
              <w:tabs>
                <w:tab w:val="left" w:pos="1064"/>
              </w:tabs>
              <w:spacing w:after="0" w:line="240" w:lineRule="auto"/>
            </w:pPr>
            <w:r>
              <w:t>Sublocade® 100 mg maintenance</w:t>
            </w:r>
          </w:p>
        </w:tc>
        <w:tc>
          <w:tcPr>
            <w:tcW w:w="6512" w:type="dxa"/>
            <w:vAlign w:val="center"/>
          </w:tcPr>
          <w:p w14:paraId="1B523555" w14:textId="67BB90CC" w:rsidR="002F2D45" w:rsidRPr="00E35FB5" w:rsidRDefault="002F2D45" w:rsidP="00192E09">
            <w:pPr>
              <w:pStyle w:val="Body"/>
              <w:tabs>
                <w:tab w:val="left" w:pos="1064"/>
                <w:tab w:val="left" w:pos="1139"/>
              </w:tabs>
              <w:spacing w:after="0" w:line="240" w:lineRule="auto"/>
              <w:rPr>
                <w:lang w:eastAsia="en-AU"/>
              </w:rPr>
            </w:pPr>
            <w:r>
              <w:t xml:space="preserve">First dose: at least 16 mg. </w:t>
            </w:r>
            <w:r w:rsidR="00C92897">
              <w:t>Predicted</w:t>
            </w:r>
            <w:r>
              <w:t xml:space="preserve"> maintenance: 32 mg daily.</w:t>
            </w:r>
          </w:p>
        </w:tc>
      </w:tr>
      <w:tr w:rsidR="002F2D45" w14:paraId="0D207D23" w14:textId="77777777" w:rsidTr="00192E09">
        <w:trPr>
          <w:cantSplit/>
        </w:trPr>
        <w:tc>
          <w:tcPr>
            <w:tcW w:w="3682" w:type="dxa"/>
            <w:vAlign w:val="center"/>
          </w:tcPr>
          <w:p w14:paraId="6A655910" w14:textId="2C6FC801" w:rsidR="002F2D45" w:rsidRPr="009F21C5" w:rsidRDefault="002F2D45" w:rsidP="00192E09">
            <w:pPr>
              <w:pStyle w:val="Body"/>
              <w:tabs>
                <w:tab w:val="left" w:pos="1064"/>
              </w:tabs>
              <w:spacing w:after="0" w:line="240" w:lineRule="auto"/>
            </w:pPr>
            <w:r>
              <w:t>Sublocade® 300 mg maintenance</w:t>
            </w:r>
          </w:p>
        </w:tc>
        <w:tc>
          <w:tcPr>
            <w:tcW w:w="6512" w:type="dxa"/>
            <w:vAlign w:val="center"/>
          </w:tcPr>
          <w:p w14:paraId="294D14B7" w14:textId="04474ADD" w:rsidR="002F2D45" w:rsidRDefault="002F2D45" w:rsidP="00192E09">
            <w:pPr>
              <w:pStyle w:val="Body"/>
              <w:tabs>
                <w:tab w:val="left" w:pos="1064"/>
              </w:tabs>
              <w:spacing w:after="0" w:line="240" w:lineRule="auto"/>
            </w:pPr>
            <w:r>
              <w:t xml:space="preserve">First dose: 32 mg. </w:t>
            </w:r>
            <w:r w:rsidR="003906D1">
              <w:t>During maintenance c</w:t>
            </w:r>
            <w:r>
              <w:t>onsider divided dosing or supplemental buprenorphine if clinically required.</w:t>
            </w:r>
          </w:p>
        </w:tc>
      </w:tr>
    </w:tbl>
    <w:p w14:paraId="6FC56C98" w14:textId="7C994463" w:rsidR="001F6E0C" w:rsidRPr="006D14CE" w:rsidRDefault="00027091" w:rsidP="00377F30">
      <w:pPr>
        <w:pStyle w:val="Body"/>
        <w:rPr>
          <w:i/>
          <w:iCs/>
        </w:rPr>
      </w:pPr>
      <w:r w:rsidRPr="00377F30">
        <w:rPr>
          <w:i/>
          <w:iCs/>
        </w:rPr>
        <w:t xml:space="preserve">Table 2 – </w:t>
      </w:r>
      <w:r w:rsidR="00DD5D25">
        <w:rPr>
          <w:i/>
          <w:iCs/>
        </w:rPr>
        <w:t>Recommended</w:t>
      </w:r>
      <w:r w:rsidRPr="00377F30">
        <w:rPr>
          <w:i/>
          <w:iCs/>
        </w:rPr>
        <w:t xml:space="preserve"> sublingual buprenorphine/naloxone transition doses</w:t>
      </w:r>
      <w:r w:rsidR="00705E79">
        <w:rPr>
          <w:i/>
          <w:iCs/>
          <w:vertAlign w:val="superscript"/>
        </w:rPr>
        <w:t>1</w:t>
      </w:r>
      <w:r w:rsidR="002C7278">
        <w:rPr>
          <w:i/>
          <w:iCs/>
          <w:vertAlign w:val="superscript"/>
        </w:rPr>
        <w:t xml:space="preserve"> </w:t>
      </w:r>
      <w:r w:rsidR="006649D6">
        <w:rPr>
          <w:i/>
          <w:iCs/>
        </w:rPr>
        <w:t>with adjustments to be made according to clinical judgement</w:t>
      </w:r>
    </w:p>
    <w:p w14:paraId="23E75C9C" w14:textId="08C7B05C" w:rsidR="008666C9" w:rsidRPr="00AE0375" w:rsidRDefault="008666C9" w:rsidP="008666C9">
      <w:pPr>
        <w:pStyle w:val="Body"/>
        <w:tabs>
          <w:tab w:val="left" w:pos="1139"/>
        </w:tabs>
      </w:pPr>
      <w:r w:rsidRPr="003337DF">
        <w:t>Transition to sublingual buprenorphine/naloxone may be appropriate where the patient prefers a non-injectable option, does not wish to use Buvidal®, has not previously stabilised on Buvidal®, needs more flexible dose titration, or would benefit from more frequent pharmacist contact during transition.</w:t>
      </w:r>
    </w:p>
    <w:p w14:paraId="7DD89DBE" w14:textId="394097D8" w:rsidR="008666C9" w:rsidRDefault="008666C9" w:rsidP="008666C9">
      <w:pPr>
        <w:pStyle w:val="Body"/>
      </w:pPr>
      <w:r>
        <w:t>Patients maintained on Sublocade® have established buprenorphine tolerance. Transfer to sublingual buprenorphine/naloxone is continuation of treatment, not a new induction; commencement dosing should avoid under-replacement and destabilisation</w:t>
      </w:r>
      <w:r w:rsidR="00072059">
        <w:t>.</w:t>
      </w:r>
      <w:r w:rsidR="00072059">
        <w:rPr>
          <w:rStyle w:val="FootnoteReference"/>
        </w:rPr>
        <w:footnoteReference w:id="3"/>
      </w:r>
      <w:r>
        <w:t xml:space="preserve"> </w:t>
      </w:r>
    </w:p>
    <w:p w14:paraId="7A287064" w14:textId="77777777" w:rsidR="008666C9" w:rsidRDefault="008666C9" w:rsidP="008666C9">
      <w:pPr>
        <w:pStyle w:val="Body"/>
      </w:pPr>
      <w:r>
        <w:lastRenderedPageBreak/>
        <w:t>Patients should be reviewed when the next Sublocade® dose would have been due, usually 28 days after the last injection, and can be commenced on sublingual buprenorphine/naloxone when clinically indicated. Earlier commencement may be appropriate if withdrawal or craving emerges. If overlap-related sedation or intoxication occurs, consider reducing or deferring the next sublingual buprenorphine/naloxone dose and reassess the patient.</w:t>
      </w:r>
    </w:p>
    <w:p w14:paraId="50D8B011" w14:textId="4EEEBC69" w:rsidR="008666C9" w:rsidRPr="008673CD" w:rsidRDefault="008666C9" w:rsidP="00BD1C1C">
      <w:pPr>
        <w:pStyle w:val="Body"/>
      </w:pPr>
      <w:r>
        <w:t xml:space="preserve">Patients should be reassessed promptly if there is withdrawal, craving, opioid use, an adverse effect, sedation or intoxication. </w:t>
      </w:r>
      <w:r w:rsidR="006F2784">
        <w:t>Health professionals</w:t>
      </w:r>
      <w:r>
        <w:t xml:space="preserve"> should continue to review patients as residual Sublocade® exposure declines; early stability may reflect residual depot contribution and does not confirm the final maintenance dose.</w:t>
      </w:r>
    </w:p>
    <w:p w14:paraId="5FF42032" w14:textId="3A46D7B2" w:rsidR="00416043" w:rsidRPr="00E249E7" w:rsidRDefault="00416043" w:rsidP="00932210">
      <w:pPr>
        <w:pStyle w:val="Heading1"/>
        <w:numPr>
          <w:ilvl w:val="0"/>
          <w:numId w:val="62"/>
        </w:numPr>
        <w:rPr>
          <w:sz w:val="24"/>
          <w:szCs w:val="24"/>
        </w:rPr>
      </w:pPr>
      <w:bookmarkStart w:id="11" w:name="_Toc235541654"/>
      <w:r w:rsidRPr="00E249E7">
        <w:rPr>
          <w:sz w:val="24"/>
          <w:szCs w:val="24"/>
        </w:rPr>
        <w:t>Sublocade</w:t>
      </w:r>
      <w:r w:rsidR="00902D21" w:rsidRPr="00E249E7">
        <w:rPr>
          <w:sz w:val="24"/>
          <w:szCs w:val="24"/>
        </w:rPr>
        <w:t>®</w:t>
      </w:r>
      <w:r w:rsidRPr="00E249E7">
        <w:rPr>
          <w:sz w:val="24"/>
          <w:szCs w:val="24"/>
        </w:rPr>
        <w:t xml:space="preserve"> to</w:t>
      </w:r>
      <w:r w:rsidR="006E2869" w:rsidRPr="00E249E7">
        <w:rPr>
          <w:sz w:val="24"/>
          <w:szCs w:val="24"/>
        </w:rPr>
        <w:t xml:space="preserve"> methadone</w:t>
      </w:r>
      <w:bookmarkEnd w:id="11"/>
    </w:p>
    <w:tbl>
      <w:tblPr>
        <w:tblStyle w:val="TableGrid"/>
        <w:tblW w:w="10194" w:type="dxa"/>
        <w:tblLayout w:type="fixed"/>
        <w:tblCellMar>
          <w:top w:w="60" w:type="dxa"/>
          <w:bottom w:w="60" w:type="dxa"/>
        </w:tblCellMar>
        <w:tblLook w:val="04A0" w:firstRow="1" w:lastRow="0" w:firstColumn="1" w:lastColumn="0" w:noHBand="0" w:noVBand="1"/>
      </w:tblPr>
      <w:tblGrid>
        <w:gridCol w:w="3682"/>
        <w:gridCol w:w="6512"/>
      </w:tblGrid>
      <w:tr w:rsidR="00D5402F" w:rsidRPr="00BC2A34" w14:paraId="07FBEB5A" w14:textId="77777777" w:rsidTr="00FF792B">
        <w:trPr>
          <w:cantSplit/>
        </w:trPr>
        <w:tc>
          <w:tcPr>
            <w:tcW w:w="3682" w:type="dxa"/>
            <w:shd w:val="clear" w:color="auto" w:fill="FDE9D9" w:themeFill="accent6" w:themeFillTint="33"/>
            <w:vAlign w:val="center"/>
          </w:tcPr>
          <w:p w14:paraId="7F7050DF" w14:textId="77777777" w:rsidR="00D5402F" w:rsidRPr="00BC2A34" w:rsidRDefault="00D5402F" w:rsidP="00FF792B">
            <w:pPr>
              <w:pStyle w:val="Body"/>
              <w:keepNext/>
              <w:tabs>
                <w:tab w:val="left" w:pos="1139"/>
              </w:tabs>
              <w:spacing w:after="0" w:line="240" w:lineRule="auto"/>
              <w:rPr>
                <w:b/>
                <w:bCs/>
              </w:rPr>
            </w:pPr>
            <w:r>
              <w:rPr>
                <w:b/>
                <w:bCs/>
              </w:rPr>
              <w:t>Current Sublocade® regimen</w:t>
            </w:r>
          </w:p>
        </w:tc>
        <w:tc>
          <w:tcPr>
            <w:tcW w:w="6512" w:type="dxa"/>
            <w:shd w:val="clear" w:color="auto" w:fill="FDE9D9" w:themeFill="accent6" w:themeFillTint="33"/>
            <w:vAlign w:val="center"/>
          </w:tcPr>
          <w:p w14:paraId="12DB73F3" w14:textId="77777777" w:rsidR="00D5402F" w:rsidRPr="00BC2A34" w:rsidRDefault="00D5402F" w:rsidP="00FF792B">
            <w:pPr>
              <w:pStyle w:val="Body"/>
              <w:keepNext/>
              <w:tabs>
                <w:tab w:val="left" w:pos="1139"/>
              </w:tabs>
              <w:spacing w:after="0" w:line="240" w:lineRule="auto"/>
              <w:rPr>
                <w:b/>
                <w:bCs/>
              </w:rPr>
            </w:pPr>
            <w:r>
              <w:rPr>
                <w:b/>
                <w:bCs/>
              </w:rPr>
              <w:t>Suggested methadone starting dose</w:t>
            </w:r>
          </w:p>
        </w:tc>
      </w:tr>
      <w:tr w:rsidR="00D5402F" w:rsidRPr="00BC2A34" w14:paraId="021E0D38" w14:textId="77777777" w:rsidTr="00FF792B">
        <w:trPr>
          <w:cantSplit/>
        </w:trPr>
        <w:tc>
          <w:tcPr>
            <w:tcW w:w="3682" w:type="dxa"/>
            <w:shd w:val="clear" w:color="auto" w:fill="FFFFFF" w:themeFill="background1"/>
            <w:vAlign w:val="center"/>
          </w:tcPr>
          <w:p w14:paraId="66808667" w14:textId="77777777" w:rsidR="00D5402F" w:rsidRPr="00F67744" w:rsidRDefault="00D5402F" w:rsidP="00FF792B">
            <w:pPr>
              <w:pStyle w:val="Body"/>
              <w:tabs>
                <w:tab w:val="left" w:pos="1139"/>
              </w:tabs>
              <w:spacing w:after="0" w:line="240" w:lineRule="auto"/>
            </w:pPr>
            <w:r>
              <w:t>Sublocade® 100 mg maintenance</w:t>
            </w:r>
          </w:p>
        </w:tc>
        <w:tc>
          <w:tcPr>
            <w:tcW w:w="6512" w:type="dxa"/>
            <w:shd w:val="clear" w:color="auto" w:fill="FFFFFF" w:themeFill="background1"/>
            <w:vAlign w:val="center"/>
          </w:tcPr>
          <w:p w14:paraId="6BB10BC9" w14:textId="77777777" w:rsidR="00D5402F" w:rsidRPr="00A35F07" w:rsidRDefault="00D5402F" w:rsidP="00FF792B">
            <w:pPr>
              <w:pStyle w:val="Body"/>
              <w:tabs>
                <w:tab w:val="left" w:pos="1139"/>
              </w:tabs>
              <w:spacing w:after="0" w:line="240" w:lineRule="auto"/>
              <w:rPr>
                <w:lang w:eastAsia="en-AU"/>
              </w:rPr>
            </w:pPr>
            <w:r>
              <w:t>20–30 mg daily</w:t>
            </w:r>
          </w:p>
        </w:tc>
      </w:tr>
      <w:tr w:rsidR="00D5402F" w:rsidRPr="00BC2A34" w14:paraId="10B053B1" w14:textId="77777777" w:rsidTr="00FF792B">
        <w:trPr>
          <w:cantSplit/>
        </w:trPr>
        <w:tc>
          <w:tcPr>
            <w:tcW w:w="3682" w:type="dxa"/>
            <w:vAlign w:val="center"/>
          </w:tcPr>
          <w:p w14:paraId="55EDBFBC" w14:textId="77777777" w:rsidR="00D5402F" w:rsidRPr="00F67744" w:rsidRDefault="00D5402F" w:rsidP="00FF792B">
            <w:pPr>
              <w:pStyle w:val="Body"/>
              <w:tabs>
                <w:tab w:val="left" w:pos="1139"/>
              </w:tabs>
              <w:spacing w:after="0" w:line="240" w:lineRule="auto"/>
            </w:pPr>
            <w:r>
              <w:t>Sublocade® 300 mg maintenance</w:t>
            </w:r>
          </w:p>
        </w:tc>
        <w:tc>
          <w:tcPr>
            <w:tcW w:w="6512" w:type="dxa"/>
            <w:vAlign w:val="center"/>
          </w:tcPr>
          <w:p w14:paraId="1CE17774" w14:textId="77777777" w:rsidR="00D5402F" w:rsidRPr="00794C83" w:rsidRDefault="00D5402F" w:rsidP="00FF792B">
            <w:pPr>
              <w:pStyle w:val="Body"/>
              <w:tabs>
                <w:tab w:val="left" w:pos="1139"/>
              </w:tabs>
              <w:spacing w:after="0" w:line="240" w:lineRule="auto"/>
            </w:pPr>
            <w:r>
              <w:t>30–40 mg daily, with close clinical review</w:t>
            </w:r>
          </w:p>
        </w:tc>
      </w:tr>
    </w:tbl>
    <w:p w14:paraId="220867FD" w14:textId="5C9C706D" w:rsidR="00D5402F" w:rsidRPr="008673CD" w:rsidRDefault="00D5402F" w:rsidP="00D5402F">
      <w:pPr>
        <w:pStyle w:val="Body"/>
        <w:rPr>
          <w:i/>
          <w:iCs/>
        </w:rPr>
      </w:pPr>
      <w:r w:rsidRPr="008673CD">
        <w:rPr>
          <w:i/>
          <w:iCs/>
        </w:rPr>
        <w:t xml:space="preserve">Table 3 – </w:t>
      </w:r>
      <w:r w:rsidR="00DD5D25">
        <w:rPr>
          <w:i/>
          <w:iCs/>
        </w:rPr>
        <w:t>Recommended</w:t>
      </w:r>
      <w:r w:rsidRPr="008673CD">
        <w:rPr>
          <w:i/>
          <w:iCs/>
        </w:rPr>
        <w:t xml:space="preserve"> conservative methadone starting doses after Sublocade®</w:t>
      </w:r>
      <w:r w:rsidR="00E875C0">
        <w:rPr>
          <w:i/>
          <w:iCs/>
        </w:rPr>
        <w:t xml:space="preserve"> with adjustments to be made according to clinical judgement</w:t>
      </w:r>
    </w:p>
    <w:p w14:paraId="763B8CD2" w14:textId="77777777" w:rsidR="00923A0C" w:rsidRPr="00923A0C" w:rsidRDefault="00923A0C" w:rsidP="00923A0C">
      <w:pPr>
        <w:pStyle w:val="Body"/>
      </w:pPr>
      <w:r w:rsidRPr="00923A0C">
        <w:t>Transition to methadone may be appropriate for some patients, including where Buvidal® or sublingual buprenorphine/naloxone is not preferred, not tolerated, or not clinically suitable.</w:t>
      </w:r>
    </w:p>
    <w:p w14:paraId="17AD9C98" w14:textId="5D7C9F50" w:rsidR="00530D05" w:rsidRDefault="00855210">
      <w:pPr>
        <w:pStyle w:val="Body"/>
      </w:pPr>
      <w:r>
        <w:t>Prescribers</w:t>
      </w:r>
      <w:r w:rsidR="00433AD3">
        <w:t xml:space="preserve"> should discuss with their patient</w:t>
      </w:r>
      <w:r w:rsidR="00B71AB9">
        <w:t xml:space="preserve"> that commencing methadone is</w:t>
      </w:r>
      <w:r w:rsidR="000820CA">
        <w:t xml:space="preserve"> likely</w:t>
      </w:r>
      <w:r w:rsidR="00B71AB9">
        <w:t xml:space="preserve"> </w:t>
      </w:r>
      <w:r w:rsidR="00054FF9">
        <w:t>to require</w:t>
      </w:r>
      <w:r w:rsidR="001F7D34">
        <w:t xml:space="preserve"> the</w:t>
      </w:r>
      <w:r w:rsidR="000820CA">
        <w:t xml:space="preserve"> need for frequent, often daily, supervised dosing during early transition</w:t>
      </w:r>
      <w:r>
        <w:t xml:space="preserve"> which may result in</w:t>
      </w:r>
      <w:r w:rsidR="001F7D34">
        <w:t xml:space="preserve"> </w:t>
      </w:r>
      <w:r w:rsidR="000820CA">
        <w:t>reduc</w:t>
      </w:r>
      <w:r>
        <w:t>ed</w:t>
      </w:r>
      <w:r w:rsidR="000820CA">
        <w:t xml:space="preserve"> flexibility compared with LAIB treatment. For some patients, this burden may be destabilising or increase the risk of disengagement or unsupported discontinuation. Potential effects on work, caring responsibilities, travel, privacy and treatment access should form part of shared decision-making and transition planning.</w:t>
      </w:r>
    </w:p>
    <w:p w14:paraId="2588C0C7" w14:textId="42048F61" w:rsidR="00530D05" w:rsidRDefault="00D93F18">
      <w:pPr>
        <w:pStyle w:val="Body"/>
      </w:pPr>
      <w:r>
        <w:t>Transferring</w:t>
      </w:r>
      <w:r w:rsidR="000820CA">
        <w:t xml:space="preserve"> from Sublocade® to methadone is a complex transition requiring careful planning between the patient, prescriber and dispensing pharmacist. Before commencement, the prescriber should communicate the clinical rationale, transition plan and any relevant specialist advice to the dispensing pharmacist, with clear arrangements for supervision, monitoring, titration and escalation. </w:t>
      </w:r>
      <w:r w:rsidR="00EC1C6D">
        <w:t xml:space="preserve">Residual buprenorphine may persist for weeks or months and reduce the apparent effect of methadone early in transition. </w:t>
      </w:r>
      <w:r w:rsidR="001D0FAD">
        <w:t>Health professionals</w:t>
      </w:r>
      <w:r w:rsidR="00EC1C6D">
        <w:t xml:space="preserve"> should review patients regularly for respiratory depression from the combined effects of methadone and residual buprenorphine, and for undertreatment as residual buprenorphine exposure declines.</w:t>
      </w:r>
    </w:p>
    <w:p w14:paraId="10EF6DAE" w14:textId="652AEC22" w:rsidR="79958A8C" w:rsidRDefault="00ED7D60" w:rsidP="7B9419E9">
      <w:pPr>
        <w:pStyle w:val="Body"/>
        <w:rPr>
          <w:rStyle w:val="FootnoteReference"/>
        </w:rPr>
      </w:pPr>
      <w:r>
        <w:t>Prescribers should consider</w:t>
      </w:r>
      <w:r w:rsidR="00923A0C">
        <w:t xml:space="preserve"> commencing methadone at the time the next Sublocade® dose would have been due. </w:t>
      </w:r>
      <w:r w:rsidR="00BC1D56">
        <w:t xml:space="preserve">After clinical review, </w:t>
      </w:r>
      <w:r w:rsidR="006F2784">
        <w:t>prescriber</w:t>
      </w:r>
      <w:r w:rsidR="00BC1D56">
        <w:t>s can increase methadone by 5–10 mg at intervals of 4–7 days if withdrawal, craving or other clinical features indicate that the dose remains inadequate.</w:t>
      </w:r>
      <w:r w:rsidR="00534C5F">
        <w:rPr>
          <w:rStyle w:val="FootnoteReference"/>
        </w:rPr>
        <w:footnoteReference w:id="4"/>
      </w:r>
      <w:r w:rsidR="00BC1D56">
        <w:t xml:space="preserve"> </w:t>
      </w:r>
      <w:r w:rsidR="00A05353">
        <w:t>Health professionals</w:t>
      </w:r>
      <w:r w:rsidR="00BC1D56">
        <w:t xml:space="preserve"> should monitor carefully for sedation or intoxication</w:t>
      </w:r>
      <w:r w:rsidR="0EC6A645">
        <w:t xml:space="preserve"> and if present consider dose reduction. </w:t>
      </w:r>
    </w:p>
    <w:p w14:paraId="721DC326" w14:textId="106E0E82" w:rsidR="00E8132C" w:rsidRDefault="00345842">
      <w:pPr>
        <w:pStyle w:val="Body"/>
      </w:pPr>
      <w:r>
        <w:t>Take-away doses should initially be limited to support frequent pharmacy or dosing-point review. The level and duration of supervision should be individualised and reviewed regularly, balancing safety with the burden of frequent attendance and the risk of treatment disengagement. Once clinically stable, take-away arrangements should be actively reviewed rather than leaving the initial supervision schedule unchanged by default, taking account of treatment response, patient circumstances and applicable regulatory requirements.</w:t>
      </w:r>
    </w:p>
    <w:p w14:paraId="66397633" w14:textId="1A9E3925" w:rsidR="00BD24B1" w:rsidRDefault="00BC1D56" w:rsidP="00BD24B1">
      <w:pPr>
        <w:pStyle w:val="Body"/>
      </w:pPr>
      <w:r>
        <w:lastRenderedPageBreak/>
        <w:t>The doses in Table 3 retain 40 mg daily as the upper limit of the conservative starting range.</w:t>
      </w:r>
      <w:r w:rsidR="008F0271">
        <w:t xml:space="preserve"> Doses higher than 40 mg should be discussed with an Addiction Medicine Specialist and communication with </w:t>
      </w:r>
      <w:r w:rsidR="002A3DED">
        <w:t xml:space="preserve">the </w:t>
      </w:r>
      <w:r w:rsidR="00BD24B1">
        <w:t xml:space="preserve">dispensing </w:t>
      </w:r>
      <w:r w:rsidR="002A3DED">
        <w:t>pharmacist</w:t>
      </w:r>
      <w:r w:rsidR="00BD24B1">
        <w:t xml:space="preserve">. </w:t>
      </w:r>
      <w:r>
        <w:t xml:space="preserve"> </w:t>
      </w:r>
    </w:p>
    <w:p w14:paraId="475E51CD" w14:textId="22515D2E" w:rsidR="05856862" w:rsidRDefault="05856862" w:rsidP="05856862">
      <w:pPr>
        <w:pStyle w:val="Body"/>
      </w:pPr>
    </w:p>
    <w:p w14:paraId="719DE320" w14:textId="17D4BE5F" w:rsidR="006E2869" w:rsidRPr="00E249E7" w:rsidRDefault="006E2869" w:rsidP="61662D33">
      <w:pPr>
        <w:pStyle w:val="Body"/>
        <w:numPr>
          <w:ilvl w:val="0"/>
          <w:numId w:val="62"/>
        </w:numPr>
        <w:rPr>
          <w:color w:val="C00000"/>
          <w:sz w:val="24"/>
          <w:szCs w:val="24"/>
        </w:rPr>
      </w:pPr>
      <w:r w:rsidRPr="656DAB7C">
        <w:rPr>
          <w:color w:val="C00000"/>
          <w:sz w:val="24"/>
          <w:szCs w:val="24"/>
        </w:rPr>
        <w:t>Sublocade</w:t>
      </w:r>
      <w:r w:rsidR="00902D21" w:rsidRPr="656DAB7C">
        <w:rPr>
          <w:color w:val="C00000"/>
          <w:sz w:val="24"/>
          <w:szCs w:val="24"/>
        </w:rPr>
        <w:t>®</w:t>
      </w:r>
      <w:r w:rsidRPr="656DAB7C">
        <w:rPr>
          <w:color w:val="C00000"/>
          <w:sz w:val="24"/>
          <w:szCs w:val="24"/>
        </w:rPr>
        <w:t xml:space="preserve"> to abstinence </w:t>
      </w:r>
      <w:r w:rsidR="00F07100" w:rsidRPr="656DAB7C">
        <w:rPr>
          <w:color w:val="C00000"/>
          <w:sz w:val="24"/>
          <w:szCs w:val="24"/>
        </w:rPr>
        <w:t>or treatment completion</w:t>
      </w:r>
    </w:p>
    <w:bookmarkEnd w:id="10"/>
    <w:p w14:paraId="4B1F6E95" w14:textId="7D293523" w:rsidR="00F07100" w:rsidRPr="00F07100" w:rsidRDefault="00A42E11" w:rsidP="00F07100">
      <w:pPr>
        <w:pStyle w:val="Bodyafterbullets"/>
      </w:pPr>
      <w:r>
        <w:t xml:space="preserve">Some patients may choose treatment </w:t>
      </w:r>
      <w:r w:rsidR="00F07100" w:rsidRPr="00F07100">
        <w:t xml:space="preserve">completion </w:t>
      </w:r>
      <w:r>
        <w:t xml:space="preserve">over </w:t>
      </w:r>
      <w:r w:rsidR="00C56E78">
        <w:t xml:space="preserve">medication alternatives. This may align with their established </w:t>
      </w:r>
      <w:r w:rsidR="00F07100" w:rsidRPr="00F07100">
        <w:t xml:space="preserve">treatment goals and clinical </w:t>
      </w:r>
      <w:r w:rsidR="00C56E78" w:rsidRPr="00F07100">
        <w:t>circumstances</w:t>
      </w:r>
      <w:r w:rsidR="7E8D5BD0">
        <w:t>.</w:t>
      </w:r>
      <w:r w:rsidR="00C56E78">
        <w:t xml:space="preserve"> </w:t>
      </w:r>
      <w:r w:rsidR="7E8D5BD0">
        <w:t>Treatment completion</w:t>
      </w:r>
      <w:r w:rsidR="00C56E78">
        <w:t xml:space="preserve"> may present significant overdose or other risk. Regardless of patient circumstances, t</w:t>
      </w:r>
      <w:r w:rsidR="00F07100" w:rsidRPr="00F07100">
        <w:t xml:space="preserve">reatment completion should be planned, supported and reviewed. It should not occur simply because Sublocade® supply is ending. </w:t>
      </w:r>
    </w:p>
    <w:p w14:paraId="73BE196A" w14:textId="759A0FEC" w:rsidR="00F07100" w:rsidRPr="00F07100" w:rsidRDefault="00F07100" w:rsidP="00F07100">
      <w:pPr>
        <w:pStyle w:val="Bodyafterbullets"/>
      </w:pPr>
      <w:r w:rsidRPr="00F07100">
        <w:t xml:space="preserve">Patients considering treatment completion should be reviewed regularly, with additional psychosocial support to maintain motivation and manage cravings, withdrawal symptoms and relapse risk. Symptomatic medication may have a role in managing features of opioid withdrawal, but caution should be used with sedatives or hypnotics beyond short-term use. </w:t>
      </w:r>
      <w:r>
        <w:t>W</w:t>
      </w:r>
      <w:r w:rsidRPr="00F07100">
        <w:t>ithdrawal symptoms or destabilisation may</w:t>
      </w:r>
      <w:r w:rsidRPr="43210B39">
        <w:rPr>
          <w:b/>
        </w:rPr>
        <w:t xml:space="preserve"> </w:t>
      </w:r>
      <w:r w:rsidR="23B9B3AF">
        <w:t>not emerge until (2) two months after the last Sublocade® 100 mg maintenance dose and about five months after the last Sublocade® 300 mg maintenance dose</w:t>
      </w:r>
      <w:r>
        <w:t xml:space="preserve"> </w:t>
      </w:r>
      <w:r w:rsidRPr="00F07100">
        <w:t>because residual buprenorphine exposure may decline gradually and opioid tolerance may change over time.</w:t>
      </w:r>
      <w:r w:rsidR="00C150DF">
        <w:rPr>
          <w:rStyle w:val="FootnoteReference"/>
        </w:rPr>
        <w:footnoteReference w:id="5"/>
      </w:r>
      <w:r w:rsidRPr="00F07100">
        <w:t xml:space="preserve"> </w:t>
      </w:r>
    </w:p>
    <w:p w14:paraId="1CF55E3B" w14:textId="726F0549" w:rsidR="007E4D68" w:rsidRDefault="00A2063D" w:rsidP="00F07100">
      <w:pPr>
        <w:pStyle w:val="Bodyafterbullets"/>
      </w:pPr>
      <w:r>
        <w:t xml:space="preserve">For patients who do not transition to another ODT medicine, follow-up should be ongoing rather than limited to a single recall. </w:t>
      </w:r>
      <w:r w:rsidR="00C2555C" w:rsidRPr="7971A393">
        <w:rPr>
          <w:b/>
          <w:bCs/>
        </w:rPr>
        <w:t xml:space="preserve"> </w:t>
      </w:r>
      <w:r w:rsidR="007E4D68">
        <w:t xml:space="preserve"> </w:t>
      </w:r>
    </w:p>
    <w:p w14:paraId="6DEEB475" w14:textId="4E633529" w:rsidR="006D70A3" w:rsidRDefault="00D068CA" w:rsidP="00B64932">
      <w:pPr>
        <w:pStyle w:val="Bodyafterbullets"/>
      </w:pPr>
      <w:r>
        <w:t>Recommendations for clinical reviews include</w:t>
      </w:r>
      <w:r w:rsidR="00B64932">
        <w:t>:</w:t>
      </w:r>
    </w:p>
    <w:p w14:paraId="6294385C" w14:textId="5BF57BD9" w:rsidR="00F07100" w:rsidRDefault="00F07100" w:rsidP="08A28289">
      <w:pPr>
        <w:pStyle w:val="Bodyafterbullets"/>
        <w:numPr>
          <w:ilvl w:val="0"/>
          <w:numId w:val="54"/>
        </w:numPr>
      </w:pPr>
      <w:r>
        <w:t xml:space="preserve">regular clinical review for at least three months after cessation of Sublocade® 100 mg maintenance, </w:t>
      </w:r>
      <w:r w:rsidR="36674C7E">
        <w:t>and</w:t>
      </w:r>
      <w:r w:rsidR="00D11A2E">
        <w:t xml:space="preserve"> for at least six months after cessation of Sublocade® 300 mg maintenance, even where there are no apparent signs of destabilisation;</w:t>
      </w:r>
    </w:p>
    <w:p w14:paraId="3955F531" w14:textId="183233AB" w:rsidR="00D068CA" w:rsidRDefault="00456861" w:rsidP="00D068CA">
      <w:pPr>
        <w:pStyle w:val="Bodyafterbullets"/>
      </w:pPr>
      <w:r>
        <w:t>Prescribers</w:t>
      </w:r>
      <w:r w:rsidR="00D068CA">
        <w:t xml:space="preserve"> should </w:t>
      </w:r>
      <w:r w:rsidR="00C01871">
        <w:t xml:space="preserve">review </w:t>
      </w:r>
      <w:r w:rsidR="00D068CA">
        <w:t xml:space="preserve">patients </w:t>
      </w:r>
      <w:r w:rsidR="00C01871">
        <w:t>earlier</w:t>
      </w:r>
      <w:r w:rsidR="00D068CA">
        <w:t xml:space="preserve">, </w:t>
      </w:r>
      <w:r w:rsidR="00C01871">
        <w:t>more frequently or for longer where clinically indicated, including</w:t>
      </w:r>
      <w:r w:rsidR="00D068CA">
        <w:t>:</w:t>
      </w:r>
    </w:p>
    <w:p w14:paraId="1BF00634" w14:textId="6810FE5A" w:rsidR="00D068CA" w:rsidRDefault="00D068CA" w:rsidP="00847FE9">
      <w:pPr>
        <w:pStyle w:val="Bodyafterbullets"/>
        <w:numPr>
          <w:ilvl w:val="0"/>
          <w:numId w:val="52"/>
        </w:numPr>
      </w:pPr>
      <w:r>
        <w:t>when treatment is stopped before steady state has been reached, generally within the first four to six monthly injections;</w:t>
      </w:r>
    </w:p>
    <w:p w14:paraId="713882A1" w14:textId="6EFAC06C" w:rsidR="00D068CA" w:rsidRDefault="00C01871" w:rsidP="00847FE9">
      <w:pPr>
        <w:pStyle w:val="Bodyafterbullets"/>
        <w:numPr>
          <w:ilvl w:val="0"/>
          <w:numId w:val="52"/>
        </w:numPr>
      </w:pPr>
      <w:r>
        <w:t>where there is emerging craving, withdrawal, opioid use,</w:t>
      </w:r>
      <w:r w:rsidR="00D068CA">
        <w:t xml:space="preserve"> or overdose risk;</w:t>
      </w:r>
    </w:p>
    <w:p w14:paraId="766682FC" w14:textId="24B4E77F" w:rsidR="00C01871" w:rsidRDefault="00D068CA" w:rsidP="00847FE9">
      <w:pPr>
        <w:pStyle w:val="Bodyafterbullets"/>
        <w:numPr>
          <w:ilvl w:val="0"/>
          <w:numId w:val="52"/>
        </w:numPr>
      </w:pPr>
      <w:r>
        <w:t xml:space="preserve">in the context of </w:t>
      </w:r>
      <w:r w:rsidR="00C01871">
        <w:t>medical, psychiatric or psychosocial complexity.</w:t>
      </w:r>
    </w:p>
    <w:tbl>
      <w:tblPr>
        <w:tblStyle w:val="TableGrid"/>
        <w:tblW w:w="0" w:type="auto"/>
        <w:tblLook w:val="04A0" w:firstRow="1" w:lastRow="0" w:firstColumn="1" w:lastColumn="0" w:noHBand="0" w:noVBand="1"/>
      </w:tblPr>
      <w:tblGrid>
        <w:gridCol w:w="3957"/>
        <w:gridCol w:w="2395"/>
        <w:gridCol w:w="3842"/>
      </w:tblGrid>
      <w:tr w:rsidR="00B742C9" w14:paraId="25A9CFA0" w14:textId="77777777" w:rsidTr="008109A9">
        <w:tc>
          <w:tcPr>
            <w:tcW w:w="0" w:type="auto"/>
            <w:shd w:val="clear" w:color="auto" w:fill="FDE9D9" w:themeFill="accent6" w:themeFillTint="33"/>
            <w:hideMark/>
          </w:tcPr>
          <w:p w14:paraId="5BF405CD" w14:textId="77777777" w:rsidR="00B742C9" w:rsidRDefault="00B742C9" w:rsidP="00B742C9">
            <w:pPr>
              <w:rPr>
                <w:rFonts w:ascii="Aptos" w:hAnsi="Aptos"/>
                <w:b/>
                <w:bCs/>
                <w:sz w:val="24"/>
              </w:rPr>
            </w:pPr>
            <w:r>
              <w:rPr>
                <w:b/>
                <w:bCs/>
                <w:color w:val="000000"/>
              </w:rPr>
              <w:t>Scenario</w:t>
            </w:r>
          </w:p>
        </w:tc>
        <w:tc>
          <w:tcPr>
            <w:tcW w:w="0" w:type="auto"/>
            <w:shd w:val="clear" w:color="auto" w:fill="FDE9D9" w:themeFill="accent6" w:themeFillTint="33"/>
            <w:hideMark/>
          </w:tcPr>
          <w:p w14:paraId="3B8F7CB7" w14:textId="01F0F9E6" w:rsidR="00B742C9" w:rsidRDefault="00B742C9" w:rsidP="00B742C9">
            <w:pPr>
              <w:rPr>
                <w:b/>
                <w:bCs/>
              </w:rPr>
            </w:pPr>
            <w:r>
              <w:rPr>
                <w:b/>
                <w:bCs/>
                <w:color w:val="000000"/>
              </w:rPr>
              <w:t xml:space="preserve">Minimum </w:t>
            </w:r>
            <w:r w:rsidR="00564EF4">
              <w:rPr>
                <w:b/>
                <w:bCs/>
                <w:color w:val="000000"/>
              </w:rPr>
              <w:t>r</w:t>
            </w:r>
            <w:r>
              <w:rPr>
                <w:b/>
                <w:bCs/>
                <w:color w:val="000000"/>
              </w:rPr>
              <w:t xml:space="preserve">eview </w:t>
            </w:r>
            <w:r w:rsidR="00564EF4">
              <w:rPr>
                <w:b/>
                <w:bCs/>
                <w:color w:val="000000"/>
              </w:rPr>
              <w:t>p</w:t>
            </w:r>
            <w:r>
              <w:rPr>
                <w:b/>
                <w:bCs/>
                <w:color w:val="000000"/>
              </w:rPr>
              <w:t>eriod</w:t>
            </w:r>
          </w:p>
        </w:tc>
        <w:tc>
          <w:tcPr>
            <w:tcW w:w="0" w:type="auto"/>
            <w:shd w:val="clear" w:color="auto" w:fill="FDE9D9" w:themeFill="accent6" w:themeFillTint="33"/>
            <w:hideMark/>
          </w:tcPr>
          <w:p w14:paraId="0AB039E5" w14:textId="07BBD826" w:rsidR="00B742C9" w:rsidRDefault="00B742C9" w:rsidP="00B742C9">
            <w:pPr>
              <w:rPr>
                <w:b/>
                <w:bCs/>
              </w:rPr>
            </w:pPr>
            <w:r>
              <w:rPr>
                <w:b/>
                <w:bCs/>
                <w:color w:val="000000"/>
              </w:rPr>
              <w:t xml:space="preserve">Additional </w:t>
            </w:r>
            <w:r w:rsidR="00564EF4">
              <w:rPr>
                <w:b/>
                <w:bCs/>
                <w:color w:val="000000"/>
              </w:rPr>
              <w:t>r</w:t>
            </w:r>
            <w:r>
              <w:rPr>
                <w:b/>
                <w:bCs/>
                <w:color w:val="000000"/>
              </w:rPr>
              <w:t xml:space="preserve">eview </w:t>
            </w:r>
            <w:r w:rsidR="00564EF4">
              <w:rPr>
                <w:b/>
                <w:bCs/>
                <w:color w:val="000000"/>
              </w:rPr>
              <w:t>t</w:t>
            </w:r>
            <w:r>
              <w:rPr>
                <w:b/>
                <w:bCs/>
                <w:color w:val="000000"/>
              </w:rPr>
              <w:t>riggers</w:t>
            </w:r>
          </w:p>
        </w:tc>
      </w:tr>
      <w:tr w:rsidR="00B742C9" w14:paraId="5294EF29" w14:textId="77777777" w:rsidTr="00B742C9">
        <w:tc>
          <w:tcPr>
            <w:tcW w:w="0" w:type="auto"/>
            <w:hideMark/>
          </w:tcPr>
          <w:p w14:paraId="7E8EE0E6" w14:textId="77777777" w:rsidR="00B742C9" w:rsidRDefault="00B742C9" w:rsidP="00B742C9">
            <w:r>
              <w:t>Stopping Sublocade® 100 mg maintenance</w:t>
            </w:r>
          </w:p>
        </w:tc>
        <w:tc>
          <w:tcPr>
            <w:tcW w:w="0" w:type="auto"/>
            <w:hideMark/>
          </w:tcPr>
          <w:p w14:paraId="4A56C519" w14:textId="77777777" w:rsidR="00B742C9" w:rsidRDefault="00B742C9" w:rsidP="00B742C9">
            <w:r>
              <w:t>3 months</w:t>
            </w:r>
          </w:p>
        </w:tc>
        <w:tc>
          <w:tcPr>
            <w:tcW w:w="0" w:type="auto"/>
            <w:hideMark/>
          </w:tcPr>
          <w:p w14:paraId="7DD43F7F" w14:textId="77777777" w:rsidR="00B742C9" w:rsidRDefault="00B742C9" w:rsidP="00B742C9">
            <w:r>
              <w:t>Early cessation, emerging risk, complexity</w:t>
            </w:r>
          </w:p>
        </w:tc>
      </w:tr>
      <w:tr w:rsidR="00B742C9" w14:paraId="0D9BF9F4" w14:textId="77777777" w:rsidTr="00B742C9">
        <w:tc>
          <w:tcPr>
            <w:tcW w:w="0" w:type="auto"/>
            <w:hideMark/>
          </w:tcPr>
          <w:p w14:paraId="36A7D3D5" w14:textId="77777777" w:rsidR="00B742C9" w:rsidRDefault="00B742C9" w:rsidP="00B742C9">
            <w:r>
              <w:t>Stopping Sublocade® 300 mg maintenance</w:t>
            </w:r>
          </w:p>
        </w:tc>
        <w:tc>
          <w:tcPr>
            <w:tcW w:w="0" w:type="auto"/>
            <w:hideMark/>
          </w:tcPr>
          <w:p w14:paraId="5F766759" w14:textId="77777777" w:rsidR="00B742C9" w:rsidRDefault="00B742C9" w:rsidP="00B742C9">
            <w:r>
              <w:t>6 months</w:t>
            </w:r>
          </w:p>
        </w:tc>
        <w:tc>
          <w:tcPr>
            <w:tcW w:w="0" w:type="auto"/>
            <w:hideMark/>
          </w:tcPr>
          <w:p w14:paraId="5C679A6C" w14:textId="77777777" w:rsidR="00B742C9" w:rsidRDefault="00B742C9" w:rsidP="00B742C9">
            <w:r>
              <w:t>Early cessation, emerging risk, complexity</w:t>
            </w:r>
          </w:p>
        </w:tc>
      </w:tr>
      <w:tr w:rsidR="00B742C9" w14:paraId="4F244FAD" w14:textId="77777777" w:rsidTr="00B742C9">
        <w:tc>
          <w:tcPr>
            <w:tcW w:w="0" w:type="auto"/>
            <w:hideMark/>
          </w:tcPr>
          <w:p w14:paraId="33D0BB84" w14:textId="77777777" w:rsidR="00B742C9" w:rsidRDefault="00B742C9" w:rsidP="00B742C9">
            <w:r>
              <w:t>Not transitioning to another ODT medicine</w:t>
            </w:r>
          </w:p>
        </w:tc>
        <w:tc>
          <w:tcPr>
            <w:tcW w:w="0" w:type="auto"/>
            <w:hideMark/>
          </w:tcPr>
          <w:p w14:paraId="69B6816E" w14:textId="77777777" w:rsidR="00B742C9" w:rsidRDefault="00B742C9" w:rsidP="00B742C9">
            <w:r>
              <w:t>Ongoing</w:t>
            </w:r>
          </w:p>
        </w:tc>
        <w:tc>
          <w:tcPr>
            <w:tcW w:w="0" w:type="auto"/>
            <w:hideMark/>
          </w:tcPr>
          <w:p w14:paraId="199047EF" w14:textId="77777777" w:rsidR="00B742C9" w:rsidRDefault="00B742C9" w:rsidP="00B742C9">
            <w:r>
              <w:t>Any signs of destabilisation</w:t>
            </w:r>
          </w:p>
        </w:tc>
      </w:tr>
    </w:tbl>
    <w:p w14:paraId="50D81647" w14:textId="5CD2B723" w:rsidR="009758B1" w:rsidRPr="000705A8" w:rsidRDefault="00B742C9" w:rsidP="009758B1">
      <w:pPr>
        <w:pStyle w:val="Bodyafterbullets"/>
        <w:rPr>
          <w:i/>
          <w:iCs/>
        </w:rPr>
      </w:pPr>
      <w:r w:rsidRPr="00B742C9">
        <w:rPr>
          <w:i/>
          <w:iCs/>
        </w:rPr>
        <w:t>Table 4- Clinical review recommendations</w:t>
      </w:r>
    </w:p>
    <w:p w14:paraId="1FEC5694" w14:textId="77777777" w:rsidR="00527405" w:rsidRDefault="00C1155D" w:rsidP="00AE0375">
      <w:pPr>
        <w:pStyle w:val="Body"/>
      </w:pPr>
      <w:r>
        <w:lastRenderedPageBreak/>
        <w:t xml:space="preserve">Follow-up should include assessment for withdrawal, craving, opioid use and overdose risk; active linkage to relevant ODT, alcohol and other drug, primary care and psychosocial services; provision of take-home naloxone with encouragement to carry it; and a documented pathway for rapid reassessment and timely re-entry to ODT. </w:t>
      </w:r>
    </w:p>
    <w:p w14:paraId="3DAA8D68" w14:textId="6CBFD09A" w:rsidR="00C56E78" w:rsidRPr="00C56E78" w:rsidRDefault="00C1155D" w:rsidP="00AE0375">
      <w:pPr>
        <w:pStyle w:val="Body"/>
      </w:pPr>
      <w:r>
        <w:t xml:space="preserve">A request to return to treatment, or recurrence of craving or opioid use, is a foreseeable clinical event and should be met without blame, shame or judgement. Closed-book arrangements or routine waiting lists should not delay clinically urgent reassessment or re-commencement of ODT. If the original service cannot provide timely care, </w:t>
      </w:r>
      <w:r w:rsidR="00C451D4">
        <w:t xml:space="preserve">health professionals </w:t>
      </w:r>
      <w:r w:rsidR="00D068CA">
        <w:t xml:space="preserve">should </w:t>
      </w:r>
      <w:r>
        <w:t>arrange a warm referral to an</w:t>
      </w:r>
      <w:r w:rsidR="00D068CA">
        <w:t>other</w:t>
      </w:r>
      <w:r>
        <w:t xml:space="preserve"> accessible service. If a patient does not attend planned reviews, </w:t>
      </w:r>
      <w:r w:rsidR="008C3119">
        <w:t>health professionals</w:t>
      </w:r>
      <w:r w:rsidR="00D068CA">
        <w:t xml:space="preserve"> should </w:t>
      </w:r>
      <w:r>
        <w:t>use agreed recall or outreach channels and continue to provide harm-reduction advice.</w:t>
      </w:r>
    </w:p>
    <w:p w14:paraId="2D543607" w14:textId="5A375791" w:rsidR="00404DC6" w:rsidRPr="00E249E7" w:rsidRDefault="00404DC6" w:rsidP="00CB0168">
      <w:pPr>
        <w:pStyle w:val="Heading1"/>
        <w:spacing w:before="0"/>
        <w:rPr>
          <w:sz w:val="24"/>
          <w:szCs w:val="24"/>
        </w:rPr>
      </w:pPr>
      <w:bookmarkStart w:id="12" w:name="_Toc235541655"/>
      <w:r w:rsidRPr="00E249E7">
        <w:rPr>
          <w:sz w:val="24"/>
          <w:szCs w:val="24"/>
        </w:rPr>
        <w:t xml:space="preserve">Overdose risk </w:t>
      </w:r>
      <w:r w:rsidR="002E7F87" w:rsidRPr="00E249E7">
        <w:rPr>
          <w:sz w:val="24"/>
          <w:szCs w:val="24"/>
        </w:rPr>
        <w:t>during transition</w:t>
      </w:r>
      <w:bookmarkEnd w:id="12"/>
    </w:p>
    <w:p w14:paraId="12A97C71" w14:textId="747504A8" w:rsidR="00404DC6" w:rsidRPr="00404DC6" w:rsidRDefault="00404DC6" w:rsidP="00404DC6">
      <w:pPr>
        <w:pStyle w:val="Bodyafterbullets"/>
      </w:pPr>
      <w:r>
        <w:t>Patients who stop opioid dependence treatment or return to opioid use after treatment disruption or who find transition difficult may be at increased risk of overdose due to reduced opioid tolerance.</w:t>
      </w:r>
    </w:p>
    <w:p w14:paraId="5B5D23D8" w14:textId="3268C963" w:rsidR="00646AB1" w:rsidRDefault="00AF35AB" w:rsidP="009D4AD7">
      <w:pPr>
        <w:pStyle w:val="Body"/>
      </w:pPr>
      <w:r>
        <w:t>All patients on opioid agonist therapy, including patients who withdraw from long-acting injectable buprenorphine, should be strongly encouraged to access take-home naloxone for themselves and for people in their social network.</w:t>
      </w:r>
    </w:p>
    <w:p w14:paraId="20446005" w14:textId="284A5EEA" w:rsidR="009D4AD7" w:rsidRPr="009D4AD7" w:rsidRDefault="009D4AD7" w:rsidP="009D4AD7">
      <w:pPr>
        <w:pStyle w:val="Body"/>
      </w:pPr>
      <w:bookmarkStart w:id="13" w:name="_Toc235541656"/>
      <w:r>
        <w:t>Patients</w:t>
      </w:r>
      <w:r w:rsidRPr="009D4AD7">
        <w:t xml:space="preserve"> affected by the discontinuation of Sublocade® should be supported to access support services. Prescribers should plan approaches to support affected patients including telephone counselling through DirectLine on &lt;1800 888 236&gt;. Consumers can also contact Harm Reduction Victoria’s Pharmacotherapy Advocacy and Mediation Support (PAMS) service on &lt;1800 443 844&gt;.</w:t>
      </w:r>
    </w:p>
    <w:p w14:paraId="3113374B" w14:textId="033F613E" w:rsidR="00855210" w:rsidRPr="00E70F6E" w:rsidRDefault="00140E80" w:rsidP="00E70F6E">
      <w:pPr>
        <w:pStyle w:val="Heading1"/>
        <w:spacing w:before="0"/>
        <w:rPr>
          <w:sz w:val="24"/>
          <w:szCs w:val="24"/>
        </w:rPr>
      </w:pPr>
      <w:r w:rsidRPr="00E249E7">
        <w:rPr>
          <w:rFonts w:eastAsia="Times"/>
          <w:sz w:val="24"/>
          <w:szCs w:val="24"/>
        </w:rPr>
        <w:t>When to seek specialist advice</w:t>
      </w:r>
      <w:bookmarkEnd w:id="13"/>
    </w:p>
    <w:p w14:paraId="5352DDEA" w14:textId="79684B07" w:rsidR="00140E80" w:rsidRPr="00140E80" w:rsidRDefault="00140E80" w:rsidP="00140E80">
      <w:pPr>
        <w:pStyle w:val="Bodyafterbullets"/>
      </w:pPr>
      <w:r w:rsidRPr="00140E80">
        <w:t>Seek specialist addiction medicine advice early where:</w:t>
      </w:r>
    </w:p>
    <w:p w14:paraId="2D182BD5" w14:textId="64CF0893" w:rsidR="00140E80" w:rsidRPr="00140E80" w:rsidRDefault="00140E80" w:rsidP="74DFE189">
      <w:pPr>
        <w:pStyle w:val="Bodyafterbullets"/>
        <w:numPr>
          <w:ilvl w:val="0"/>
          <w:numId w:val="46"/>
        </w:numPr>
      </w:pPr>
      <w:r>
        <w:t>the patient has stabilised on Sublocade®</w:t>
      </w:r>
      <w:r w:rsidR="1D370225">
        <w:t xml:space="preserve"> after other treatments were not effective</w:t>
      </w:r>
    </w:p>
    <w:p w14:paraId="709534F3" w14:textId="5C9013DC" w:rsidR="00140E80" w:rsidRPr="00140E80" w:rsidRDefault="00140E80" w:rsidP="74DFE189">
      <w:pPr>
        <w:pStyle w:val="Bodyafterbullets"/>
        <w:numPr>
          <w:ilvl w:val="0"/>
          <w:numId w:val="46"/>
        </w:numPr>
      </w:pPr>
      <w:r>
        <w:t>a patient previously maintained on Sublocade® 300 mg remains unstable or does not respond to the planned transition</w:t>
      </w:r>
    </w:p>
    <w:p w14:paraId="271D4125" w14:textId="319F30F6" w:rsidR="00140E80" w:rsidRPr="00140E80" w:rsidRDefault="00140E80" w:rsidP="00140E80">
      <w:pPr>
        <w:pStyle w:val="Bodyafterbullets"/>
        <w:numPr>
          <w:ilvl w:val="0"/>
          <w:numId w:val="46"/>
        </w:numPr>
      </w:pPr>
      <w:r w:rsidRPr="00140E80">
        <w:t>the patient has complex medical or psychiatric comorbidity</w:t>
      </w:r>
    </w:p>
    <w:p w14:paraId="2858ED74" w14:textId="43260D5B" w:rsidR="00140E80" w:rsidRPr="00140E80" w:rsidRDefault="00140E80" w:rsidP="00140E80">
      <w:pPr>
        <w:pStyle w:val="Bodyafterbullets"/>
        <w:numPr>
          <w:ilvl w:val="0"/>
          <w:numId w:val="46"/>
        </w:numPr>
      </w:pPr>
      <w:r w:rsidRPr="00140E80">
        <w:t>the patient has complex pain, trauma, pregnancy, unstable housing, recent overdose or high relapse risk</w:t>
      </w:r>
    </w:p>
    <w:p w14:paraId="769A39C7" w14:textId="25DB3A8C" w:rsidR="00466689" w:rsidRPr="00140E80" w:rsidRDefault="00140E80" w:rsidP="00E70F6E">
      <w:pPr>
        <w:pStyle w:val="Bodyafterbullets"/>
        <w:numPr>
          <w:ilvl w:val="0"/>
          <w:numId w:val="46"/>
        </w:numPr>
      </w:pPr>
      <w:r w:rsidRPr="00140E80">
        <w:t>there is uncertainty about shortened Buvidal® intervals, supplemental dosing, split dosing or transfer to methadone</w:t>
      </w:r>
    </w:p>
    <w:p w14:paraId="15A781CE" w14:textId="41B1A92C" w:rsidR="00140E80" w:rsidRPr="00140E80" w:rsidRDefault="00140E80" w:rsidP="00140E80">
      <w:pPr>
        <w:pStyle w:val="Bodyafterbullets"/>
        <w:numPr>
          <w:ilvl w:val="0"/>
          <w:numId w:val="46"/>
        </w:numPr>
      </w:pPr>
      <w:r w:rsidRPr="00140E80">
        <w:t xml:space="preserve">the patient experiences breakthrough withdrawal symptoms, sedation, intoxication, increased opioid use, deterioration in mental health or functional decline during transition. </w:t>
      </w:r>
    </w:p>
    <w:p w14:paraId="4E687101" w14:textId="1011A06C" w:rsidR="00C86646" w:rsidRPr="009A6461" w:rsidRDefault="009A6461" w:rsidP="00140E80">
      <w:pPr>
        <w:pStyle w:val="Bodyafterbullets"/>
        <w:rPr>
          <w:b/>
          <w:bCs/>
        </w:rPr>
      </w:pPr>
      <w:r w:rsidRPr="009A6461">
        <w:rPr>
          <w:b/>
          <w:bCs/>
        </w:rPr>
        <w:t>Same-day clinical advice</w:t>
      </w:r>
    </w:p>
    <w:p w14:paraId="1E17A508" w14:textId="77777777" w:rsidR="009A6461" w:rsidRPr="009A6461" w:rsidRDefault="00140E80" w:rsidP="009A6461">
      <w:pPr>
        <w:pStyle w:val="Bodyafterbullets"/>
      </w:pPr>
      <w:r>
        <w:t xml:space="preserve">In Victoria, free clinical advice is available 24 hours a day through DACAS on &lt;1800 812 804&gt;. DACAS provides clinical advice and does not assume ongoing prescribing responsibility. </w:t>
      </w:r>
      <w:r w:rsidR="009A6461" w:rsidRPr="009A6461">
        <w:t>DACAS provides timely telephone advice to support clinical decision-making during transition planning and management but does not assume ongoing prescribing responsibility.</w:t>
      </w:r>
    </w:p>
    <w:p w14:paraId="562B6EB6" w14:textId="61F73681" w:rsidR="00140E80" w:rsidRPr="00365435" w:rsidRDefault="00365435" w:rsidP="00140E80">
      <w:pPr>
        <w:pStyle w:val="Bodyafterbullets"/>
        <w:rPr>
          <w:b/>
          <w:bCs/>
        </w:rPr>
      </w:pPr>
      <w:r w:rsidRPr="00365435">
        <w:rPr>
          <w:b/>
          <w:bCs/>
        </w:rPr>
        <w:t>Specialist review</w:t>
      </w:r>
    </w:p>
    <w:p w14:paraId="11F9A4DA" w14:textId="53BCAA98" w:rsidR="00365435" w:rsidRPr="00365435" w:rsidRDefault="00365435" w:rsidP="00365435">
      <w:pPr>
        <w:pStyle w:val="Bodyafterbullets"/>
      </w:pPr>
      <w:r w:rsidRPr="00365435">
        <w:t xml:space="preserve">For </w:t>
      </w:r>
      <w:r>
        <w:t>secondary consultation,</w:t>
      </w:r>
      <w:r w:rsidRPr="00365435">
        <w:t xml:space="preserve"> Pharmacotherapy Area Based Networks (PABNs) facilitate referral</w:t>
      </w:r>
      <w:r>
        <w:t>s</w:t>
      </w:r>
      <w:r w:rsidRPr="00365435">
        <w:t xml:space="preserve"> to Addiction Medicine Specialist services across Victoria. </w:t>
      </w:r>
    </w:p>
    <w:p w14:paraId="363374C9" w14:textId="77777777" w:rsidR="00771D3C" w:rsidRPr="00771D3C" w:rsidRDefault="00771D3C" w:rsidP="00771D3C">
      <w:pPr>
        <w:pStyle w:val="Bodyafterbullets"/>
      </w:pPr>
      <w:r w:rsidRPr="00771D3C">
        <w:lastRenderedPageBreak/>
        <w:t>Bayside Health SouthCity Clinic  </w:t>
      </w:r>
    </w:p>
    <w:p w14:paraId="6F140F5E" w14:textId="2A546A25" w:rsidR="00771D3C" w:rsidRPr="00771D3C" w:rsidRDefault="00D61E5E" w:rsidP="00D61E5E">
      <w:pPr>
        <w:pStyle w:val="Bodyafterbullets"/>
      </w:pPr>
      <w:r>
        <w:t xml:space="preserve">Phone: </w:t>
      </w:r>
      <w:r w:rsidR="006408F6">
        <w:t>&lt;</w:t>
      </w:r>
      <w:r w:rsidR="00771D3C" w:rsidRPr="00771D3C">
        <w:t>(03) 9525 7399</w:t>
      </w:r>
      <w:r w:rsidR="006408F6">
        <w:t>&gt;</w:t>
      </w:r>
      <w:r w:rsidR="00771D3C" w:rsidRPr="00771D3C">
        <w:t> </w:t>
      </w:r>
    </w:p>
    <w:p w14:paraId="6F9E8CDF" w14:textId="28EA7CCB" w:rsidR="00771D3C" w:rsidRPr="00771D3C" w:rsidRDefault="00D61E5E" w:rsidP="00D61E5E">
      <w:pPr>
        <w:pStyle w:val="Bodyafterbullets"/>
      </w:pPr>
      <w:r>
        <w:t xml:space="preserve">Email: </w:t>
      </w:r>
      <w:hyperlink r:id="rId16" w:history="1">
        <w:r w:rsidRPr="0007774B">
          <w:rPr>
            <w:rStyle w:val="Hyperlink"/>
          </w:rPr>
          <w:t>Southcityclinic@alfred.org.au</w:t>
        </w:r>
      </w:hyperlink>
      <w:r w:rsidR="00771D3C" w:rsidRPr="00771D3C">
        <w:t> </w:t>
      </w:r>
    </w:p>
    <w:p w14:paraId="308F2D71" w14:textId="604A56E9" w:rsidR="00771D3C" w:rsidRPr="00771D3C" w:rsidRDefault="00771D3C" w:rsidP="00771D3C">
      <w:pPr>
        <w:pStyle w:val="Bodyafterbullets"/>
      </w:pPr>
    </w:p>
    <w:p w14:paraId="7FCF0736" w14:textId="77777777" w:rsidR="00771D3C" w:rsidRPr="00771D3C" w:rsidRDefault="00771D3C" w:rsidP="00771D3C">
      <w:pPr>
        <w:pStyle w:val="Bodyafterbullets"/>
      </w:pPr>
      <w:r w:rsidRPr="00771D3C">
        <w:t>Monash Primary Health Clinic and Needle Syringe Program (email referral preferred) </w:t>
      </w:r>
    </w:p>
    <w:p w14:paraId="40FC6C0D" w14:textId="4D4B297D" w:rsidR="00D61E5E" w:rsidRDefault="00D61E5E" w:rsidP="00D61E5E">
      <w:pPr>
        <w:pStyle w:val="Bodyafterbullets"/>
      </w:pPr>
      <w:r>
        <w:t xml:space="preserve">Phone: </w:t>
      </w:r>
      <w:r w:rsidR="006408F6">
        <w:t>&lt;</w:t>
      </w:r>
      <w:r>
        <w:t>(</w:t>
      </w:r>
      <w:r w:rsidR="00771D3C" w:rsidRPr="00771D3C">
        <w:t>03) 9792 7630</w:t>
      </w:r>
      <w:r w:rsidR="006408F6">
        <w:t>&gt;</w:t>
      </w:r>
      <w:r w:rsidR="00771D3C" w:rsidRPr="00771D3C">
        <w:t> </w:t>
      </w:r>
    </w:p>
    <w:p w14:paraId="7EAC3BF6" w14:textId="238E0EC4" w:rsidR="00771D3C" w:rsidRPr="00771D3C" w:rsidRDefault="00D61E5E" w:rsidP="00D61E5E">
      <w:pPr>
        <w:pStyle w:val="Bodyafterbullets"/>
      </w:pPr>
      <w:r>
        <w:t xml:space="preserve">Email: </w:t>
      </w:r>
      <w:hyperlink r:id="rId17" w:history="1">
        <w:r w:rsidRPr="0007774B">
          <w:rPr>
            <w:rStyle w:val="Hyperlink"/>
          </w:rPr>
          <w:t>PHCreferrals@monashhealth.org</w:t>
        </w:r>
      </w:hyperlink>
      <w:r w:rsidR="00771D3C" w:rsidRPr="00771D3C">
        <w:t> </w:t>
      </w:r>
    </w:p>
    <w:p w14:paraId="30853C9C" w14:textId="77777777" w:rsidR="00771D3C" w:rsidRPr="00771D3C" w:rsidRDefault="00771D3C" w:rsidP="00771D3C">
      <w:pPr>
        <w:pStyle w:val="Bodyafterbullets"/>
      </w:pPr>
      <w:r w:rsidRPr="00771D3C">
        <w:t> </w:t>
      </w:r>
    </w:p>
    <w:p w14:paraId="02730A69" w14:textId="77777777" w:rsidR="00771D3C" w:rsidRPr="00771D3C" w:rsidRDefault="00771D3C" w:rsidP="00771D3C">
      <w:pPr>
        <w:pStyle w:val="Bodyafterbullets"/>
      </w:pPr>
      <w:r w:rsidRPr="00771D3C">
        <w:t>Eastern Heath Turning Point  </w:t>
      </w:r>
    </w:p>
    <w:p w14:paraId="12631A8A" w14:textId="68AE09AA" w:rsidR="00771D3C" w:rsidRPr="00D61E5E" w:rsidRDefault="00D61E5E" w:rsidP="00D61E5E">
      <w:pPr>
        <w:pStyle w:val="Bodyafterbullets"/>
      </w:pPr>
      <w:r w:rsidRPr="00D61E5E">
        <w:t xml:space="preserve">Phone: </w:t>
      </w:r>
      <w:r w:rsidR="006408F6">
        <w:t>&lt;</w:t>
      </w:r>
      <w:r w:rsidR="00771D3C" w:rsidRPr="00D61E5E">
        <w:t>(03) 9843 1288</w:t>
      </w:r>
      <w:r w:rsidR="006408F6">
        <w:t>&gt;</w:t>
      </w:r>
      <w:r w:rsidR="00771D3C" w:rsidRPr="00D61E5E">
        <w:t> </w:t>
      </w:r>
    </w:p>
    <w:p w14:paraId="7EFDE30B" w14:textId="21952C07" w:rsidR="00771D3C" w:rsidRPr="00771D3C" w:rsidRDefault="00D61E5E" w:rsidP="00D61E5E">
      <w:pPr>
        <w:pStyle w:val="Bodyafterbullets"/>
      </w:pPr>
      <w:r>
        <w:t xml:space="preserve">Email: </w:t>
      </w:r>
      <w:hyperlink r:id="rId18" w:history="1">
        <w:r w:rsidRPr="0007774B">
          <w:rPr>
            <w:rStyle w:val="Hyperlink"/>
          </w:rPr>
          <w:t>Ecadsintake@easternhealth.org.au</w:t>
        </w:r>
      </w:hyperlink>
      <w:r w:rsidR="00771D3C" w:rsidRPr="00771D3C">
        <w:t> </w:t>
      </w:r>
    </w:p>
    <w:p w14:paraId="6CFC15B4" w14:textId="77777777" w:rsidR="00771D3C" w:rsidRPr="00771D3C" w:rsidRDefault="00771D3C" w:rsidP="00771D3C">
      <w:pPr>
        <w:pStyle w:val="Bodyafterbullets"/>
      </w:pPr>
      <w:r w:rsidRPr="00771D3C">
        <w:t> </w:t>
      </w:r>
    </w:p>
    <w:p w14:paraId="1DD98C36" w14:textId="77777777" w:rsidR="00771D3C" w:rsidRPr="00771D3C" w:rsidRDefault="00771D3C" w:rsidP="00771D3C">
      <w:pPr>
        <w:pStyle w:val="Bodyafterbullets"/>
      </w:pPr>
      <w:r w:rsidRPr="00771D3C">
        <w:t>Western Health Drug Services </w:t>
      </w:r>
    </w:p>
    <w:p w14:paraId="3DE4A3CC" w14:textId="3790D43E" w:rsidR="00771D3C" w:rsidRPr="00771D3C" w:rsidRDefault="00D61E5E" w:rsidP="00771D3C">
      <w:pPr>
        <w:pStyle w:val="Bodyafterbullets"/>
      </w:pPr>
      <w:r>
        <w:t>Phone:</w:t>
      </w:r>
      <w:r w:rsidR="00771D3C" w:rsidRPr="00771D3C">
        <w:t xml:space="preserve"> </w:t>
      </w:r>
      <w:r w:rsidR="006408F6">
        <w:t xml:space="preserve">&lt;(03) </w:t>
      </w:r>
      <w:r w:rsidR="00771D3C" w:rsidRPr="00771D3C">
        <w:t>8435 6682</w:t>
      </w:r>
      <w:r w:rsidR="006408F6">
        <w:t>&gt;</w:t>
      </w:r>
      <w:r w:rsidR="00771D3C" w:rsidRPr="00771D3C">
        <w:t> </w:t>
      </w:r>
    </w:p>
    <w:p w14:paraId="076C9B16" w14:textId="77777777" w:rsidR="00771D3C" w:rsidRPr="00771D3C" w:rsidRDefault="00771D3C" w:rsidP="00771D3C">
      <w:pPr>
        <w:pStyle w:val="Bodyafterbullets"/>
      </w:pPr>
      <w:r w:rsidRPr="00771D3C">
        <w:t>Email: </w:t>
      </w:r>
      <w:hyperlink r:id="rId19" w:tgtFrame="_blank" w:history="1">
        <w:r w:rsidRPr="00771D3C">
          <w:rPr>
            <w:rStyle w:val="Hyperlink"/>
          </w:rPr>
          <w:t>nwmrpharmacotherapynetwork@cohealth.org.au</w:t>
        </w:r>
      </w:hyperlink>
      <w:r w:rsidRPr="00771D3C">
        <w:t> </w:t>
      </w:r>
    </w:p>
    <w:p w14:paraId="75D97625" w14:textId="77777777" w:rsidR="00771D3C" w:rsidRPr="00771D3C" w:rsidRDefault="00771D3C" w:rsidP="00771D3C">
      <w:pPr>
        <w:pStyle w:val="Bodyafterbullets"/>
      </w:pPr>
      <w:r w:rsidRPr="00771D3C">
        <w:t> </w:t>
      </w:r>
    </w:p>
    <w:p w14:paraId="32965D0F" w14:textId="77777777" w:rsidR="00771D3C" w:rsidRPr="00771D3C" w:rsidRDefault="00771D3C" w:rsidP="00771D3C">
      <w:pPr>
        <w:pStyle w:val="Bodyafterbullets"/>
      </w:pPr>
      <w:r w:rsidRPr="00771D3C">
        <w:t>Goulburn Valley Health  </w:t>
      </w:r>
    </w:p>
    <w:p w14:paraId="4D7CC66A" w14:textId="77777777" w:rsidR="00771D3C" w:rsidRPr="00771D3C" w:rsidRDefault="00771D3C" w:rsidP="00771D3C">
      <w:pPr>
        <w:pStyle w:val="Bodyafterbullets"/>
      </w:pPr>
      <w:r w:rsidRPr="00771D3C">
        <w:rPr>
          <w:u w:val="single"/>
        </w:rPr>
        <w:t>Email: </w:t>
      </w:r>
      <w:hyperlink r:id="rId20" w:tgtFrame="_blank" w:history="1">
        <w:r w:rsidRPr="00771D3C">
          <w:rPr>
            <w:rStyle w:val="Hyperlink"/>
          </w:rPr>
          <w:t>GVADSReferrals@gvhealth.org.au</w:t>
        </w:r>
      </w:hyperlink>
      <w:r w:rsidRPr="00771D3C">
        <w:t> </w:t>
      </w:r>
    </w:p>
    <w:p w14:paraId="047C5AAD" w14:textId="77777777" w:rsidR="000D0DF4" w:rsidRDefault="000D0DF4" w:rsidP="00C51F0A">
      <w:pPr>
        <w:pStyle w:val="Bodyafterbullets"/>
      </w:pPr>
    </w:p>
    <w:p w14:paraId="722ADDE2" w14:textId="57BC0059" w:rsidR="002A22F8" w:rsidRPr="00F85C2A" w:rsidRDefault="00F85C2A" w:rsidP="00D61E5E">
      <w:pPr>
        <w:pStyle w:val="Bodyafterbullets"/>
        <w:rPr>
          <w:highlight w:val="yellow"/>
        </w:rPr>
      </w:pPr>
      <w:r>
        <w:t xml:space="preserve">Orticare’s Opioid Management Clinic </w:t>
      </w:r>
      <w:r w:rsidR="00D61E5E">
        <w:t xml:space="preserve">(OMC) </w:t>
      </w:r>
    </w:p>
    <w:p w14:paraId="2DE8D58B" w14:textId="7328BB6E" w:rsidR="00702EB2" w:rsidRPr="00E30C75" w:rsidRDefault="00702EB2" w:rsidP="00C51F0A">
      <w:pPr>
        <w:pStyle w:val="Bodyafterbullets"/>
      </w:pPr>
      <w:r w:rsidRPr="00E30C75">
        <w:t xml:space="preserve">Phone: </w:t>
      </w:r>
      <w:r w:rsidR="006408F6">
        <w:t>&lt;</w:t>
      </w:r>
      <w:r w:rsidRPr="00E30C75">
        <w:t xml:space="preserve">0491 </w:t>
      </w:r>
      <w:r w:rsidR="00341EE9" w:rsidRPr="00E30C75">
        <w:t xml:space="preserve">085 </w:t>
      </w:r>
      <w:r w:rsidR="00331575" w:rsidRPr="00E30C75">
        <w:t>573</w:t>
      </w:r>
      <w:r w:rsidR="006408F6">
        <w:t>&gt;</w:t>
      </w:r>
    </w:p>
    <w:p w14:paraId="2743AFDB" w14:textId="77777777" w:rsidR="00CA2C4B" w:rsidRPr="00CA2C4B" w:rsidRDefault="00CA2C4B" w:rsidP="00CA2C4B">
      <w:pPr>
        <w:pStyle w:val="Bodyafterbullets"/>
        <w:shd w:val="clear" w:color="auto" w:fill="FFFFFF" w:themeFill="background1"/>
      </w:pPr>
      <w:r w:rsidRPr="00CA2C4B">
        <w:t xml:space="preserve">Referral pathways: HealthLink ID: ballarcm - HealthLink referrals must be made via your practice management software. Ordinary emails to the HealthLink ID will not be received. </w:t>
      </w:r>
    </w:p>
    <w:p w14:paraId="587ADC97" w14:textId="37F23AD1" w:rsidR="00D61E5E" w:rsidRDefault="00CA2C4B" w:rsidP="00CA2C4B">
      <w:pPr>
        <w:pStyle w:val="Bodyafterbullets"/>
        <w:shd w:val="clear" w:color="auto" w:fill="FFFFFF" w:themeFill="background1"/>
      </w:pPr>
      <w:r w:rsidRPr="00CA2C4B">
        <w:t>Fax: &lt;03 7048 9938&gt; (GoFax is certified for secure information handling)</w:t>
      </w:r>
    </w:p>
    <w:p w14:paraId="1BE305AD" w14:textId="77777777" w:rsidR="002A22F8" w:rsidRDefault="002A22F8" w:rsidP="00C51F0A">
      <w:pPr>
        <w:pStyle w:val="Bodyafterbullets"/>
      </w:pPr>
    </w:p>
    <w:p w14:paraId="02C9A5D8" w14:textId="77777777" w:rsidR="00AF2C98" w:rsidRPr="000E0DA6" w:rsidRDefault="00AF2C98" w:rsidP="00AF2C98">
      <w:pPr>
        <w:pStyle w:val="Bodyafterbullets"/>
        <w:rPr>
          <w:b/>
        </w:rPr>
      </w:pPr>
      <w:bookmarkStart w:id="14" w:name="_Toc67561465"/>
      <w:r w:rsidRPr="000E0DA6">
        <w:rPr>
          <w:b/>
        </w:rPr>
        <w:t>Acknowledgements</w:t>
      </w:r>
      <w:bookmarkEnd w:id="14"/>
    </w:p>
    <w:p w14:paraId="7CED6424" w14:textId="7FFB959B" w:rsidR="007A5A8A" w:rsidRPr="000E0DA6" w:rsidRDefault="007A5A8A" w:rsidP="007A5A8A">
      <w:pPr>
        <w:pStyle w:val="Bodyafterbullets"/>
      </w:pPr>
      <w:r w:rsidRPr="000E0DA6">
        <w:t>Dr Paul MacCartney, Chief Addiction Medicine Advisor, Victorian Department of Health and cohealth</w:t>
      </w:r>
    </w:p>
    <w:p w14:paraId="14812E97" w14:textId="17FFADF6" w:rsidR="00AD3534" w:rsidRPr="000E0DA6" w:rsidRDefault="00AD3534" w:rsidP="009604EE">
      <w:pPr>
        <w:pStyle w:val="Bodyafterbullets"/>
      </w:pPr>
      <w:r w:rsidRPr="000E0DA6">
        <w:t xml:space="preserve">Dr Eric </w:t>
      </w:r>
      <w:r w:rsidR="00B05D25" w:rsidRPr="000E0DA6">
        <w:t xml:space="preserve">Hadinata, Addiction Medicine Specialist, </w:t>
      </w:r>
      <w:r w:rsidRPr="000E0DA6">
        <w:t>RACGP Victoria, The Victoria Clinic and Orticare</w:t>
      </w:r>
    </w:p>
    <w:p w14:paraId="13AC701E" w14:textId="60EA385D" w:rsidR="009604EE" w:rsidRPr="000E0DA6" w:rsidRDefault="009604EE" w:rsidP="009604EE">
      <w:pPr>
        <w:pStyle w:val="Bodyafterbullets"/>
      </w:pPr>
      <w:r w:rsidRPr="000E0DA6">
        <w:t>Dr David Jacka, Addiction Medicine Specialist, Monash Health</w:t>
      </w:r>
    </w:p>
    <w:p w14:paraId="6E53D54E" w14:textId="396E8B7E" w:rsidR="00AD3534" w:rsidRPr="000E0DA6" w:rsidRDefault="009604EE" w:rsidP="00C51F0A">
      <w:pPr>
        <w:pStyle w:val="Bodyafterbullets"/>
      </w:pPr>
      <w:r w:rsidRPr="000E0DA6">
        <w:t>Dr Ferghal Armstrong, Addiction Medicine Specialist, Eastern Health</w:t>
      </w:r>
    </w:p>
    <w:p w14:paraId="38F2020A" w14:textId="5DB3D024" w:rsidR="001343C8" w:rsidRPr="000E0DA6" w:rsidRDefault="00E10D2A" w:rsidP="00C51F0A">
      <w:pPr>
        <w:pStyle w:val="Bodyafterbullets"/>
      </w:pPr>
      <w:r w:rsidRPr="000E0DA6">
        <w:t>Mr Jarrod McMaugh, State Manager, Pharm</w:t>
      </w:r>
      <w:r w:rsidR="5DBE0AD7" w:rsidRPr="000E0DA6">
        <w:t>a</w:t>
      </w:r>
      <w:r w:rsidRPr="000E0DA6">
        <w:t>ceutical Society of Australia Victorian Branch</w:t>
      </w:r>
    </w:p>
    <w:p w14:paraId="16B6D598" w14:textId="7ECDEC42" w:rsidR="001343C8" w:rsidRDefault="001343C8" w:rsidP="00C51F0A">
      <w:pPr>
        <w:pStyle w:val="Bodyafterbullets"/>
      </w:pPr>
      <w:r w:rsidRPr="000E0DA6">
        <w:t>Ms Sarah Lord, Program Manager, Pharmacotherapy, Advocacy, Mediation and Support Service (PAMS), Harm Reduction Victoria</w:t>
      </w:r>
      <w:r>
        <w:t xml:space="preserve"> </w:t>
      </w:r>
    </w:p>
    <w:p w14:paraId="4D46600A" w14:textId="0BE5244A" w:rsidR="00646AB1" w:rsidRDefault="00676714" w:rsidP="00C51F0A">
      <w:pPr>
        <w:pStyle w:val="Bodyafterbullets"/>
      </w:pPr>
      <w:r>
        <w:t>Dr Ryan D’Cunha</w:t>
      </w:r>
      <w:r w:rsidR="00D50597">
        <w:t>, GP and Addiction Medicine Registrar cohealth</w:t>
      </w:r>
    </w:p>
    <w:tbl>
      <w:tblPr>
        <w:tblStyle w:val="TableGrid"/>
        <w:tblW w:w="0" w:type="auto"/>
        <w:tblCellMar>
          <w:bottom w:w="108" w:type="dxa"/>
        </w:tblCellMar>
        <w:tblLook w:val="0600" w:firstRow="0" w:lastRow="0" w:firstColumn="0" w:lastColumn="0" w:noHBand="1" w:noVBand="1"/>
      </w:tblPr>
      <w:tblGrid>
        <w:gridCol w:w="10194"/>
      </w:tblGrid>
      <w:tr w:rsidR="0055119B" w14:paraId="2C7C9F7E" w14:textId="77777777" w:rsidTr="00EC40D5">
        <w:tc>
          <w:tcPr>
            <w:tcW w:w="10194" w:type="dxa"/>
          </w:tcPr>
          <w:p w14:paraId="675C0748" w14:textId="7B722BDE" w:rsidR="0055119B" w:rsidRPr="00F00FC0" w:rsidRDefault="0055119B" w:rsidP="0055119B">
            <w:pPr>
              <w:pStyle w:val="Accessibilitypara"/>
              <w:rPr>
                <w:sz w:val="21"/>
                <w:szCs w:val="21"/>
              </w:rPr>
            </w:pPr>
            <w:bookmarkStart w:id="15" w:name="_Hlk37240926"/>
            <w:r w:rsidRPr="00F00FC0">
              <w:rPr>
                <w:sz w:val="21"/>
                <w:szCs w:val="21"/>
              </w:rPr>
              <w:lastRenderedPageBreak/>
              <w:t>To receive this document in another format, or email</w:t>
            </w:r>
            <w:r w:rsidR="007B28FA">
              <w:rPr>
                <w:sz w:val="21"/>
                <w:szCs w:val="21"/>
              </w:rPr>
              <w:t xml:space="preserve"> </w:t>
            </w:r>
            <w:hyperlink r:id="rId21" w:history="1">
              <w:r w:rsidR="007B28FA" w:rsidRPr="007B28FA">
                <w:rPr>
                  <w:rStyle w:val="Hyperlink"/>
                  <w:sz w:val="21"/>
                  <w:szCs w:val="21"/>
                </w:rPr>
                <w:t>Pharmacotherapy team</w:t>
              </w:r>
            </w:hyperlink>
            <w:r w:rsidRPr="00F00FC0">
              <w:rPr>
                <w:sz w:val="21"/>
                <w:szCs w:val="21"/>
              </w:rPr>
              <w:t xml:space="preserve"> </w:t>
            </w:r>
            <w:r w:rsidR="00EA136F" w:rsidRPr="00F00FC0">
              <w:rPr>
                <w:sz w:val="21"/>
                <w:szCs w:val="21"/>
              </w:rPr>
              <w:t>&lt;</w:t>
            </w:r>
            <w:hyperlink r:id="rId22" w:history="1">
              <w:r w:rsidR="00EA136F" w:rsidRPr="00F00FC0">
                <w:rPr>
                  <w:rStyle w:val="Hyperlink"/>
                  <w:sz w:val="21"/>
                  <w:szCs w:val="21"/>
                </w:rPr>
                <w:t>pharmacotherapy@health.vic.gov.au</w:t>
              </w:r>
            </w:hyperlink>
            <w:r w:rsidR="00EA136F" w:rsidRPr="00F00FC0">
              <w:rPr>
                <w:sz w:val="21"/>
                <w:szCs w:val="21"/>
              </w:rPr>
              <w:t xml:space="preserve">&gt; </w:t>
            </w:r>
          </w:p>
          <w:p w14:paraId="509055CF" w14:textId="77777777" w:rsidR="0055119B" w:rsidRPr="00F00FC0" w:rsidRDefault="0055119B" w:rsidP="00E33237">
            <w:pPr>
              <w:pStyle w:val="Imprint"/>
              <w:rPr>
                <w:sz w:val="21"/>
                <w:szCs w:val="21"/>
              </w:rPr>
            </w:pPr>
            <w:r w:rsidRPr="00F00FC0">
              <w:rPr>
                <w:sz w:val="21"/>
                <w:szCs w:val="21"/>
              </w:rPr>
              <w:t>Authorised and published by the Victorian Government, 1 Treasury Place, Melbourne.</w:t>
            </w:r>
          </w:p>
          <w:p w14:paraId="4C38BB51" w14:textId="34CC002F" w:rsidR="0055119B" w:rsidRPr="00F00FC0" w:rsidRDefault="0055119B" w:rsidP="00E33237">
            <w:pPr>
              <w:pStyle w:val="Imprint"/>
              <w:rPr>
                <w:sz w:val="21"/>
                <w:szCs w:val="21"/>
              </w:rPr>
            </w:pPr>
            <w:r w:rsidRPr="00F00FC0">
              <w:rPr>
                <w:sz w:val="21"/>
                <w:szCs w:val="21"/>
              </w:rPr>
              <w:t xml:space="preserve">© State of Victoria, Australia, </w:t>
            </w:r>
            <w:r w:rsidR="001E2A36" w:rsidRPr="00F00FC0">
              <w:rPr>
                <w:sz w:val="21"/>
                <w:szCs w:val="21"/>
              </w:rPr>
              <w:t>Department of Health</w:t>
            </w:r>
            <w:r w:rsidRPr="00F00FC0">
              <w:rPr>
                <w:sz w:val="21"/>
                <w:szCs w:val="21"/>
              </w:rPr>
              <w:t xml:space="preserve">, </w:t>
            </w:r>
            <w:r w:rsidR="003D16F6" w:rsidRPr="00F00FC0">
              <w:rPr>
                <w:sz w:val="21"/>
                <w:szCs w:val="21"/>
              </w:rPr>
              <w:t>13</w:t>
            </w:r>
            <w:r w:rsidR="007111E2" w:rsidRPr="00F00FC0">
              <w:rPr>
                <w:sz w:val="21"/>
                <w:szCs w:val="21"/>
              </w:rPr>
              <w:t xml:space="preserve"> </w:t>
            </w:r>
            <w:r w:rsidR="00F943E9" w:rsidRPr="00F00FC0">
              <w:rPr>
                <w:sz w:val="21"/>
                <w:szCs w:val="21"/>
              </w:rPr>
              <w:t>August</w:t>
            </w:r>
            <w:r w:rsidR="00F00FC0">
              <w:rPr>
                <w:sz w:val="21"/>
                <w:szCs w:val="21"/>
              </w:rPr>
              <w:t xml:space="preserve"> </w:t>
            </w:r>
            <w:r w:rsidR="007111E2" w:rsidRPr="00F00FC0">
              <w:rPr>
                <w:color w:val="auto"/>
                <w:sz w:val="21"/>
                <w:szCs w:val="21"/>
              </w:rPr>
              <w:t>2026</w:t>
            </w:r>
            <w:r w:rsidRPr="00F00FC0">
              <w:rPr>
                <w:color w:val="auto"/>
                <w:sz w:val="21"/>
                <w:szCs w:val="21"/>
              </w:rPr>
              <w:t>.</w:t>
            </w:r>
          </w:p>
          <w:p w14:paraId="19C70F06" w14:textId="04A558CA" w:rsidR="0055119B" w:rsidRPr="00F00FC0" w:rsidRDefault="0055119B" w:rsidP="00E33237">
            <w:pPr>
              <w:pStyle w:val="Imprint"/>
              <w:rPr>
                <w:sz w:val="21"/>
                <w:szCs w:val="21"/>
              </w:rPr>
            </w:pPr>
            <w:r w:rsidRPr="00F00FC0">
              <w:rPr>
                <w:sz w:val="21"/>
                <w:szCs w:val="21"/>
              </w:rPr>
              <w:t>ISBN</w:t>
            </w:r>
            <w:r w:rsidR="00BA5B25" w:rsidRPr="00F00FC0">
              <w:rPr>
                <w:sz w:val="21"/>
                <w:szCs w:val="21"/>
              </w:rPr>
              <w:t xml:space="preserve"> 978-1-76195-029-2</w:t>
            </w:r>
            <w:r w:rsidRPr="00F00FC0">
              <w:rPr>
                <w:color w:val="004C97"/>
                <w:sz w:val="21"/>
                <w:szCs w:val="21"/>
              </w:rPr>
              <w:t xml:space="preserve"> </w:t>
            </w:r>
          </w:p>
          <w:p w14:paraId="04981C9E" w14:textId="0AE97AE5" w:rsidR="0055119B" w:rsidRPr="0055119B" w:rsidRDefault="0055119B" w:rsidP="00E33237">
            <w:pPr>
              <w:pStyle w:val="Imprint"/>
            </w:pPr>
            <w:r w:rsidRPr="00F00FC0">
              <w:rPr>
                <w:sz w:val="21"/>
                <w:szCs w:val="21"/>
              </w:rPr>
              <w:t xml:space="preserve">Available at </w:t>
            </w:r>
            <w:hyperlink r:id="rId23" w:history="1">
              <w:r w:rsidR="007B28FA" w:rsidRPr="007B28FA">
                <w:rPr>
                  <w:rStyle w:val="Hyperlink"/>
                  <w:sz w:val="21"/>
                  <w:szCs w:val="21"/>
                </w:rPr>
                <w:t>Sublocade discontinuation</w:t>
              </w:r>
            </w:hyperlink>
            <w:r w:rsidR="00F00FC0" w:rsidRPr="00F00FC0">
              <w:rPr>
                <w:color w:val="004C97"/>
                <w:sz w:val="21"/>
                <w:szCs w:val="21"/>
              </w:rPr>
              <w:t>&lt;</w:t>
            </w:r>
            <w:r w:rsidR="00F00FC0" w:rsidRPr="00F00FC0">
              <w:rPr>
                <w:sz w:val="21"/>
                <w:szCs w:val="21"/>
              </w:rPr>
              <w:t xml:space="preserve"> </w:t>
            </w:r>
            <w:r w:rsidR="00F00FC0" w:rsidRPr="00F00FC0">
              <w:rPr>
                <w:color w:val="004C97"/>
                <w:sz w:val="21"/>
                <w:szCs w:val="21"/>
              </w:rPr>
              <w:t>https://www.health.vic.gov.au/sublocade-discontinuation&gt;</w:t>
            </w:r>
          </w:p>
        </w:tc>
      </w:tr>
      <w:bookmarkEnd w:id="15"/>
    </w:tbl>
    <w:p w14:paraId="70A90299" w14:textId="77777777" w:rsidR="00BC1D56" w:rsidRDefault="00BC1D56"/>
    <w:sectPr w:rsidR="00BC1D56" w:rsidSect="00E62622">
      <w:footerReference w:type="default" r:id="rId24"/>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1B230" w14:textId="77777777" w:rsidR="004E0718" w:rsidRDefault="004E0718">
      <w:r>
        <w:separator/>
      </w:r>
    </w:p>
  </w:endnote>
  <w:endnote w:type="continuationSeparator" w:id="0">
    <w:p w14:paraId="49274A4F" w14:textId="77777777" w:rsidR="004E0718" w:rsidRDefault="004E0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50E79" w14:textId="77777777" w:rsidR="00E261B3" w:rsidRPr="00F65AA9" w:rsidRDefault="0072251A" w:rsidP="00F84FA0">
    <w:pPr>
      <w:pStyle w:val="Footer"/>
    </w:pPr>
    <w:r>
      <w:rPr>
        <w:noProof/>
        <w:lang w:eastAsia="en-AU"/>
      </w:rPr>
      <w:drawing>
        <wp:anchor distT="0" distB="0" distL="114300" distR="114300" simplePos="0" relativeHeight="251658242" behindDoc="1" locked="1" layoutInCell="1" allowOverlap="1" wp14:anchorId="064BA8FE" wp14:editId="1F9EBDBD">
          <wp:simplePos x="542260" y="9324753"/>
          <wp:positionH relativeFrom="page">
            <wp:align>left</wp:align>
          </wp:positionH>
          <wp:positionV relativeFrom="page">
            <wp:align>bottom</wp:align>
          </wp:positionV>
          <wp:extent cx="7560000" cy="964800"/>
          <wp:effectExtent l="0" t="0" r="3175" b="6985"/>
          <wp:wrapNone/>
          <wp:docPr id="8" name="Picture 8"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27E1CE9C" wp14:editId="1CBFED13">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537487"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4EFD8E3F">
            <v:shapetype id="_x0000_t202" coordsize="21600,21600" o:spt="202" path="m,l,21600r21600,l21600,xe" w14:anchorId="27E1CE9C">
              <v:stroke joinstyle="miter"/>
              <v:path gradientshapeok="t" o:connecttype="rect"/>
            </v:shapetype>
            <v:shape id="MSIPCMc3054336811d08b680b9289e" style="position:absolute;left:0;text-align:left;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v:textbox inset=",0,,0">
                <w:txbxContent>
                  <w:p w:rsidRPr="00B21F90" w:rsidR="00E261B3" w:rsidP="00B21F90" w:rsidRDefault="00E261B3" w14:paraId="08CE8BEA"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C872E" w14:textId="77777777" w:rsidR="00E261B3" w:rsidRDefault="00E261B3">
    <w:pPr>
      <w:pStyle w:val="Footer"/>
    </w:pPr>
    <w:r>
      <w:rPr>
        <w:noProof/>
      </w:rPr>
      <mc:AlternateContent>
        <mc:Choice Requires="wps">
          <w:drawing>
            <wp:anchor distT="0" distB="0" distL="114300" distR="114300" simplePos="1" relativeHeight="251658241" behindDoc="0" locked="0" layoutInCell="0" allowOverlap="1" wp14:anchorId="09F6A070" wp14:editId="55759472">
              <wp:simplePos x="0" y="10189687"/>
              <wp:positionH relativeFrom="page">
                <wp:posOffset>0</wp:posOffset>
              </wp:positionH>
              <wp:positionV relativeFrom="page">
                <wp:posOffset>10189210</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785FC6"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w14:anchorId="7D5D99CC">
            <v:shapetype id="_x0000_t202" coordsize="21600,21600" o:spt="202" path="m,l,21600r21600,l21600,xe" w14:anchorId="09F6A070">
              <v:stroke joinstyle="miter"/>
              <v:path gradientshapeok="t" o:connecttype="rect"/>
            </v:shapetype>
            <v:shape id="MSIPCM418f4cbe97f099549309dca7" style="position:absolute;left:0;text-align:left;margin-left:0;margin-top:802.3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v:textbox inset=",0,,0">
                <w:txbxContent>
                  <w:p w:rsidRPr="00B21F90" w:rsidR="00E261B3" w:rsidP="00B21F90" w:rsidRDefault="00E261B3" w14:paraId="09E77742"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E852A" w14:textId="77777777" w:rsidR="00373890" w:rsidRPr="00F65AA9" w:rsidRDefault="00B07FF7" w:rsidP="00F84FA0">
    <w:pPr>
      <w:pStyle w:val="Footer"/>
    </w:pPr>
    <w:r>
      <w:rPr>
        <w:noProof/>
      </w:rPr>
      <mc:AlternateContent>
        <mc:Choice Requires="wps">
          <w:drawing>
            <wp:anchor distT="0" distB="0" distL="114300" distR="114300" simplePos="0" relativeHeight="251658243" behindDoc="0" locked="0" layoutInCell="0" allowOverlap="1" wp14:anchorId="1ACCB641" wp14:editId="3A78911D">
              <wp:simplePos x="0" y="0"/>
              <wp:positionH relativeFrom="page">
                <wp:posOffset>0</wp:posOffset>
              </wp:positionH>
              <wp:positionV relativeFrom="page">
                <wp:posOffset>10189210</wp:posOffset>
              </wp:positionV>
              <wp:extent cx="7560310" cy="311785"/>
              <wp:effectExtent l="0" t="0" r="0" b="12065"/>
              <wp:wrapNone/>
              <wp:docPr id="7" name="MSIPCMf473436da8889006ed5648e0"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234036" w14:textId="77777777" w:rsidR="00B07FF7" w:rsidRPr="00B07FF7" w:rsidRDefault="00B07FF7" w:rsidP="00B07FF7">
                          <w:pPr>
                            <w:spacing w:after="0"/>
                            <w:jc w:val="center"/>
                            <w:rPr>
                              <w:rFonts w:ascii="Arial Black" w:hAnsi="Arial Black"/>
                              <w:color w:val="000000"/>
                              <w:sz w:val="20"/>
                            </w:rPr>
                          </w:pPr>
                          <w:r w:rsidRPr="00B07FF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w14:anchorId="1355EBE2">
            <v:shapetype id="_x0000_t202" coordsize="21600,21600" o:spt="202" path="m,l,21600r21600,l21600,xe" w14:anchorId="1ACCB641">
              <v:stroke joinstyle="miter"/>
              <v:path gradientshapeok="t" o:connecttype="rect"/>
            </v:shapetype>
            <v:shape id="MSIPCMf473436da8889006ed5648e0" style="position:absolute;left:0;text-align:left;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3,&quot;Top&quot;:0.0,&quot;Left&quot;:0.0}"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v:textbox inset=",0,,0">
                <w:txbxContent>
                  <w:p w:rsidRPr="00B07FF7" w:rsidR="00B07FF7" w:rsidP="00B07FF7" w:rsidRDefault="00B07FF7" w14:paraId="75F360E3" w14:textId="77777777">
                    <w:pPr>
                      <w:spacing w:after="0"/>
                      <w:jc w:val="center"/>
                      <w:rPr>
                        <w:rFonts w:ascii="Arial Black" w:hAnsi="Arial Black"/>
                        <w:color w:val="000000"/>
                        <w:sz w:val="20"/>
                      </w:rPr>
                    </w:pPr>
                    <w:r w:rsidRPr="00B07FF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8F488" w14:textId="77777777" w:rsidR="004E0718" w:rsidRDefault="004E0718" w:rsidP="002862F1">
      <w:pPr>
        <w:spacing w:before="120"/>
      </w:pPr>
      <w:r>
        <w:separator/>
      </w:r>
    </w:p>
  </w:footnote>
  <w:footnote w:type="continuationSeparator" w:id="0">
    <w:p w14:paraId="36B2055B" w14:textId="77777777" w:rsidR="004E0718" w:rsidRDefault="004E0718">
      <w:r>
        <w:continuationSeparator/>
      </w:r>
    </w:p>
  </w:footnote>
  <w:footnote w:id="1">
    <w:p w14:paraId="78CB12F7" w14:textId="70866302" w:rsidR="00655A59" w:rsidRPr="00775201" w:rsidRDefault="00655A59">
      <w:pPr>
        <w:pStyle w:val="FootnoteText"/>
        <w:rPr>
          <w:sz w:val="16"/>
        </w:rPr>
      </w:pPr>
      <w:r w:rsidRPr="00D0330A">
        <w:rPr>
          <w:rStyle w:val="FootnoteReference"/>
          <w:sz w:val="16"/>
        </w:rPr>
        <w:footnoteRef/>
      </w:r>
      <w:r w:rsidRPr="00D0330A">
        <w:rPr>
          <w:sz w:val="16"/>
        </w:rPr>
        <w:t xml:space="preserve"> </w:t>
      </w:r>
      <w:r w:rsidR="004F6739">
        <w:rPr>
          <w:sz w:val="16"/>
        </w:rPr>
        <w:t>European Public Assessment Report for Buvidal®</w:t>
      </w:r>
      <w:r w:rsidR="001F79E5">
        <w:rPr>
          <w:sz w:val="16"/>
        </w:rPr>
        <w:t xml:space="preserve"> </w:t>
      </w:r>
      <w:r w:rsidR="00775201" w:rsidRPr="00775201">
        <w:rPr>
          <w:sz w:val="16"/>
        </w:rPr>
        <w:t xml:space="preserve">European Medicines Agency. Assessment report Buvidal [Online]. 2018. Available at: </w:t>
      </w:r>
      <w:r w:rsidR="00267DD4" w:rsidRPr="00267DD4">
        <w:rPr>
          <w:rStyle w:val="Hyperlink"/>
          <w:sz w:val="16"/>
        </w:rPr>
        <w:t>https://www.ema.europa.eu/en/medicines/human/EPAR/buvidal</w:t>
      </w:r>
      <w:r w:rsidR="00267DD4" w:rsidRPr="00267DD4">
        <w:rPr>
          <w:rStyle w:val="Hyperlink"/>
        </w:rPr>
        <w:t>.</w:t>
      </w:r>
      <w:r w:rsidR="00267DD4" w:rsidRPr="00775201">
        <w:rPr>
          <w:sz w:val="16"/>
        </w:rPr>
        <w:t xml:space="preserve"> </w:t>
      </w:r>
      <w:r w:rsidR="00775201" w:rsidRPr="00775201">
        <w:rPr>
          <w:sz w:val="16"/>
        </w:rPr>
        <w:t>https:</w:t>
      </w:r>
      <w:r w:rsidR="00267DD4" w:rsidRPr="00267DD4">
        <w:t xml:space="preserve"> </w:t>
      </w:r>
      <w:r w:rsidR="00775201" w:rsidRPr="00775201">
        <w:rPr>
          <w:sz w:val="16"/>
        </w:rPr>
        <w:t>[Accessed 19 3 2024].</w:t>
      </w:r>
    </w:p>
  </w:footnote>
  <w:footnote w:id="2">
    <w:p w14:paraId="0696AB25" w14:textId="3B8ADB99" w:rsidR="002D31A6" w:rsidRPr="00C150DF" w:rsidRDefault="002D31A6">
      <w:pPr>
        <w:pStyle w:val="FootnoteText"/>
        <w:rPr>
          <w:sz w:val="16"/>
          <w:lang w:val="en-US"/>
        </w:rPr>
      </w:pPr>
      <w:r w:rsidRPr="00C150DF">
        <w:rPr>
          <w:rStyle w:val="FootnoteReference"/>
          <w:sz w:val="16"/>
        </w:rPr>
        <w:footnoteRef/>
      </w:r>
      <w:r w:rsidRPr="00C150DF">
        <w:rPr>
          <w:sz w:val="16"/>
        </w:rPr>
        <w:t xml:space="preserve"> </w:t>
      </w:r>
      <w:r w:rsidR="00072059" w:rsidRPr="00C150DF">
        <w:rPr>
          <w:sz w:val="16"/>
        </w:rPr>
        <w:t xml:space="preserve">NSW Health. Long-acting injectable buprenorphine (LAIB) for opioid dependence treatment: Practice Guide. 2nd ed. Sydney: NSW Ministry of Health; 2024. Section 3.2, Figure 1 available from: </w:t>
      </w:r>
      <w:hyperlink r:id="rId1" w:history="1">
        <w:r w:rsidR="00072059" w:rsidRPr="00C150DF">
          <w:rPr>
            <w:rStyle w:val="Hyperlink"/>
            <w:sz w:val="16"/>
          </w:rPr>
          <w:t>https://www.health.nsw.gov.au/aod/Publications/laib.pdf</w:t>
        </w:r>
      </w:hyperlink>
    </w:p>
  </w:footnote>
  <w:footnote w:id="3">
    <w:p w14:paraId="7E0E07FD" w14:textId="77A5E578" w:rsidR="00072059" w:rsidRPr="00C150DF" w:rsidRDefault="00072059">
      <w:pPr>
        <w:pStyle w:val="FootnoteText"/>
        <w:rPr>
          <w:sz w:val="16"/>
          <w:lang w:val="en-US"/>
        </w:rPr>
      </w:pPr>
      <w:r w:rsidRPr="00C150DF">
        <w:rPr>
          <w:rStyle w:val="FootnoteReference"/>
          <w:sz w:val="16"/>
        </w:rPr>
        <w:footnoteRef/>
      </w:r>
      <w:r w:rsidRPr="00C150DF">
        <w:rPr>
          <w:sz w:val="16"/>
        </w:rPr>
        <w:t xml:space="preserve"> NSW Health. Long-acting injectable buprenorphine (LAIB) for opioid dependence treatment: Practice Guide. 2nd ed. Sydney: NSW Ministry of Health; 2024. Section 3.2, Figure 1 available from: </w:t>
      </w:r>
      <w:hyperlink r:id="rId2" w:history="1">
        <w:r w:rsidRPr="00C150DF">
          <w:rPr>
            <w:rStyle w:val="Hyperlink"/>
            <w:sz w:val="16"/>
          </w:rPr>
          <w:t>https://www.health.nsw.gov.au/aod/Publications/laib.pdf</w:t>
        </w:r>
      </w:hyperlink>
    </w:p>
  </w:footnote>
  <w:footnote w:id="4">
    <w:p w14:paraId="3AB1CAE4" w14:textId="194AE838" w:rsidR="00534C5F" w:rsidRPr="00C150DF" w:rsidRDefault="00534C5F">
      <w:pPr>
        <w:pStyle w:val="FootnoteText"/>
        <w:rPr>
          <w:sz w:val="16"/>
          <w:lang w:val="en-US"/>
        </w:rPr>
      </w:pPr>
      <w:r w:rsidRPr="00C150DF">
        <w:rPr>
          <w:rStyle w:val="FootnoteReference"/>
          <w:sz w:val="16"/>
        </w:rPr>
        <w:footnoteRef/>
      </w:r>
      <w:r w:rsidRPr="00C150DF">
        <w:rPr>
          <w:sz w:val="16"/>
        </w:rPr>
        <w:t xml:space="preserve"> NSW Health (2018)  NSW Clinical Guidelines: Treatment of Opioid Dependence, available from: </w:t>
      </w:r>
      <w:hyperlink r:id="rId3" w:history="1">
        <w:r w:rsidRPr="00C150DF">
          <w:rPr>
            <w:rStyle w:val="Hyperlink"/>
            <w:sz w:val="16"/>
          </w:rPr>
          <w:t>https://www.health.nsw.gov.au/aod/Pages/nsw-clinical-guidelines-opioid.aspx</w:t>
        </w:r>
      </w:hyperlink>
    </w:p>
  </w:footnote>
  <w:footnote w:id="5">
    <w:p w14:paraId="5A44FE32" w14:textId="46749333" w:rsidR="00C150DF" w:rsidRPr="00C150DF" w:rsidRDefault="00C150DF" w:rsidP="00C150DF">
      <w:pPr>
        <w:pStyle w:val="FootnoteText"/>
        <w:keepLines/>
        <w:spacing w:before="80" w:after="80"/>
        <w:rPr>
          <w:sz w:val="16"/>
        </w:rPr>
      </w:pPr>
      <w:r w:rsidRPr="00C150DF">
        <w:rPr>
          <w:rStyle w:val="FootnoteReference"/>
          <w:sz w:val="16"/>
        </w:rPr>
        <w:footnoteRef/>
      </w:r>
      <w:r w:rsidRPr="00C150DF">
        <w:rPr>
          <w:sz w:val="16"/>
        </w:rPr>
        <w:t xml:space="preserve"> Jones AK, Ngaimisi E, Gopalakrishnan M, Young MA, Laffont CM. Population Pharmacokinetics of a Monthly Buprenorphine Depot Injection for the Treatment of Opioid Use Disorder: A Combined Analysis of Phase II and Phase III Trials. Clin Pharmacokinet. 2021;60(4):527–540. doi:10.1007/s40262-020-00957-0, </w:t>
      </w:r>
    </w:p>
    <w:p w14:paraId="3261C699" w14:textId="23D8A9EB" w:rsidR="00C150DF" w:rsidRPr="00C150DF" w:rsidRDefault="00C150DF">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89D3E" w14:textId="47B62DCE" w:rsidR="00EC40D5" w:rsidRDefault="00EC40D5" w:rsidP="00EC40D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F596F" w14:textId="05332872" w:rsidR="00E261B3" w:rsidRPr="0051568D" w:rsidRDefault="00F00FC0" w:rsidP="0011701A">
    <w:pPr>
      <w:pStyle w:val="Header"/>
    </w:pPr>
    <w:r>
      <w:t xml:space="preserve">Sublocade® discontinuation: Guidance for health professionals </w:t>
    </w:r>
    <w:r w:rsidR="008C3697">
      <w:ptab w:relativeTo="margin" w:alignment="right" w:leader="none"/>
    </w:r>
    <w:r w:rsidR="008C3697" w:rsidRPr="007E1227">
      <w:rPr>
        <w:b w:val="0"/>
        <w:bCs/>
      </w:rPr>
      <w:fldChar w:fldCharType="begin"/>
    </w:r>
    <w:r w:rsidR="008C3697" w:rsidRPr="007E1227">
      <w:rPr>
        <w:bCs/>
      </w:rPr>
      <w:instrText xml:space="preserve"> PAGE </w:instrText>
    </w:r>
    <w:r w:rsidR="008C3697" w:rsidRPr="007E1227">
      <w:rPr>
        <w:b w:val="0"/>
        <w:bCs/>
      </w:rPr>
      <w:fldChar w:fldCharType="separate"/>
    </w:r>
    <w:r w:rsidR="008C3697" w:rsidRPr="007E1227">
      <w:rPr>
        <w:bCs/>
      </w:rPr>
      <w:t>3</w:t>
    </w:r>
    <w:r w:rsidR="008C3697" w:rsidRPr="007E1227">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2B20BE8"/>
    <w:multiLevelType w:val="hybridMultilevel"/>
    <w:tmpl w:val="06B0DD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4A1477D0"/>
    <w:numStyleLink w:val="ZZNumbersloweralpha"/>
  </w:abstractNum>
  <w:abstractNum w:abstractNumId="14" w15:restartNumberingAfterBreak="0">
    <w:nsid w:val="044F77AF"/>
    <w:multiLevelType w:val="multilevel"/>
    <w:tmpl w:val="6B2E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B8D43DB"/>
    <w:multiLevelType w:val="multilevel"/>
    <w:tmpl w:val="1D06E7FE"/>
    <w:numStyleLink w:val="ZZNumbersdigit"/>
  </w:abstractNum>
  <w:abstractNum w:abstractNumId="16" w15:restartNumberingAfterBreak="0">
    <w:nsid w:val="0BAD2E30"/>
    <w:multiLevelType w:val="multilevel"/>
    <w:tmpl w:val="4A1477D0"/>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1B132FC"/>
    <w:multiLevelType w:val="hybridMultilevel"/>
    <w:tmpl w:val="6F1E4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3286D6B"/>
    <w:multiLevelType w:val="multilevel"/>
    <w:tmpl w:val="EF1A5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42D0B94"/>
    <w:multiLevelType w:val="hybridMultilevel"/>
    <w:tmpl w:val="BD946F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724571D"/>
    <w:multiLevelType w:val="multilevel"/>
    <w:tmpl w:val="71D8E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D457C9A"/>
    <w:multiLevelType w:val="multilevel"/>
    <w:tmpl w:val="EAD0D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4" w15:restartNumberingAfterBreak="0">
    <w:nsid w:val="3E4B764B"/>
    <w:multiLevelType w:val="multilevel"/>
    <w:tmpl w:val="C1882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6C68D4"/>
    <w:multiLevelType w:val="multilevel"/>
    <w:tmpl w:val="1D06E7FE"/>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6" w15:restartNumberingAfterBreak="0">
    <w:nsid w:val="3EC54A41"/>
    <w:multiLevelType w:val="multilevel"/>
    <w:tmpl w:val="46940C74"/>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420339D6"/>
    <w:multiLevelType w:val="multilevel"/>
    <w:tmpl w:val="327AC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CD556CF"/>
    <w:multiLevelType w:val="hybridMultilevel"/>
    <w:tmpl w:val="183AA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ED17B18"/>
    <w:multiLevelType w:val="multilevel"/>
    <w:tmpl w:val="145C7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DC2244"/>
    <w:multiLevelType w:val="multilevel"/>
    <w:tmpl w:val="760AF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41611C2"/>
    <w:multiLevelType w:val="multilevel"/>
    <w:tmpl w:val="96B4DF56"/>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54BA1E5A"/>
    <w:multiLevelType w:val="multilevel"/>
    <w:tmpl w:val="EC2C0F22"/>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4" w15:restartNumberingAfterBreak="0">
    <w:nsid w:val="564029F7"/>
    <w:multiLevelType w:val="multilevel"/>
    <w:tmpl w:val="55EA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C8E72F1"/>
    <w:multiLevelType w:val="multilevel"/>
    <w:tmpl w:val="950E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A25B04"/>
    <w:multiLevelType w:val="hybridMultilevel"/>
    <w:tmpl w:val="F79A64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309259F"/>
    <w:multiLevelType w:val="multilevel"/>
    <w:tmpl w:val="866C5A8E"/>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8" w15:restartNumberingAfterBreak="0">
    <w:nsid w:val="665C33C0"/>
    <w:multiLevelType w:val="hybridMultilevel"/>
    <w:tmpl w:val="0186E1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1" w15:restartNumberingAfterBreak="0">
    <w:nsid w:val="70AF37D7"/>
    <w:multiLevelType w:val="multilevel"/>
    <w:tmpl w:val="ECB0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5265AC"/>
    <w:multiLevelType w:val="multilevel"/>
    <w:tmpl w:val="8CB6B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4955CE"/>
    <w:multiLevelType w:val="hybridMultilevel"/>
    <w:tmpl w:val="5E02F0BC"/>
    <w:lvl w:ilvl="0" w:tplc="95BA8AF4">
      <w:start w:val="1"/>
      <w:numFmt w:val="decimal"/>
      <w:lvlText w:val="%1."/>
      <w:lvlJc w:val="left"/>
      <w:pPr>
        <w:ind w:left="720" w:hanging="360"/>
      </w:pPr>
      <w:rPr>
        <w:rFonts w:eastAsia="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4DA266F"/>
    <w:multiLevelType w:val="hybridMultilevel"/>
    <w:tmpl w:val="6E120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58951F1"/>
    <w:multiLevelType w:val="hybridMultilevel"/>
    <w:tmpl w:val="BD8E7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C5674B"/>
    <w:multiLevelType w:val="hybridMultilevel"/>
    <w:tmpl w:val="EDFC98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9" w15:restartNumberingAfterBreak="0">
    <w:nsid w:val="7E50299E"/>
    <w:multiLevelType w:val="multilevel"/>
    <w:tmpl w:val="BFC8D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33873347">
    <w:abstractNumId w:val="10"/>
  </w:num>
  <w:num w:numId="2" w16cid:durableId="1600406333">
    <w:abstractNumId w:val="25"/>
  </w:num>
  <w:num w:numId="3" w16cid:durableId="14485023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886538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37769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731040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35542344">
    <w:abstractNumId w:val="33"/>
  </w:num>
  <w:num w:numId="8" w16cid:durableId="1883395518">
    <w:abstractNumId w:val="23"/>
  </w:num>
  <w:num w:numId="9" w16cid:durableId="60949389">
    <w:abstractNumId w:val="32"/>
  </w:num>
  <w:num w:numId="10" w16cid:durableId="95946148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4233716">
    <w:abstractNumId w:val="37"/>
  </w:num>
  <w:num w:numId="12" w16cid:durableId="2058736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41140329">
    <w:abstractNumId w:val="26"/>
  </w:num>
  <w:num w:numId="14" w16cid:durableId="18605853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1179907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862713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430089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2472891">
    <w:abstractNumId w:val="40"/>
  </w:num>
  <w:num w:numId="19" w16cid:durableId="160013525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1852577">
    <w:abstractNumId w:val="16"/>
  </w:num>
  <w:num w:numId="21" w16cid:durableId="723531487">
    <w:abstractNumId w:val="13"/>
  </w:num>
  <w:num w:numId="22" w16cid:durableId="6372286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69413967">
    <w:abstractNumId w:val="17"/>
  </w:num>
  <w:num w:numId="24" w16cid:durableId="724717036">
    <w:abstractNumId w:val="46"/>
  </w:num>
  <w:num w:numId="25" w16cid:durableId="511725646">
    <w:abstractNumId w:val="39"/>
  </w:num>
  <w:num w:numId="26" w16cid:durableId="1685666112">
    <w:abstractNumId w:val="28"/>
  </w:num>
  <w:num w:numId="27" w16cid:durableId="472791778">
    <w:abstractNumId w:val="12"/>
  </w:num>
  <w:num w:numId="28" w16cid:durableId="1356467034">
    <w:abstractNumId w:val="48"/>
  </w:num>
  <w:num w:numId="29" w16cid:durableId="2043747755">
    <w:abstractNumId w:val="9"/>
  </w:num>
  <w:num w:numId="30" w16cid:durableId="1292785638">
    <w:abstractNumId w:val="7"/>
  </w:num>
  <w:num w:numId="31" w16cid:durableId="1260482966">
    <w:abstractNumId w:val="6"/>
  </w:num>
  <w:num w:numId="32" w16cid:durableId="235096332">
    <w:abstractNumId w:val="5"/>
  </w:num>
  <w:num w:numId="33" w16cid:durableId="346952411">
    <w:abstractNumId w:val="4"/>
  </w:num>
  <w:num w:numId="34" w16cid:durableId="213273998">
    <w:abstractNumId w:val="8"/>
  </w:num>
  <w:num w:numId="35" w16cid:durableId="700401568">
    <w:abstractNumId w:val="3"/>
  </w:num>
  <w:num w:numId="36" w16cid:durableId="1080063287">
    <w:abstractNumId w:val="2"/>
  </w:num>
  <w:num w:numId="37" w16cid:durableId="720524125">
    <w:abstractNumId w:val="1"/>
  </w:num>
  <w:num w:numId="38" w16cid:durableId="173420806">
    <w:abstractNumId w:val="0"/>
  </w:num>
  <w:num w:numId="39" w16cid:durableId="11513628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96968352">
    <w:abstractNumId w:val="27"/>
  </w:num>
  <w:num w:numId="41" w16cid:durableId="1726375315">
    <w:abstractNumId w:val="22"/>
  </w:num>
  <w:num w:numId="42" w16cid:durableId="791166694">
    <w:abstractNumId w:val="35"/>
  </w:num>
  <w:num w:numId="43" w16cid:durableId="831021886">
    <w:abstractNumId w:val="24"/>
  </w:num>
  <w:num w:numId="44" w16cid:durableId="109396795">
    <w:abstractNumId w:val="41"/>
  </w:num>
  <w:num w:numId="45" w16cid:durableId="147941211">
    <w:abstractNumId w:val="42"/>
  </w:num>
  <w:num w:numId="46" w16cid:durableId="1028679984">
    <w:abstractNumId w:val="30"/>
  </w:num>
  <w:num w:numId="47" w16cid:durableId="1163348682">
    <w:abstractNumId w:val="36"/>
  </w:num>
  <w:num w:numId="48" w16cid:durableId="938639073">
    <w:abstractNumId w:val="29"/>
  </w:num>
  <w:num w:numId="49" w16cid:durableId="1583834598">
    <w:abstractNumId w:val="45"/>
  </w:num>
  <w:num w:numId="50" w16cid:durableId="1053699565">
    <w:abstractNumId w:val="18"/>
  </w:num>
  <w:num w:numId="51" w16cid:durableId="478112353">
    <w:abstractNumId w:val="38"/>
  </w:num>
  <w:num w:numId="52" w16cid:durableId="480117737">
    <w:abstractNumId w:val="20"/>
  </w:num>
  <w:num w:numId="53" w16cid:durableId="502666714">
    <w:abstractNumId w:val="44"/>
  </w:num>
  <w:num w:numId="54" w16cid:durableId="159850884">
    <w:abstractNumId w:val="11"/>
  </w:num>
  <w:num w:numId="55" w16cid:durableId="1347171474">
    <w:abstractNumId w:val="14"/>
  </w:num>
  <w:num w:numId="56" w16cid:durableId="1215846634">
    <w:abstractNumId w:val="49"/>
  </w:num>
  <w:num w:numId="57" w16cid:durableId="1819496762">
    <w:abstractNumId w:val="31"/>
  </w:num>
  <w:num w:numId="58" w16cid:durableId="1418936881">
    <w:abstractNumId w:val="34"/>
  </w:num>
  <w:num w:numId="59" w16cid:durableId="1026784515">
    <w:abstractNumId w:val="19"/>
  </w:num>
  <w:num w:numId="60" w16cid:durableId="453794832">
    <w:abstractNumId w:val="21"/>
  </w:num>
  <w:num w:numId="61" w16cid:durableId="1692489922">
    <w:abstractNumId w:val="43"/>
  </w:num>
  <w:num w:numId="62" w16cid:durableId="1588154339">
    <w:abstractNumId w:val="4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0C3"/>
    <w:rsid w:val="00000719"/>
    <w:rsid w:val="00001262"/>
    <w:rsid w:val="00003403"/>
    <w:rsid w:val="00003460"/>
    <w:rsid w:val="0000466E"/>
    <w:rsid w:val="00005347"/>
    <w:rsid w:val="000072B6"/>
    <w:rsid w:val="0001021B"/>
    <w:rsid w:val="000106BC"/>
    <w:rsid w:val="00011D89"/>
    <w:rsid w:val="000154FD"/>
    <w:rsid w:val="00016FBF"/>
    <w:rsid w:val="00017BD3"/>
    <w:rsid w:val="00022271"/>
    <w:rsid w:val="00023489"/>
    <w:rsid w:val="000235E8"/>
    <w:rsid w:val="00024C47"/>
    <w:rsid w:val="00024D89"/>
    <w:rsid w:val="000250B6"/>
    <w:rsid w:val="00025FF6"/>
    <w:rsid w:val="00027091"/>
    <w:rsid w:val="00033D81"/>
    <w:rsid w:val="00037366"/>
    <w:rsid w:val="00041853"/>
    <w:rsid w:val="00041BF0"/>
    <w:rsid w:val="00042A4D"/>
    <w:rsid w:val="00042C8A"/>
    <w:rsid w:val="00044F53"/>
    <w:rsid w:val="0004536B"/>
    <w:rsid w:val="00046B68"/>
    <w:rsid w:val="00047AD6"/>
    <w:rsid w:val="00047CD0"/>
    <w:rsid w:val="000527DD"/>
    <w:rsid w:val="0005463F"/>
    <w:rsid w:val="00054FF9"/>
    <w:rsid w:val="000578B2"/>
    <w:rsid w:val="00060959"/>
    <w:rsid w:val="00060C8F"/>
    <w:rsid w:val="0006298A"/>
    <w:rsid w:val="000663CD"/>
    <w:rsid w:val="000705A8"/>
    <w:rsid w:val="00072059"/>
    <w:rsid w:val="000720ED"/>
    <w:rsid w:val="000733FE"/>
    <w:rsid w:val="00074219"/>
    <w:rsid w:val="00074ED5"/>
    <w:rsid w:val="000820CA"/>
    <w:rsid w:val="000835C6"/>
    <w:rsid w:val="00084883"/>
    <w:rsid w:val="0008508E"/>
    <w:rsid w:val="00087951"/>
    <w:rsid w:val="000879FA"/>
    <w:rsid w:val="00087DCE"/>
    <w:rsid w:val="00090766"/>
    <w:rsid w:val="0009113B"/>
    <w:rsid w:val="000918CD"/>
    <w:rsid w:val="00093402"/>
    <w:rsid w:val="00094DA3"/>
    <w:rsid w:val="0009504B"/>
    <w:rsid w:val="00096CD1"/>
    <w:rsid w:val="000A012C"/>
    <w:rsid w:val="000A078A"/>
    <w:rsid w:val="000A0EB9"/>
    <w:rsid w:val="000A186C"/>
    <w:rsid w:val="000A1EA4"/>
    <w:rsid w:val="000A2476"/>
    <w:rsid w:val="000A367C"/>
    <w:rsid w:val="000A3D22"/>
    <w:rsid w:val="000A50C4"/>
    <w:rsid w:val="000A641A"/>
    <w:rsid w:val="000A7E57"/>
    <w:rsid w:val="000B2B38"/>
    <w:rsid w:val="000B33F2"/>
    <w:rsid w:val="000B3DE2"/>
    <w:rsid w:val="000B3EDB"/>
    <w:rsid w:val="000B543D"/>
    <w:rsid w:val="000B55F9"/>
    <w:rsid w:val="000B5BF7"/>
    <w:rsid w:val="000B6BC8"/>
    <w:rsid w:val="000C0303"/>
    <w:rsid w:val="000C0632"/>
    <w:rsid w:val="000C3A4B"/>
    <w:rsid w:val="000C42EA"/>
    <w:rsid w:val="000C4546"/>
    <w:rsid w:val="000C6B91"/>
    <w:rsid w:val="000D0DF4"/>
    <w:rsid w:val="000D1242"/>
    <w:rsid w:val="000D1CFA"/>
    <w:rsid w:val="000D398D"/>
    <w:rsid w:val="000E0970"/>
    <w:rsid w:val="000E0DA6"/>
    <w:rsid w:val="000E1910"/>
    <w:rsid w:val="000E261D"/>
    <w:rsid w:val="000E3CC7"/>
    <w:rsid w:val="000E3FFA"/>
    <w:rsid w:val="000E511D"/>
    <w:rsid w:val="000E6BD4"/>
    <w:rsid w:val="000E6D6D"/>
    <w:rsid w:val="000F1F1E"/>
    <w:rsid w:val="000F2259"/>
    <w:rsid w:val="000F29AC"/>
    <w:rsid w:val="000F2DDA"/>
    <w:rsid w:val="000F5213"/>
    <w:rsid w:val="00101001"/>
    <w:rsid w:val="0010232F"/>
    <w:rsid w:val="00103276"/>
    <w:rsid w:val="0010392D"/>
    <w:rsid w:val="0010447F"/>
    <w:rsid w:val="00104FE3"/>
    <w:rsid w:val="00106808"/>
    <w:rsid w:val="0010714F"/>
    <w:rsid w:val="001120C5"/>
    <w:rsid w:val="00115125"/>
    <w:rsid w:val="0011701A"/>
    <w:rsid w:val="00117E17"/>
    <w:rsid w:val="00120BD3"/>
    <w:rsid w:val="00122FEA"/>
    <w:rsid w:val="001232BD"/>
    <w:rsid w:val="00123BD2"/>
    <w:rsid w:val="00124E1C"/>
    <w:rsid w:val="00124ED5"/>
    <w:rsid w:val="001276FA"/>
    <w:rsid w:val="00130C18"/>
    <w:rsid w:val="00133D85"/>
    <w:rsid w:val="001343C8"/>
    <w:rsid w:val="00136381"/>
    <w:rsid w:val="0013647C"/>
    <w:rsid w:val="00140445"/>
    <w:rsid w:val="00140E80"/>
    <w:rsid w:val="00141AEB"/>
    <w:rsid w:val="001424D1"/>
    <w:rsid w:val="0014255B"/>
    <w:rsid w:val="001447B3"/>
    <w:rsid w:val="00144CDD"/>
    <w:rsid w:val="00152073"/>
    <w:rsid w:val="0015317E"/>
    <w:rsid w:val="00154E2D"/>
    <w:rsid w:val="00155A43"/>
    <w:rsid w:val="00156598"/>
    <w:rsid w:val="00161939"/>
    <w:rsid w:val="00161AA0"/>
    <w:rsid w:val="00161D2E"/>
    <w:rsid w:val="00161F3E"/>
    <w:rsid w:val="00162093"/>
    <w:rsid w:val="00162CA9"/>
    <w:rsid w:val="00163E41"/>
    <w:rsid w:val="00165459"/>
    <w:rsid w:val="00165A57"/>
    <w:rsid w:val="001712C2"/>
    <w:rsid w:val="00172BAF"/>
    <w:rsid w:val="00172E1F"/>
    <w:rsid w:val="00174419"/>
    <w:rsid w:val="001771DD"/>
    <w:rsid w:val="00177995"/>
    <w:rsid w:val="00177A8C"/>
    <w:rsid w:val="001820DA"/>
    <w:rsid w:val="00186B33"/>
    <w:rsid w:val="00191245"/>
    <w:rsid w:val="00192E09"/>
    <w:rsid w:val="00192F9D"/>
    <w:rsid w:val="00193C1A"/>
    <w:rsid w:val="00196EB8"/>
    <w:rsid w:val="00196EFB"/>
    <w:rsid w:val="0019772C"/>
    <w:rsid w:val="001979FF"/>
    <w:rsid w:val="00197B17"/>
    <w:rsid w:val="001A1950"/>
    <w:rsid w:val="001A1C54"/>
    <w:rsid w:val="001A3ACE"/>
    <w:rsid w:val="001A5FC7"/>
    <w:rsid w:val="001B058F"/>
    <w:rsid w:val="001B0E3E"/>
    <w:rsid w:val="001B0F50"/>
    <w:rsid w:val="001B27F3"/>
    <w:rsid w:val="001B3A92"/>
    <w:rsid w:val="001B55A6"/>
    <w:rsid w:val="001B738B"/>
    <w:rsid w:val="001C09DB"/>
    <w:rsid w:val="001C277E"/>
    <w:rsid w:val="001C2A72"/>
    <w:rsid w:val="001C31B7"/>
    <w:rsid w:val="001C5544"/>
    <w:rsid w:val="001D0B75"/>
    <w:rsid w:val="001D0FAD"/>
    <w:rsid w:val="001D3442"/>
    <w:rsid w:val="001D39A5"/>
    <w:rsid w:val="001D3C09"/>
    <w:rsid w:val="001D44E8"/>
    <w:rsid w:val="001D5D56"/>
    <w:rsid w:val="001D60EC"/>
    <w:rsid w:val="001D6F59"/>
    <w:rsid w:val="001E077A"/>
    <w:rsid w:val="001E0C5D"/>
    <w:rsid w:val="001E117D"/>
    <w:rsid w:val="001E2A36"/>
    <w:rsid w:val="001E37DD"/>
    <w:rsid w:val="001E44DF"/>
    <w:rsid w:val="001E5058"/>
    <w:rsid w:val="001E68A5"/>
    <w:rsid w:val="001E6BB0"/>
    <w:rsid w:val="001E7282"/>
    <w:rsid w:val="001F1F9C"/>
    <w:rsid w:val="001F3826"/>
    <w:rsid w:val="001F3E01"/>
    <w:rsid w:val="001F6E0C"/>
    <w:rsid w:val="001F6E46"/>
    <w:rsid w:val="001F7186"/>
    <w:rsid w:val="001F79E5"/>
    <w:rsid w:val="001F7A5C"/>
    <w:rsid w:val="001F7C91"/>
    <w:rsid w:val="001F7D34"/>
    <w:rsid w:val="00200176"/>
    <w:rsid w:val="002033B7"/>
    <w:rsid w:val="00203507"/>
    <w:rsid w:val="00206463"/>
    <w:rsid w:val="00206F2F"/>
    <w:rsid w:val="00207A4B"/>
    <w:rsid w:val="0021051C"/>
    <w:rsid w:val="0021053D"/>
    <w:rsid w:val="00210A92"/>
    <w:rsid w:val="0021366F"/>
    <w:rsid w:val="00216C03"/>
    <w:rsid w:val="00220C04"/>
    <w:rsid w:val="0022278D"/>
    <w:rsid w:val="00222CCD"/>
    <w:rsid w:val="002230B7"/>
    <w:rsid w:val="00223138"/>
    <w:rsid w:val="002262E1"/>
    <w:rsid w:val="0022701F"/>
    <w:rsid w:val="00227C68"/>
    <w:rsid w:val="002319CD"/>
    <w:rsid w:val="002333F5"/>
    <w:rsid w:val="00233724"/>
    <w:rsid w:val="002356FA"/>
    <w:rsid w:val="002365B4"/>
    <w:rsid w:val="00236C40"/>
    <w:rsid w:val="002432E1"/>
    <w:rsid w:val="00246207"/>
    <w:rsid w:val="00246C5E"/>
    <w:rsid w:val="00250960"/>
    <w:rsid w:val="00251343"/>
    <w:rsid w:val="002536A4"/>
    <w:rsid w:val="00254F58"/>
    <w:rsid w:val="00256B15"/>
    <w:rsid w:val="002620BC"/>
    <w:rsid w:val="00262802"/>
    <w:rsid w:val="00263A90"/>
    <w:rsid w:val="00263C1F"/>
    <w:rsid w:val="0026408B"/>
    <w:rsid w:val="002646E1"/>
    <w:rsid w:val="002669A8"/>
    <w:rsid w:val="00267C3E"/>
    <w:rsid w:val="00267DD4"/>
    <w:rsid w:val="002709BB"/>
    <w:rsid w:val="0027113F"/>
    <w:rsid w:val="00271C06"/>
    <w:rsid w:val="00271EE5"/>
    <w:rsid w:val="00273BAC"/>
    <w:rsid w:val="0027497B"/>
    <w:rsid w:val="002763B3"/>
    <w:rsid w:val="002802E3"/>
    <w:rsid w:val="0028213D"/>
    <w:rsid w:val="002835DB"/>
    <w:rsid w:val="0028451D"/>
    <w:rsid w:val="002862F1"/>
    <w:rsid w:val="002879F4"/>
    <w:rsid w:val="00290D55"/>
    <w:rsid w:val="00291373"/>
    <w:rsid w:val="00294723"/>
    <w:rsid w:val="00294A7D"/>
    <w:rsid w:val="0029529E"/>
    <w:rsid w:val="0029597D"/>
    <w:rsid w:val="002962C3"/>
    <w:rsid w:val="0029752B"/>
    <w:rsid w:val="002A0A9C"/>
    <w:rsid w:val="002A1D3F"/>
    <w:rsid w:val="002A22F8"/>
    <w:rsid w:val="002A3DED"/>
    <w:rsid w:val="002A483C"/>
    <w:rsid w:val="002A5582"/>
    <w:rsid w:val="002A59A1"/>
    <w:rsid w:val="002B0B2E"/>
    <w:rsid w:val="002B0C7C"/>
    <w:rsid w:val="002B1729"/>
    <w:rsid w:val="002B36C7"/>
    <w:rsid w:val="002B378B"/>
    <w:rsid w:val="002B4DD4"/>
    <w:rsid w:val="002B5277"/>
    <w:rsid w:val="002B5375"/>
    <w:rsid w:val="002B77C1"/>
    <w:rsid w:val="002C0A38"/>
    <w:rsid w:val="002C0ED7"/>
    <w:rsid w:val="002C2728"/>
    <w:rsid w:val="002C3781"/>
    <w:rsid w:val="002C56D7"/>
    <w:rsid w:val="002C5ABE"/>
    <w:rsid w:val="002C6E4A"/>
    <w:rsid w:val="002C7278"/>
    <w:rsid w:val="002D1E0D"/>
    <w:rsid w:val="002D1FDF"/>
    <w:rsid w:val="002D31A6"/>
    <w:rsid w:val="002D4CE5"/>
    <w:rsid w:val="002D5006"/>
    <w:rsid w:val="002D522C"/>
    <w:rsid w:val="002D618C"/>
    <w:rsid w:val="002D6F38"/>
    <w:rsid w:val="002E01D0"/>
    <w:rsid w:val="002E042A"/>
    <w:rsid w:val="002E161D"/>
    <w:rsid w:val="002E3100"/>
    <w:rsid w:val="002E3D86"/>
    <w:rsid w:val="002E4566"/>
    <w:rsid w:val="002E5B29"/>
    <w:rsid w:val="002E6C95"/>
    <w:rsid w:val="002E7C36"/>
    <w:rsid w:val="002E7F87"/>
    <w:rsid w:val="002F0107"/>
    <w:rsid w:val="002F1194"/>
    <w:rsid w:val="002F2D45"/>
    <w:rsid w:val="002F3D32"/>
    <w:rsid w:val="002F4251"/>
    <w:rsid w:val="002F5F31"/>
    <w:rsid w:val="002F5F46"/>
    <w:rsid w:val="002F6E05"/>
    <w:rsid w:val="00302216"/>
    <w:rsid w:val="00303E53"/>
    <w:rsid w:val="00305CC1"/>
    <w:rsid w:val="00306E5F"/>
    <w:rsid w:val="00307E14"/>
    <w:rsid w:val="0031142C"/>
    <w:rsid w:val="00314054"/>
    <w:rsid w:val="00314CA4"/>
    <w:rsid w:val="00315BD8"/>
    <w:rsid w:val="00316F27"/>
    <w:rsid w:val="0032045C"/>
    <w:rsid w:val="003204D6"/>
    <w:rsid w:val="003214F1"/>
    <w:rsid w:val="00322C12"/>
    <w:rsid w:val="00322E4B"/>
    <w:rsid w:val="00327870"/>
    <w:rsid w:val="00330F08"/>
    <w:rsid w:val="003311C9"/>
    <w:rsid w:val="00331575"/>
    <w:rsid w:val="0033259D"/>
    <w:rsid w:val="003333D2"/>
    <w:rsid w:val="003337DF"/>
    <w:rsid w:val="00335AA7"/>
    <w:rsid w:val="003406C6"/>
    <w:rsid w:val="003418CC"/>
    <w:rsid w:val="00341EE9"/>
    <w:rsid w:val="00345842"/>
    <w:rsid w:val="003459BD"/>
    <w:rsid w:val="00347B6B"/>
    <w:rsid w:val="00350D38"/>
    <w:rsid w:val="00351B36"/>
    <w:rsid w:val="00356314"/>
    <w:rsid w:val="00357B4E"/>
    <w:rsid w:val="00362C15"/>
    <w:rsid w:val="00365435"/>
    <w:rsid w:val="003714D4"/>
    <w:rsid w:val="003716FD"/>
    <w:rsid w:val="0037204B"/>
    <w:rsid w:val="00373890"/>
    <w:rsid w:val="00374117"/>
    <w:rsid w:val="003744CF"/>
    <w:rsid w:val="00374717"/>
    <w:rsid w:val="0037551F"/>
    <w:rsid w:val="0037676C"/>
    <w:rsid w:val="00377F30"/>
    <w:rsid w:val="00381043"/>
    <w:rsid w:val="003829E5"/>
    <w:rsid w:val="00386016"/>
    <w:rsid w:val="00386109"/>
    <w:rsid w:val="00386944"/>
    <w:rsid w:val="00387225"/>
    <w:rsid w:val="00387911"/>
    <w:rsid w:val="003901AA"/>
    <w:rsid w:val="003906D1"/>
    <w:rsid w:val="0039221E"/>
    <w:rsid w:val="00393AD1"/>
    <w:rsid w:val="003956CC"/>
    <w:rsid w:val="00395C9A"/>
    <w:rsid w:val="003A0853"/>
    <w:rsid w:val="003A1AE2"/>
    <w:rsid w:val="003A6152"/>
    <w:rsid w:val="003A6B67"/>
    <w:rsid w:val="003B04FD"/>
    <w:rsid w:val="003B13B6"/>
    <w:rsid w:val="003B15E6"/>
    <w:rsid w:val="003B408A"/>
    <w:rsid w:val="003B5733"/>
    <w:rsid w:val="003B7E0F"/>
    <w:rsid w:val="003C08A2"/>
    <w:rsid w:val="003C2045"/>
    <w:rsid w:val="003C43A1"/>
    <w:rsid w:val="003C49AC"/>
    <w:rsid w:val="003C4FC0"/>
    <w:rsid w:val="003C55F4"/>
    <w:rsid w:val="003C7897"/>
    <w:rsid w:val="003C7A3F"/>
    <w:rsid w:val="003D16F6"/>
    <w:rsid w:val="003D2766"/>
    <w:rsid w:val="003D2A74"/>
    <w:rsid w:val="003D3E8F"/>
    <w:rsid w:val="003D6475"/>
    <w:rsid w:val="003E375C"/>
    <w:rsid w:val="003E4086"/>
    <w:rsid w:val="003E4C81"/>
    <w:rsid w:val="003E639E"/>
    <w:rsid w:val="003E71E5"/>
    <w:rsid w:val="003F0445"/>
    <w:rsid w:val="003F0CF0"/>
    <w:rsid w:val="003F14B1"/>
    <w:rsid w:val="003F2B20"/>
    <w:rsid w:val="003F30C3"/>
    <w:rsid w:val="003F3289"/>
    <w:rsid w:val="003F5CB9"/>
    <w:rsid w:val="004013C7"/>
    <w:rsid w:val="00401FCF"/>
    <w:rsid w:val="0040248F"/>
    <w:rsid w:val="00404DC6"/>
    <w:rsid w:val="00405045"/>
    <w:rsid w:val="00406285"/>
    <w:rsid w:val="00406F9A"/>
    <w:rsid w:val="004112C6"/>
    <w:rsid w:val="004116B8"/>
    <w:rsid w:val="004148F9"/>
    <w:rsid w:val="00414D4A"/>
    <w:rsid w:val="00416043"/>
    <w:rsid w:val="0042084E"/>
    <w:rsid w:val="00421EEF"/>
    <w:rsid w:val="00424072"/>
    <w:rsid w:val="00424D65"/>
    <w:rsid w:val="00425B8E"/>
    <w:rsid w:val="0043293F"/>
    <w:rsid w:val="00433AD3"/>
    <w:rsid w:val="00436C2E"/>
    <w:rsid w:val="00437DA5"/>
    <w:rsid w:val="00442456"/>
    <w:rsid w:val="00442C6C"/>
    <w:rsid w:val="00443CBE"/>
    <w:rsid w:val="00443E8A"/>
    <w:rsid w:val="00443F8D"/>
    <w:rsid w:val="004441BC"/>
    <w:rsid w:val="004468B4"/>
    <w:rsid w:val="0044722D"/>
    <w:rsid w:val="0045176E"/>
    <w:rsid w:val="00451DBC"/>
    <w:rsid w:val="00451DC2"/>
    <w:rsid w:val="00452243"/>
    <w:rsid w:val="0045230A"/>
    <w:rsid w:val="00454AD0"/>
    <w:rsid w:val="004567A7"/>
    <w:rsid w:val="00456861"/>
    <w:rsid w:val="00457128"/>
    <w:rsid w:val="00457337"/>
    <w:rsid w:val="00462E3D"/>
    <w:rsid w:val="00466689"/>
    <w:rsid w:val="00466E79"/>
    <w:rsid w:val="00467B72"/>
    <w:rsid w:val="00470D7D"/>
    <w:rsid w:val="0047372D"/>
    <w:rsid w:val="00473BA3"/>
    <w:rsid w:val="004743DD"/>
    <w:rsid w:val="00474CEA"/>
    <w:rsid w:val="00480D2D"/>
    <w:rsid w:val="00481F45"/>
    <w:rsid w:val="00482067"/>
    <w:rsid w:val="00483968"/>
    <w:rsid w:val="00484CAD"/>
    <w:rsid w:val="00484F86"/>
    <w:rsid w:val="00490746"/>
    <w:rsid w:val="00490852"/>
    <w:rsid w:val="00491C9C"/>
    <w:rsid w:val="00492F30"/>
    <w:rsid w:val="004946F4"/>
    <w:rsid w:val="0049487E"/>
    <w:rsid w:val="00494BC0"/>
    <w:rsid w:val="004A160D"/>
    <w:rsid w:val="004A2401"/>
    <w:rsid w:val="004A3027"/>
    <w:rsid w:val="004A3E81"/>
    <w:rsid w:val="004A4195"/>
    <w:rsid w:val="004A4C3F"/>
    <w:rsid w:val="004A5C62"/>
    <w:rsid w:val="004A5CE5"/>
    <w:rsid w:val="004A707D"/>
    <w:rsid w:val="004C1FBB"/>
    <w:rsid w:val="004C255F"/>
    <w:rsid w:val="004C3E02"/>
    <w:rsid w:val="004C4832"/>
    <w:rsid w:val="004C5541"/>
    <w:rsid w:val="004C56DD"/>
    <w:rsid w:val="004C6EEE"/>
    <w:rsid w:val="004C702B"/>
    <w:rsid w:val="004C7ABD"/>
    <w:rsid w:val="004D0033"/>
    <w:rsid w:val="004D016B"/>
    <w:rsid w:val="004D05A6"/>
    <w:rsid w:val="004D1B22"/>
    <w:rsid w:val="004D23CC"/>
    <w:rsid w:val="004D36F2"/>
    <w:rsid w:val="004D4F67"/>
    <w:rsid w:val="004E0718"/>
    <w:rsid w:val="004E1106"/>
    <w:rsid w:val="004E138F"/>
    <w:rsid w:val="004E4649"/>
    <w:rsid w:val="004E5C2B"/>
    <w:rsid w:val="004F00DD"/>
    <w:rsid w:val="004F2133"/>
    <w:rsid w:val="004F369F"/>
    <w:rsid w:val="004F5398"/>
    <w:rsid w:val="004F55F1"/>
    <w:rsid w:val="004F6739"/>
    <w:rsid w:val="004F6936"/>
    <w:rsid w:val="00503DC6"/>
    <w:rsid w:val="00504970"/>
    <w:rsid w:val="00506832"/>
    <w:rsid w:val="00506F5D"/>
    <w:rsid w:val="00507F7E"/>
    <w:rsid w:val="00510C37"/>
    <w:rsid w:val="005119A3"/>
    <w:rsid w:val="00511B4E"/>
    <w:rsid w:val="005126D0"/>
    <w:rsid w:val="00513784"/>
    <w:rsid w:val="0051568D"/>
    <w:rsid w:val="00523242"/>
    <w:rsid w:val="00525BD7"/>
    <w:rsid w:val="00526AC7"/>
    <w:rsid w:val="00526C15"/>
    <w:rsid w:val="00527405"/>
    <w:rsid w:val="00527DA0"/>
    <w:rsid w:val="0053055F"/>
    <w:rsid w:val="00530D05"/>
    <w:rsid w:val="00530DAC"/>
    <w:rsid w:val="00534C5F"/>
    <w:rsid w:val="00536395"/>
    <w:rsid w:val="00536499"/>
    <w:rsid w:val="00536E82"/>
    <w:rsid w:val="00541E9C"/>
    <w:rsid w:val="00542678"/>
    <w:rsid w:val="00543903"/>
    <w:rsid w:val="00543F11"/>
    <w:rsid w:val="0054461E"/>
    <w:rsid w:val="00546305"/>
    <w:rsid w:val="0054780F"/>
    <w:rsid w:val="00547A95"/>
    <w:rsid w:val="0055119B"/>
    <w:rsid w:val="00553B1E"/>
    <w:rsid w:val="005548B5"/>
    <w:rsid w:val="00555EE1"/>
    <w:rsid w:val="00556116"/>
    <w:rsid w:val="00561195"/>
    <w:rsid w:val="00564EF4"/>
    <w:rsid w:val="00565497"/>
    <w:rsid w:val="00566D7A"/>
    <w:rsid w:val="00567303"/>
    <w:rsid w:val="00572031"/>
    <w:rsid w:val="00572282"/>
    <w:rsid w:val="00573CE3"/>
    <w:rsid w:val="005753B3"/>
    <w:rsid w:val="00576E84"/>
    <w:rsid w:val="00580394"/>
    <w:rsid w:val="005809CD"/>
    <w:rsid w:val="00580D41"/>
    <w:rsid w:val="00582B8C"/>
    <w:rsid w:val="00585189"/>
    <w:rsid w:val="00586336"/>
    <w:rsid w:val="0058757E"/>
    <w:rsid w:val="00587CEA"/>
    <w:rsid w:val="00590E0E"/>
    <w:rsid w:val="00593E2B"/>
    <w:rsid w:val="0059580E"/>
    <w:rsid w:val="00596A4B"/>
    <w:rsid w:val="00597507"/>
    <w:rsid w:val="005A06E5"/>
    <w:rsid w:val="005A41ED"/>
    <w:rsid w:val="005A479D"/>
    <w:rsid w:val="005B0620"/>
    <w:rsid w:val="005B1C6D"/>
    <w:rsid w:val="005B21B6"/>
    <w:rsid w:val="005B33AD"/>
    <w:rsid w:val="005B3A08"/>
    <w:rsid w:val="005B464D"/>
    <w:rsid w:val="005B66CA"/>
    <w:rsid w:val="005B7A63"/>
    <w:rsid w:val="005C0955"/>
    <w:rsid w:val="005C49DA"/>
    <w:rsid w:val="005C50F3"/>
    <w:rsid w:val="005C54B5"/>
    <w:rsid w:val="005C5D80"/>
    <w:rsid w:val="005C5D91"/>
    <w:rsid w:val="005D07B8"/>
    <w:rsid w:val="005D6597"/>
    <w:rsid w:val="005D699E"/>
    <w:rsid w:val="005E14E7"/>
    <w:rsid w:val="005E26A3"/>
    <w:rsid w:val="005E2ECB"/>
    <w:rsid w:val="005E3F02"/>
    <w:rsid w:val="005E447E"/>
    <w:rsid w:val="005E4FD1"/>
    <w:rsid w:val="005E64C0"/>
    <w:rsid w:val="005E7D0D"/>
    <w:rsid w:val="005F00F9"/>
    <w:rsid w:val="005F0775"/>
    <w:rsid w:val="005F0CF5"/>
    <w:rsid w:val="005F21EB"/>
    <w:rsid w:val="005F5081"/>
    <w:rsid w:val="006054C5"/>
    <w:rsid w:val="006057CC"/>
    <w:rsid w:val="00605908"/>
    <w:rsid w:val="006060AE"/>
    <w:rsid w:val="00607880"/>
    <w:rsid w:val="00610D7C"/>
    <w:rsid w:val="00613414"/>
    <w:rsid w:val="00613E20"/>
    <w:rsid w:val="00614445"/>
    <w:rsid w:val="00615FF3"/>
    <w:rsid w:val="006169B2"/>
    <w:rsid w:val="00620154"/>
    <w:rsid w:val="0062408D"/>
    <w:rsid w:val="006240CC"/>
    <w:rsid w:val="00624940"/>
    <w:rsid w:val="006254F8"/>
    <w:rsid w:val="00627DA7"/>
    <w:rsid w:val="00630DA4"/>
    <w:rsid w:val="00632597"/>
    <w:rsid w:val="006358B4"/>
    <w:rsid w:val="006408F6"/>
    <w:rsid w:val="006419AA"/>
    <w:rsid w:val="00644B1F"/>
    <w:rsid w:val="00644B7E"/>
    <w:rsid w:val="006454E6"/>
    <w:rsid w:val="00646235"/>
    <w:rsid w:val="00646A68"/>
    <w:rsid w:val="00646AB1"/>
    <w:rsid w:val="006505BD"/>
    <w:rsid w:val="006508EA"/>
    <w:rsid w:val="0065092E"/>
    <w:rsid w:val="00650A2B"/>
    <w:rsid w:val="00651AC0"/>
    <w:rsid w:val="00651B41"/>
    <w:rsid w:val="00654BE3"/>
    <w:rsid w:val="006557A7"/>
    <w:rsid w:val="00655A59"/>
    <w:rsid w:val="00656290"/>
    <w:rsid w:val="00660168"/>
    <w:rsid w:val="006608D8"/>
    <w:rsid w:val="006621D7"/>
    <w:rsid w:val="0066302A"/>
    <w:rsid w:val="006649D6"/>
    <w:rsid w:val="006652EB"/>
    <w:rsid w:val="00666D3D"/>
    <w:rsid w:val="00667770"/>
    <w:rsid w:val="00670597"/>
    <w:rsid w:val="006706D0"/>
    <w:rsid w:val="00674928"/>
    <w:rsid w:val="00676714"/>
    <w:rsid w:val="00677574"/>
    <w:rsid w:val="00677B85"/>
    <w:rsid w:val="00681110"/>
    <w:rsid w:val="0068454C"/>
    <w:rsid w:val="006871DE"/>
    <w:rsid w:val="00691B62"/>
    <w:rsid w:val="006933B5"/>
    <w:rsid w:val="00693BAE"/>
    <w:rsid w:val="00693D14"/>
    <w:rsid w:val="006960A6"/>
    <w:rsid w:val="00696F27"/>
    <w:rsid w:val="006A18C2"/>
    <w:rsid w:val="006A3383"/>
    <w:rsid w:val="006A653F"/>
    <w:rsid w:val="006B077C"/>
    <w:rsid w:val="006B3706"/>
    <w:rsid w:val="006B5F7F"/>
    <w:rsid w:val="006B6803"/>
    <w:rsid w:val="006C3B9D"/>
    <w:rsid w:val="006C531E"/>
    <w:rsid w:val="006C7419"/>
    <w:rsid w:val="006D0F16"/>
    <w:rsid w:val="006D14CE"/>
    <w:rsid w:val="006D25AE"/>
    <w:rsid w:val="006D2A3F"/>
    <w:rsid w:val="006D2FBC"/>
    <w:rsid w:val="006D35A8"/>
    <w:rsid w:val="006D70A3"/>
    <w:rsid w:val="006E0541"/>
    <w:rsid w:val="006E138B"/>
    <w:rsid w:val="006E2869"/>
    <w:rsid w:val="006E28ED"/>
    <w:rsid w:val="006F0330"/>
    <w:rsid w:val="006F1FDC"/>
    <w:rsid w:val="006F1FFF"/>
    <w:rsid w:val="006F2784"/>
    <w:rsid w:val="006F6B8C"/>
    <w:rsid w:val="006F739C"/>
    <w:rsid w:val="007013EF"/>
    <w:rsid w:val="00702EB2"/>
    <w:rsid w:val="00704FC5"/>
    <w:rsid w:val="007055BD"/>
    <w:rsid w:val="00705E79"/>
    <w:rsid w:val="007111E2"/>
    <w:rsid w:val="007112AD"/>
    <w:rsid w:val="007168B8"/>
    <w:rsid w:val="007173CA"/>
    <w:rsid w:val="007216AA"/>
    <w:rsid w:val="00721AB5"/>
    <w:rsid w:val="00721CFB"/>
    <w:rsid w:val="00721DEF"/>
    <w:rsid w:val="0072251A"/>
    <w:rsid w:val="00722A4B"/>
    <w:rsid w:val="00724A43"/>
    <w:rsid w:val="007273AC"/>
    <w:rsid w:val="00731AD4"/>
    <w:rsid w:val="007343EF"/>
    <w:rsid w:val="007346E4"/>
    <w:rsid w:val="00734FCA"/>
    <w:rsid w:val="0073582E"/>
    <w:rsid w:val="00740CB6"/>
    <w:rsid w:val="00740F22"/>
    <w:rsid w:val="00741CF0"/>
    <w:rsid w:val="00741F1A"/>
    <w:rsid w:val="007436E0"/>
    <w:rsid w:val="007447DA"/>
    <w:rsid w:val="007450F8"/>
    <w:rsid w:val="0074696E"/>
    <w:rsid w:val="00750135"/>
    <w:rsid w:val="00750EC2"/>
    <w:rsid w:val="00752B28"/>
    <w:rsid w:val="007537DA"/>
    <w:rsid w:val="007541A9"/>
    <w:rsid w:val="00754E36"/>
    <w:rsid w:val="00755610"/>
    <w:rsid w:val="00756523"/>
    <w:rsid w:val="00763139"/>
    <w:rsid w:val="00763603"/>
    <w:rsid w:val="00764B0B"/>
    <w:rsid w:val="00765255"/>
    <w:rsid w:val="0076756E"/>
    <w:rsid w:val="00770F37"/>
    <w:rsid w:val="007711A0"/>
    <w:rsid w:val="00771D3C"/>
    <w:rsid w:val="00772D5E"/>
    <w:rsid w:val="0077463E"/>
    <w:rsid w:val="00775201"/>
    <w:rsid w:val="00776928"/>
    <w:rsid w:val="00776E0F"/>
    <w:rsid w:val="007774B1"/>
    <w:rsid w:val="007774D2"/>
    <w:rsid w:val="00777BE1"/>
    <w:rsid w:val="007833D8"/>
    <w:rsid w:val="00785677"/>
    <w:rsid w:val="00786362"/>
    <w:rsid w:val="00786F16"/>
    <w:rsid w:val="00791BD7"/>
    <w:rsid w:val="007929CA"/>
    <w:rsid w:val="007933F7"/>
    <w:rsid w:val="00794C83"/>
    <w:rsid w:val="0079659F"/>
    <w:rsid w:val="00796751"/>
    <w:rsid w:val="00796E20"/>
    <w:rsid w:val="00797C32"/>
    <w:rsid w:val="007A11E8"/>
    <w:rsid w:val="007A5A8A"/>
    <w:rsid w:val="007A5BE8"/>
    <w:rsid w:val="007A7DD4"/>
    <w:rsid w:val="007B0914"/>
    <w:rsid w:val="007B1374"/>
    <w:rsid w:val="007B238C"/>
    <w:rsid w:val="007B28FA"/>
    <w:rsid w:val="007B32E5"/>
    <w:rsid w:val="007B3DB9"/>
    <w:rsid w:val="007B45A8"/>
    <w:rsid w:val="007B589F"/>
    <w:rsid w:val="007B6186"/>
    <w:rsid w:val="007B73BC"/>
    <w:rsid w:val="007C1838"/>
    <w:rsid w:val="007C20B9"/>
    <w:rsid w:val="007C2E9C"/>
    <w:rsid w:val="007C7301"/>
    <w:rsid w:val="007C7859"/>
    <w:rsid w:val="007C78FD"/>
    <w:rsid w:val="007C7A8C"/>
    <w:rsid w:val="007C7F28"/>
    <w:rsid w:val="007D1466"/>
    <w:rsid w:val="007D1CFF"/>
    <w:rsid w:val="007D2BDE"/>
    <w:rsid w:val="007D2FB6"/>
    <w:rsid w:val="007D33ED"/>
    <w:rsid w:val="007D49EB"/>
    <w:rsid w:val="007D5291"/>
    <w:rsid w:val="007D53E4"/>
    <w:rsid w:val="007D5E1C"/>
    <w:rsid w:val="007D6559"/>
    <w:rsid w:val="007E0180"/>
    <w:rsid w:val="007E0DE2"/>
    <w:rsid w:val="007E1227"/>
    <w:rsid w:val="007E2E0C"/>
    <w:rsid w:val="007E3B98"/>
    <w:rsid w:val="007E40E0"/>
    <w:rsid w:val="007E417A"/>
    <w:rsid w:val="007E4D68"/>
    <w:rsid w:val="007E4E28"/>
    <w:rsid w:val="007F31B6"/>
    <w:rsid w:val="007F35D6"/>
    <w:rsid w:val="007F546C"/>
    <w:rsid w:val="007F625F"/>
    <w:rsid w:val="007F665E"/>
    <w:rsid w:val="00800412"/>
    <w:rsid w:val="0080587B"/>
    <w:rsid w:val="00805E14"/>
    <w:rsid w:val="00806468"/>
    <w:rsid w:val="00810950"/>
    <w:rsid w:val="008109A9"/>
    <w:rsid w:val="008119CA"/>
    <w:rsid w:val="00812F52"/>
    <w:rsid w:val="008130C4"/>
    <w:rsid w:val="008155F0"/>
    <w:rsid w:val="00816735"/>
    <w:rsid w:val="0081783F"/>
    <w:rsid w:val="008178C8"/>
    <w:rsid w:val="00817974"/>
    <w:rsid w:val="00820018"/>
    <w:rsid w:val="00820141"/>
    <w:rsid w:val="00820E0C"/>
    <w:rsid w:val="008213F0"/>
    <w:rsid w:val="00823275"/>
    <w:rsid w:val="0082366F"/>
    <w:rsid w:val="00826493"/>
    <w:rsid w:val="00826E0F"/>
    <w:rsid w:val="008338A2"/>
    <w:rsid w:val="00835FAF"/>
    <w:rsid w:val="00841AA9"/>
    <w:rsid w:val="0084242F"/>
    <w:rsid w:val="00843693"/>
    <w:rsid w:val="00846D60"/>
    <w:rsid w:val="008474FE"/>
    <w:rsid w:val="00847FE9"/>
    <w:rsid w:val="00853CA5"/>
    <w:rsid w:val="00853D54"/>
    <w:rsid w:val="00853EE4"/>
    <w:rsid w:val="00855210"/>
    <w:rsid w:val="008554A2"/>
    <w:rsid w:val="00855535"/>
    <w:rsid w:val="00855920"/>
    <w:rsid w:val="00857A90"/>
    <w:rsid w:val="00857C5A"/>
    <w:rsid w:val="00861A1B"/>
    <w:rsid w:val="0086255E"/>
    <w:rsid w:val="008633F0"/>
    <w:rsid w:val="008666C9"/>
    <w:rsid w:val="008673CD"/>
    <w:rsid w:val="00867D9D"/>
    <w:rsid w:val="00871DE9"/>
    <w:rsid w:val="00872E0A"/>
    <w:rsid w:val="008730B7"/>
    <w:rsid w:val="0087328A"/>
    <w:rsid w:val="00873594"/>
    <w:rsid w:val="00875285"/>
    <w:rsid w:val="0088017C"/>
    <w:rsid w:val="00884B62"/>
    <w:rsid w:val="0088529C"/>
    <w:rsid w:val="008858B5"/>
    <w:rsid w:val="00887903"/>
    <w:rsid w:val="0089270A"/>
    <w:rsid w:val="00893AF6"/>
    <w:rsid w:val="00894BC4"/>
    <w:rsid w:val="008A28A8"/>
    <w:rsid w:val="008A5B32"/>
    <w:rsid w:val="008A7479"/>
    <w:rsid w:val="008B1B25"/>
    <w:rsid w:val="008B22F2"/>
    <w:rsid w:val="008B2EE4"/>
    <w:rsid w:val="008B4D3D"/>
    <w:rsid w:val="008B57C7"/>
    <w:rsid w:val="008C024A"/>
    <w:rsid w:val="008C1F37"/>
    <w:rsid w:val="008C2684"/>
    <w:rsid w:val="008C2F92"/>
    <w:rsid w:val="008C3119"/>
    <w:rsid w:val="008C3697"/>
    <w:rsid w:val="008C5557"/>
    <w:rsid w:val="008C589D"/>
    <w:rsid w:val="008C5BC2"/>
    <w:rsid w:val="008C6D51"/>
    <w:rsid w:val="008D02A1"/>
    <w:rsid w:val="008D0953"/>
    <w:rsid w:val="008D2846"/>
    <w:rsid w:val="008D4236"/>
    <w:rsid w:val="008D462F"/>
    <w:rsid w:val="008D6DCF"/>
    <w:rsid w:val="008E0981"/>
    <w:rsid w:val="008E22FC"/>
    <w:rsid w:val="008E3DE9"/>
    <w:rsid w:val="008E4376"/>
    <w:rsid w:val="008E4F8B"/>
    <w:rsid w:val="008E5C90"/>
    <w:rsid w:val="008E6DE8"/>
    <w:rsid w:val="008E7A0A"/>
    <w:rsid w:val="008E7B49"/>
    <w:rsid w:val="008F0271"/>
    <w:rsid w:val="008F03A9"/>
    <w:rsid w:val="008F291A"/>
    <w:rsid w:val="008F59F6"/>
    <w:rsid w:val="00900719"/>
    <w:rsid w:val="00900EFB"/>
    <w:rsid w:val="009017AC"/>
    <w:rsid w:val="009023B0"/>
    <w:rsid w:val="00902A9A"/>
    <w:rsid w:val="00902D21"/>
    <w:rsid w:val="00904A1C"/>
    <w:rsid w:val="00905030"/>
    <w:rsid w:val="00906490"/>
    <w:rsid w:val="009111B2"/>
    <w:rsid w:val="0091405D"/>
    <w:rsid w:val="009151F5"/>
    <w:rsid w:val="0091710C"/>
    <w:rsid w:val="009220CA"/>
    <w:rsid w:val="00922ADE"/>
    <w:rsid w:val="00922CFB"/>
    <w:rsid w:val="00923A0C"/>
    <w:rsid w:val="00924AE1"/>
    <w:rsid w:val="009269B1"/>
    <w:rsid w:val="0092724D"/>
    <w:rsid w:val="009272B3"/>
    <w:rsid w:val="009315BE"/>
    <w:rsid w:val="00931C43"/>
    <w:rsid w:val="00932210"/>
    <w:rsid w:val="0093338F"/>
    <w:rsid w:val="00937BD9"/>
    <w:rsid w:val="0094065F"/>
    <w:rsid w:val="009439FB"/>
    <w:rsid w:val="009471CE"/>
    <w:rsid w:val="00950E2C"/>
    <w:rsid w:val="00951D50"/>
    <w:rsid w:val="009525EB"/>
    <w:rsid w:val="0095363F"/>
    <w:rsid w:val="0095470B"/>
    <w:rsid w:val="00954874"/>
    <w:rsid w:val="0095615A"/>
    <w:rsid w:val="0095721E"/>
    <w:rsid w:val="009604EE"/>
    <w:rsid w:val="00960726"/>
    <w:rsid w:val="00961400"/>
    <w:rsid w:val="00963646"/>
    <w:rsid w:val="0096632D"/>
    <w:rsid w:val="009718C7"/>
    <w:rsid w:val="00974A26"/>
    <w:rsid w:val="0097559F"/>
    <w:rsid w:val="009758B1"/>
    <w:rsid w:val="0097761E"/>
    <w:rsid w:val="009779F1"/>
    <w:rsid w:val="00981711"/>
    <w:rsid w:val="00982454"/>
    <w:rsid w:val="00982ACE"/>
    <w:rsid w:val="00982C88"/>
    <w:rsid w:val="00982CF0"/>
    <w:rsid w:val="00984FE9"/>
    <w:rsid w:val="009853D0"/>
    <w:rsid w:val="009853E1"/>
    <w:rsid w:val="00986E6B"/>
    <w:rsid w:val="00990032"/>
    <w:rsid w:val="00990B19"/>
    <w:rsid w:val="00991054"/>
    <w:rsid w:val="0099153B"/>
    <w:rsid w:val="00991769"/>
    <w:rsid w:val="0099232C"/>
    <w:rsid w:val="009932CF"/>
    <w:rsid w:val="009941AC"/>
    <w:rsid w:val="00994386"/>
    <w:rsid w:val="009A13D8"/>
    <w:rsid w:val="009A279E"/>
    <w:rsid w:val="009A3015"/>
    <w:rsid w:val="009A3490"/>
    <w:rsid w:val="009A6461"/>
    <w:rsid w:val="009B0A6F"/>
    <w:rsid w:val="009B0A94"/>
    <w:rsid w:val="009B2AE8"/>
    <w:rsid w:val="009B3B19"/>
    <w:rsid w:val="009B59E9"/>
    <w:rsid w:val="009B61D9"/>
    <w:rsid w:val="009B70AA"/>
    <w:rsid w:val="009C2D83"/>
    <w:rsid w:val="009C5E77"/>
    <w:rsid w:val="009C7A7E"/>
    <w:rsid w:val="009D02E8"/>
    <w:rsid w:val="009D4AD7"/>
    <w:rsid w:val="009D51D0"/>
    <w:rsid w:val="009D70A4"/>
    <w:rsid w:val="009D7B14"/>
    <w:rsid w:val="009D7DE7"/>
    <w:rsid w:val="009E08D1"/>
    <w:rsid w:val="009E1B95"/>
    <w:rsid w:val="009E3E8A"/>
    <w:rsid w:val="009E45F5"/>
    <w:rsid w:val="009E496F"/>
    <w:rsid w:val="009E4B0D"/>
    <w:rsid w:val="009E5250"/>
    <w:rsid w:val="009E7F92"/>
    <w:rsid w:val="009F02A3"/>
    <w:rsid w:val="009F0A3E"/>
    <w:rsid w:val="009F21C5"/>
    <w:rsid w:val="009F2F27"/>
    <w:rsid w:val="009F34AA"/>
    <w:rsid w:val="009F6620"/>
    <w:rsid w:val="009F6BCB"/>
    <w:rsid w:val="009F7B78"/>
    <w:rsid w:val="00A0057A"/>
    <w:rsid w:val="00A02C83"/>
    <w:rsid w:val="00A02FA1"/>
    <w:rsid w:val="00A04CCE"/>
    <w:rsid w:val="00A05353"/>
    <w:rsid w:val="00A05B50"/>
    <w:rsid w:val="00A07421"/>
    <w:rsid w:val="00A0776B"/>
    <w:rsid w:val="00A10FB9"/>
    <w:rsid w:val="00A11421"/>
    <w:rsid w:val="00A127F2"/>
    <w:rsid w:val="00A12BF6"/>
    <w:rsid w:val="00A1389F"/>
    <w:rsid w:val="00A157B1"/>
    <w:rsid w:val="00A2063D"/>
    <w:rsid w:val="00A22229"/>
    <w:rsid w:val="00A2255F"/>
    <w:rsid w:val="00A2365E"/>
    <w:rsid w:val="00A23943"/>
    <w:rsid w:val="00A239B5"/>
    <w:rsid w:val="00A24442"/>
    <w:rsid w:val="00A251CD"/>
    <w:rsid w:val="00A330BB"/>
    <w:rsid w:val="00A34AA6"/>
    <w:rsid w:val="00A35F07"/>
    <w:rsid w:val="00A42619"/>
    <w:rsid w:val="00A42E11"/>
    <w:rsid w:val="00A43CFE"/>
    <w:rsid w:val="00A44882"/>
    <w:rsid w:val="00A45125"/>
    <w:rsid w:val="00A507DD"/>
    <w:rsid w:val="00A54715"/>
    <w:rsid w:val="00A6061C"/>
    <w:rsid w:val="00A62D44"/>
    <w:rsid w:val="00A66627"/>
    <w:rsid w:val="00A67263"/>
    <w:rsid w:val="00A707EB"/>
    <w:rsid w:val="00A7161C"/>
    <w:rsid w:val="00A73526"/>
    <w:rsid w:val="00A7580F"/>
    <w:rsid w:val="00A77AA3"/>
    <w:rsid w:val="00A815D4"/>
    <w:rsid w:val="00A8236D"/>
    <w:rsid w:val="00A82D25"/>
    <w:rsid w:val="00A854EB"/>
    <w:rsid w:val="00A872E5"/>
    <w:rsid w:val="00A91406"/>
    <w:rsid w:val="00A92658"/>
    <w:rsid w:val="00A96E65"/>
    <w:rsid w:val="00A97C72"/>
    <w:rsid w:val="00AA268E"/>
    <w:rsid w:val="00AA310B"/>
    <w:rsid w:val="00AA574A"/>
    <w:rsid w:val="00AA63D4"/>
    <w:rsid w:val="00AB06E8"/>
    <w:rsid w:val="00AB1CD3"/>
    <w:rsid w:val="00AB352F"/>
    <w:rsid w:val="00AB40EF"/>
    <w:rsid w:val="00AB5958"/>
    <w:rsid w:val="00AB5FD6"/>
    <w:rsid w:val="00AB790C"/>
    <w:rsid w:val="00AC274B"/>
    <w:rsid w:val="00AC4764"/>
    <w:rsid w:val="00AC6D36"/>
    <w:rsid w:val="00AD0CBA"/>
    <w:rsid w:val="00AD177A"/>
    <w:rsid w:val="00AD26E2"/>
    <w:rsid w:val="00AD3534"/>
    <w:rsid w:val="00AD378F"/>
    <w:rsid w:val="00AD4114"/>
    <w:rsid w:val="00AD7021"/>
    <w:rsid w:val="00AD784C"/>
    <w:rsid w:val="00AE0375"/>
    <w:rsid w:val="00AE126A"/>
    <w:rsid w:val="00AE1BAE"/>
    <w:rsid w:val="00AE3005"/>
    <w:rsid w:val="00AE3BD5"/>
    <w:rsid w:val="00AE3EFF"/>
    <w:rsid w:val="00AE59A0"/>
    <w:rsid w:val="00AE6A33"/>
    <w:rsid w:val="00AF0C57"/>
    <w:rsid w:val="00AF1928"/>
    <w:rsid w:val="00AF26F3"/>
    <w:rsid w:val="00AF270B"/>
    <w:rsid w:val="00AF2C98"/>
    <w:rsid w:val="00AF35AB"/>
    <w:rsid w:val="00AF3688"/>
    <w:rsid w:val="00AF4AA5"/>
    <w:rsid w:val="00AF5F04"/>
    <w:rsid w:val="00AF659E"/>
    <w:rsid w:val="00AF7610"/>
    <w:rsid w:val="00B00672"/>
    <w:rsid w:val="00B01B4D"/>
    <w:rsid w:val="00B05D25"/>
    <w:rsid w:val="00B06571"/>
    <w:rsid w:val="00B068BA"/>
    <w:rsid w:val="00B07FF7"/>
    <w:rsid w:val="00B12F62"/>
    <w:rsid w:val="00B134E9"/>
    <w:rsid w:val="00B13851"/>
    <w:rsid w:val="00B13B1C"/>
    <w:rsid w:val="00B14780"/>
    <w:rsid w:val="00B1619B"/>
    <w:rsid w:val="00B17FD3"/>
    <w:rsid w:val="00B21F90"/>
    <w:rsid w:val="00B22291"/>
    <w:rsid w:val="00B22BB5"/>
    <w:rsid w:val="00B23F9A"/>
    <w:rsid w:val="00B2417B"/>
    <w:rsid w:val="00B243DC"/>
    <w:rsid w:val="00B24E6F"/>
    <w:rsid w:val="00B26CB5"/>
    <w:rsid w:val="00B2752E"/>
    <w:rsid w:val="00B307CC"/>
    <w:rsid w:val="00B308E7"/>
    <w:rsid w:val="00B3176C"/>
    <w:rsid w:val="00B326B7"/>
    <w:rsid w:val="00B3588E"/>
    <w:rsid w:val="00B35D27"/>
    <w:rsid w:val="00B366C1"/>
    <w:rsid w:val="00B36D58"/>
    <w:rsid w:val="00B37A86"/>
    <w:rsid w:val="00B41F3D"/>
    <w:rsid w:val="00B431E8"/>
    <w:rsid w:val="00B45141"/>
    <w:rsid w:val="00B46DE7"/>
    <w:rsid w:val="00B519CD"/>
    <w:rsid w:val="00B521A8"/>
    <w:rsid w:val="00B5273A"/>
    <w:rsid w:val="00B52A51"/>
    <w:rsid w:val="00B52DCD"/>
    <w:rsid w:val="00B541E6"/>
    <w:rsid w:val="00B57329"/>
    <w:rsid w:val="00B57791"/>
    <w:rsid w:val="00B6020F"/>
    <w:rsid w:val="00B60E61"/>
    <w:rsid w:val="00B61103"/>
    <w:rsid w:val="00B616AF"/>
    <w:rsid w:val="00B62B50"/>
    <w:rsid w:val="00B62C6D"/>
    <w:rsid w:val="00B635B7"/>
    <w:rsid w:val="00B63AE8"/>
    <w:rsid w:val="00B64932"/>
    <w:rsid w:val="00B65950"/>
    <w:rsid w:val="00B66D83"/>
    <w:rsid w:val="00B672C0"/>
    <w:rsid w:val="00B676FD"/>
    <w:rsid w:val="00B67844"/>
    <w:rsid w:val="00B71AB9"/>
    <w:rsid w:val="00B71F2C"/>
    <w:rsid w:val="00B742C9"/>
    <w:rsid w:val="00B75646"/>
    <w:rsid w:val="00B81537"/>
    <w:rsid w:val="00B8157E"/>
    <w:rsid w:val="00B86506"/>
    <w:rsid w:val="00B87984"/>
    <w:rsid w:val="00B90729"/>
    <w:rsid w:val="00B907DA"/>
    <w:rsid w:val="00B94CD5"/>
    <w:rsid w:val="00B950BC"/>
    <w:rsid w:val="00B9620B"/>
    <w:rsid w:val="00B9714C"/>
    <w:rsid w:val="00BA29AD"/>
    <w:rsid w:val="00BA3322"/>
    <w:rsid w:val="00BA33CF"/>
    <w:rsid w:val="00BA3F8D"/>
    <w:rsid w:val="00BA44CB"/>
    <w:rsid w:val="00BA5B25"/>
    <w:rsid w:val="00BB07F9"/>
    <w:rsid w:val="00BB7A10"/>
    <w:rsid w:val="00BB7CFB"/>
    <w:rsid w:val="00BC1D56"/>
    <w:rsid w:val="00BC2A34"/>
    <w:rsid w:val="00BC3E8F"/>
    <w:rsid w:val="00BC4E9B"/>
    <w:rsid w:val="00BC60BE"/>
    <w:rsid w:val="00BC7468"/>
    <w:rsid w:val="00BC7D4F"/>
    <w:rsid w:val="00BC7ED7"/>
    <w:rsid w:val="00BD0411"/>
    <w:rsid w:val="00BD1C1C"/>
    <w:rsid w:val="00BD24B1"/>
    <w:rsid w:val="00BD2850"/>
    <w:rsid w:val="00BD73BE"/>
    <w:rsid w:val="00BE28D2"/>
    <w:rsid w:val="00BE4A64"/>
    <w:rsid w:val="00BE5E43"/>
    <w:rsid w:val="00BF0F35"/>
    <w:rsid w:val="00BF2768"/>
    <w:rsid w:val="00BF30B2"/>
    <w:rsid w:val="00BF4BBD"/>
    <w:rsid w:val="00BF5242"/>
    <w:rsid w:val="00BF557D"/>
    <w:rsid w:val="00BF7F58"/>
    <w:rsid w:val="00C01284"/>
    <w:rsid w:val="00C01381"/>
    <w:rsid w:val="00C01871"/>
    <w:rsid w:val="00C01AB1"/>
    <w:rsid w:val="00C026A0"/>
    <w:rsid w:val="00C02D67"/>
    <w:rsid w:val="00C05A6F"/>
    <w:rsid w:val="00C06137"/>
    <w:rsid w:val="00C079B8"/>
    <w:rsid w:val="00C10037"/>
    <w:rsid w:val="00C1155D"/>
    <w:rsid w:val="00C123EA"/>
    <w:rsid w:val="00C12A49"/>
    <w:rsid w:val="00C133EE"/>
    <w:rsid w:val="00C140A0"/>
    <w:rsid w:val="00C149D0"/>
    <w:rsid w:val="00C14BC3"/>
    <w:rsid w:val="00C150DF"/>
    <w:rsid w:val="00C20DF0"/>
    <w:rsid w:val="00C231FC"/>
    <w:rsid w:val="00C2555C"/>
    <w:rsid w:val="00C26588"/>
    <w:rsid w:val="00C27DE9"/>
    <w:rsid w:val="00C32989"/>
    <w:rsid w:val="00C33388"/>
    <w:rsid w:val="00C35484"/>
    <w:rsid w:val="00C36F5F"/>
    <w:rsid w:val="00C41022"/>
    <w:rsid w:val="00C4173A"/>
    <w:rsid w:val="00C451D4"/>
    <w:rsid w:val="00C45C4B"/>
    <w:rsid w:val="00C50DED"/>
    <w:rsid w:val="00C51F0A"/>
    <w:rsid w:val="00C56E78"/>
    <w:rsid w:val="00C602FF"/>
    <w:rsid w:val="00C60D7C"/>
    <w:rsid w:val="00C61174"/>
    <w:rsid w:val="00C6148F"/>
    <w:rsid w:val="00C621B1"/>
    <w:rsid w:val="00C62F7A"/>
    <w:rsid w:val="00C63B9C"/>
    <w:rsid w:val="00C64C74"/>
    <w:rsid w:val="00C66325"/>
    <w:rsid w:val="00C6682F"/>
    <w:rsid w:val="00C6758F"/>
    <w:rsid w:val="00C67BF4"/>
    <w:rsid w:val="00C714E8"/>
    <w:rsid w:val="00C7275E"/>
    <w:rsid w:val="00C74C5D"/>
    <w:rsid w:val="00C7503C"/>
    <w:rsid w:val="00C77171"/>
    <w:rsid w:val="00C863C4"/>
    <w:rsid w:val="00C86646"/>
    <w:rsid w:val="00C8746D"/>
    <w:rsid w:val="00C87F8C"/>
    <w:rsid w:val="00C908C9"/>
    <w:rsid w:val="00C91038"/>
    <w:rsid w:val="00C920EA"/>
    <w:rsid w:val="00C92897"/>
    <w:rsid w:val="00C93C3E"/>
    <w:rsid w:val="00C9518E"/>
    <w:rsid w:val="00C95B48"/>
    <w:rsid w:val="00CA12E3"/>
    <w:rsid w:val="00CA1476"/>
    <w:rsid w:val="00CA2C4B"/>
    <w:rsid w:val="00CA6611"/>
    <w:rsid w:val="00CA6AE6"/>
    <w:rsid w:val="00CA7361"/>
    <w:rsid w:val="00CA75EA"/>
    <w:rsid w:val="00CA782F"/>
    <w:rsid w:val="00CB0168"/>
    <w:rsid w:val="00CB187B"/>
    <w:rsid w:val="00CB2835"/>
    <w:rsid w:val="00CB3285"/>
    <w:rsid w:val="00CB4500"/>
    <w:rsid w:val="00CB5DD7"/>
    <w:rsid w:val="00CB7800"/>
    <w:rsid w:val="00CC0C72"/>
    <w:rsid w:val="00CC2BFD"/>
    <w:rsid w:val="00CC61F3"/>
    <w:rsid w:val="00CD1912"/>
    <w:rsid w:val="00CD217F"/>
    <w:rsid w:val="00CD3476"/>
    <w:rsid w:val="00CD64DF"/>
    <w:rsid w:val="00CE225F"/>
    <w:rsid w:val="00CE40E0"/>
    <w:rsid w:val="00CE4D5F"/>
    <w:rsid w:val="00CF090B"/>
    <w:rsid w:val="00CF2F50"/>
    <w:rsid w:val="00CF6198"/>
    <w:rsid w:val="00CF621C"/>
    <w:rsid w:val="00D02919"/>
    <w:rsid w:val="00D0330A"/>
    <w:rsid w:val="00D04C61"/>
    <w:rsid w:val="00D05B8D"/>
    <w:rsid w:val="00D065A2"/>
    <w:rsid w:val="00D068CA"/>
    <w:rsid w:val="00D079AA"/>
    <w:rsid w:val="00D07F00"/>
    <w:rsid w:val="00D10DCA"/>
    <w:rsid w:val="00D1130F"/>
    <w:rsid w:val="00D11A2E"/>
    <w:rsid w:val="00D11A4D"/>
    <w:rsid w:val="00D123D1"/>
    <w:rsid w:val="00D15FEE"/>
    <w:rsid w:val="00D17B72"/>
    <w:rsid w:val="00D21337"/>
    <w:rsid w:val="00D21558"/>
    <w:rsid w:val="00D23707"/>
    <w:rsid w:val="00D26814"/>
    <w:rsid w:val="00D30B60"/>
    <w:rsid w:val="00D3185C"/>
    <w:rsid w:val="00D3205F"/>
    <w:rsid w:val="00D3318E"/>
    <w:rsid w:val="00D33E72"/>
    <w:rsid w:val="00D354A1"/>
    <w:rsid w:val="00D35BD6"/>
    <w:rsid w:val="00D361B5"/>
    <w:rsid w:val="00D405AC"/>
    <w:rsid w:val="00D411A2"/>
    <w:rsid w:val="00D428FD"/>
    <w:rsid w:val="00D44940"/>
    <w:rsid w:val="00D4606D"/>
    <w:rsid w:val="00D46C92"/>
    <w:rsid w:val="00D50597"/>
    <w:rsid w:val="00D50B9C"/>
    <w:rsid w:val="00D52D73"/>
    <w:rsid w:val="00D52E58"/>
    <w:rsid w:val="00D5402F"/>
    <w:rsid w:val="00D54040"/>
    <w:rsid w:val="00D54995"/>
    <w:rsid w:val="00D559B6"/>
    <w:rsid w:val="00D56B20"/>
    <w:rsid w:val="00D56CAE"/>
    <w:rsid w:val="00D578B3"/>
    <w:rsid w:val="00D618F4"/>
    <w:rsid w:val="00D61E5E"/>
    <w:rsid w:val="00D64B3B"/>
    <w:rsid w:val="00D714CC"/>
    <w:rsid w:val="00D72C7C"/>
    <w:rsid w:val="00D75EA7"/>
    <w:rsid w:val="00D761AA"/>
    <w:rsid w:val="00D76ACB"/>
    <w:rsid w:val="00D805F2"/>
    <w:rsid w:val="00D81ADF"/>
    <w:rsid w:val="00D81F21"/>
    <w:rsid w:val="00D864F2"/>
    <w:rsid w:val="00D91EDB"/>
    <w:rsid w:val="00D92F95"/>
    <w:rsid w:val="00D93F18"/>
    <w:rsid w:val="00D943F8"/>
    <w:rsid w:val="00D945D7"/>
    <w:rsid w:val="00D94F67"/>
    <w:rsid w:val="00D95470"/>
    <w:rsid w:val="00D96A01"/>
    <w:rsid w:val="00D96AD5"/>
    <w:rsid w:val="00D96B55"/>
    <w:rsid w:val="00DA1D06"/>
    <w:rsid w:val="00DA2619"/>
    <w:rsid w:val="00DA296F"/>
    <w:rsid w:val="00DA4239"/>
    <w:rsid w:val="00DA65DE"/>
    <w:rsid w:val="00DB0B61"/>
    <w:rsid w:val="00DB1474"/>
    <w:rsid w:val="00DB2962"/>
    <w:rsid w:val="00DB52FB"/>
    <w:rsid w:val="00DC013B"/>
    <w:rsid w:val="00DC087A"/>
    <w:rsid w:val="00DC090B"/>
    <w:rsid w:val="00DC1679"/>
    <w:rsid w:val="00DC219B"/>
    <w:rsid w:val="00DC2CF1"/>
    <w:rsid w:val="00DC4FCF"/>
    <w:rsid w:val="00DC50E0"/>
    <w:rsid w:val="00DC6386"/>
    <w:rsid w:val="00DC797E"/>
    <w:rsid w:val="00DD0DAE"/>
    <w:rsid w:val="00DD1130"/>
    <w:rsid w:val="00DD1951"/>
    <w:rsid w:val="00DD1ADD"/>
    <w:rsid w:val="00DD487D"/>
    <w:rsid w:val="00DD4E83"/>
    <w:rsid w:val="00DD5D25"/>
    <w:rsid w:val="00DD60AC"/>
    <w:rsid w:val="00DD6628"/>
    <w:rsid w:val="00DD6945"/>
    <w:rsid w:val="00DE2738"/>
    <w:rsid w:val="00DE2D04"/>
    <w:rsid w:val="00DE3250"/>
    <w:rsid w:val="00DE335C"/>
    <w:rsid w:val="00DE3556"/>
    <w:rsid w:val="00DE451A"/>
    <w:rsid w:val="00DE4B5C"/>
    <w:rsid w:val="00DE6028"/>
    <w:rsid w:val="00DE778A"/>
    <w:rsid w:val="00DE78A3"/>
    <w:rsid w:val="00DF1A71"/>
    <w:rsid w:val="00DF32E0"/>
    <w:rsid w:val="00DF50FC"/>
    <w:rsid w:val="00DF68C7"/>
    <w:rsid w:val="00DF731A"/>
    <w:rsid w:val="00E0104A"/>
    <w:rsid w:val="00E02255"/>
    <w:rsid w:val="00E06B75"/>
    <w:rsid w:val="00E07656"/>
    <w:rsid w:val="00E10D2A"/>
    <w:rsid w:val="00E11332"/>
    <w:rsid w:val="00E11352"/>
    <w:rsid w:val="00E12561"/>
    <w:rsid w:val="00E12B11"/>
    <w:rsid w:val="00E130D0"/>
    <w:rsid w:val="00E170DC"/>
    <w:rsid w:val="00E17546"/>
    <w:rsid w:val="00E210B5"/>
    <w:rsid w:val="00E229B7"/>
    <w:rsid w:val="00E23F96"/>
    <w:rsid w:val="00E249E7"/>
    <w:rsid w:val="00E2610A"/>
    <w:rsid w:val="00E261B3"/>
    <w:rsid w:val="00E26818"/>
    <w:rsid w:val="00E27FFC"/>
    <w:rsid w:val="00E30B15"/>
    <w:rsid w:val="00E30C75"/>
    <w:rsid w:val="00E33237"/>
    <w:rsid w:val="00E3575F"/>
    <w:rsid w:val="00E35FB5"/>
    <w:rsid w:val="00E40181"/>
    <w:rsid w:val="00E45534"/>
    <w:rsid w:val="00E45943"/>
    <w:rsid w:val="00E54950"/>
    <w:rsid w:val="00E5575E"/>
    <w:rsid w:val="00E56A01"/>
    <w:rsid w:val="00E6034A"/>
    <w:rsid w:val="00E62622"/>
    <w:rsid w:val="00E629A1"/>
    <w:rsid w:val="00E6794C"/>
    <w:rsid w:val="00E70F6E"/>
    <w:rsid w:val="00E713EA"/>
    <w:rsid w:val="00E71591"/>
    <w:rsid w:val="00E71CEB"/>
    <w:rsid w:val="00E7267D"/>
    <w:rsid w:val="00E735F6"/>
    <w:rsid w:val="00E7474F"/>
    <w:rsid w:val="00E80DE3"/>
    <w:rsid w:val="00E8132C"/>
    <w:rsid w:val="00E81D5B"/>
    <w:rsid w:val="00E82C55"/>
    <w:rsid w:val="00E875C0"/>
    <w:rsid w:val="00E8787E"/>
    <w:rsid w:val="00E92AC3"/>
    <w:rsid w:val="00EA1360"/>
    <w:rsid w:val="00EA136F"/>
    <w:rsid w:val="00EA2F6A"/>
    <w:rsid w:val="00EA3948"/>
    <w:rsid w:val="00EA4844"/>
    <w:rsid w:val="00EA6BE1"/>
    <w:rsid w:val="00EB00E0"/>
    <w:rsid w:val="00EB1B92"/>
    <w:rsid w:val="00EB2ACA"/>
    <w:rsid w:val="00EB38FB"/>
    <w:rsid w:val="00EB40DA"/>
    <w:rsid w:val="00EB4955"/>
    <w:rsid w:val="00EB5943"/>
    <w:rsid w:val="00EC059F"/>
    <w:rsid w:val="00EC1C6D"/>
    <w:rsid w:val="00EC1F24"/>
    <w:rsid w:val="00EC20EB"/>
    <w:rsid w:val="00EC22F6"/>
    <w:rsid w:val="00EC40D5"/>
    <w:rsid w:val="00EC4EE8"/>
    <w:rsid w:val="00EC6FF9"/>
    <w:rsid w:val="00ED1FEA"/>
    <w:rsid w:val="00ED41BE"/>
    <w:rsid w:val="00ED5B9B"/>
    <w:rsid w:val="00ED6BAD"/>
    <w:rsid w:val="00ED7447"/>
    <w:rsid w:val="00ED7D60"/>
    <w:rsid w:val="00EE00D6"/>
    <w:rsid w:val="00EE11E7"/>
    <w:rsid w:val="00EE1488"/>
    <w:rsid w:val="00EE29AD"/>
    <w:rsid w:val="00EE316C"/>
    <w:rsid w:val="00EE3E24"/>
    <w:rsid w:val="00EE47A0"/>
    <w:rsid w:val="00EE4AFC"/>
    <w:rsid w:val="00EE4D5D"/>
    <w:rsid w:val="00EE5131"/>
    <w:rsid w:val="00EF070B"/>
    <w:rsid w:val="00EF109B"/>
    <w:rsid w:val="00EF201C"/>
    <w:rsid w:val="00EF36AF"/>
    <w:rsid w:val="00EF44EA"/>
    <w:rsid w:val="00EF5309"/>
    <w:rsid w:val="00EF59A3"/>
    <w:rsid w:val="00EF6675"/>
    <w:rsid w:val="00F00F9C"/>
    <w:rsid w:val="00F00FC0"/>
    <w:rsid w:val="00F01B94"/>
    <w:rsid w:val="00F01CB2"/>
    <w:rsid w:val="00F01E5F"/>
    <w:rsid w:val="00F024F3"/>
    <w:rsid w:val="00F02ABA"/>
    <w:rsid w:val="00F039F1"/>
    <w:rsid w:val="00F0437A"/>
    <w:rsid w:val="00F05DA5"/>
    <w:rsid w:val="00F07100"/>
    <w:rsid w:val="00F0729B"/>
    <w:rsid w:val="00F101B8"/>
    <w:rsid w:val="00F11037"/>
    <w:rsid w:val="00F1534C"/>
    <w:rsid w:val="00F16F1B"/>
    <w:rsid w:val="00F20F4B"/>
    <w:rsid w:val="00F21F9E"/>
    <w:rsid w:val="00F250A9"/>
    <w:rsid w:val="00F26778"/>
    <w:rsid w:val="00F267AF"/>
    <w:rsid w:val="00F30FF4"/>
    <w:rsid w:val="00F3122E"/>
    <w:rsid w:val="00F32368"/>
    <w:rsid w:val="00F331AD"/>
    <w:rsid w:val="00F35287"/>
    <w:rsid w:val="00F40177"/>
    <w:rsid w:val="00F40A70"/>
    <w:rsid w:val="00F41989"/>
    <w:rsid w:val="00F41A83"/>
    <w:rsid w:val="00F42EA5"/>
    <w:rsid w:val="00F43A37"/>
    <w:rsid w:val="00F43E35"/>
    <w:rsid w:val="00F451AB"/>
    <w:rsid w:val="00F4641B"/>
    <w:rsid w:val="00F46EB8"/>
    <w:rsid w:val="00F47B0C"/>
    <w:rsid w:val="00F50CD1"/>
    <w:rsid w:val="00F511E4"/>
    <w:rsid w:val="00F52D09"/>
    <w:rsid w:val="00F52E08"/>
    <w:rsid w:val="00F53A66"/>
    <w:rsid w:val="00F53DDD"/>
    <w:rsid w:val="00F5462D"/>
    <w:rsid w:val="00F55B21"/>
    <w:rsid w:val="00F56EF6"/>
    <w:rsid w:val="00F60082"/>
    <w:rsid w:val="00F608DA"/>
    <w:rsid w:val="00F61A9F"/>
    <w:rsid w:val="00F61B5F"/>
    <w:rsid w:val="00F64411"/>
    <w:rsid w:val="00F64696"/>
    <w:rsid w:val="00F65AA9"/>
    <w:rsid w:val="00F6768F"/>
    <w:rsid w:val="00F67744"/>
    <w:rsid w:val="00F72BB3"/>
    <w:rsid w:val="00F72C2C"/>
    <w:rsid w:val="00F7363F"/>
    <w:rsid w:val="00F73B09"/>
    <w:rsid w:val="00F76CAB"/>
    <w:rsid w:val="00F772C6"/>
    <w:rsid w:val="00F77FDC"/>
    <w:rsid w:val="00F815B5"/>
    <w:rsid w:val="00F8416F"/>
    <w:rsid w:val="00F84FA0"/>
    <w:rsid w:val="00F85195"/>
    <w:rsid w:val="00F85C2A"/>
    <w:rsid w:val="00F868E3"/>
    <w:rsid w:val="00F938BA"/>
    <w:rsid w:val="00F93B33"/>
    <w:rsid w:val="00F943E9"/>
    <w:rsid w:val="00F95CD7"/>
    <w:rsid w:val="00F97919"/>
    <w:rsid w:val="00FA2C46"/>
    <w:rsid w:val="00FA311F"/>
    <w:rsid w:val="00FA3525"/>
    <w:rsid w:val="00FA4DD1"/>
    <w:rsid w:val="00FA5A53"/>
    <w:rsid w:val="00FB2551"/>
    <w:rsid w:val="00FB4769"/>
    <w:rsid w:val="00FB4CDA"/>
    <w:rsid w:val="00FB6481"/>
    <w:rsid w:val="00FB6D36"/>
    <w:rsid w:val="00FB7CAE"/>
    <w:rsid w:val="00FC0965"/>
    <w:rsid w:val="00FC0F81"/>
    <w:rsid w:val="00FC252F"/>
    <w:rsid w:val="00FC395C"/>
    <w:rsid w:val="00FC5E8E"/>
    <w:rsid w:val="00FD1D3F"/>
    <w:rsid w:val="00FD29DD"/>
    <w:rsid w:val="00FD3766"/>
    <w:rsid w:val="00FD47C4"/>
    <w:rsid w:val="00FD6570"/>
    <w:rsid w:val="00FD722A"/>
    <w:rsid w:val="00FE2199"/>
    <w:rsid w:val="00FE2DCF"/>
    <w:rsid w:val="00FE3FA7"/>
    <w:rsid w:val="00FF02B0"/>
    <w:rsid w:val="00FF2A4E"/>
    <w:rsid w:val="00FF2FCE"/>
    <w:rsid w:val="00FF4263"/>
    <w:rsid w:val="00FF4B2B"/>
    <w:rsid w:val="00FF4DE4"/>
    <w:rsid w:val="00FF4F7D"/>
    <w:rsid w:val="00FF53B2"/>
    <w:rsid w:val="00FF54DF"/>
    <w:rsid w:val="00FF6D9D"/>
    <w:rsid w:val="00FF6DE2"/>
    <w:rsid w:val="00FF792B"/>
    <w:rsid w:val="00FF7DD5"/>
    <w:rsid w:val="011ECF3A"/>
    <w:rsid w:val="04AA524B"/>
    <w:rsid w:val="0529E29A"/>
    <w:rsid w:val="05353C54"/>
    <w:rsid w:val="05856862"/>
    <w:rsid w:val="064F086D"/>
    <w:rsid w:val="07C18C60"/>
    <w:rsid w:val="08A28289"/>
    <w:rsid w:val="09AA2206"/>
    <w:rsid w:val="0D5AA82B"/>
    <w:rsid w:val="0D8E0487"/>
    <w:rsid w:val="0E8AD4CA"/>
    <w:rsid w:val="0EC6A645"/>
    <w:rsid w:val="0F32962A"/>
    <w:rsid w:val="0FE0B2FA"/>
    <w:rsid w:val="0FE811E8"/>
    <w:rsid w:val="128525D8"/>
    <w:rsid w:val="14532EB2"/>
    <w:rsid w:val="166799BC"/>
    <w:rsid w:val="1B095596"/>
    <w:rsid w:val="1B1D7E13"/>
    <w:rsid w:val="1BE7EF52"/>
    <w:rsid w:val="1BEFCFEC"/>
    <w:rsid w:val="1CBD62EB"/>
    <w:rsid w:val="1D3067E8"/>
    <w:rsid w:val="1D370225"/>
    <w:rsid w:val="1EA9DC15"/>
    <w:rsid w:val="1F839DAF"/>
    <w:rsid w:val="1F9B0104"/>
    <w:rsid w:val="1FCF805A"/>
    <w:rsid w:val="2125C038"/>
    <w:rsid w:val="216CD0FE"/>
    <w:rsid w:val="2177759B"/>
    <w:rsid w:val="232FCB1A"/>
    <w:rsid w:val="23B9B3AF"/>
    <w:rsid w:val="27531CFA"/>
    <w:rsid w:val="28B7A2A7"/>
    <w:rsid w:val="2A2F4280"/>
    <w:rsid w:val="2AB25F76"/>
    <w:rsid w:val="2C048335"/>
    <w:rsid w:val="2D46C322"/>
    <w:rsid w:val="2DD33707"/>
    <w:rsid w:val="2ED72C0F"/>
    <w:rsid w:val="315103DE"/>
    <w:rsid w:val="345E5044"/>
    <w:rsid w:val="35B95349"/>
    <w:rsid w:val="36674C7E"/>
    <w:rsid w:val="3780BE6E"/>
    <w:rsid w:val="3AF1DF8E"/>
    <w:rsid w:val="3B902D66"/>
    <w:rsid w:val="3D8EF1CD"/>
    <w:rsid w:val="3EE1CB06"/>
    <w:rsid w:val="3F165927"/>
    <w:rsid w:val="3FA3A5B6"/>
    <w:rsid w:val="3FD4DFCE"/>
    <w:rsid w:val="41368807"/>
    <w:rsid w:val="4193721C"/>
    <w:rsid w:val="41D82091"/>
    <w:rsid w:val="427B210E"/>
    <w:rsid w:val="43210B39"/>
    <w:rsid w:val="436B7AC5"/>
    <w:rsid w:val="46E8F048"/>
    <w:rsid w:val="47D278D2"/>
    <w:rsid w:val="498840D4"/>
    <w:rsid w:val="49C85894"/>
    <w:rsid w:val="4A29D2C4"/>
    <w:rsid w:val="4D41EDD6"/>
    <w:rsid w:val="4DAE08F5"/>
    <w:rsid w:val="4E086939"/>
    <w:rsid w:val="5020415B"/>
    <w:rsid w:val="52532FFB"/>
    <w:rsid w:val="526B4EEA"/>
    <w:rsid w:val="528A5BD1"/>
    <w:rsid w:val="5433A1E0"/>
    <w:rsid w:val="55686923"/>
    <w:rsid w:val="56040630"/>
    <w:rsid w:val="56FCE8CC"/>
    <w:rsid w:val="57ACF08D"/>
    <w:rsid w:val="59079B0C"/>
    <w:rsid w:val="59996053"/>
    <w:rsid w:val="5B75F3F0"/>
    <w:rsid w:val="5CFC6A41"/>
    <w:rsid w:val="5DBE0AD7"/>
    <w:rsid w:val="61662D33"/>
    <w:rsid w:val="619877D1"/>
    <w:rsid w:val="632E5518"/>
    <w:rsid w:val="635AB383"/>
    <w:rsid w:val="645CC526"/>
    <w:rsid w:val="64A120AD"/>
    <w:rsid w:val="656DAB7C"/>
    <w:rsid w:val="660E7D3B"/>
    <w:rsid w:val="663796A8"/>
    <w:rsid w:val="66DC3B65"/>
    <w:rsid w:val="6780169E"/>
    <w:rsid w:val="6995A9B6"/>
    <w:rsid w:val="6A0C996D"/>
    <w:rsid w:val="6A7A1E9C"/>
    <w:rsid w:val="6A87B3A6"/>
    <w:rsid w:val="6AE17CD8"/>
    <w:rsid w:val="6C68C077"/>
    <w:rsid w:val="712C9101"/>
    <w:rsid w:val="7285D9BB"/>
    <w:rsid w:val="73288861"/>
    <w:rsid w:val="74DFE189"/>
    <w:rsid w:val="76BCB664"/>
    <w:rsid w:val="7888AECD"/>
    <w:rsid w:val="7971A393"/>
    <w:rsid w:val="79958A8C"/>
    <w:rsid w:val="7B9419E9"/>
    <w:rsid w:val="7C509F7E"/>
    <w:rsid w:val="7E8D5BD0"/>
    <w:rsid w:val="7EF200C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83D456"/>
  <w15:docId w15:val="{5738559D-DCF0-4452-8F08-68B798579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A43CFE"/>
    <w:pPr>
      <w:spacing w:after="120" w:line="280" w:lineRule="atLeast"/>
    </w:pPr>
    <w:rPr>
      <w:rFonts w:ascii="Arial" w:hAnsi="Arial"/>
      <w:sz w:val="21"/>
      <w:lang w:eastAsia="en-US"/>
    </w:rPr>
  </w:style>
  <w:style w:type="paragraph" w:styleId="Heading1">
    <w:name w:val="heading 1"/>
    <w:next w:val="Body"/>
    <w:link w:val="Heading1Char"/>
    <w:uiPriority w:val="1"/>
    <w:qFormat/>
    <w:rsid w:val="004C7ABD"/>
    <w:pPr>
      <w:keepNext/>
      <w:keepLines/>
      <w:spacing w:before="320" w:after="200" w:line="440" w:lineRule="atLeast"/>
      <w:outlineLvl w:val="0"/>
    </w:pPr>
    <w:rPr>
      <w:rFonts w:ascii="Arial" w:eastAsia="MS Gothic" w:hAnsi="Arial" w:cs="Arial"/>
      <w:bCs/>
      <w:color w:val="C5511A"/>
      <w:kern w:val="32"/>
      <w:sz w:val="40"/>
      <w:szCs w:val="40"/>
      <w:lang w:eastAsia="en-US"/>
    </w:rPr>
  </w:style>
  <w:style w:type="paragraph" w:styleId="Heading2">
    <w:name w:val="heading 2"/>
    <w:next w:val="Body"/>
    <w:link w:val="Heading2Char"/>
    <w:uiPriority w:val="1"/>
    <w:qFormat/>
    <w:rsid w:val="00315BD8"/>
    <w:pPr>
      <w:keepNext/>
      <w:keepLines/>
      <w:spacing w:before="240" w:after="9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1E0C5D"/>
    <w:pPr>
      <w:keepNext/>
      <w:keepLines/>
      <w:spacing w:before="280" w:after="120" w:line="310" w:lineRule="atLeast"/>
      <w:outlineLvl w:val="2"/>
    </w:pPr>
    <w:rPr>
      <w:rFonts w:ascii="Arial" w:eastAsia="MS Gothic" w:hAnsi="Arial"/>
      <w:bCs/>
      <w:color w:val="53565A"/>
      <w:sz w:val="27"/>
      <w:szCs w:val="26"/>
      <w:lang w:eastAsia="en-US"/>
    </w:rPr>
  </w:style>
  <w:style w:type="paragraph" w:styleId="Heading4">
    <w:name w:val="heading 4"/>
    <w:next w:val="Body"/>
    <w:link w:val="Heading4Char"/>
    <w:uiPriority w:val="1"/>
    <w:qFormat/>
    <w:rsid w:val="001E0C5D"/>
    <w:pPr>
      <w:keepNext/>
      <w:keepLines/>
      <w:spacing w:before="240" w:after="12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qFormat/>
    <w:rsid w:val="00A43CFE"/>
    <w:pPr>
      <w:keepNext/>
      <w:keepLines/>
      <w:spacing w:before="240" w:after="60" w:line="240" w:lineRule="atLeast"/>
      <w:outlineLvl w:val="4"/>
    </w:pPr>
    <w:rPr>
      <w:rFonts w:eastAsia="MS Mincho"/>
      <w:b/>
      <w:bCs/>
      <w:iC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4C7ABD"/>
    <w:rPr>
      <w:rFonts w:ascii="Arial" w:eastAsia="MS Gothic" w:hAnsi="Arial" w:cs="Arial"/>
      <w:bCs/>
      <w:color w:val="C5511A"/>
      <w:kern w:val="32"/>
      <w:sz w:val="40"/>
      <w:szCs w:val="40"/>
      <w:lang w:eastAsia="en-US"/>
    </w:rPr>
  </w:style>
  <w:style w:type="character" w:customStyle="1" w:styleId="Heading2Char">
    <w:name w:val="Heading 2 Char"/>
    <w:link w:val="Heading2"/>
    <w:uiPriority w:val="1"/>
    <w:rsid w:val="00315BD8"/>
    <w:rPr>
      <w:rFonts w:ascii="Arial" w:hAnsi="Arial"/>
      <w:b/>
      <w:color w:val="53565A"/>
      <w:sz w:val="32"/>
      <w:szCs w:val="28"/>
      <w:lang w:eastAsia="en-US"/>
    </w:rPr>
  </w:style>
  <w:style w:type="character" w:customStyle="1" w:styleId="Heading3Char">
    <w:name w:val="Heading 3 Char"/>
    <w:link w:val="Heading3"/>
    <w:uiPriority w:val="1"/>
    <w:rsid w:val="001E0C5D"/>
    <w:rPr>
      <w:rFonts w:ascii="Arial" w:eastAsia="MS Gothic" w:hAnsi="Arial"/>
      <w:bCs/>
      <w:color w:val="53565A"/>
      <w:sz w:val="27"/>
      <w:szCs w:val="26"/>
      <w:lang w:eastAsia="en-US"/>
    </w:rPr>
  </w:style>
  <w:style w:type="character" w:customStyle="1" w:styleId="Heading4Char">
    <w:name w:val="Heading 4 Char"/>
    <w:link w:val="Heading4"/>
    <w:uiPriority w:val="1"/>
    <w:rsid w:val="001E0C5D"/>
    <w:rPr>
      <w:rFonts w:ascii="Arial" w:eastAsia="MS Mincho" w:hAnsi="Arial"/>
      <w:b/>
      <w:bCs/>
      <w:color w:val="53565A"/>
      <w:sz w:val="24"/>
      <w:szCs w:val="22"/>
      <w:lang w:eastAsia="en-US"/>
    </w:rPr>
  </w:style>
  <w:style w:type="paragraph" w:styleId="Header">
    <w:name w:val="header"/>
    <w:basedOn w:val="Normal"/>
    <w:uiPriority w:val="10"/>
    <w:rsid w:val="00855920"/>
    <w:pPr>
      <w:spacing w:after="300" w:line="240" w:lineRule="auto"/>
    </w:pPr>
    <w:rPr>
      <w:rFonts w:cs="Arial"/>
      <w:b/>
      <w:color w:val="53565A"/>
      <w:sz w:val="18"/>
      <w:szCs w:val="18"/>
    </w:rPr>
  </w:style>
  <w:style w:type="paragraph" w:styleId="Footer">
    <w:name w:val="footer"/>
    <w:uiPriority w:val="8"/>
    <w:rsid w:val="00373890"/>
    <w:pPr>
      <w:spacing w:before="300"/>
      <w:jc w:val="right"/>
    </w:pPr>
    <w:rPr>
      <w:rFonts w:ascii="Arial" w:hAnsi="Arial" w:cs="Arial"/>
      <w:szCs w:val="18"/>
      <w:lang w:eastAsia="en-US"/>
    </w:rPr>
  </w:style>
  <w:style w:type="character" w:styleId="FollowedHyperlink">
    <w:name w:val="FollowedHyperlink"/>
    <w:uiPriority w:val="99"/>
    <w:rsid w:val="001E0C5D"/>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2365B4"/>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46C92"/>
    <w:pPr>
      <w:keepNext/>
      <w:keepLines/>
      <w:tabs>
        <w:tab w:val="right" w:leader="dot" w:pos="10206"/>
      </w:tabs>
      <w:spacing w:before="160" w:after="60"/>
    </w:pPr>
    <w:rPr>
      <w:b/>
      <w:noProof/>
    </w:rPr>
  </w:style>
  <w:style w:type="character" w:customStyle="1" w:styleId="Heading5Char">
    <w:name w:val="Heading 5 Char"/>
    <w:link w:val="Heading5"/>
    <w:uiPriority w:val="9"/>
    <w:rsid w:val="00A43CFE"/>
    <w:rPr>
      <w:rFonts w:ascii="Arial" w:eastAsia="MS Mincho" w:hAnsi="Arial"/>
      <w:b/>
      <w:bCs/>
      <w:iCs/>
      <w:color w:val="000000" w:themeColor="text1"/>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3B5733"/>
    <w:pPr>
      <w:spacing w:before="480" w:after="200" w:line="330" w:lineRule="atLeast"/>
      <w:outlineLvl w:val="9"/>
    </w:pPr>
    <w:rPr>
      <w:sz w:val="29"/>
    </w:rPr>
  </w:style>
  <w:style w:type="character" w:customStyle="1" w:styleId="TOCheadingfactsheetChar">
    <w:name w:val="TOC heading fact sheet Char"/>
    <w:link w:val="TOCheadingfactsheet"/>
    <w:uiPriority w:val="4"/>
    <w:rsid w:val="003B5733"/>
    <w:rPr>
      <w:rFonts w:ascii="Arial" w:hAnsi="Arial"/>
      <w:b/>
      <w:color w:val="53565A"/>
      <w:sz w:val="29"/>
      <w:szCs w:val="28"/>
      <w:lang w:eastAsia="en-US"/>
    </w:rPr>
  </w:style>
  <w:style w:type="paragraph" w:styleId="TOC2">
    <w:name w:val="toc 2"/>
    <w:basedOn w:val="Normal"/>
    <w:next w:val="Normal"/>
    <w:uiPriority w:val="39"/>
    <w:rsid w:val="00D46C92"/>
    <w:pPr>
      <w:keepLines/>
      <w:tabs>
        <w:tab w:val="right" w:leader="dot" w:pos="10206"/>
      </w:tabs>
      <w:spacing w:after="60"/>
    </w:pPr>
    <w:rPr>
      <w:noProof/>
    </w:rPr>
  </w:style>
  <w:style w:type="paragraph" w:styleId="TOC3">
    <w:name w:val="toc 3"/>
    <w:basedOn w:val="Normal"/>
    <w:next w:val="Normal"/>
    <w:uiPriority w:val="39"/>
    <w:rsid w:val="00D46C92"/>
    <w:pPr>
      <w:keepLines/>
      <w:tabs>
        <w:tab w:val="right" w:leader="dot" w:pos="10206"/>
      </w:tabs>
      <w:spacing w:after="60"/>
      <w:ind w:left="284"/>
    </w:pPr>
    <w:rPr>
      <w:rFonts w:cs="Arial"/>
    </w:rPr>
  </w:style>
  <w:style w:type="paragraph" w:styleId="TOC4">
    <w:name w:val="toc 4"/>
    <w:basedOn w:val="TOC3"/>
    <w:uiPriority w:val="39"/>
    <w:rsid w:val="00D46C92"/>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basedOn w:val="Spacerparatopoffirstpage"/>
    <w:uiPriority w:val="5"/>
    <w:rsid w:val="00EC40D5"/>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4A4195"/>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C7ABD"/>
    <w:pPr>
      <w:spacing w:after="240" w:line="560" w:lineRule="atLeast"/>
    </w:pPr>
    <w:rPr>
      <w:rFonts w:ascii="Arial" w:hAnsi="Arial"/>
      <w:b/>
      <w:color w:val="C5511A"/>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3B5733"/>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8E7B4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8E7B4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8E7B49"/>
    <w:pPr>
      <w:numPr>
        <w:numId w:val="9"/>
      </w:numPr>
    </w:pPr>
  </w:style>
  <w:style w:type="numbering" w:customStyle="1" w:styleId="ZZTablebullets">
    <w:name w:val="ZZ Table bullets"/>
    <w:basedOn w:val="NoList"/>
    <w:rsid w:val="008E7B49"/>
    <w:pPr>
      <w:numPr>
        <w:numId w:val="9"/>
      </w:numPr>
    </w:pPr>
  </w:style>
  <w:style w:type="paragraph" w:customStyle="1" w:styleId="Tablecolhead">
    <w:name w:val="Table col head"/>
    <w:uiPriority w:val="3"/>
    <w:qFormat/>
    <w:rsid w:val="001E0C5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101001"/>
    <w:pPr>
      <w:numPr>
        <w:ilvl w:val="2"/>
        <w:numId w:val="2"/>
      </w:numPr>
    </w:pPr>
  </w:style>
  <w:style w:type="character" w:styleId="Hyperlink">
    <w:name w:val="Hyperlink"/>
    <w:uiPriority w:val="99"/>
    <w:rsid w:val="001E0C5D"/>
    <w:rPr>
      <w:color w:val="004C97"/>
      <w:u w:val="dotted"/>
    </w:rPr>
  </w:style>
  <w:style w:type="paragraph" w:customStyle="1" w:styleId="Documentsubtitle">
    <w:name w:val="Document subtitle"/>
    <w:uiPriority w:val="8"/>
    <w:rsid w:val="003B5733"/>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7"/>
      </w:numPr>
    </w:pPr>
  </w:style>
  <w:style w:type="numbering" w:customStyle="1" w:styleId="ZZNumbersdigit">
    <w:name w:val="ZZ Numbers digit"/>
    <w:rsid w:val="00101001"/>
    <w:pPr>
      <w:numPr>
        <w:numId w:val="2"/>
      </w:numPr>
    </w:pPr>
  </w:style>
  <w:style w:type="numbering" w:customStyle="1" w:styleId="ZZQuotebullets">
    <w:name w:val="ZZ Quote bullets"/>
    <w:basedOn w:val="ZZNumbersdigit"/>
    <w:rsid w:val="008E7B49"/>
    <w:pPr>
      <w:numPr>
        <w:numId w:val="11"/>
      </w:numPr>
    </w:pPr>
  </w:style>
  <w:style w:type="paragraph" w:customStyle="1" w:styleId="Numberdigit">
    <w:name w:val="Number digit"/>
    <w:basedOn w:val="Body"/>
    <w:uiPriority w:val="2"/>
    <w:rsid w:val="00857C5A"/>
    <w:pPr>
      <w:numPr>
        <w:numId w:val="2"/>
      </w:numPr>
    </w:pPr>
  </w:style>
  <w:style w:type="paragraph" w:customStyle="1" w:styleId="Numberloweralphaindent">
    <w:name w:val="Number lower alpha indent"/>
    <w:basedOn w:val="Body"/>
    <w:uiPriority w:val="3"/>
    <w:rsid w:val="00721CFB"/>
    <w:pPr>
      <w:numPr>
        <w:ilvl w:val="1"/>
        <w:numId w:val="20"/>
      </w:numPr>
    </w:pPr>
  </w:style>
  <w:style w:type="paragraph" w:customStyle="1" w:styleId="Numberdigitindent">
    <w:name w:val="Number digit indent"/>
    <w:basedOn w:val="Numberloweralphaindent"/>
    <w:uiPriority w:val="3"/>
    <w:rsid w:val="00101001"/>
    <w:pPr>
      <w:numPr>
        <w:numId w:val="2"/>
      </w:numPr>
    </w:pPr>
  </w:style>
  <w:style w:type="paragraph" w:customStyle="1" w:styleId="Numberloweralpha">
    <w:name w:val="Number lower alpha"/>
    <w:basedOn w:val="Body"/>
    <w:uiPriority w:val="3"/>
    <w:rsid w:val="00721CFB"/>
    <w:pPr>
      <w:numPr>
        <w:numId w:val="20"/>
      </w:numPr>
    </w:pPr>
  </w:style>
  <w:style w:type="paragraph" w:customStyle="1" w:styleId="Numberlowerroman">
    <w:name w:val="Number lower roman"/>
    <w:basedOn w:val="Body"/>
    <w:uiPriority w:val="3"/>
    <w:rsid w:val="00721CFB"/>
    <w:pPr>
      <w:numPr>
        <w:numId w:val="13"/>
      </w:numPr>
    </w:pPr>
  </w:style>
  <w:style w:type="paragraph" w:customStyle="1" w:styleId="Numberlowerromanindent">
    <w:name w:val="Number lower roman indent"/>
    <w:basedOn w:val="Body"/>
    <w:uiPriority w:val="3"/>
    <w:rsid w:val="00721CFB"/>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101001"/>
    <w:pPr>
      <w:numPr>
        <w:ilvl w:val="3"/>
        <w:numId w:val="2"/>
      </w:numPr>
    </w:pPr>
  </w:style>
  <w:style w:type="numbering" w:customStyle="1" w:styleId="ZZNumberslowerroman">
    <w:name w:val="ZZ Numbers lower roman"/>
    <w:basedOn w:val="ZZQuotebullets"/>
    <w:rsid w:val="00721CFB"/>
    <w:pPr>
      <w:numPr>
        <w:numId w:val="13"/>
      </w:numPr>
    </w:pPr>
  </w:style>
  <w:style w:type="numbering" w:customStyle="1" w:styleId="ZZNumbersloweralpha">
    <w:name w:val="ZZ Numbers lower alpha"/>
    <w:basedOn w:val="NoList"/>
    <w:rsid w:val="00721CFB"/>
    <w:pPr>
      <w:numPr>
        <w:numId w:val="20"/>
      </w:numPr>
    </w:pPr>
  </w:style>
  <w:style w:type="paragraph" w:customStyle="1" w:styleId="Quotebullet1">
    <w:name w:val="Quote bullet 1"/>
    <w:basedOn w:val="Quotetext"/>
    <w:rsid w:val="008E7B49"/>
    <w:pPr>
      <w:numPr>
        <w:numId w:val="11"/>
      </w:numPr>
    </w:pPr>
  </w:style>
  <w:style w:type="paragraph" w:customStyle="1" w:styleId="Quotebullet2">
    <w:name w:val="Quote bullet 2"/>
    <w:basedOn w:val="Quotetext"/>
    <w:rsid w:val="008E7B4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3B573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BC3E8F"/>
    <w:pPr>
      <w:spacing w:after="60" w:line="270" w:lineRule="atLeast"/>
    </w:pPr>
    <w:rPr>
      <w:color w:val="000000" w:themeColor="text1"/>
      <w:sz w:val="20"/>
    </w:rPr>
  </w:style>
  <w:style w:type="paragraph" w:customStyle="1" w:styleId="Introtext">
    <w:name w:val="Intro text"/>
    <w:basedOn w:val="Body"/>
    <w:uiPriority w:val="11"/>
    <w:rsid w:val="004C7ABD"/>
    <w:pPr>
      <w:spacing w:line="320" w:lineRule="atLeast"/>
    </w:pPr>
    <w:rPr>
      <w:color w:val="C5511A"/>
      <w:sz w:val="24"/>
    </w:rPr>
  </w:style>
  <w:style w:type="character" w:styleId="Mention">
    <w:name w:val="Mention"/>
    <w:basedOn w:val="DefaultParagraphFont"/>
    <w:uiPriority w:val="99"/>
    <w:unhideWhenUsed/>
    <w:rsid w:val="00C01871"/>
    <w:rPr>
      <w:color w:val="2B579A"/>
      <w:shd w:val="clear" w:color="auto" w:fill="E1DFDD"/>
    </w:rPr>
  </w:style>
  <w:style w:type="paragraph" w:styleId="NormalWeb">
    <w:name w:val="Normal (Web)"/>
    <w:basedOn w:val="Normal"/>
    <w:uiPriority w:val="99"/>
    <w:semiHidden/>
    <w:unhideWhenUsed/>
    <w:rsid w:val="0077520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Ecadsintake@easternhealth.org.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pharmacotherapy@health.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PHCreferrals@monashhealth.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outhcityclinic@alfred.org.au" TargetMode="External"/><Relationship Id="rId20" Type="http://schemas.openxmlformats.org/officeDocument/2006/relationships/hyperlink" Target="mailto:GVADSReferrals@gvhealth.org.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https://www.health.vic.gov.au/sublocade-discontinuation" TargetMode="External"/><Relationship Id="rId10" Type="http://schemas.openxmlformats.org/officeDocument/2006/relationships/endnotes" Target="endnotes.xml"/><Relationship Id="rId19" Type="http://schemas.openxmlformats.org/officeDocument/2006/relationships/hyperlink" Target="mailto:nwmrpharmacotherapynetwork@cohealth.org.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pharmacotherapy@health.vic.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health.nsw.gov.au/aod/Pages/nsw-clinical-guidelines-opioid.aspx" TargetMode="External"/><Relationship Id="rId2" Type="http://schemas.openxmlformats.org/officeDocument/2006/relationships/hyperlink" Target="https://www.health.nsw.gov.au/aod/Publications/laib.pdf" TargetMode="External"/><Relationship Id="rId1" Type="http://schemas.openxmlformats.org/officeDocument/2006/relationships/hyperlink" Target="https://www.health.nsw.gov.au/aod/Publications/lai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f43d48-83d1-4cc5-8354-567fc18d73e0" xsi:nil="true"/>
    <lcf76f155ced4ddcb4097134ff3c332f xmlns="19f7974c-0c34-49f0-9a2d-d02be9954bd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38F618E9F59464DBF3F0BF993FA354C" ma:contentTypeVersion="14" ma:contentTypeDescription="Create a new document." ma:contentTypeScope="" ma:versionID="5c8fa7d76531734f0373c93d0d0fd31c">
  <xsd:schema xmlns:xsd="http://www.w3.org/2001/XMLSchema" xmlns:xs="http://www.w3.org/2001/XMLSchema" xmlns:p="http://schemas.microsoft.com/office/2006/metadata/properties" xmlns:ns2="19f7974c-0c34-49f0-9a2d-d02be9954bd9" xmlns:ns3="62f43d48-83d1-4cc5-8354-567fc18d73e0" targetNamespace="http://schemas.microsoft.com/office/2006/metadata/properties" ma:root="true" ma:fieldsID="4164488a54a0bd666e9cc39137570c8d" ns2:_="" ns3:_="">
    <xsd:import namespace="19f7974c-0c34-49f0-9a2d-d02be9954bd9"/>
    <xsd:import namespace="62f43d48-83d1-4cc5-8354-567fc18d73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7974c-0c34-49f0-9a2d-d02be9954b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f43d48-83d1-4cc5-8354-567fc18d73e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add1658-900d-4f72-aa14-05b15e1c86d5}" ma:internalName="TaxCatchAll" ma:showField="CatchAllData" ma:web="62f43d48-83d1-4cc5-8354-567fc18d73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62f43d48-83d1-4cc5-8354-567fc18d73e0"/>
    <ds:schemaRef ds:uri="19f7974c-0c34-49f0-9a2d-d02be9954bd9"/>
  </ds:schemaRefs>
</ds:datastoreItem>
</file>

<file path=customXml/itemProps2.xml><?xml version="1.0" encoding="utf-8"?>
<ds:datastoreItem xmlns:ds="http://schemas.openxmlformats.org/officeDocument/2006/customXml" ds:itemID="{D3D053C6-3833-41EC-B2D5-C27F208B85D1}">
  <ds:schemaRefs>
    <ds:schemaRef ds:uri="http://schemas.openxmlformats.org/officeDocument/2006/bibliography"/>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3630F0F0-5675-4845-8AA4-313E6B04D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7974c-0c34-49f0-9a2d-d02be9954bd9"/>
    <ds:schemaRef ds:uri="62f43d48-83d1-4cc5-8354-567fc18d73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3226</Words>
  <Characters>18391</Characters>
  <Application>Microsoft Office Word</Application>
  <DocSecurity>2</DocSecurity>
  <Lines>153</Lines>
  <Paragraphs>43</Paragraphs>
  <ScaleCrop>false</ScaleCrop>
  <HeadingPairs>
    <vt:vector size="2" baseType="variant">
      <vt:variant>
        <vt:lpstr>Title</vt:lpstr>
      </vt:variant>
      <vt:variant>
        <vt:i4>1</vt:i4>
      </vt:variant>
    </vt:vector>
  </HeadingPairs>
  <TitlesOfParts>
    <vt:vector size="1" baseType="lpstr">
      <vt:lpstr>Sublocade Discontinuation Victorian Guidance</vt:lpstr>
    </vt:vector>
  </TitlesOfParts>
  <Manager/>
  <Company>Victoria State Government, Department of Health</Company>
  <LinksUpToDate>false</LinksUpToDate>
  <CharactersWithSpaces>21574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Sublocade Discontinuation Victorian Guidance</dc:title>
  <dc:subject/>
  <dc:creator>Pharmacotherapy team</dc:creator>
  <cp:keywords/>
  <dc:description/>
  <cp:lastModifiedBy>Tyler McPherson (Health)</cp:lastModifiedBy>
  <cp:revision>2</cp:revision>
  <cp:lastPrinted>2020-03-30T03:28:00Z</cp:lastPrinted>
  <dcterms:created xsi:type="dcterms:W3CDTF">2026-09-03T03:25:00Z</dcterms:created>
  <dcterms:modified xsi:type="dcterms:W3CDTF">2026-09-03T03:25:00Z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0x010100838F618E9F59464DBF3F0BF993FA354C</vt:lpwstr>
  </property>
  <property fmtid="{D5CDD505-2E9C-101B-9397-08002B2CF9AE}" pid="4" name="version">
    <vt:lpwstr>v5 15032021</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TemplateVersion">
    <vt:i4>1</vt:i4>
  </property>
  <property fmtid="{D5CDD505-2E9C-101B-9397-08002B2CF9AE}" pid="9" name="Category">
    <vt:lpwstr>Factsheet</vt:lpwstr>
  </property>
  <property fmtid="{D5CDD505-2E9C-101B-9397-08002B2CF9AE}" pid="10" name="xd_Signature">
    <vt:bool>false</vt:bool>
  </property>
  <property fmtid="{D5CDD505-2E9C-101B-9397-08002B2CF9AE}" pid="11" name="WebPage">
    <vt:lpwstr>https://dhhsvicgovau.sharepoint.com/:w:/s/health/EfWE1MaM091KmQAbxOV76oQBjlKVGGXZ-KGB_8f7MHqinw, https://dhhsvicgovau.sharepoint.com/:w:/s/health/EfWE1MaM091KmQAbxOV76oQBjlKVGGXZ-KGB_8f7MHqinw</vt:lpwstr>
  </property>
  <property fmtid="{D5CDD505-2E9C-101B-9397-08002B2CF9AE}" pid="12" name="Days before next review">
    <vt:r8>365</vt:r8>
  </property>
  <property fmtid="{D5CDD505-2E9C-101B-9397-08002B2CF9AE}" pid="13" name="_ExtendedDescription">
    <vt:lpwstr/>
  </property>
  <property fmtid="{D5CDD505-2E9C-101B-9397-08002B2CF9AE}" pid="14" name="Tags">
    <vt:lpwstr>17;#Templates|74cf097d-f69e-47d4-ab23-b0e64f517102</vt:lpwstr>
  </property>
  <property fmtid="{D5CDD505-2E9C-101B-9397-08002B2CF9AE}" pid="15" name="MSIP_Label_43e64453-338c-4f93-8a4d-0039a0a41f2a_Enabled">
    <vt:lpwstr>true</vt:lpwstr>
  </property>
  <property fmtid="{D5CDD505-2E9C-101B-9397-08002B2CF9AE}" pid="16" name="MSIP_Label_43e64453-338c-4f93-8a4d-0039a0a41f2a_SetDate">
    <vt:lpwstr>2022-10-05T04:43:23Z</vt:lpwstr>
  </property>
  <property fmtid="{D5CDD505-2E9C-101B-9397-08002B2CF9AE}" pid="17" name="MSIP_Label_43e64453-338c-4f93-8a4d-0039a0a41f2a_Method">
    <vt:lpwstr>Privileged</vt:lpwstr>
  </property>
  <property fmtid="{D5CDD505-2E9C-101B-9397-08002B2CF9AE}" pid="18" name="MSIP_Label_43e64453-338c-4f93-8a4d-0039a0a41f2a_Name">
    <vt:lpwstr>43e64453-338c-4f93-8a4d-0039a0a41f2a</vt:lpwstr>
  </property>
  <property fmtid="{D5CDD505-2E9C-101B-9397-08002B2CF9AE}" pid="19" name="MSIP_Label_43e64453-338c-4f93-8a4d-0039a0a41f2a_SiteId">
    <vt:lpwstr>c0e0601f-0fac-449c-9c88-a104c4eb9f28</vt:lpwstr>
  </property>
  <property fmtid="{D5CDD505-2E9C-101B-9397-08002B2CF9AE}" pid="20" name="MSIP_Label_43e64453-338c-4f93-8a4d-0039a0a41f2a_ActionId">
    <vt:lpwstr>31e88003-2e60-4338-9274-0a23fd88171a</vt:lpwstr>
  </property>
  <property fmtid="{D5CDD505-2E9C-101B-9397-08002B2CF9AE}" pid="21" name="MSIP_Label_43e64453-338c-4f93-8a4d-0039a0a41f2a_ContentBits">
    <vt:lpwstr>2</vt:lpwstr>
  </property>
  <property fmtid="{D5CDD505-2E9C-101B-9397-08002B2CF9AE}" pid="22" name="MediaServiceImageTags">
    <vt:lpwstr/>
  </property>
  <property fmtid="{D5CDD505-2E9C-101B-9397-08002B2CF9AE}" pid="23" name="docLang">
    <vt:lpwstr>en</vt:lpwstr>
  </property>
</Properties>
</file>