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Pr="00E70B3A" w:rsidR="00056EC4" w:rsidP="00056EC4" w:rsidRDefault="00D70851" w14:paraId="2C6DD220" w14:textId="43E225B6">
      <w:pPr>
        <w:pStyle w:val="Body"/>
        <w:rPr>
          <w:rFonts w:cs="Arial"/>
        </w:rPr>
      </w:pPr>
      <w:r w:rsidRPr="00E70B3A">
        <w:rPr>
          <w:rFonts w:cs="Arial"/>
          <w:noProof/>
        </w:rPr>
        <w:softHyphen/>
      </w:r>
    </w:p>
    <w:tbl>
      <w:tblPr>
        <w:tblStyle w:val="TableGrid"/>
        <w:tblW w:w="929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600" w:firstRow="0" w:lastRow="0" w:firstColumn="0" w:lastColumn="0" w:noHBand="1" w:noVBand="1"/>
      </w:tblPr>
      <w:tblGrid>
        <w:gridCol w:w="9299"/>
      </w:tblGrid>
      <w:tr w:rsidRPr="00E70B3A" w:rsidR="00552EB9" w:rsidTr="00431F42" w14:paraId="2E41B3D7" w14:textId="77777777">
        <w:trPr>
          <w:cantSplit/>
        </w:trPr>
        <w:tc>
          <w:tcPr>
            <w:tcW w:w="0" w:type="auto"/>
            <w:tcMar>
              <w:top w:w="0" w:type="dxa"/>
              <w:left w:w="0" w:type="dxa"/>
              <w:right w:w="0" w:type="dxa"/>
            </w:tcMar>
          </w:tcPr>
          <w:p w:rsidRPr="00E70B3A" w:rsidR="00AD784C" w:rsidP="00D70851" w:rsidRDefault="003D1BFB" w14:paraId="0C22CDE6" w14:textId="37D9AC24">
            <w:pPr>
              <w:pStyle w:val="Documenttitle"/>
              <w:rPr>
                <w:rFonts w:cs="Arial"/>
              </w:rPr>
            </w:pPr>
            <w:r w:rsidRPr="00E70B3A">
              <w:rPr>
                <w:rFonts w:cs="Arial"/>
              </w:rPr>
              <w:t xml:space="preserve">Victorian Health Services Performance Monitoring Framework 2026-27 </w:t>
            </w:r>
          </w:p>
        </w:tc>
      </w:tr>
      <w:tr w:rsidRPr="00E70B3A" w:rsidR="00552EB9" w:rsidTr="00431F42" w14:paraId="0B798617" w14:textId="77777777">
        <w:trPr>
          <w:cantSplit/>
        </w:trPr>
        <w:tc>
          <w:tcPr>
            <w:tcW w:w="0" w:type="auto"/>
          </w:tcPr>
          <w:p w:rsidRPr="00E70B3A" w:rsidR="00386109" w:rsidP="009315BE" w:rsidRDefault="00386109" w14:paraId="299D1D4B" w14:textId="17F8D411">
            <w:pPr>
              <w:pStyle w:val="Documentsubtitle"/>
              <w:rPr>
                <w:rFonts w:cs="Arial"/>
              </w:rPr>
            </w:pPr>
          </w:p>
        </w:tc>
      </w:tr>
      <w:tr w:rsidRPr="00E70B3A" w:rsidR="00552EB9" w:rsidTr="00431F42" w14:paraId="087BF417" w14:textId="77777777">
        <w:trPr>
          <w:cantSplit/>
        </w:trPr>
        <w:tc>
          <w:tcPr>
            <w:tcW w:w="0" w:type="auto"/>
          </w:tcPr>
          <w:p w:rsidRPr="00E70B3A" w:rsidR="00430393" w:rsidP="00430393" w:rsidRDefault="00D70851" w14:paraId="5019CA8A" w14:textId="77777777">
            <w:pPr>
              <w:pStyle w:val="Bannermarking"/>
              <w:rPr>
                <w:rFonts w:cs="Arial"/>
              </w:rPr>
            </w:pPr>
            <w:r w:rsidRPr="00E70B3A">
              <w:rPr>
                <w:rFonts w:cs="Arial"/>
              </w:rPr>
              <w:fldChar w:fldCharType="begin"/>
            </w:r>
            <w:r w:rsidRPr="00E70B3A">
              <w:rPr>
                <w:rFonts w:cs="Arial"/>
              </w:rPr>
              <w:instrText xml:space="preserve"> FILLIN  "Type the protective marking" \d OFFICIAL \o  \* MERGEFORMAT </w:instrText>
            </w:r>
            <w:r w:rsidRPr="00E70B3A">
              <w:rPr>
                <w:rFonts w:cs="Arial"/>
              </w:rPr>
              <w:fldChar w:fldCharType="separate"/>
            </w:r>
            <w:r w:rsidRPr="00E70B3A">
              <w:rPr>
                <w:rFonts w:cs="Arial"/>
              </w:rPr>
              <w:t>OFFICIAL</w:t>
            </w:r>
            <w:r w:rsidRPr="00E70B3A">
              <w:rPr>
                <w:rFonts w:cs="Arial"/>
              </w:rPr>
              <w:fldChar w:fldCharType="end"/>
            </w:r>
          </w:p>
        </w:tc>
      </w:tr>
    </w:tbl>
    <w:p w:rsidRPr="00E70B3A" w:rsidR="00FE4081" w:rsidP="00FE4081" w:rsidRDefault="00FE4081" w14:paraId="164FD5AC" w14:textId="77777777">
      <w:pPr>
        <w:pStyle w:val="Body"/>
        <w:rPr>
          <w:rFonts w:cs="Arial"/>
        </w:rPr>
      </w:pPr>
    </w:p>
    <w:p w:rsidRPr="00E70B3A" w:rsidR="00FE4081" w:rsidP="00FE4081" w:rsidRDefault="00FE4081" w14:paraId="0FC4ED9F" w14:textId="77777777">
      <w:pPr>
        <w:pStyle w:val="Body"/>
        <w:rPr>
          <w:rFonts w:cs="Arial"/>
        </w:rPr>
        <w:sectPr w:rsidRPr="00E70B3A" w:rsidR="00FE4081" w:rsidSect="002C5B7C">
          <w:headerReference w:type="even" r:id="rId11"/>
          <w:headerReference w:type="default" r:id="rId12"/>
          <w:footerReference w:type="even" r:id="rId13"/>
          <w:footerReference w:type="default" r:id="rId14"/>
          <w:headerReference w:type="first" r:id="rId15"/>
          <w:footerReference w:type="first" r:id="rId16"/>
          <w:type w:val="continuous"/>
          <w:pgSz w:w="11906" w:h="16838" w:orient="portrait" w:code="9"/>
          <w:pgMar w:top="3969" w:right="1304" w:bottom="1418" w:left="1304" w:header="680" w:footer="851" w:gutter="0"/>
          <w:cols w:space="340"/>
          <w:docGrid w:linePitch="360"/>
        </w:sectPr>
      </w:pPr>
    </w:p>
    <w:p w:rsidRPr="00E70B3A" w:rsidR="00431F42" w:rsidP="00496D81" w:rsidRDefault="005343A0" w14:paraId="53817413" w14:textId="07ED04F7">
      <w:pPr>
        <w:pStyle w:val="Body"/>
        <w:rPr>
          <w:rFonts w:cs="Arial"/>
        </w:rPr>
      </w:pPr>
      <w:r w:rsidRPr="00E70B3A">
        <w:rPr>
          <w:rFonts w:eastAsia="Times New Roman" w:cs="Arial"/>
          <w:noProof/>
          <w:color w:val="87189D"/>
          <w:sz w:val="24"/>
          <w:szCs w:val="24"/>
        </w:rPr>
        <w:drawing>
          <wp:inline distT="0" distB="0" distL="0" distR="0" wp14:anchorId="2AE41EFF" wp14:editId="712365F4">
            <wp:extent cx="4775200" cy="2921000"/>
            <wp:effectExtent l="0" t="0" r="6350" b="0"/>
            <wp:docPr id="121741532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415329" name="Picture 3">
                      <a:extLst>
                        <a:ext uri="{C183D7F6-B498-43B3-948B-1728B52AA6E4}">
                          <adec:decorative xmlns:adec="http://schemas.microsoft.com/office/drawing/2017/decorative" val="1"/>
                        </a:ext>
                      </a:extLst>
                    </pic:cNvPr>
                    <pic:cNvPicPr/>
                  </pic:nvPicPr>
                  <pic:blipFill>
                    <a:blip r:embed="rId17"/>
                    <a:stretch>
                      <a:fillRect/>
                    </a:stretch>
                  </pic:blipFill>
                  <pic:spPr>
                    <a:xfrm>
                      <a:off x="0" y="0"/>
                      <a:ext cx="4775200" cy="2921000"/>
                    </a:xfrm>
                    <a:prstGeom prst="rect">
                      <a:avLst/>
                    </a:prstGeom>
                  </pic:spPr>
                </pic:pic>
              </a:graphicData>
            </a:graphic>
          </wp:inline>
        </w:drawing>
      </w:r>
    </w:p>
    <w:p w:rsidRPr="00E70B3A" w:rsidR="000D2ABA" w:rsidP="00431F42" w:rsidRDefault="000D2ABA" w14:paraId="13B14B3B" w14:textId="6F3F0CA9">
      <w:pPr>
        <w:pStyle w:val="Body"/>
        <w:rPr>
          <w:rFonts w:cs="Arial"/>
        </w:rPr>
      </w:pPr>
    </w:p>
    <w:p w:rsidRPr="00E70B3A" w:rsidR="009F2182" w:rsidP="009F2182" w:rsidRDefault="009F2182" w14:paraId="139FE1E4" w14:textId="77777777">
      <w:pPr>
        <w:pStyle w:val="Body"/>
        <w:rPr>
          <w:rFonts w:cs="Arial"/>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600" w:firstRow="0" w:lastRow="0" w:firstColumn="0" w:lastColumn="0" w:noHBand="1" w:noVBand="1"/>
      </w:tblPr>
      <w:tblGrid>
        <w:gridCol w:w="9070"/>
      </w:tblGrid>
      <w:tr w:rsidRPr="00E70B3A" w:rsidR="00773E74" w:rsidTr="00380D49" w14:paraId="3AC71DB3" w14:textId="77777777">
        <w:trPr>
          <w:cantSplit/>
        </w:trPr>
        <w:tc>
          <w:tcPr>
            <w:tcW w:w="9288" w:type="dxa"/>
            <w:shd w:val="clear" w:color="auto" w:fill="DBE5F1" w:themeFill="accent1" w:themeFillTint="33"/>
          </w:tcPr>
          <w:p w:rsidRPr="00107B30" w:rsidR="00380D49" w:rsidP="00107B30" w:rsidRDefault="00380D49" w14:paraId="5EC4B0FF" w14:textId="6F2A787F">
            <w:pPr>
              <w:pStyle w:val="Body"/>
            </w:pPr>
            <w:r w:rsidRPr="00107B30">
              <w:t>The Victorian Government proudly acknowledges Victoria’s Aboriginal and Torres Strait Islander communities and their rich cultures and pays respect to their Elders past and present. We acknowledge Aboriginal and Torres Strait Islander Peoples as Australia’s First Peoples and as custodians of the land and water on which we live, work and play. We recogni</w:t>
            </w:r>
            <w:r w:rsidR="00FE03CC">
              <w:t>s</w:t>
            </w:r>
            <w:r w:rsidRPr="00107B30">
              <w:t>e and value the ongoing contribution of Aboriginal and Torres Strait Islander people and communities to Victorian life and how this enriches our society more broadly. We embrace self-determination and reconciliation, working towards equality of outcomes and ensuring an equitable voice.</w:t>
            </w:r>
          </w:p>
        </w:tc>
      </w:tr>
      <w:tr w:rsidRPr="00E70B3A" w:rsidR="00773E74" w:rsidTr="00380D49" w14:paraId="6AF6171B" w14:textId="77777777">
        <w:trPr>
          <w:cantSplit/>
        </w:trPr>
        <w:tc>
          <w:tcPr>
            <w:tcW w:w="9288" w:type="dxa"/>
          </w:tcPr>
          <w:p w:rsidRPr="00E70B3A" w:rsidR="00380D49" w:rsidP="00107B30" w:rsidRDefault="00380D49" w14:paraId="2E9A7BC5" w14:textId="77777777">
            <w:pPr>
              <w:pStyle w:val="DHHSbody"/>
            </w:pPr>
          </w:p>
          <w:p w:rsidRPr="00E70B3A" w:rsidR="00380D49" w:rsidP="005343A0" w:rsidRDefault="00380D49" w14:paraId="2A9AF5A3" w14:textId="77777777">
            <w:pPr>
              <w:pStyle w:val="Accessibilitypara"/>
              <w:rPr>
                <w:rFonts w:cs="Arial"/>
                <w:sz w:val="21"/>
                <w:szCs w:val="21"/>
              </w:rPr>
            </w:pPr>
          </w:p>
          <w:p w:rsidRPr="002E6448" w:rsidR="005343A0" w:rsidP="00107B30" w:rsidRDefault="005343A0" w14:paraId="7827D2DC" w14:textId="63D45C02">
            <w:pPr>
              <w:pStyle w:val="Body"/>
              <w:rPr>
                <w:sz w:val="24"/>
                <w:szCs w:val="24"/>
              </w:rPr>
            </w:pPr>
            <w:r w:rsidRPr="002E6448">
              <w:rPr>
                <w:sz w:val="24"/>
                <w:szCs w:val="24"/>
              </w:rPr>
              <w:t xml:space="preserve">To receive this publication in an accessible format phone 9096 7120 using the National Relay Service 13 36 77 if required, or email Health Service Performance Oversight </w:t>
            </w:r>
            <w:r w:rsidRPr="002E6448" w:rsidR="00AE1D27">
              <w:rPr>
                <w:sz w:val="24"/>
                <w:szCs w:val="24"/>
              </w:rPr>
              <w:t>&lt;</w:t>
            </w:r>
            <w:hyperlink w:history="1" r:id="rId18">
              <w:r w:rsidRPr="002E6448" w:rsidR="00AE1D27">
                <w:rPr>
                  <w:rStyle w:val="Hyperlink"/>
                  <w:sz w:val="24"/>
                  <w:szCs w:val="24"/>
                </w:rPr>
                <w:t>hv.healthperformance@health.vic.gov.au</w:t>
              </w:r>
            </w:hyperlink>
            <w:r w:rsidRPr="002E6448" w:rsidR="00AE1D27">
              <w:rPr>
                <w:sz w:val="24"/>
                <w:szCs w:val="24"/>
              </w:rPr>
              <w:t>&gt;</w:t>
            </w:r>
          </w:p>
          <w:p w:rsidRPr="002E6448" w:rsidR="005343A0" w:rsidP="00107B30" w:rsidRDefault="005343A0" w14:paraId="2AD135D6" w14:textId="77777777">
            <w:pPr>
              <w:pStyle w:val="Body"/>
              <w:rPr>
                <w:sz w:val="24"/>
                <w:szCs w:val="24"/>
              </w:rPr>
            </w:pPr>
            <w:r w:rsidRPr="002E6448">
              <w:rPr>
                <w:sz w:val="24"/>
                <w:szCs w:val="24"/>
              </w:rPr>
              <w:t>Authorised and published by the Victorian Government, 1 Treasury Place, Melbourne.</w:t>
            </w:r>
          </w:p>
          <w:p w:rsidRPr="002E6448" w:rsidR="005343A0" w:rsidP="00107B30" w:rsidRDefault="005343A0" w14:paraId="370B2C95" w14:textId="71C7806E">
            <w:pPr>
              <w:pStyle w:val="Body"/>
              <w:rPr>
                <w:sz w:val="24"/>
                <w:szCs w:val="24"/>
              </w:rPr>
            </w:pPr>
            <w:r w:rsidRPr="002E6448">
              <w:rPr>
                <w:sz w:val="24"/>
                <w:szCs w:val="24"/>
              </w:rPr>
              <w:t>© State of Victoria, Department of Health, August 202</w:t>
            </w:r>
            <w:r w:rsidRPr="002E6448" w:rsidR="002164AD">
              <w:rPr>
                <w:sz w:val="24"/>
                <w:szCs w:val="24"/>
              </w:rPr>
              <w:t>6</w:t>
            </w:r>
            <w:r w:rsidRPr="002E6448">
              <w:rPr>
                <w:sz w:val="24"/>
                <w:szCs w:val="24"/>
              </w:rPr>
              <w:t>.</w:t>
            </w:r>
          </w:p>
          <w:p w:rsidRPr="00107B30" w:rsidR="005343A0" w:rsidP="00107B30" w:rsidRDefault="005343A0" w14:paraId="42BA21CD" w14:textId="77777777">
            <w:pPr>
              <w:pStyle w:val="Body"/>
            </w:pPr>
            <w:r w:rsidRPr="00107B30">
              <w:t>This publication is copyright. Apart from any use permitted under the Copyright Act 1968 (Cth), no part may be reproduced by any process, nor may any other exclusive right be exercised, without the permission of the Department of Health, 2026.</w:t>
            </w:r>
          </w:p>
          <w:p w:rsidRPr="00107B30" w:rsidR="005343A0" w:rsidP="00107B30" w:rsidRDefault="005343A0" w14:paraId="79AF8EDC" w14:textId="77777777">
            <w:pPr>
              <w:pStyle w:val="Body"/>
            </w:pPr>
            <w:r w:rsidRPr="00107B30">
              <w:t>`ISSN 2209-4172 – Online (pdf / word)</w:t>
            </w:r>
          </w:p>
          <w:p w:rsidRPr="00E70B3A" w:rsidR="0008204A" w:rsidP="00107B30" w:rsidRDefault="005343A0" w14:paraId="28F570D3" w14:textId="0140601E">
            <w:pPr>
              <w:pStyle w:val="Body"/>
            </w:pPr>
            <w:r w:rsidRPr="00107B30">
              <w:t xml:space="preserve">Available at </w:t>
            </w:r>
            <w:hyperlink w:history="1" r:id="rId19">
              <w:r w:rsidRPr="00F24938">
                <w:rPr>
                  <w:rStyle w:val="Hyperlink"/>
                </w:rPr>
                <w:t>Performance monitoring framework webpage</w:t>
              </w:r>
            </w:hyperlink>
            <w:r w:rsidRPr="00107B30">
              <w:t xml:space="preserve"> &lt;https://www.health.vic.gov.au/funding-performance-accountability/performance-monitoring-framework&gt;</w:t>
            </w:r>
          </w:p>
        </w:tc>
      </w:tr>
    </w:tbl>
    <w:p w:rsidRPr="00E70B3A" w:rsidR="00AD784C" w:rsidP="00D70851" w:rsidRDefault="00AD784C" w14:paraId="4931672B" w14:textId="77777777">
      <w:pPr>
        <w:pStyle w:val="TOCheadingreport"/>
      </w:pPr>
      <w:r w:rsidRPr="00E70B3A">
        <w:t>Contents</w:t>
      </w:r>
    </w:p>
    <w:p w:rsidR="00214DBF" w:rsidRDefault="00860A71" w14:paraId="23899A9E" w14:textId="77777777">
      <w:pPr>
        <w:pStyle w:val="TOC1"/>
      </w:pPr>
      <w:r w:rsidRPr="00E70B3A">
        <w:rPr>
          <w:rFonts w:cs="Arial"/>
        </w:rPr>
        <w:t xml:space="preserve">  </w:t>
      </w:r>
      <w:r w:rsidRPr="00066709" w:rsidR="00AD784C">
        <w:rPr>
          <w:rFonts w:cs="Arial"/>
        </w:rPr>
        <w:fldChar w:fldCharType="begin"/>
      </w:r>
      <w:r w:rsidRPr="00066709" w:rsidR="00AD784C">
        <w:rPr>
          <w:rFonts w:cs="Arial"/>
        </w:rPr>
        <w:instrText xml:space="preserve"> TOC \h \z \t "Heading 1,1,Heading 2,2" </w:instrText>
      </w:r>
      <w:r w:rsidRPr="00066709" w:rsidR="00AD784C">
        <w:rPr>
          <w:rFonts w:cs="Arial"/>
        </w:rPr>
        <w:fldChar w:fldCharType="separate"/>
      </w:r>
    </w:p>
    <w:p w:rsidR="00214DBF" w:rsidRDefault="00214DBF" w14:paraId="70FD6CDF" w14:textId="5E38A005">
      <w:pPr>
        <w:pStyle w:val="TOC1"/>
        <w:rPr>
          <w:rFonts w:asciiTheme="minorHAnsi" w:hAnsiTheme="minorHAnsi" w:eastAsiaTheme="minorEastAsia" w:cstheme="minorBidi"/>
          <w:b w:val="0"/>
          <w:kern w:val="2"/>
          <w:sz w:val="24"/>
          <w:szCs w:val="24"/>
          <w:lang w:eastAsia="en-AU"/>
          <w14:ligatures w14:val="standardContextual"/>
        </w:rPr>
      </w:pPr>
      <w:hyperlink w:history="1" w:anchor="_Toc235628522">
        <w:r w:rsidRPr="00966FAA">
          <w:rPr>
            <w:rStyle w:val="Hyperlink"/>
          </w:rPr>
          <w:t>Overview</w:t>
        </w:r>
        <w:r>
          <w:rPr>
            <w:webHidden/>
          </w:rPr>
          <w:tab/>
        </w:r>
        <w:r>
          <w:rPr>
            <w:webHidden/>
          </w:rPr>
          <w:fldChar w:fldCharType="begin"/>
        </w:r>
        <w:r>
          <w:rPr>
            <w:webHidden/>
          </w:rPr>
          <w:instrText xml:space="preserve"> PAGEREF _Toc235628522 \h </w:instrText>
        </w:r>
        <w:r>
          <w:rPr>
            <w:webHidden/>
          </w:rPr>
        </w:r>
        <w:r>
          <w:rPr>
            <w:webHidden/>
          </w:rPr>
          <w:fldChar w:fldCharType="separate"/>
        </w:r>
        <w:r>
          <w:rPr>
            <w:webHidden/>
          </w:rPr>
          <w:t>5</w:t>
        </w:r>
        <w:r>
          <w:rPr>
            <w:webHidden/>
          </w:rPr>
          <w:fldChar w:fldCharType="end"/>
        </w:r>
      </w:hyperlink>
    </w:p>
    <w:p w:rsidR="00214DBF" w:rsidRDefault="00214DBF" w14:paraId="4546A02C" w14:textId="205EA5CB">
      <w:pPr>
        <w:pStyle w:val="TOC1"/>
        <w:tabs>
          <w:tab w:val="left" w:pos="567"/>
        </w:tabs>
        <w:rPr>
          <w:rFonts w:asciiTheme="minorHAnsi" w:hAnsiTheme="minorHAnsi" w:eastAsiaTheme="minorEastAsia" w:cstheme="minorBidi"/>
          <w:b w:val="0"/>
          <w:kern w:val="2"/>
          <w:sz w:val="24"/>
          <w:szCs w:val="24"/>
          <w:lang w:eastAsia="en-AU"/>
          <w14:ligatures w14:val="standardContextual"/>
        </w:rPr>
      </w:pPr>
      <w:hyperlink w:history="1" w:anchor="_Toc235628523">
        <w:r w:rsidRPr="00966FAA">
          <w:rPr>
            <w:rStyle w:val="Hyperlink"/>
          </w:rPr>
          <w:t>1.</w:t>
        </w:r>
        <w:r>
          <w:rPr>
            <w:rFonts w:asciiTheme="minorHAnsi" w:hAnsiTheme="minorHAnsi" w:eastAsiaTheme="minorEastAsia" w:cstheme="minorBidi"/>
            <w:b w:val="0"/>
            <w:kern w:val="2"/>
            <w:sz w:val="24"/>
            <w:szCs w:val="24"/>
            <w:lang w:eastAsia="en-AU"/>
            <w14:ligatures w14:val="standardContextual"/>
          </w:rPr>
          <w:tab/>
        </w:r>
        <w:r w:rsidRPr="00966FAA">
          <w:rPr>
            <w:rStyle w:val="Hyperlink"/>
          </w:rPr>
          <w:t>Scope of the Framework</w:t>
        </w:r>
        <w:r>
          <w:rPr>
            <w:webHidden/>
          </w:rPr>
          <w:tab/>
        </w:r>
        <w:r>
          <w:rPr>
            <w:webHidden/>
          </w:rPr>
          <w:fldChar w:fldCharType="begin"/>
        </w:r>
        <w:r>
          <w:rPr>
            <w:webHidden/>
          </w:rPr>
          <w:instrText xml:space="preserve"> PAGEREF _Toc235628523 \h </w:instrText>
        </w:r>
        <w:r>
          <w:rPr>
            <w:webHidden/>
          </w:rPr>
        </w:r>
        <w:r>
          <w:rPr>
            <w:webHidden/>
          </w:rPr>
          <w:fldChar w:fldCharType="separate"/>
        </w:r>
        <w:r>
          <w:rPr>
            <w:webHidden/>
          </w:rPr>
          <w:t>7</w:t>
        </w:r>
        <w:r>
          <w:rPr>
            <w:webHidden/>
          </w:rPr>
          <w:fldChar w:fldCharType="end"/>
        </w:r>
      </w:hyperlink>
    </w:p>
    <w:p w:rsidR="00214DBF" w:rsidRDefault="00214DBF" w14:paraId="417B86E2" w14:textId="4A6253DD">
      <w:pPr>
        <w:pStyle w:val="TOC2"/>
        <w:tabs>
          <w:tab w:val="left" w:pos="567"/>
        </w:tabs>
        <w:rPr>
          <w:rFonts w:asciiTheme="minorHAnsi" w:hAnsiTheme="minorHAnsi" w:eastAsiaTheme="minorEastAsia" w:cstheme="minorBidi"/>
          <w:kern w:val="2"/>
          <w:sz w:val="24"/>
          <w:szCs w:val="24"/>
          <w:lang w:eastAsia="en-AU"/>
          <w14:ligatures w14:val="standardContextual"/>
        </w:rPr>
      </w:pPr>
      <w:hyperlink w:history="1" w:anchor="_Toc235628524">
        <w:r w:rsidRPr="00966FAA">
          <w:rPr>
            <w:rStyle w:val="Hyperlink"/>
            <w:rFonts w:cs="Arial"/>
          </w:rPr>
          <w:t>1.1</w:t>
        </w:r>
        <w:r>
          <w:rPr>
            <w:rFonts w:asciiTheme="minorHAnsi" w:hAnsiTheme="minorHAnsi" w:eastAsiaTheme="minorEastAsia" w:cstheme="minorBidi"/>
            <w:kern w:val="2"/>
            <w:sz w:val="24"/>
            <w:szCs w:val="24"/>
            <w:lang w:eastAsia="en-AU"/>
            <w14:ligatures w14:val="standardContextual"/>
          </w:rPr>
          <w:tab/>
        </w:r>
        <w:r w:rsidRPr="00966FAA">
          <w:rPr>
            <w:rStyle w:val="Hyperlink"/>
            <w:rFonts w:cs="Arial"/>
          </w:rPr>
          <w:t>Alignment with broader operating parameters set by key policy documents</w:t>
        </w:r>
        <w:r>
          <w:rPr>
            <w:webHidden/>
          </w:rPr>
          <w:tab/>
        </w:r>
        <w:r>
          <w:rPr>
            <w:webHidden/>
          </w:rPr>
          <w:fldChar w:fldCharType="begin"/>
        </w:r>
        <w:r>
          <w:rPr>
            <w:webHidden/>
          </w:rPr>
          <w:instrText xml:space="preserve"> PAGEREF _Toc235628524 \h </w:instrText>
        </w:r>
        <w:r>
          <w:rPr>
            <w:webHidden/>
          </w:rPr>
        </w:r>
        <w:r>
          <w:rPr>
            <w:webHidden/>
          </w:rPr>
          <w:fldChar w:fldCharType="separate"/>
        </w:r>
        <w:r>
          <w:rPr>
            <w:webHidden/>
          </w:rPr>
          <w:t>8</w:t>
        </w:r>
        <w:r>
          <w:rPr>
            <w:webHidden/>
          </w:rPr>
          <w:fldChar w:fldCharType="end"/>
        </w:r>
      </w:hyperlink>
    </w:p>
    <w:p w:rsidR="00214DBF" w:rsidRDefault="00214DBF" w14:paraId="3AF27035" w14:textId="3950FD53">
      <w:pPr>
        <w:pStyle w:val="TOC2"/>
        <w:tabs>
          <w:tab w:val="left" w:pos="567"/>
        </w:tabs>
        <w:rPr>
          <w:rFonts w:asciiTheme="minorHAnsi" w:hAnsiTheme="minorHAnsi" w:eastAsiaTheme="minorEastAsia" w:cstheme="minorBidi"/>
          <w:kern w:val="2"/>
          <w:sz w:val="24"/>
          <w:szCs w:val="24"/>
          <w:lang w:eastAsia="en-AU"/>
          <w14:ligatures w14:val="standardContextual"/>
        </w:rPr>
      </w:pPr>
      <w:hyperlink w:history="1" w:anchor="_Toc235628525">
        <w:r w:rsidRPr="00966FAA">
          <w:rPr>
            <w:rStyle w:val="Hyperlink"/>
            <w:rFonts w:cs="Arial"/>
          </w:rPr>
          <w:t>1.2</w:t>
        </w:r>
        <w:r>
          <w:rPr>
            <w:rFonts w:asciiTheme="minorHAnsi" w:hAnsiTheme="minorHAnsi" w:eastAsiaTheme="minorEastAsia" w:cstheme="minorBidi"/>
            <w:kern w:val="2"/>
            <w:sz w:val="24"/>
            <w:szCs w:val="24"/>
            <w:lang w:eastAsia="en-AU"/>
            <w14:ligatures w14:val="standardContextual"/>
          </w:rPr>
          <w:tab/>
        </w:r>
        <w:r w:rsidRPr="00966FAA">
          <w:rPr>
            <w:rStyle w:val="Hyperlink"/>
            <w:rFonts w:cs="Arial"/>
          </w:rPr>
          <w:t>Coverage and Exclusions</w:t>
        </w:r>
        <w:r>
          <w:rPr>
            <w:webHidden/>
          </w:rPr>
          <w:tab/>
        </w:r>
        <w:r>
          <w:rPr>
            <w:webHidden/>
          </w:rPr>
          <w:fldChar w:fldCharType="begin"/>
        </w:r>
        <w:r>
          <w:rPr>
            <w:webHidden/>
          </w:rPr>
          <w:instrText xml:space="preserve"> PAGEREF _Toc235628525 \h </w:instrText>
        </w:r>
        <w:r>
          <w:rPr>
            <w:webHidden/>
          </w:rPr>
        </w:r>
        <w:r>
          <w:rPr>
            <w:webHidden/>
          </w:rPr>
          <w:fldChar w:fldCharType="separate"/>
        </w:r>
        <w:r>
          <w:rPr>
            <w:webHidden/>
          </w:rPr>
          <w:t>8</w:t>
        </w:r>
        <w:r>
          <w:rPr>
            <w:webHidden/>
          </w:rPr>
          <w:fldChar w:fldCharType="end"/>
        </w:r>
      </w:hyperlink>
    </w:p>
    <w:p w:rsidR="00214DBF" w:rsidRDefault="00214DBF" w14:paraId="01C76E82" w14:textId="3FD20BE4">
      <w:pPr>
        <w:pStyle w:val="TOC2"/>
        <w:tabs>
          <w:tab w:val="left" w:pos="567"/>
        </w:tabs>
        <w:rPr>
          <w:rFonts w:asciiTheme="minorHAnsi" w:hAnsiTheme="minorHAnsi" w:eastAsiaTheme="minorEastAsia" w:cstheme="minorBidi"/>
          <w:kern w:val="2"/>
          <w:sz w:val="24"/>
          <w:szCs w:val="24"/>
          <w:lang w:eastAsia="en-AU"/>
          <w14:ligatures w14:val="standardContextual"/>
        </w:rPr>
      </w:pPr>
      <w:hyperlink w:history="1" w:anchor="_Toc235628526">
        <w:r w:rsidRPr="00966FAA">
          <w:rPr>
            <w:rStyle w:val="Hyperlink"/>
            <w:rFonts w:cs="Arial"/>
          </w:rPr>
          <w:t>1.3</w:t>
        </w:r>
        <w:r>
          <w:rPr>
            <w:rFonts w:asciiTheme="minorHAnsi" w:hAnsiTheme="minorHAnsi" w:eastAsiaTheme="minorEastAsia" w:cstheme="minorBidi"/>
            <w:kern w:val="2"/>
            <w:sz w:val="24"/>
            <w:szCs w:val="24"/>
            <w:lang w:eastAsia="en-AU"/>
            <w14:ligatures w14:val="standardContextual"/>
          </w:rPr>
          <w:tab/>
        </w:r>
        <w:r w:rsidRPr="00966FAA">
          <w:rPr>
            <w:rStyle w:val="Hyperlink"/>
            <w:rFonts w:cs="Arial"/>
          </w:rPr>
          <w:t>Victorian Health Services Performance Monitoring Framework Business Rules 2026-27</w:t>
        </w:r>
        <w:r>
          <w:rPr>
            <w:webHidden/>
          </w:rPr>
          <w:tab/>
        </w:r>
        <w:r>
          <w:rPr>
            <w:webHidden/>
          </w:rPr>
          <w:fldChar w:fldCharType="begin"/>
        </w:r>
        <w:r>
          <w:rPr>
            <w:webHidden/>
          </w:rPr>
          <w:instrText xml:space="preserve"> PAGEREF _Toc235628526 \h </w:instrText>
        </w:r>
        <w:r>
          <w:rPr>
            <w:webHidden/>
          </w:rPr>
        </w:r>
        <w:r>
          <w:rPr>
            <w:webHidden/>
          </w:rPr>
          <w:fldChar w:fldCharType="separate"/>
        </w:r>
        <w:r>
          <w:rPr>
            <w:webHidden/>
          </w:rPr>
          <w:t>9</w:t>
        </w:r>
        <w:r>
          <w:rPr>
            <w:webHidden/>
          </w:rPr>
          <w:fldChar w:fldCharType="end"/>
        </w:r>
      </w:hyperlink>
    </w:p>
    <w:p w:rsidR="00214DBF" w:rsidRDefault="00214DBF" w14:paraId="5AE72F1E" w14:textId="561F2859">
      <w:pPr>
        <w:pStyle w:val="TOC2"/>
        <w:tabs>
          <w:tab w:val="left" w:pos="567"/>
        </w:tabs>
        <w:rPr>
          <w:rFonts w:asciiTheme="minorHAnsi" w:hAnsiTheme="minorHAnsi" w:eastAsiaTheme="minorEastAsia" w:cstheme="minorBidi"/>
          <w:kern w:val="2"/>
          <w:sz w:val="24"/>
          <w:szCs w:val="24"/>
          <w:lang w:eastAsia="en-AU"/>
          <w14:ligatures w14:val="standardContextual"/>
        </w:rPr>
      </w:pPr>
      <w:hyperlink w:history="1" w:anchor="_Toc235628527">
        <w:r w:rsidRPr="00966FAA">
          <w:rPr>
            <w:rStyle w:val="Hyperlink"/>
            <w:rFonts w:cs="Arial"/>
          </w:rPr>
          <w:t>1.4</w:t>
        </w:r>
        <w:r>
          <w:rPr>
            <w:rFonts w:asciiTheme="minorHAnsi" w:hAnsiTheme="minorHAnsi" w:eastAsiaTheme="minorEastAsia" w:cstheme="minorBidi"/>
            <w:kern w:val="2"/>
            <w:sz w:val="24"/>
            <w:szCs w:val="24"/>
            <w:lang w:eastAsia="en-AU"/>
            <w14:ligatures w14:val="standardContextual"/>
          </w:rPr>
          <w:tab/>
        </w:r>
        <w:r w:rsidRPr="00966FAA">
          <w:rPr>
            <w:rStyle w:val="Hyperlink"/>
            <w:rFonts w:cs="Arial"/>
          </w:rPr>
          <w:t>Health Services undergoing voluntary merger</w:t>
        </w:r>
        <w:r>
          <w:rPr>
            <w:webHidden/>
          </w:rPr>
          <w:tab/>
        </w:r>
        <w:r>
          <w:rPr>
            <w:webHidden/>
          </w:rPr>
          <w:fldChar w:fldCharType="begin"/>
        </w:r>
        <w:r>
          <w:rPr>
            <w:webHidden/>
          </w:rPr>
          <w:instrText xml:space="preserve"> PAGEREF _Toc235628527 \h </w:instrText>
        </w:r>
        <w:r>
          <w:rPr>
            <w:webHidden/>
          </w:rPr>
        </w:r>
        <w:r>
          <w:rPr>
            <w:webHidden/>
          </w:rPr>
          <w:fldChar w:fldCharType="separate"/>
        </w:r>
        <w:r>
          <w:rPr>
            <w:webHidden/>
          </w:rPr>
          <w:t>9</w:t>
        </w:r>
        <w:r>
          <w:rPr>
            <w:webHidden/>
          </w:rPr>
          <w:fldChar w:fldCharType="end"/>
        </w:r>
      </w:hyperlink>
    </w:p>
    <w:p w:rsidR="00214DBF" w:rsidRDefault="00214DBF" w14:paraId="72076D16" w14:textId="4EE03435">
      <w:pPr>
        <w:pStyle w:val="TOC1"/>
        <w:tabs>
          <w:tab w:val="left" w:pos="567"/>
        </w:tabs>
        <w:rPr>
          <w:rFonts w:asciiTheme="minorHAnsi" w:hAnsiTheme="minorHAnsi" w:eastAsiaTheme="minorEastAsia" w:cstheme="minorBidi"/>
          <w:b w:val="0"/>
          <w:kern w:val="2"/>
          <w:sz w:val="24"/>
          <w:szCs w:val="24"/>
          <w:lang w:eastAsia="en-AU"/>
          <w14:ligatures w14:val="standardContextual"/>
        </w:rPr>
      </w:pPr>
      <w:hyperlink w:history="1" w:anchor="_Toc235628528">
        <w:r w:rsidRPr="00966FAA">
          <w:rPr>
            <w:rStyle w:val="Hyperlink"/>
          </w:rPr>
          <w:t>2.</w:t>
        </w:r>
        <w:r>
          <w:rPr>
            <w:rFonts w:asciiTheme="minorHAnsi" w:hAnsiTheme="minorHAnsi" w:eastAsiaTheme="minorEastAsia" w:cstheme="minorBidi"/>
            <w:b w:val="0"/>
            <w:kern w:val="2"/>
            <w:sz w:val="24"/>
            <w:szCs w:val="24"/>
            <w:lang w:eastAsia="en-AU"/>
            <w14:ligatures w14:val="standardContextual"/>
          </w:rPr>
          <w:tab/>
        </w:r>
        <w:r w:rsidRPr="00966FAA">
          <w:rPr>
            <w:rStyle w:val="Hyperlink"/>
          </w:rPr>
          <w:t>Key components of the Framework</w:t>
        </w:r>
        <w:r>
          <w:rPr>
            <w:webHidden/>
          </w:rPr>
          <w:tab/>
        </w:r>
        <w:r>
          <w:rPr>
            <w:webHidden/>
          </w:rPr>
          <w:fldChar w:fldCharType="begin"/>
        </w:r>
        <w:r>
          <w:rPr>
            <w:webHidden/>
          </w:rPr>
          <w:instrText xml:space="preserve"> PAGEREF _Toc235628528 \h </w:instrText>
        </w:r>
        <w:r>
          <w:rPr>
            <w:webHidden/>
          </w:rPr>
        </w:r>
        <w:r>
          <w:rPr>
            <w:webHidden/>
          </w:rPr>
          <w:fldChar w:fldCharType="separate"/>
        </w:r>
        <w:r>
          <w:rPr>
            <w:webHidden/>
          </w:rPr>
          <w:t>10</w:t>
        </w:r>
        <w:r>
          <w:rPr>
            <w:webHidden/>
          </w:rPr>
          <w:fldChar w:fldCharType="end"/>
        </w:r>
      </w:hyperlink>
    </w:p>
    <w:p w:rsidR="00214DBF" w:rsidRDefault="00214DBF" w14:paraId="21F0D802" w14:textId="471EC98C">
      <w:pPr>
        <w:pStyle w:val="TOC2"/>
        <w:rPr>
          <w:rFonts w:asciiTheme="minorHAnsi" w:hAnsiTheme="minorHAnsi" w:eastAsiaTheme="minorEastAsia" w:cstheme="minorBidi"/>
          <w:kern w:val="2"/>
          <w:sz w:val="24"/>
          <w:szCs w:val="24"/>
          <w:lang w:eastAsia="en-AU"/>
          <w14:ligatures w14:val="standardContextual"/>
        </w:rPr>
      </w:pPr>
      <w:hyperlink w:history="1" w:anchor="_Toc235628529">
        <w:r w:rsidRPr="00966FAA">
          <w:rPr>
            <w:rStyle w:val="Hyperlink"/>
            <w:lang w:val="en-US"/>
          </w:rPr>
          <w:t xml:space="preserve">2.1 </w:t>
        </w:r>
        <w:r w:rsidRPr="00966FAA">
          <w:rPr>
            <w:rStyle w:val="Hyperlink"/>
            <w:rFonts w:eastAsia="Times"/>
            <w:lang w:val="en-US"/>
          </w:rPr>
          <w:t>How the three components interact.</w:t>
        </w:r>
        <w:r>
          <w:rPr>
            <w:webHidden/>
          </w:rPr>
          <w:tab/>
        </w:r>
        <w:r>
          <w:rPr>
            <w:webHidden/>
          </w:rPr>
          <w:fldChar w:fldCharType="begin"/>
        </w:r>
        <w:r>
          <w:rPr>
            <w:webHidden/>
          </w:rPr>
          <w:instrText xml:space="preserve"> PAGEREF _Toc235628529 \h </w:instrText>
        </w:r>
        <w:r>
          <w:rPr>
            <w:webHidden/>
          </w:rPr>
        </w:r>
        <w:r>
          <w:rPr>
            <w:webHidden/>
          </w:rPr>
          <w:fldChar w:fldCharType="separate"/>
        </w:r>
        <w:r>
          <w:rPr>
            <w:webHidden/>
          </w:rPr>
          <w:t>11</w:t>
        </w:r>
        <w:r>
          <w:rPr>
            <w:webHidden/>
          </w:rPr>
          <w:fldChar w:fldCharType="end"/>
        </w:r>
      </w:hyperlink>
    </w:p>
    <w:p w:rsidR="00214DBF" w:rsidRDefault="00214DBF" w14:paraId="2F9B97AC" w14:textId="04F8F403">
      <w:pPr>
        <w:pStyle w:val="TOC2"/>
        <w:rPr>
          <w:rFonts w:asciiTheme="minorHAnsi" w:hAnsiTheme="minorHAnsi" w:eastAsiaTheme="minorEastAsia" w:cstheme="minorBidi"/>
          <w:kern w:val="2"/>
          <w:sz w:val="24"/>
          <w:szCs w:val="24"/>
          <w:lang w:eastAsia="en-AU"/>
          <w14:ligatures w14:val="standardContextual"/>
        </w:rPr>
      </w:pPr>
      <w:hyperlink w:history="1" w:anchor="_Toc235628530">
        <w:r w:rsidRPr="00966FAA">
          <w:rPr>
            <w:rStyle w:val="Hyperlink"/>
            <w:rFonts w:cs="Arial"/>
          </w:rPr>
          <w:t>2.2 The Performance Domains</w:t>
        </w:r>
        <w:r>
          <w:rPr>
            <w:webHidden/>
          </w:rPr>
          <w:tab/>
        </w:r>
        <w:r>
          <w:rPr>
            <w:webHidden/>
          </w:rPr>
          <w:fldChar w:fldCharType="begin"/>
        </w:r>
        <w:r>
          <w:rPr>
            <w:webHidden/>
          </w:rPr>
          <w:instrText xml:space="preserve"> PAGEREF _Toc235628530 \h </w:instrText>
        </w:r>
        <w:r>
          <w:rPr>
            <w:webHidden/>
          </w:rPr>
        </w:r>
        <w:r>
          <w:rPr>
            <w:webHidden/>
          </w:rPr>
          <w:fldChar w:fldCharType="separate"/>
        </w:r>
        <w:r>
          <w:rPr>
            <w:webHidden/>
          </w:rPr>
          <w:t>12</w:t>
        </w:r>
        <w:r>
          <w:rPr>
            <w:webHidden/>
          </w:rPr>
          <w:fldChar w:fldCharType="end"/>
        </w:r>
      </w:hyperlink>
    </w:p>
    <w:p w:rsidR="00214DBF" w:rsidRDefault="00214DBF" w14:paraId="7F167E3E" w14:textId="23AA3403">
      <w:pPr>
        <w:pStyle w:val="TOC2"/>
        <w:rPr>
          <w:rFonts w:asciiTheme="minorHAnsi" w:hAnsiTheme="minorHAnsi" w:eastAsiaTheme="minorEastAsia" w:cstheme="minorBidi"/>
          <w:kern w:val="2"/>
          <w:sz w:val="24"/>
          <w:szCs w:val="24"/>
          <w:lang w:eastAsia="en-AU"/>
          <w14:ligatures w14:val="standardContextual"/>
        </w:rPr>
      </w:pPr>
      <w:hyperlink w:history="1" w:anchor="_Toc235628531">
        <w:r w:rsidRPr="00966FAA">
          <w:rPr>
            <w:rStyle w:val="Hyperlink"/>
            <w:rFonts w:cs="Arial"/>
          </w:rPr>
          <w:t>2.3 The Performance Tiers</w:t>
        </w:r>
        <w:r>
          <w:rPr>
            <w:webHidden/>
          </w:rPr>
          <w:tab/>
        </w:r>
        <w:r>
          <w:rPr>
            <w:webHidden/>
          </w:rPr>
          <w:fldChar w:fldCharType="begin"/>
        </w:r>
        <w:r>
          <w:rPr>
            <w:webHidden/>
          </w:rPr>
          <w:instrText xml:space="preserve"> PAGEREF _Toc235628531 \h </w:instrText>
        </w:r>
        <w:r>
          <w:rPr>
            <w:webHidden/>
          </w:rPr>
        </w:r>
        <w:r>
          <w:rPr>
            <w:webHidden/>
          </w:rPr>
          <w:fldChar w:fldCharType="separate"/>
        </w:r>
        <w:r>
          <w:rPr>
            <w:webHidden/>
          </w:rPr>
          <w:t>13</w:t>
        </w:r>
        <w:r>
          <w:rPr>
            <w:webHidden/>
          </w:rPr>
          <w:fldChar w:fldCharType="end"/>
        </w:r>
      </w:hyperlink>
    </w:p>
    <w:p w:rsidR="00214DBF" w:rsidRDefault="00214DBF" w14:paraId="1CF60BC8" w14:textId="5D178ED9">
      <w:pPr>
        <w:pStyle w:val="TOC1"/>
        <w:rPr>
          <w:rFonts w:asciiTheme="minorHAnsi" w:hAnsiTheme="minorHAnsi" w:eastAsiaTheme="minorEastAsia" w:cstheme="minorBidi"/>
          <w:b w:val="0"/>
          <w:kern w:val="2"/>
          <w:sz w:val="24"/>
          <w:szCs w:val="24"/>
          <w:lang w:eastAsia="en-AU"/>
          <w14:ligatures w14:val="standardContextual"/>
        </w:rPr>
      </w:pPr>
      <w:hyperlink w:history="1" w:anchor="_Toc235628532">
        <w:r w:rsidRPr="00966FAA">
          <w:rPr>
            <w:rStyle w:val="Hyperlink"/>
          </w:rPr>
          <w:t>3. The Performance Cycle</w:t>
        </w:r>
        <w:r>
          <w:rPr>
            <w:webHidden/>
          </w:rPr>
          <w:tab/>
        </w:r>
        <w:r>
          <w:rPr>
            <w:webHidden/>
          </w:rPr>
          <w:fldChar w:fldCharType="begin"/>
        </w:r>
        <w:r>
          <w:rPr>
            <w:webHidden/>
          </w:rPr>
          <w:instrText xml:space="preserve"> PAGEREF _Toc235628532 \h </w:instrText>
        </w:r>
        <w:r>
          <w:rPr>
            <w:webHidden/>
          </w:rPr>
        </w:r>
        <w:r>
          <w:rPr>
            <w:webHidden/>
          </w:rPr>
          <w:fldChar w:fldCharType="separate"/>
        </w:r>
        <w:r>
          <w:rPr>
            <w:webHidden/>
          </w:rPr>
          <w:t>15</w:t>
        </w:r>
        <w:r>
          <w:rPr>
            <w:webHidden/>
          </w:rPr>
          <w:fldChar w:fldCharType="end"/>
        </w:r>
      </w:hyperlink>
    </w:p>
    <w:p w:rsidR="00214DBF" w:rsidRDefault="00214DBF" w14:paraId="262EC9DB" w14:textId="25518BFE">
      <w:pPr>
        <w:pStyle w:val="TOC2"/>
        <w:rPr>
          <w:rFonts w:asciiTheme="minorHAnsi" w:hAnsiTheme="minorHAnsi" w:eastAsiaTheme="minorEastAsia" w:cstheme="minorBidi"/>
          <w:kern w:val="2"/>
          <w:sz w:val="24"/>
          <w:szCs w:val="24"/>
          <w:lang w:eastAsia="en-AU"/>
          <w14:ligatures w14:val="standardContextual"/>
        </w:rPr>
      </w:pPr>
      <w:hyperlink w:history="1" w:anchor="_Toc235628533">
        <w:r w:rsidRPr="00966FAA">
          <w:rPr>
            <w:rStyle w:val="Hyperlink"/>
            <w:rFonts w:cs="Arial"/>
          </w:rPr>
          <w:t>3.1 Planning and Strategy</w:t>
        </w:r>
        <w:r>
          <w:rPr>
            <w:webHidden/>
          </w:rPr>
          <w:tab/>
        </w:r>
        <w:r>
          <w:rPr>
            <w:webHidden/>
          </w:rPr>
          <w:fldChar w:fldCharType="begin"/>
        </w:r>
        <w:r>
          <w:rPr>
            <w:webHidden/>
          </w:rPr>
          <w:instrText xml:space="preserve"> PAGEREF _Toc235628533 \h </w:instrText>
        </w:r>
        <w:r>
          <w:rPr>
            <w:webHidden/>
          </w:rPr>
        </w:r>
        <w:r>
          <w:rPr>
            <w:webHidden/>
          </w:rPr>
          <w:fldChar w:fldCharType="separate"/>
        </w:r>
        <w:r>
          <w:rPr>
            <w:webHidden/>
          </w:rPr>
          <w:t>15</w:t>
        </w:r>
        <w:r>
          <w:rPr>
            <w:webHidden/>
          </w:rPr>
          <w:fldChar w:fldCharType="end"/>
        </w:r>
      </w:hyperlink>
    </w:p>
    <w:p w:rsidR="00214DBF" w:rsidRDefault="00214DBF" w14:paraId="6C0293FF" w14:textId="3E6D6C2D">
      <w:pPr>
        <w:pStyle w:val="TOC2"/>
        <w:rPr>
          <w:rFonts w:asciiTheme="minorHAnsi" w:hAnsiTheme="minorHAnsi" w:eastAsiaTheme="minorEastAsia" w:cstheme="minorBidi"/>
          <w:kern w:val="2"/>
          <w:sz w:val="24"/>
          <w:szCs w:val="24"/>
          <w:lang w:eastAsia="en-AU"/>
          <w14:ligatures w14:val="standardContextual"/>
        </w:rPr>
      </w:pPr>
      <w:hyperlink w:history="1" w:anchor="_Toc235628534">
        <w:r w:rsidRPr="00966FAA">
          <w:rPr>
            <w:rStyle w:val="Hyperlink"/>
            <w:rFonts w:cs="Arial"/>
          </w:rPr>
          <w:t>3.2 Continuous Improvement</w:t>
        </w:r>
        <w:r>
          <w:rPr>
            <w:webHidden/>
          </w:rPr>
          <w:tab/>
        </w:r>
        <w:r>
          <w:rPr>
            <w:webHidden/>
          </w:rPr>
          <w:fldChar w:fldCharType="begin"/>
        </w:r>
        <w:r>
          <w:rPr>
            <w:webHidden/>
          </w:rPr>
          <w:instrText xml:space="preserve"> PAGEREF _Toc235628534 \h </w:instrText>
        </w:r>
        <w:r>
          <w:rPr>
            <w:webHidden/>
          </w:rPr>
        </w:r>
        <w:r>
          <w:rPr>
            <w:webHidden/>
          </w:rPr>
          <w:fldChar w:fldCharType="separate"/>
        </w:r>
        <w:r>
          <w:rPr>
            <w:webHidden/>
          </w:rPr>
          <w:t>16</w:t>
        </w:r>
        <w:r>
          <w:rPr>
            <w:webHidden/>
          </w:rPr>
          <w:fldChar w:fldCharType="end"/>
        </w:r>
      </w:hyperlink>
    </w:p>
    <w:p w:rsidR="00214DBF" w:rsidRDefault="00214DBF" w14:paraId="39F49BBE" w14:textId="3AB2C3BF">
      <w:pPr>
        <w:pStyle w:val="TOC2"/>
        <w:rPr>
          <w:rFonts w:asciiTheme="minorHAnsi" w:hAnsiTheme="minorHAnsi" w:eastAsiaTheme="minorEastAsia" w:cstheme="minorBidi"/>
          <w:kern w:val="2"/>
          <w:sz w:val="24"/>
          <w:szCs w:val="24"/>
          <w:lang w:eastAsia="en-AU"/>
          <w14:ligatures w14:val="standardContextual"/>
        </w:rPr>
      </w:pPr>
      <w:hyperlink w:history="1" w:anchor="_Toc235628535">
        <w:r w:rsidRPr="00966FAA">
          <w:rPr>
            <w:rStyle w:val="Hyperlink"/>
            <w:rFonts w:cs="Arial"/>
          </w:rPr>
          <w:t>3.3 Accountability</w:t>
        </w:r>
        <w:r>
          <w:rPr>
            <w:webHidden/>
          </w:rPr>
          <w:tab/>
        </w:r>
        <w:r>
          <w:rPr>
            <w:webHidden/>
          </w:rPr>
          <w:fldChar w:fldCharType="begin"/>
        </w:r>
        <w:r>
          <w:rPr>
            <w:webHidden/>
          </w:rPr>
          <w:instrText xml:space="preserve"> PAGEREF _Toc235628535 \h </w:instrText>
        </w:r>
        <w:r>
          <w:rPr>
            <w:webHidden/>
          </w:rPr>
        </w:r>
        <w:r>
          <w:rPr>
            <w:webHidden/>
          </w:rPr>
          <w:fldChar w:fldCharType="separate"/>
        </w:r>
        <w:r>
          <w:rPr>
            <w:webHidden/>
          </w:rPr>
          <w:t>17</w:t>
        </w:r>
        <w:r>
          <w:rPr>
            <w:webHidden/>
          </w:rPr>
          <w:fldChar w:fldCharType="end"/>
        </w:r>
      </w:hyperlink>
    </w:p>
    <w:p w:rsidR="00214DBF" w:rsidRDefault="00214DBF" w14:paraId="78079678" w14:textId="2F8E05D0">
      <w:pPr>
        <w:pStyle w:val="TOC1"/>
        <w:rPr>
          <w:rFonts w:asciiTheme="minorHAnsi" w:hAnsiTheme="minorHAnsi" w:eastAsiaTheme="minorEastAsia" w:cstheme="minorBidi"/>
          <w:b w:val="0"/>
          <w:kern w:val="2"/>
          <w:sz w:val="24"/>
          <w:szCs w:val="24"/>
          <w:lang w:eastAsia="en-AU"/>
          <w14:ligatures w14:val="standardContextual"/>
        </w:rPr>
      </w:pPr>
      <w:hyperlink w:history="1" w:anchor="_Toc235628536">
        <w:r w:rsidRPr="00966FAA">
          <w:rPr>
            <w:rStyle w:val="Hyperlink"/>
          </w:rPr>
          <w:t>4. Performance tier criteria, assessment and exit criteria</w:t>
        </w:r>
        <w:r>
          <w:rPr>
            <w:webHidden/>
          </w:rPr>
          <w:tab/>
        </w:r>
        <w:r>
          <w:rPr>
            <w:webHidden/>
          </w:rPr>
          <w:fldChar w:fldCharType="begin"/>
        </w:r>
        <w:r>
          <w:rPr>
            <w:webHidden/>
          </w:rPr>
          <w:instrText xml:space="preserve"> PAGEREF _Toc235628536 \h </w:instrText>
        </w:r>
        <w:r>
          <w:rPr>
            <w:webHidden/>
          </w:rPr>
        </w:r>
        <w:r>
          <w:rPr>
            <w:webHidden/>
          </w:rPr>
          <w:fldChar w:fldCharType="separate"/>
        </w:r>
        <w:r>
          <w:rPr>
            <w:webHidden/>
          </w:rPr>
          <w:t>20</w:t>
        </w:r>
        <w:r>
          <w:rPr>
            <w:webHidden/>
          </w:rPr>
          <w:fldChar w:fldCharType="end"/>
        </w:r>
      </w:hyperlink>
    </w:p>
    <w:p w:rsidR="00214DBF" w:rsidRDefault="00214DBF" w14:paraId="5624809D" w14:textId="69BB30C0">
      <w:pPr>
        <w:pStyle w:val="TOC2"/>
        <w:rPr>
          <w:rFonts w:asciiTheme="minorHAnsi" w:hAnsiTheme="minorHAnsi" w:eastAsiaTheme="minorEastAsia" w:cstheme="minorBidi"/>
          <w:kern w:val="2"/>
          <w:sz w:val="24"/>
          <w:szCs w:val="24"/>
          <w:lang w:eastAsia="en-AU"/>
          <w14:ligatures w14:val="standardContextual"/>
        </w:rPr>
      </w:pPr>
      <w:hyperlink w:history="1" w:anchor="_Toc235628537">
        <w:r w:rsidRPr="00966FAA">
          <w:rPr>
            <w:rStyle w:val="Hyperlink"/>
            <w:rFonts w:cs="Arial"/>
          </w:rPr>
          <w:t>4.1 Performance Tier Criteria</w:t>
        </w:r>
        <w:r>
          <w:rPr>
            <w:webHidden/>
          </w:rPr>
          <w:tab/>
        </w:r>
        <w:r>
          <w:rPr>
            <w:webHidden/>
          </w:rPr>
          <w:fldChar w:fldCharType="begin"/>
        </w:r>
        <w:r>
          <w:rPr>
            <w:webHidden/>
          </w:rPr>
          <w:instrText xml:space="preserve"> PAGEREF _Toc235628537 \h </w:instrText>
        </w:r>
        <w:r>
          <w:rPr>
            <w:webHidden/>
          </w:rPr>
        </w:r>
        <w:r>
          <w:rPr>
            <w:webHidden/>
          </w:rPr>
          <w:fldChar w:fldCharType="separate"/>
        </w:r>
        <w:r>
          <w:rPr>
            <w:webHidden/>
          </w:rPr>
          <w:t>20</w:t>
        </w:r>
        <w:r>
          <w:rPr>
            <w:webHidden/>
          </w:rPr>
          <w:fldChar w:fldCharType="end"/>
        </w:r>
      </w:hyperlink>
    </w:p>
    <w:p w:rsidR="00214DBF" w:rsidRDefault="00214DBF" w14:paraId="5166ED29" w14:textId="2EA9557E">
      <w:pPr>
        <w:pStyle w:val="TOC2"/>
        <w:rPr>
          <w:rFonts w:asciiTheme="minorHAnsi" w:hAnsiTheme="minorHAnsi" w:eastAsiaTheme="minorEastAsia" w:cstheme="minorBidi"/>
          <w:kern w:val="2"/>
          <w:sz w:val="24"/>
          <w:szCs w:val="24"/>
          <w:lang w:eastAsia="en-AU"/>
          <w14:ligatures w14:val="standardContextual"/>
        </w:rPr>
      </w:pPr>
      <w:hyperlink w:history="1" w:anchor="_Toc235628538">
        <w:r w:rsidRPr="00966FAA">
          <w:rPr>
            <w:rStyle w:val="Hyperlink"/>
            <w:rFonts w:cs="Arial"/>
          </w:rPr>
          <w:t>4.2 Performance Tier Assessment (escalation and de-escalation)</w:t>
        </w:r>
        <w:r>
          <w:rPr>
            <w:webHidden/>
          </w:rPr>
          <w:tab/>
        </w:r>
        <w:r>
          <w:rPr>
            <w:webHidden/>
          </w:rPr>
          <w:fldChar w:fldCharType="begin"/>
        </w:r>
        <w:r>
          <w:rPr>
            <w:webHidden/>
          </w:rPr>
          <w:instrText xml:space="preserve"> PAGEREF _Toc235628538 \h </w:instrText>
        </w:r>
        <w:r>
          <w:rPr>
            <w:webHidden/>
          </w:rPr>
        </w:r>
        <w:r>
          <w:rPr>
            <w:webHidden/>
          </w:rPr>
          <w:fldChar w:fldCharType="separate"/>
        </w:r>
        <w:r>
          <w:rPr>
            <w:webHidden/>
          </w:rPr>
          <w:t>21</w:t>
        </w:r>
        <w:r>
          <w:rPr>
            <w:webHidden/>
          </w:rPr>
          <w:fldChar w:fldCharType="end"/>
        </w:r>
      </w:hyperlink>
    </w:p>
    <w:p w:rsidR="00214DBF" w:rsidRDefault="00214DBF" w14:paraId="74A52DD6" w14:textId="3B395AB1">
      <w:pPr>
        <w:pStyle w:val="TOC2"/>
        <w:rPr>
          <w:rFonts w:asciiTheme="minorHAnsi" w:hAnsiTheme="minorHAnsi" w:eastAsiaTheme="minorEastAsia" w:cstheme="minorBidi"/>
          <w:kern w:val="2"/>
          <w:sz w:val="24"/>
          <w:szCs w:val="24"/>
          <w:lang w:eastAsia="en-AU"/>
          <w14:ligatures w14:val="standardContextual"/>
        </w:rPr>
      </w:pPr>
      <w:hyperlink w:history="1" w:anchor="_Toc235628539">
        <w:r w:rsidRPr="00966FAA">
          <w:rPr>
            <w:rStyle w:val="Hyperlink"/>
            <w:rFonts w:cs="Arial"/>
          </w:rPr>
          <w:t>4.3 Performance Tier Assessment Outcome</w:t>
        </w:r>
        <w:r>
          <w:rPr>
            <w:webHidden/>
          </w:rPr>
          <w:tab/>
        </w:r>
        <w:r>
          <w:rPr>
            <w:webHidden/>
          </w:rPr>
          <w:fldChar w:fldCharType="begin"/>
        </w:r>
        <w:r>
          <w:rPr>
            <w:webHidden/>
          </w:rPr>
          <w:instrText xml:space="preserve"> PAGEREF _Toc235628539 \h </w:instrText>
        </w:r>
        <w:r>
          <w:rPr>
            <w:webHidden/>
          </w:rPr>
        </w:r>
        <w:r>
          <w:rPr>
            <w:webHidden/>
          </w:rPr>
          <w:fldChar w:fldCharType="separate"/>
        </w:r>
        <w:r>
          <w:rPr>
            <w:webHidden/>
          </w:rPr>
          <w:t>22</w:t>
        </w:r>
        <w:r>
          <w:rPr>
            <w:webHidden/>
          </w:rPr>
          <w:fldChar w:fldCharType="end"/>
        </w:r>
      </w:hyperlink>
    </w:p>
    <w:p w:rsidR="00214DBF" w:rsidRDefault="00214DBF" w14:paraId="7FDC52D0" w14:textId="4F89B032">
      <w:pPr>
        <w:pStyle w:val="TOC2"/>
        <w:rPr>
          <w:rFonts w:asciiTheme="minorHAnsi" w:hAnsiTheme="minorHAnsi" w:eastAsiaTheme="minorEastAsia" w:cstheme="minorBidi"/>
          <w:kern w:val="2"/>
          <w:sz w:val="24"/>
          <w:szCs w:val="24"/>
          <w:lang w:eastAsia="en-AU"/>
          <w14:ligatures w14:val="standardContextual"/>
        </w:rPr>
      </w:pPr>
      <w:hyperlink w:history="1" w:anchor="_Toc235628540">
        <w:r w:rsidRPr="00966FAA">
          <w:rPr>
            <w:rStyle w:val="Hyperlink"/>
          </w:rPr>
          <w:t>4.4 Exit Criteria</w:t>
        </w:r>
        <w:r>
          <w:rPr>
            <w:webHidden/>
          </w:rPr>
          <w:tab/>
        </w:r>
        <w:r>
          <w:rPr>
            <w:webHidden/>
          </w:rPr>
          <w:fldChar w:fldCharType="begin"/>
        </w:r>
        <w:r>
          <w:rPr>
            <w:webHidden/>
          </w:rPr>
          <w:instrText xml:space="preserve"> PAGEREF _Toc235628540 \h </w:instrText>
        </w:r>
        <w:r>
          <w:rPr>
            <w:webHidden/>
          </w:rPr>
        </w:r>
        <w:r>
          <w:rPr>
            <w:webHidden/>
          </w:rPr>
          <w:fldChar w:fldCharType="separate"/>
        </w:r>
        <w:r>
          <w:rPr>
            <w:webHidden/>
          </w:rPr>
          <w:t>22</w:t>
        </w:r>
        <w:r>
          <w:rPr>
            <w:webHidden/>
          </w:rPr>
          <w:fldChar w:fldCharType="end"/>
        </w:r>
      </w:hyperlink>
    </w:p>
    <w:p w:rsidR="00214DBF" w:rsidRDefault="00214DBF" w14:paraId="4262014E" w14:textId="61EAD041">
      <w:pPr>
        <w:pStyle w:val="TOC2"/>
        <w:rPr>
          <w:rFonts w:asciiTheme="minorHAnsi" w:hAnsiTheme="minorHAnsi" w:eastAsiaTheme="minorEastAsia" w:cstheme="minorBidi"/>
          <w:kern w:val="2"/>
          <w:sz w:val="24"/>
          <w:szCs w:val="24"/>
          <w:lang w:eastAsia="en-AU"/>
          <w14:ligatures w14:val="standardContextual"/>
        </w:rPr>
      </w:pPr>
      <w:hyperlink w:history="1" w:anchor="_Toc235628541">
        <w:r w:rsidRPr="00966FAA">
          <w:rPr>
            <w:rStyle w:val="Hyperlink"/>
            <w:rFonts w:cs="Arial"/>
          </w:rPr>
          <w:t>4.5 Escalation Options</w:t>
        </w:r>
        <w:r>
          <w:rPr>
            <w:webHidden/>
          </w:rPr>
          <w:tab/>
        </w:r>
        <w:r>
          <w:rPr>
            <w:webHidden/>
          </w:rPr>
          <w:fldChar w:fldCharType="begin"/>
        </w:r>
        <w:r>
          <w:rPr>
            <w:webHidden/>
          </w:rPr>
          <w:instrText xml:space="preserve"> PAGEREF _Toc235628541 \h </w:instrText>
        </w:r>
        <w:r>
          <w:rPr>
            <w:webHidden/>
          </w:rPr>
        </w:r>
        <w:r>
          <w:rPr>
            <w:webHidden/>
          </w:rPr>
          <w:fldChar w:fldCharType="separate"/>
        </w:r>
        <w:r>
          <w:rPr>
            <w:webHidden/>
          </w:rPr>
          <w:t>23</w:t>
        </w:r>
        <w:r>
          <w:rPr>
            <w:webHidden/>
          </w:rPr>
          <w:fldChar w:fldCharType="end"/>
        </w:r>
      </w:hyperlink>
    </w:p>
    <w:p w:rsidR="00214DBF" w:rsidRDefault="00214DBF" w14:paraId="44D8DE09" w14:textId="3EBDA45C">
      <w:pPr>
        <w:pStyle w:val="TOC2"/>
        <w:rPr>
          <w:rFonts w:asciiTheme="minorHAnsi" w:hAnsiTheme="minorHAnsi" w:eastAsiaTheme="minorEastAsia" w:cstheme="minorBidi"/>
          <w:kern w:val="2"/>
          <w:sz w:val="24"/>
          <w:szCs w:val="24"/>
          <w:lang w:eastAsia="en-AU"/>
          <w14:ligatures w14:val="standardContextual"/>
        </w:rPr>
      </w:pPr>
      <w:hyperlink w:history="1" w:anchor="_Toc235628542">
        <w:r w:rsidRPr="00966FAA">
          <w:rPr>
            <w:rStyle w:val="Hyperlink"/>
            <w:rFonts w:cs="Arial"/>
          </w:rPr>
          <w:t>4.6 Performance Tier Change and Notification</w:t>
        </w:r>
        <w:r>
          <w:rPr>
            <w:webHidden/>
          </w:rPr>
          <w:tab/>
        </w:r>
        <w:r>
          <w:rPr>
            <w:webHidden/>
          </w:rPr>
          <w:fldChar w:fldCharType="begin"/>
        </w:r>
        <w:r>
          <w:rPr>
            <w:webHidden/>
          </w:rPr>
          <w:instrText xml:space="preserve"> PAGEREF _Toc235628542 \h </w:instrText>
        </w:r>
        <w:r>
          <w:rPr>
            <w:webHidden/>
          </w:rPr>
        </w:r>
        <w:r>
          <w:rPr>
            <w:webHidden/>
          </w:rPr>
          <w:fldChar w:fldCharType="separate"/>
        </w:r>
        <w:r>
          <w:rPr>
            <w:webHidden/>
          </w:rPr>
          <w:t>24</w:t>
        </w:r>
        <w:r>
          <w:rPr>
            <w:webHidden/>
          </w:rPr>
          <w:fldChar w:fldCharType="end"/>
        </w:r>
      </w:hyperlink>
    </w:p>
    <w:p w:rsidR="00214DBF" w:rsidRDefault="00214DBF" w14:paraId="4ECACACC" w14:textId="05AE3C85">
      <w:pPr>
        <w:pStyle w:val="TOC1"/>
        <w:rPr>
          <w:rFonts w:asciiTheme="minorHAnsi" w:hAnsiTheme="minorHAnsi" w:eastAsiaTheme="minorEastAsia" w:cstheme="minorBidi"/>
          <w:b w:val="0"/>
          <w:kern w:val="2"/>
          <w:sz w:val="24"/>
          <w:szCs w:val="24"/>
          <w:lang w:eastAsia="en-AU"/>
          <w14:ligatures w14:val="standardContextual"/>
        </w:rPr>
      </w:pPr>
      <w:hyperlink w:history="1" w:anchor="_Toc235628543">
        <w:r w:rsidRPr="00966FAA">
          <w:rPr>
            <w:rStyle w:val="Hyperlink"/>
          </w:rPr>
          <w:t>5. Quarterly Performance Cycle</w:t>
        </w:r>
        <w:r>
          <w:rPr>
            <w:webHidden/>
          </w:rPr>
          <w:tab/>
        </w:r>
        <w:r>
          <w:rPr>
            <w:webHidden/>
          </w:rPr>
          <w:fldChar w:fldCharType="begin"/>
        </w:r>
        <w:r>
          <w:rPr>
            <w:webHidden/>
          </w:rPr>
          <w:instrText xml:space="preserve"> PAGEREF _Toc235628543 \h </w:instrText>
        </w:r>
        <w:r>
          <w:rPr>
            <w:webHidden/>
          </w:rPr>
        </w:r>
        <w:r>
          <w:rPr>
            <w:webHidden/>
          </w:rPr>
          <w:fldChar w:fldCharType="separate"/>
        </w:r>
        <w:r>
          <w:rPr>
            <w:webHidden/>
          </w:rPr>
          <w:t>25</w:t>
        </w:r>
        <w:r>
          <w:rPr>
            <w:webHidden/>
          </w:rPr>
          <w:fldChar w:fldCharType="end"/>
        </w:r>
      </w:hyperlink>
    </w:p>
    <w:p w:rsidR="00214DBF" w:rsidRDefault="00214DBF" w14:paraId="54D2D18B" w14:textId="2AD3CD1C">
      <w:pPr>
        <w:pStyle w:val="TOC2"/>
        <w:rPr>
          <w:rFonts w:asciiTheme="minorHAnsi" w:hAnsiTheme="minorHAnsi" w:eastAsiaTheme="minorEastAsia" w:cstheme="minorBidi"/>
          <w:kern w:val="2"/>
          <w:sz w:val="24"/>
          <w:szCs w:val="24"/>
          <w:lang w:eastAsia="en-AU"/>
          <w14:ligatures w14:val="standardContextual"/>
        </w:rPr>
      </w:pPr>
      <w:hyperlink w:history="1" w:anchor="_Toc235628544">
        <w:r w:rsidRPr="00966FAA">
          <w:rPr>
            <w:rStyle w:val="Hyperlink"/>
            <w:rFonts w:cs="Arial"/>
          </w:rPr>
          <w:t>5.1 Formal Quarterly Performance Meeting (QPM)</w:t>
        </w:r>
        <w:r>
          <w:rPr>
            <w:webHidden/>
          </w:rPr>
          <w:tab/>
        </w:r>
        <w:r>
          <w:rPr>
            <w:webHidden/>
          </w:rPr>
          <w:fldChar w:fldCharType="begin"/>
        </w:r>
        <w:r>
          <w:rPr>
            <w:webHidden/>
          </w:rPr>
          <w:instrText xml:space="preserve"> PAGEREF _Toc235628544 \h </w:instrText>
        </w:r>
        <w:r>
          <w:rPr>
            <w:webHidden/>
          </w:rPr>
        </w:r>
        <w:r>
          <w:rPr>
            <w:webHidden/>
          </w:rPr>
          <w:fldChar w:fldCharType="separate"/>
        </w:r>
        <w:r>
          <w:rPr>
            <w:webHidden/>
          </w:rPr>
          <w:t>25</w:t>
        </w:r>
        <w:r>
          <w:rPr>
            <w:webHidden/>
          </w:rPr>
          <w:fldChar w:fldCharType="end"/>
        </w:r>
      </w:hyperlink>
    </w:p>
    <w:p w:rsidR="00214DBF" w:rsidRDefault="00214DBF" w14:paraId="36BDAEBE" w14:textId="6561872A">
      <w:pPr>
        <w:pStyle w:val="TOC2"/>
        <w:rPr>
          <w:rFonts w:asciiTheme="minorHAnsi" w:hAnsiTheme="minorHAnsi" w:eastAsiaTheme="minorEastAsia" w:cstheme="minorBidi"/>
          <w:kern w:val="2"/>
          <w:sz w:val="24"/>
          <w:szCs w:val="24"/>
          <w:lang w:eastAsia="en-AU"/>
          <w14:ligatures w14:val="standardContextual"/>
        </w:rPr>
      </w:pPr>
      <w:hyperlink w:history="1" w:anchor="_Toc235628545">
        <w:r w:rsidRPr="00966FAA">
          <w:rPr>
            <w:rStyle w:val="Hyperlink"/>
            <w:rFonts w:cs="Arial"/>
          </w:rPr>
          <w:t>5.2 In-cycle meeting</w:t>
        </w:r>
        <w:r>
          <w:rPr>
            <w:webHidden/>
          </w:rPr>
          <w:tab/>
        </w:r>
        <w:r>
          <w:rPr>
            <w:webHidden/>
          </w:rPr>
          <w:fldChar w:fldCharType="begin"/>
        </w:r>
        <w:r>
          <w:rPr>
            <w:webHidden/>
          </w:rPr>
          <w:instrText xml:space="preserve"> PAGEREF _Toc235628545 \h </w:instrText>
        </w:r>
        <w:r>
          <w:rPr>
            <w:webHidden/>
          </w:rPr>
        </w:r>
        <w:r>
          <w:rPr>
            <w:webHidden/>
          </w:rPr>
          <w:fldChar w:fldCharType="separate"/>
        </w:r>
        <w:r>
          <w:rPr>
            <w:webHidden/>
          </w:rPr>
          <w:t>26</w:t>
        </w:r>
        <w:r>
          <w:rPr>
            <w:webHidden/>
          </w:rPr>
          <w:fldChar w:fldCharType="end"/>
        </w:r>
      </w:hyperlink>
    </w:p>
    <w:p w:rsidR="00214DBF" w:rsidRDefault="00214DBF" w14:paraId="25E5826C" w14:textId="1BE37F34">
      <w:pPr>
        <w:pStyle w:val="TOC2"/>
        <w:rPr>
          <w:rFonts w:asciiTheme="minorHAnsi" w:hAnsiTheme="minorHAnsi" w:eastAsiaTheme="minorEastAsia" w:cstheme="minorBidi"/>
          <w:kern w:val="2"/>
          <w:sz w:val="24"/>
          <w:szCs w:val="24"/>
          <w:lang w:eastAsia="en-AU"/>
          <w14:ligatures w14:val="standardContextual"/>
        </w:rPr>
      </w:pPr>
      <w:hyperlink w:history="1" w:anchor="_Toc235628546">
        <w:r w:rsidRPr="00966FAA">
          <w:rPr>
            <w:rStyle w:val="Hyperlink"/>
            <w:rFonts w:cs="Arial"/>
          </w:rPr>
          <w:t>5.3 Tailored accountability approach for effective oversight</w:t>
        </w:r>
        <w:r>
          <w:rPr>
            <w:webHidden/>
          </w:rPr>
          <w:tab/>
        </w:r>
        <w:r>
          <w:rPr>
            <w:webHidden/>
          </w:rPr>
          <w:fldChar w:fldCharType="begin"/>
        </w:r>
        <w:r>
          <w:rPr>
            <w:webHidden/>
          </w:rPr>
          <w:instrText xml:space="preserve"> PAGEREF _Toc235628546 \h </w:instrText>
        </w:r>
        <w:r>
          <w:rPr>
            <w:webHidden/>
          </w:rPr>
        </w:r>
        <w:r>
          <w:rPr>
            <w:webHidden/>
          </w:rPr>
          <w:fldChar w:fldCharType="separate"/>
        </w:r>
        <w:r>
          <w:rPr>
            <w:webHidden/>
          </w:rPr>
          <w:t>27</w:t>
        </w:r>
        <w:r>
          <w:rPr>
            <w:webHidden/>
          </w:rPr>
          <w:fldChar w:fldCharType="end"/>
        </w:r>
      </w:hyperlink>
    </w:p>
    <w:p w:rsidR="00214DBF" w:rsidRDefault="00214DBF" w14:paraId="70C92314" w14:textId="1BA77686">
      <w:pPr>
        <w:pStyle w:val="TOC1"/>
        <w:rPr>
          <w:rFonts w:asciiTheme="minorHAnsi" w:hAnsiTheme="minorHAnsi" w:eastAsiaTheme="minorEastAsia" w:cstheme="minorBidi"/>
          <w:b w:val="0"/>
          <w:kern w:val="2"/>
          <w:sz w:val="24"/>
          <w:szCs w:val="24"/>
          <w:lang w:eastAsia="en-AU"/>
          <w14:ligatures w14:val="standardContextual"/>
        </w:rPr>
      </w:pPr>
      <w:hyperlink w:history="1" w:anchor="_Toc235628547">
        <w:r w:rsidRPr="00966FAA">
          <w:rPr>
            <w:rStyle w:val="Hyperlink"/>
          </w:rPr>
          <w:t>6. Multi-Purpose Services (MPS) and Denominational services</w:t>
        </w:r>
        <w:r>
          <w:rPr>
            <w:webHidden/>
          </w:rPr>
          <w:tab/>
        </w:r>
        <w:r>
          <w:rPr>
            <w:webHidden/>
          </w:rPr>
          <w:fldChar w:fldCharType="begin"/>
        </w:r>
        <w:r>
          <w:rPr>
            <w:webHidden/>
          </w:rPr>
          <w:instrText xml:space="preserve"> PAGEREF _Toc235628547 \h </w:instrText>
        </w:r>
        <w:r>
          <w:rPr>
            <w:webHidden/>
          </w:rPr>
        </w:r>
        <w:r>
          <w:rPr>
            <w:webHidden/>
          </w:rPr>
          <w:fldChar w:fldCharType="separate"/>
        </w:r>
        <w:r>
          <w:rPr>
            <w:webHidden/>
          </w:rPr>
          <w:t>28</w:t>
        </w:r>
        <w:r>
          <w:rPr>
            <w:webHidden/>
          </w:rPr>
          <w:fldChar w:fldCharType="end"/>
        </w:r>
      </w:hyperlink>
    </w:p>
    <w:p w:rsidR="00214DBF" w:rsidRDefault="00214DBF" w14:paraId="6F5398CB" w14:textId="39530687">
      <w:pPr>
        <w:pStyle w:val="TOC2"/>
        <w:rPr>
          <w:rFonts w:asciiTheme="minorHAnsi" w:hAnsiTheme="minorHAnsi" w:eastAsiaTheme="minorEastAsia" w:cstheme="minorBidi"/>
          <w:kern w:val="2"/>
          <w:sz w:val="24"/>
          <w:szCs w:val="24"/>
          <w:lang w:eastAsia="en-AU"/>
          <w14:ligatures w14:val="standardContextual"/>
        </w:rPr>
      </w:pPr>
      <w:hyperlink w:history="1" w:anchor="_Toc235628548">
        <w:r w:rsidRPr="00966FAA">
          <w:rPr>
            <w:rStyle w:val="Hyperlink"/>
            <w:rFonts w:cs="Arial"/>
          </w:rPr>
          <w:t>6.1 Multi-Purpose Services (MPS)</w:t>
        </w:r>
        <w:r>
          <w:rPr>
            <w:webHidden/>
          </w:rPr>
          <w:tab/>
        </w:r>
        <w:r>
          <w:rPr>
            <w:webHidden/>
          </w:rPr>
          <w:fldChar w:fldCharType="begin"/>
        </w:r>
        <w:r>
          <w:rPr>
            <w:webHidden/>
          </w:rPr>
          <w:instrText xml:space="preserve"> PAGEREF _Toc235628548 \h </w:instrText>
        </w:r>
        <w:r>
          <w:rPr>
            <w:webHidden/>
          </w:rPr>
        </w:r>
        <w:r>
          <w:rPr>
            <w:webHidden/>
          </w:rPr>
          <w:fldChar w:fldCharType="separate"/>
        </w:r>
        <w:r>
          <w:rPr>
            <w:webHidden/>
          </w:rPr>
          <w:t>28</w:t>
        </w:r>
        <w:r>
          <w:rPr>
            <w:webHidden/>
          </w:rPr>
          <w:fldChar w:fldCharType="end"/>
        </w:r>
      </w:hyperlink>
    </w:p>
    <w:p w:rsidR="00214DBF" w:rsidRDefault="00214DBF" w14:paraId="75199E8D" w14:textId="27A786B8">
      <w:pPr>
        <w:pStyle w:val="TOC2"/>
        <w:rPr>
          <w:rFonts w:asciiTheme="minorHAnsi" w:hAnsiTheme="minorHAnsi" w:eastAsiaTheme="minorEastAsia" w:cstheme="minorBidi"/>
          <w:kern w:val="2"/>
          <w:sz w:val="24"/>
          <w:szCs w:val="24"/>
          <w:lang w:eastAsia="en-AU"/>
          <w14:ligatures w14:val="standardContextual"/>
        </w:rPr>
      </w:pPr>
      <w:hyperlink w:history="1" w:anchor="_Toc235628549">
        <w:r w:rsidRPr="00966FAA">
          <w:rPr>
            <w:rStyle w:val="Hyperlink"/>
            <w:rFonts w:cs="Arial"/>
          </w:rPr>
          <w:t>6.2 Denominational Services</w:t>
        </w:r>
        <w:r>
          <w:rPr>
            <w:webHidden/>
          </w:rPr>
          <w:tab/>
        </w:r>
        <w:r>
          <w:rPr>
            <w:webHidden/>
          </w:rPr>
          <w:fldChar w:fldCharType="begin"/>
        </w:r>
        <w:r>
          <w:rPr>
            <w:webHidden/>
          </w:rPr>
          <w:instrText xml:space="preserve"> PAGEREF _Toc235628549 \h </w:instrText>
        </w:r>
        <w:r>
          <w:rPr>
            <w:webHidden/>
          </w:rPr>
        </w:r>
        <w:r>
          <w:rPr>
            <w:webHidden/>
          </w:rPr>
          <w:fldChar w:fldCharType="separate"/>
        </w:r>
        <w:r>
          <w:rPr>
            <w:webHidden/>
          </w:rPr>
          <w:t>28</w:t>
        </w:r>
        <w:r>
          <w:rPr>
            <w:webHidden/>
          </w:rPr>
          <w:fldChar w:fldCharType="end"/>
        </w:r>
      </w:hyperlink>
    </w:p>
    <w:p w:rsidR="00214DBF" w:rsidRDefault="00214DBF" w14:paraId="72E47C55" w14:textId="3F832938">
      <w:pPr>
        <w:pStyle w:val="TOC1"/>
        <w:rPr>
          <w:rFonts w:asciiTheme="minorHAnsi" w:hAnsiTheme="minorHAnsi" w:eastAsiaTheme="minorEastAsia" w:cstheme="minorBidi"/>
          <w:b w:val="0"/>
          <w:kern w:val="2"/>
          <w:sz w:val="24"/>
          <w:szCs w:val="24"/>
          <w:lang w:eastAsia="en-AU"/>
          <w14:ligatures w14:val="standardContextual"/>
        </w:rPr>
      </w:pPr>
      <w:hyperlink w:history="1" w:anchor="_Toc235628550">
        <w:r w:rsidRPr="00966FAA">
          <w:rPr>
            <w:rStyle w:val="Hyperlink"/>
          </w:rPr>
          <w:t>7.  Roles and Responsibilities</w:t>
        </w:r>
        <w:r>
          <w:rPr>
            <w:webHidden/>
          </w:rPr>
          <w:tab/>
        </w:r>
        <w:r>
          <w:rPr>
            <w:webHidden/>
          </w:rPr>
          <w:fldChar w:fldCharType="begin"/>
        </w:r>
        <w:r>
          <w:rPr>
            <w:webHidden/>
          </w:rPr>
          <w:instrText xml:space="preserve"> PAGEREF _Toc235628550 \h </w:instrText>
        </w:r>
        <w:r>
          <w:rPr>
            <w:webHidden/>
          </w:rPr>
        </w:r>
        <w:r>
          <w:rPr>
            <w:webHidden/>
          </w:rPr>
          <w:fldChar w:fldCharType="separate"/>
        </w:r>
        <w:r>
          <w:rPr>
            <w:webHidden/>
          </w:rPr>
          <w:t>29</w:t>
        </w:r>
        <w:r>
          <w:rPr>
            <w:webHidden/>
          </w:rPr>
          <w:fldChar w:fldCharType="end"/>
        </w:r>
      </w:hyperlink>
    </w:p>
    <w:p w:rsidR="00214DBF" w:rsidRDefault="00214DBF" w14:paraId="4282C57C" w14:textId="6070F413">
      <w:pPr>
        <w:pStyle w:val="TOC2"/>
        <w:rPr>
          <w:rFonts w:asciiTheme="minorHAnsi" w:hAnsiTheme="minorHAnsi" w:eastAsiaTheme="minorEastAsia" w:cstheme="minorBidi"/>
          <w:kern w:val="2"/>
          <w:sz w:val="24"/>
          <w:szCs w:val="24"/>
          <w:lang w:eastAsia="en-AU"/>
          <w14:ligatures w14:val="standardContextual"/>
        </w:rPr>
      </w:pPr>
      <w:hyperlink w:history="1" w:anchor="_Toc235628551">
        <w:r w:rsidRPr="00966FAA">
          <w:rPr>
            <w:rStyle w:val="Hyperlink"/>
            <w:rFonts w:cs="Arial"/>
          </w:rPr>
          <w:t>7.1 Health services</w:t>
        </w:r>
        <w:r>
          <w:rPr>
            <w:webHidden/>
          </w:rPr>
          <w:tab/>
        </w:r>
        <w:r>
          <w:rPr>
            <w:webHidden/>
          </w:rPr>
          <w:fldChar w:fldCharType="begin"/>
        </w:r>
        <w:r>
          <w:rPr>
            <w:webHidden/>
          </w:rPr>
          <w:instrText xml:space="preserve"> PAGEREF _Toc235628551 \h </w:instrText>
        </w:r>
        <w:r>
          <w:rPr>
            <w:webHidden/>
          </w:rPr>
        </w:r>
        <w:r>
          <w:rPr>
            <w:webHidden/>
          </w:rPr>
          <w:fldChar w:fldCharType="separate"/>
        </w:r>
        <w:r>
          <w:rPr>
            <w:webHidden/>
          </w:rPr>
          <w:t>29</w:t>
        </w:r>
        <w:r>
          <w:rPr>
            <w:webHidden/>
          </w:rPr>
          <w:fldChar w:fldCharType="end"/>
        </w:r>
      </w:hyperlink>
    </w:p>
    <w:p w:rsidR="00214DBF" w:rsidRDefault="00214DBF" w14:paraId="2DDF0296" w14:textId="71F650D3">
      <w:pPr>
        <w:pStyle w:val="TOC2"/>
        <w:rPr>
          <w:rFonts w:asciiTheme="minorHAnsi" w:hAnsiTheme="minorHAnsi" w:eastAsiaTheme="minorEastAsia" w:cstheme="minorBidi"/>
          <w:kern w:val="2"/>
          <w:sz w:val="24"/>
          <w:szCs w:val="24"/>
          <w:lang w:eastAsia="en-AU"/>
          <w14:ligatures w14:val="standardContextual"/>
        </w:rPr>
      </w:pPr>
      <w:hyperlink w:history="1" w:anchor="_Toc235628552">
        <w:r w:rsidRPr="00966FAA">
          <w:rPr>
            <w:rStyle w:val="Hyperlink"/>
            <w:rFonts w:cs="Arial"/>
          </w:rPr>
          <w:t>7.2 Department of Health</w:t>
        </w:r>
        <w:r>
          <w:rPr>
            <w:webHidden/>
          </w:rPr>
          <w:tab/>
        </w:r>
        <w:r>
          <w:rPr>
            <w:webHidden/>
          </w:rPr>
          <w:fldChar w:fldCharType="begin"/>
        </w:r>
        <w:r>
          <w:rPr>
            <w:webHidden/>
          </w:rPr>
          <w:instrText xml:space="preserve"> PAGEREF _Toc235628552 \h </w:instrText>
        </w:r>
        <w:r>
          <w:rPr>
            <w:webHidden/>
          </w:rPr>
        </w:r>
        <w:r>
          <w:rPr>
            <w:webHidden/>
          </w:rPr>
          <w:fldChar w:fldCharType="separate"/>
        </w:r>
        <w:r>
          <w:rPr>
            <w:webHidden/>
          </w:rPr>
          <w:t>29</w:t>
        </w:r>
        <w:r>
          <w:rPr>
            <w:webHidden/>
          </w:rPr>
          <w:fldChar w:fldCharType="end"/>
        </w:r>
      </w:hyperlink>
    </w:p>
    <w:p w:rsidR="00214DBF" w:rsidRDefault="00214DBF" w14:paraId="5F72F47B" w14:textId="1AE4B4FC">
      <w:pPr>
        <w:pStyle w:val="TOC1"/>
        <w:rPr>
          <w:rFonts w:asciiTheme="minorHAnsi" w:hAnsiTheme="minorHAnsi" w:eastAsiaTheme="minorEastAsia" w:cstheme="minorBidi"/>
          <w:b w:val="0"/>
          <w:kern w:val="2"/>
          <w:sz w:val="24"/>
          <w:szCs w:val="24"/>
          <w:lang w:eastAsia="en-AU"/>
          <w14:ligatures w14:val="standardContextual"/>
        </w:rPr>
      </w:pPr>
      <w:hyperlink w:history="1" w:anchor="_Toc235628553">
        <w:r w:rsidRPr="00966FAA">
          <w:rPr>
            <w:rStyle w:val="Hyperlink"/>
          </w:rPr>
          <w:t>8. Reporting Requirements</w:t>
        </w:r>
        <w:r>
          <w:rPr>
            <w:webHidden/>
          </w:rPr>
          <w:tab/>
        </w:r>
        <w:r>
          <w:rPr>
            <w:webHidden/>
          </w:rPr>
          <w:fldChar w:fldCharType="begin"/>
        </w:r>
        <w:r>
          <w:rPr>
            <w:webHidden/>
          </w:rPr>
          <w:instrText xml:space="preserve"> PAGEREF _Toc235628553 \h </w:instrText>
        </w:r>
        <w:r>
          <w:rPr>
            <w:webHidden/>
          </w:rPr>
        </w:r>
        <w:r>
          <w:rPr>
            <w:webHidden/>
          </w:rPr>
          <w:fldChar w:fldCharType="separate"/>
        </w:r>
        <w:r>
          <w:rPr>
            <w:webHidden/>
          </w:rPr>
          <w:t>34</w:t>
        </w:r>
        <w:r>
          <w:rPr>
            <w:webHidden/>
          </w:rPr>
          <w:fldChar w:fldCharType="end"/>
        </w:r>
      </w:hyperlink>
    </w:p>
    <w:p w:rsidR="00214DBF" w:rsidRDefault="00214DBF" w14:paraId="5819F12B" w14:textId="3D6B1C60">
      <w:pPr>
        <w:pStyle w:val="TOC2"/>
        <w:rPr>
          <w:rFonts w:asciiTheme="minorHAnsi" w:hAnsiTheme="minorHAnsi" w:eastAsiaTheme="minorEastAsia" w:cstheme="minorBidi"/>
          <w:kern w:val="2"/>
          <w:sz w:val="24"/>
          <w:szCs w:val="24"/>
          <w:lang w:eastAsia="en-AU"/>
          <w14:ligatures w14:val="standardContextual"/>
        </w:rPr>
      </w:pPr>
      <w:hyperlink w:history="1" w:anchor="_Toc235628554">
        <w:r w:rsidRPr="00966FAA">
          <w:rPr>
            <w:rStyle w:val="Hyperlink"/>
          </w:rPr>
          <w:t>8.1 Specific events – Breaches</w:t>
        </w:r>
        <w:r>
          <w:rPr>
            <w:webHidden/>
          </w:rPr>
          <w:tab/>
        </w:r>
        <w:r>
          <w:rPr>
            <w:webHidden/>
          </w:rPr>
          <w:fldChar w:fldCharType="begin"/>
        </w:r>
        <w:r>
          <w:rPr>
            <w:webHidden/>
          </w:rPr>
          <w:instrText xml:space="preserve"> PAGEREF _Toc235628554 \h </w:instrText>
        </w:r>
        <w:r>
          <w:rPr>
            <w:webHidden/>
          </w:rPr>
        </w:r>
        <w:r>
          <w:rPr>
            <w:webHidden/>
          </w:rPr>
          <w:fldChar w:fldCharType="separate"/>
        </w:r>
        <w:r>
          <w:rPr>
            <w:webHidden/>
          </w:rPr>
          <w:t>34</w:t>
        </w:r>
        <w:r>
          <w:rPr>
            <w:webHidden/>
          </w:rPr>
          <w:fldChar w:fldCharType="end"/>
        </w:r>
      </w:hyperlink>
    </w:p>
    <w:p w:rsidR="00214DBF" w:rsidRDefault="00214DBF" w14:paraId="7645DA55" w14:textId="31609325">
      <w:pPr>
        <w:pStyle w:val="TOC2"/>
        <w:rPr>
          <w:rFonts w:asciiTheme="minorHAnsi" w:hAnsiTheme="minorHAnsi" w:eastAsiaTheme="minorEastAsia" w:cstheme="minorBidi"/>
          <w:kern w:val="2"/>
          <w:sz w:val="24"/>
          <w:szCs w:val="24"/>
          <w:lang w:eastAsia="en-AU"/>
          <w14:ligatures w14:val="standardContextual"/>
        </w:rPr>
      </w:pPr>
      <w:hyperlink w:history="1" w:anchor="_Toc235628555">
        <w:r w:rsidRPr="00966FAA">
          <w:rPr>
            <w:rStyle w:val="Hyperlink"/>
          </w:rPr>
          <w:t>8.2 Reporting of temporary change to capability level, including Code Yellow</w:t>
        </w:r>
        <w:r>
          <w:rPr>
            <w:webHidden/>
          </w:rPr>
          <w:tab/>
        </w:r>
        <w:r>
          <w:rPr>
            <w:webHidden/>
          </w:rPr>
          <w:fldChar w:fldCharType="begin"/>
        </w:r>
        <w:r>
          <w:rPr>
            <w:webHidden/>
          </w:rPr>
          <w:instrText xml:space="preserve"> PAGEREF _Toc235628555 \h </w:instrText>
        </w:r>
        <w:r>
          <w:rPr>
            <w:webHidden/>
          </w:rPr>
        </w:r>
        <w:r>
          <w:rPr>
            <w:webHidden/>
          </w:rPr>
          <w:fldChar w:fldCharType="separate"/>
        </w:r>
        <w:r>
          <w:rPr>
            <w:webHidden/>
          </w:rPr>
          <w:t>34</w:t>
        </w:r>
        <w:r>
          <w:rPr>
            <w:webHidden/>
          </w:rPr>
          <w:fldChar w:fldCharType="end"/>
        </w:r>
      </w:hyperlink>
    </w:p>
    <w:p w:rsidR="00214DBF" w:rsidRDefault="00214DBF" w14:paraId="70D5D54E" w14:textId="65814CFB">
      <w:pPr>
        <w:pStyle w:val="TOC1"/>
        <w:rPr>
          <w:rFonts w:asciiTheme="minorHAnsi" w:hAnsiTheme="minorHAnsi" w:eastAsiaTheme="minorEastAsia" w:cstheme="minorBidi"/>
          <w:b w:val="0"/>
          <w:kern w:val="2"/>
          <w:sz w:val="24"/>
          <w:szCs w:val="24"/>
          <w:lang w:eastAsia="en-AU"/>
          <w14:ligatures w14:val="standardContextual"/>
        </w:rPr>
      </w:pPr>
      <w:hyperlink w:history="1" w:anchor="_Toc235628556">
        <w:r w:rsidRPr="00966FAA">
          <w:rPr>
            <w:rStyle w:val="Hyperlink"/>
          </w:rPr>
          <w:t>Appendix 1: Coverage of the Framework</w:t>
        </w:r>
        <w:r>
          <w:rPr>
            <w:webHidden/>
          </w:rPr>
          <w:tab/>
        </w:r>
        <w:r>
          <w:rPr>
            <w:webHidden/>
          </w:rPr>
          <w:fldChar w:fldCharType="begin"/>
        </w:r>
        <w:r>
          <w:rPr>
            <w:webHidden/>
          </w:rPr>
          <w:instrText xml:space="preserve"> PAGEREF _Toc235628556 \h </w:instrText>
        </w:r>
        <w:r>
          <w:rPr>
            <w:webHidden/>
          </w:rPr>
        </w:r>
        <w:r>
          <w:rPr>
            <w:webHidden/>
          </w:rPr>
          <w:fldChar w:fldCharType="separate"/>
        </w:r>
        <w:r>
          <w:rPr>
            <w:webHidden/>
          </w:rPr>
          <w:t>36</w:t>
        </w:r>
        <w:r>
          <w:rPr>
            <w:webHidden/>
          </w:rPr>
          <w:fldChar w:fldCharType="end"/>
        </w:r>
      </w:hyperlink>
    </w:p>
    <w:p w:rsidR="00214DBF" w:rsidRDefault="00214DBF" w14:paraId="5664F6DD" w14:textId="5679B5AB">
      <w:pPr>
        <w:pStyle w:val="TOC2"/>
        <w:rPr>
          <w:rFonts w:asciiTheme="minorHAnsi" w:hAnsiTheme="minorHAnsi" w:eastAsiaTheme="minorEastAsia" w:cstheme="minorBidi"/>
          <w:kern w:val="2"/>
          <w:sz w:val="24"/>
          <w:szCs w:val="24"/>
          <w:lang w:eastAsia="en-AU"/>
          <w14:ligatures w14:val="standardContextual"/>
        </w:rPr>
      </w:pPr>
      <w:hyperlink w:history="1" w:anchor="_Toc235628557">
        <w:r w:rsidRPr="00966FAA">
          <w:rPr>
            <w:rStyle w:val="Hyperlink"/>
          </w:rPr>
          <w:t>Appendix 1a: Detailed List of publicly funded health service</w:t>
        </w:r>
        <w:r>
          <w:rPr>
            <w:webHidden/>
          </w:rPr>
          <w:tab/>
        </w:r>
        <w:r>
          <w:rPr>
            <w:webHidden/>
          </w:rPr>
          <w:fldChar w:fldCharType="begin"/>
        </w:r>
        <w:r>
          <w:rPr>
            <w:webHidden/>
          </w:rPr>
          <w:instrText xml:space="preserve"> PAGEREF _Toc235628557 \h </w:instrText>
        </w:r>
        <w:r>
          <w:rPr>
            <w:webHidden/>
          </w:rPr>
        </w:r>
        <w:r>
          <w:rPr>
            <w:webHidden/>
          </w:rPr>
          <w:fldChar w:fldCharType="separate"/>
        </w:r>
        <w:r>
          <w:rPr>
            <w:webHidden/>
          </w:rPr>
          <w:t>37</w:t>
        </w:r>
        <w:r>
          <w:rPr>
            <w:webHidden/>
          </w:rPr>
          <w:fldChar w:fldCharType="end"/>
        </w:r>
      </w:hyperlink>
    </w:p>
    <w:p w:rsidR="00214DBF" w:rsidRDefault="00214DBF" w14:paraId="7A5F5AEB" w14:textId="7B65891C">
      <w:pPr>
        <w:pStyle w:val="TOC1"/>
        <w:rPr>
          <w:rFonts w:asciiTheme="minorHAnsi" w:hAnsiTheme="minorHAnsi" w:eastAsiaTheme="minorEastAsia" w:cstheme="minorBidi"/>
          <w:b w:val="0"/>
          <w:kern w:val="2"/>
          <w:sz w:val="24"/>
          <w:szCs w:val="24"/>
          <w:lang w:eastAsia="en-AU"/>
          <w14:ligatures w14:val="standardContextual"/>
        </w:rPr>
      </w:pPr>
      <w:hyperlink w:history="1" w:anchor="_Toc235628558">
        <w:r w:rsidRPr="00966FAA">
          <w:rPr>
            <w:rStyle w:val="Hyperlink"/>
          </w:rPr>
          <w:t>Appendix 2: Performance Monitoring Framework Overview</w:t>
        </w:r>
        <w:r>
          <w:rPr>
            <w:webHidden/>
          </w:rPr>
          <w:tab/>
        </w:r>
        <w:r>
          <w:rPr>
            <w:webHidden/>
          </w:rPr>
          <w:fldChar w:fldCharType="begin"/>
        </w:r>
        <w:r>
          <w:rPr>
            <w:webHidden/>
          </w:rPr>
          <w:instrText xml:space="preserve"> PAGEREF _Toc235628558 \h </w:instrText>
        </w:r>
        <w:r>
          <w:rPr>
            <w:webHidden/>
          </w:rPr>
        </w:r>
        <w:r>
          <w:rPr>
            <w:webHidden/>
          </w:rPr>
          <w:fldChar w:fldCharType="separate"/>
        </w:r>
        <w:r>
          <w:rPr>
            <w:webHidden/>
          </w:rPr>
          <w:t>40</w:t>
        </w:r>
        <w:r>
          <w:rPr>
            <w:webHidden/>
          </w:rPr>
          <w:fldChar w:fldCharType="end"/>
        </w:r>
      </w:hyperlink>
    </w:p>
    <w:p w:rsidR="00214DBF" w:rsidRDefault="00214DBF" w14:paraId="372FD305" w14:textId="0E4D8812">
      <w:pPr>
        <w:pStyle w:val="TOC1"/>
        <w:rPr>
          <w:rFonts w:asciiTheme="minorHAnsi" w:hAnsiTheme="minorHAnsi" w:eastAsiaTheme="minorEastAsia" w:cstheme="minorBidi"/>
          <w:b w:val="0"/>
          <w:kern w:val="2"/>
          <w:sz w:val="24"/>
          <w:szCs w:val="24"/>
          <w:lang w:eastAsia="en-AU"/>
          <w14:ligatures w14:val="standardContextual"/>
        </w:rPr>
      </w:pPr>
      <w:hyperlink w:history="1" w:anchor="_Toc235628559">
        <w:r w:rsidRPr="00966FAA">
          <w:rPr>
            <w:rStyle w:val="Hyperlink"/>
          </w:rPr>
          <w:t>Appendix 3 Performance Monitoring Framework 2026-27 Measure Mapping</w:t>
        </w:r>
        <w:r>
          <w:rPr>
            <w:webHidden/>
          </w:rPr>
          <w:tab/>
        </w:r>
        <w:r>
          <w:rPr>
            <w:webHidden/>
          </w:rPr>
          <w:fldChar w:fldCharType="begin"/>
        </w:r>
        <w:r>
          <w:rPr>
            <w:webHidden/>
          </w:rPr>
          <w:instrText xml:space="preserve"> PAGEREF _Toc235628559 \h </w:instrText>
        </w:r>
        <w:r>
          <w:rPr>
            <w:webHidden/>
          </w:rPr>
        </w:r>
        <w:r>
          <w:rPr>
            <w:webHidden/>
          </w:rPr>
          <w:fldChar w:fldCharType="separate"/>
        </w:r>
        <w:r>
          <w:rPr>
            <w:webHidden/>
          </w:rPr>
          <w:t>41</w:t>
        </w:r>
        <w:r>
          <w:rPr>
            <w:webHidden/>
          </w:rPr>
          <w:fldChar w:fldCharType="end"/>
        </w:r>
      </w:hyperlink>
    </w:p>
    <w:p w:rsidR="00214DBF" w:rsidRDefault="00214DBF" w14:paraId="40BF4527" w14:textId="29256BB9">
      <w:pPr>
        <w:pStyle w:val="TOC1"/>
        <w:rPr>
          <w:rFonts w:asciiTheme="minorHAnsi" w:hAnsiTheme="minorHAnsi" w:eastAsiaTheme="minorEastAsia" w:cstheme="minorBidi"/>
          <w:b w:val="0"/>
          <w:kern w:val="2"/>
          <w:sz w:val="24"/>
          <w:szCs w:val="24"/>
          <w:lang w:eastAsia="en-AU"/>
          <w14:ligatures w14:val="standardContextual"/>
        </w:rPr>
      </w:pPr>
      <w:hyperlink w:history="1" w:anchor="_Toc235628560">
        <w:r w:rsidRPr="00966FAA">
          <w:rPr>
            <w:rStyle w:val="Hyperlink"/>
          </w:rPr>
          <w:t>Appendix 4: Statement of Priorities (SoP)</w:t>
        </w:r>
        <w:r>
          <w:rPr>
            <w:webHidden/>
          </w:rPr>
          <w:tab/>
        </w:r>
        <w:r>
          <w:rPr>
            <w:webHidden/>
          </w:rPr>
          <w:fldChar w:fldCharType="begin"/>
        </w:r>
        <w:r>
          <w:rPr>
            <w:webHidden/>
          </w:rPr>
          <w:instrText xml:space="preserve"> PAGEREF _Toc235628560 \h </w:instrText>
        </w:r>
        <w:r>
          <w:rPr>
            <w:webHidden/>
          </w:rPr>
        </w:r>
        <w:r>
          <w:rPr>
            <w:webHidden/>
          </w:rPr>
          <w:fldChar w:fldCharType="separate"/>
        </w:r>
        <w:r>
          <w:rPr>
            <w:webHidden/>
          </w:rPr>
          <w:t>45</w:t>
        </w:r>
        <w:r>
          <w:rPr>
            <w:webHidden/>
          </w:rPr>
          <w:fldChar w:fldCharType="end"/>
        </w:r>
      </w:hyperlink>
    </w:p>
    <w:p w:rsidR="00214DBF" w:rsidRDefault="00214DBF" w14:paraId="04CCB6F3" w14:textId="3FCD8140">
      <w:pPr>
        <w:pStyle w:val="TOC1"/>
        <w:rPr>
          <w:rFonts w:asciiTheme="minorHAnsi" w:hAnsiTheme="minorHAnsi" w:eastAsiaTheme="minorEastAsia" w:cstheme="minorBidi"/>
          <w:b w:val="0"/>
          <w:kern w:val="2"/>
          <w:sz w:val="24"/>
          <w:szCs w:val="24"/>
          <w:lang w:eastAsia="en-AU"/>
          <w14:ligatures w14:val="standardContextual"/>
        </w:rPr>
      </w:pPr>
      <w:hyperlink w:history="1" w:anchor="_Toc235628561">
        <w:r w:rsidRPr="00966FAA">
          <w:rPr>
            <w:rStyle w:val="Hyperlink"/>
          </w:rPr>
          <w:t>Appendix 5: Performance Tier Criteria</w:t>
        </w:r>
        <w:r>
          <w:rPr>
            <w:webHidden/>
          </w:rPr>
          <w:tab/>
        </w:r>
        <w:r>
          <w:rPr>
            <w:webHidden/>
          </w:rPr>
          <w:fldChar w:fldCharType="begin"/>
        </w:r>
        <w:r>
          <w:rPr>
            <w:webHidden/>
          </w:rPr>
          <w:instrText xml:space="preserve"> PAGEREF _Toc235628561 \h </w:instrText>
        </w:r>
        <w:r>
          <w:rPr>
            <w:webHidden/>
          </w:rPr>
        </w:r>
        <w:r>
          <w:rPr>
            <w:webHidden/>
          </w:rPr>
          <w:fldChar w:fldCharType="separate"/>
        </w:r>
        <w:r>
          <w:rPr>
            <w:webHidden/>
          </w:rPr>
          <w:t>47</w:t>
        </w:r>
        <w:r>
          <w:rPr>
            <w:webHidden/>
          </w:rPr>
          <w:fldChar w:fldCharType="end"/>
        </w:r>
      </w:hyperlink>
    </w:p>
    <w:p w:rsidR="00214DBF" w:rsidRDefault="00214DBF" w14:paraId="3C932A38" w14:textId="5635BE4B">
      <w:pPr>
        <w:pStyle w:val="TOC1"/>
        <w:rPr>
          <w:rFonts w:asciiTheme="minorHAnsi" w:hAnsiTheme="minorHAnsi" w:eastAsiaTheme="minorEastAsia" w:cstheme="minorBidi"/>
          <w:b w:val="0"/>
          <w:kern w:val="2"/>
          <w:sz w:val="24"/>
          <w:szCs w:val="24"/>
          <w:lang w:eastAsia="en-AU"/>
          <w14:ligatures w14:val="standardContextual"/>
        </w:rPr>
      </w:pPr>
      <w:hyperlink w:history="1" w:anchor="_Toc235628562">
        <w:r w:rsidRPr="00966FAA">
          <w:rPr>
            <w:rStyle w:val="Hyperlink"/>
          </w:rPr>
          <w:t>Appendix 6: Implications for health services in each performance tier</w:t>
        </w:r>
        <w:r>
          <w:rPr>
            <w:webHidden/>
          </w:rPr>
          <w:tab/>
        </w:r>
        <w:r>
          <w:rPr>
            <w:webHidden/>
          </w:rPr>
          <w:fldChar w:fldCharType="begin"/>
        </w:r>
        <w:r>
          <w:rPr>
            <w:webHidden/>
          </w:rPr>
          <w:instrText xml:space="preserve"> PAGEREF _Toc235628562 \h </w:instrText>
        </w:r>
        <w:r>
          <w:rPr>
            <w:webHidden/>
          </w:rPr>
        </w:r>
        <w:r>
          <w:rPr>
            <w:webHidden/>
          </w:rPr>
          <w:fldChar w:fldCharType="separate"/>
        </w:r>
        <w:r>
          <w:rPr>
            <w:webHidden/>
          </w:rPr>
          <w:t>49</w:t>
        </w:r>
        <w:r>
          <w:rPr>
            <w:webHidden/>
          </w:rPr>
          <w:fldChar w:fldCharType="end"/>
        </w:r>
      </w:hyperlink>
    </w:p>
    <w:p w:rsidR="00214DBF" w:rsidRDefault="00214DBF" w14:paraId="74C78B0B" w14:textId="28C3635C">
      <w:pPr>
        <w:pStyle w:val="TOC1"/>
        <w:rPr>
          <w:rFonts w:asciiTheme="minorHAnsi" w:hAnsiTheme="minorHAnsi" w:eastAsiaTheme="minorEastAsia" w:cstheme="minorBidi"/>
          <w:b w:val="0"/>
          <w:kern w:val="2"/>
          <w:sz w:val="24"/>
          <w:szCs w:val="24"/>
          <w:lang w:eastAsia="en-AU"/>
          <w14:ligatures w14:val="standardContextual"/>
        </w:rPr>
      </w:pPr>
      <w:hyperlink w:history="1" w:anchor="_Toc235628563">
        <w:r w:rsidRPr="00966FAA">
          <w:rPr>
            <w:rStyle w:val="Hyperlink"/>
          </w:rPr>
          <w:t>Appendix 7: Initiatives to support performance improvement</w:t>
        </w:r>
        <w:r>
          <w:rPr>
            <w:webHidden/>
          </w:rPr>
          <w:tab/>
        </w:r>
        <w:r>
          <w:rPr>
            <w:webHidden/>
          </w:rPr>
          <w:fldChar w:fldCharType="begin"/>
        </w:r>
        <w:r>
          <w:rPr>
            <w:webHidden/>
          </w:rPr>
          <w:instrText xml:space="preserve"> PAGEREF _Toc235628563 \h </w:instrText>
        </w:r>
        <w:r>
          <w:rPr>
            <w:webHidden/>
          </w:rPr>
        </w:r>
        <w:r>
          <w:rPr>
            <w:webHidden/>
          </w:rPr>
          <w:fldChar w:fldCharType="separate"/>
        </w:r>
        <w:r>
          <w:rPr>
            <w:webHidden/>
          </w:rPr>
          <w:t>51</w:t>
        </w:r>
        <w:r>
          <w:rPr>
            <w:webHidden/>
          </w:rPr>
          <w:fldChar w:fldCharType="end"/>
        </w:r>
      </w:hyperlink>
    </w:p>
    <w:p w:rsidR="00214DBF" w:rsidRDefault="00214DBF" w14:paraId="262E29FF" w14:textId="04848464">
      <w:pPr>
        <w:pStyle w:val="TOC1"/>
        <w:rPr>
          <w:rFonts w:asciiTheme="minorHAnsi" w:hAnsiTheme="minorHAnsi" w:eastAsiaTheme="minorEastAsia" w:cstheme="minorBidi"/>
          <w:b w:val="0"/>
          <w:kern w:val="2"/>
          <w:sz w:val="24"/>
          <w:szCs w:val="24"/>
          <w:lang w:eastAsia="en-AU"/>
          <w14:ligatures w14:val="standardContextual"/>
        </w:rPr>
      </w:pPr>
      <w:hyperlink w:history="1" w:anchor="_Toc235628564">
        <w:r w:rsidRPr="00966FAA">
          <w:rPr>
            <w:rStyle w:val="Hyperlink"/>
          </w:rPr>
          <w:t>Appendix 8: Escalation options and considerations for use</w:t>
        </w:r>
        <w:r>
          <w:rPr>
            <w:webHidden/>
          </w:rPr>
          <w:tab/>
        </w:r>
        <w:r>
          <w:rPr>
            <w:webHidden/>
          </w:rPr>
          <w:fldChar w:fldCharType="begin"/>
        </w:r>
        <w:r>
          <w:rPr>
            <w:webHidden/>
          </w:rPr>
          <w:instrText xml:space="preserve"> PAGEREF _Toc235628564 \h </w:instrText>
        </w:r>
        <w:r>
          <w:rPr>
            <w:webHidden/>
          </w:rPr>
        </w:r>
        <w:r>
          <w:rPr>
            <w:webHidden/>
          </w:rPr>
          <w:fldChar w:fldCharType="separate"/>
        </w:r>
        <w:r>
          <w:rPr>
            <w:webHidden/>
          </w:rPr>
          <w:t>53</w:t>
        </w:r>
        <w:r>
          <w:rPr>
            <w:webHidden/>
          </w:rPr>
          <w:fldChar w:fldCharType="end"/>
        </w:r>
      </w:hyperlink>
    </w:p>
    <w:p w:rsidR="00214DBF" w:rsidRDefault="00214DBF" w14:paraId="540DDEFF" w14:textId="6B4143B3">
      <w:pPr>
        <w:pStyle w:val="TOC1"/>
        <w:rPr>
          <w:rFonts w:asciiTheme="minorHAnsi" w:hAnsiTheme="minorHAnsi" w:eastAsiaTheme="minorEastAsia" w:cstheme="minorBidi"/>
          <w:b w:val="0"/>
          <w:kern w:val="2"/>
          <w:sz w:val="24"/>
          <w:szCs w:val="24"/>
          <w:lang w:eastAsia="en-AU"/>
          <w14:ligatures w14:val="standardContextual"/>
        </w:rPr>
      </w:pPr>
      <w:hyperlink w:history="1" w:anchor="_Toc235628565">
        <w:r w:rsidRPr="00966FAA">
          <w:rPr>
            <w:rStyle w:val="Hyperlink"/>
          </w:rPr>
          <w:t>Attachment 1: Health service notification process</w:t>
        </w:r>
        <w:r>
          <w:rPr>
            <w:webHidden/>
          </w:rPr>
          <w:tab/>
        </w:r>
        <w:r>
          <w:rPr>
            <w:webHidden/>
          </w:rPr>
          <w:fldChar w:fldCharType="begin"/>
        </w:r>
        <w:r>
          <w:rPr>
            <w:webHidden/>
          </w:rPr>
          <w:instrText xml:space="preserve"> PAGEREF _Toc235628565 \h </w:instrText>
        </w:r>
        <w:r>
          <w:rPr>
            <w:webHidden/>
          </w:rPr>
        </w:r>
        <w:r>
          <w:rPr>
            <w:webHidden/>
          </w:rPr>
          <w:fldChar w:fldCharType="separate"/>
        </w:r>
        <w:r>
          <w:rPr>
            <w:webHidden/>
          </w:rPr>
          <w:t>55</w:t>
        </w:r>
        <w:r>
          <w:rPr>
            <w:webHidden/>
          </w:rPr>
          <w:fldChar w:fldCharType="end"/>
        </w:r>
      </w:hyperlink>
    </w:p>
    <w:p w:rsidR="00214DBF" w:rsidRDefault="00214DBF" w14:paraId="3330C1CB" w14:textId="402A127F">
      <w:pPr>
        <w:pStyle w:val="TOC1"/>
        <w:rPr>
          <w:rFonts w:asciiTheme="minorHAnsi" w:hAnsiTheme="minorHAnsi" w:eastAsiaTheme="minorEastAsia" w:cstheme="minorBidi"/>
          <w:b w:val="0"/>
          <w:kern w:val="2"/>
          <w:sz w:val="24"/>
          <w:szCs w:val="24"/>
          <w:lang w:eastAsia="en-AU"/>
          <w14:ligatures w14:val="standardContextual"/>
        </w:rPr>
      </w:pPr>
      <w:hyperlink w:history="1" w:anchor="_Toc235628566">
        <w:r w:rsidRPr="00966FAA">
          <w:rPr>
            <w:rStyle w:val="Hyperlink"/>
            <w:lang w:eastAsia="en-AU"/>
          </w:rPr>
          <w:t>Attachment 2: Health Service Name Performance Improvement Plan</w:t>
        </w:r>
        <w:r>
          <w:rPr>
            <w:webHidden/>
          </w:rPr>
          <w:tab/>
        </w:r>
        <w:r>
          <w:rPr>
            <w:webHidden/>
          </w:rPr>
          <w:fldChar w:fldCharType="begin"/>
        </w:r>
        <w:r>
          <w:rPr>
            <w:webHidden/>
          </w:rPr>
          <w:instrText xml:space="preserve"> PAGEREF _Toc235628566 \h </w:instrText>
        </w:r>
        <w:r>
          <w:rPr>
            <w:webHidden/>
          </w:rPr>
        </w:r>
        <w:r>
          <w:rPr>
            <w:webHidden/>
          </w:rPr>
          <w:fldChar w:fldCharType="separate"/>
        </w:r>
        <w:r>
          <w:rPr>
            <w:webHidden/>
          </w:rPr>
          <w:t>57</w:t>
        </w:r>
        <w:r>
          <w:rPr>
            <w:webHidden/>
          </w:rPr>
          <w:fldChar w:fldCharType="end"/>
        </w:r>
      </w:hyperlink>
    </w:p>
    <w:p w:rsidR="00214DBF" w:rsidRDefault="00214DBF" w14:paraId="70874476" w14:textId="0E7F5301">
      <w:pPr>
        <w:pStyle w:val="TOC1"/>
        <w:rPr>
          <w:rFonts w:asciiTheme="minorHAnsi" w:hAnsiTheme="minorHAnsi" w:eastAsiaTheme="minorEastAsia" w:cstheme="minorBidi"/>
          <w:b w:val="0"/>
          <w:kern w:val="2"/>
          <w:sz w:val="24"/>
          <w:szCs w:val="24"/>
          <w:lang w:eastAsia="en-AU"/>
          <w14:ligatures w14:val="standardContextual"/>
        </w:rPr>
      </w:pPr>
      <w:hyperlink w:history="1" w:anchor="_Toc235628567">
        <w:r w:rsidRPr="00966FAA">
          <w:rPr>
            <w:rStyle w:val="Hyperlink"/>
          </w:rPr>
          <w:t>Attachment 3: Temporary Capability Change Notification Template</w:t>
        </w:r>
        <w:r>
          <w:rPr>
            <w:webHidden/>
          </w:rPr>
          <w:tab/>
        </w:r>
        <w:r>
          <w:rPr>
            <w:webHidden/>
          </w:rPr>
          <w:fldChar w:fldCharType="begin"/>
        </w:r>
        <w:r>
          <w:rPr>
            <w:webHidden/>
          </w:rPr>
          <w:instrText xml:space="preserve"> PAGEREF _Toc235628567 \h </w:instrText>
        </w:r>
        <w:r>
          <w:rPr>
            <w:webHidden/>
          </w:rPr>
        </w:r>
        <w:r>
          <w:rPr>
            <w:webHidden/>
          </w:rPr>
          <w:fldChar w:fldCharType="separate"/>
        </w:r>
        <w:r>
          <w:rPr>
            <w:webHidden/>
          </w:rPr>
          <w:t>58</w:t>
        </w:r>
        <w:r>
          <w:rPr>
            <w:webHidden/>
          </w:rPr>
          <w:fldChar w:fldCharType="end"/>
        </w:r>
      </w:hyperlink>
    </w:p>
    <w:p w:rsidRPr="00E70B3A" w:rsidR="00FB1F6E" w:rsidP="00D079AA" w:rsidRDefault="00AD784C" w14:paraId="6F088D79" w14:textId="0EF7DFC4">
      <w:pPr>
        <w:pStyle w:val="Body"/>
        <w:rPr>
          <w:rFonts w:cs="Arial"/>
        </w:rPr>
      </w:pPr>
      <w:r w:rsidRPr="00066709">
        <w:rPr>
          <w:rFonts w:cs="Arial"/>
        </w:rPr>
        <w:fldChar w:fldCharType="end"/>
      </w:r>
    </w:p>
    <w:p w:rsidRPr="00E70B3A" w:rsidR="00FB1F6E" w:rsidRDefault="00FB1F6E" w14:paraId="36285C0F" w14:textId="77777777">
      <w:pPr>
        <w:spacing w:after="0" w:line="240" w:lineRule="auto"/>
        <w:rPr>
          <w:rFonts w:eastAsia="Times" w:cs="Arial"/>
        </w:rPr>
      </w:pPr>
      <w:r w:rsidRPr="00E70B3A">
        <w:rPr>
          <w:rFonts w:cs="Arial"/>
        </w:rPr>
        <w:br w:type="page"/>
      </w:r>
    </w:p>
    <w:p w:rsidRPr="00E70B3A" w:rsidR="005343A0" w:rsidP="00E87CC4" w:rsidRDefault="005343A0" w14:paraId="67DC288E" w14:textId="77777777">
      <w:pPr>
        <w:pStyle w:val="Heading1"/>
      </w:pPr>
      <w:bookmarkStart w:name="_Toc235628522" w:id="0"/>
      <w:bookmarkStart w:name="_Hlk66712316" w:id="1"/>
      <w:r w:rsidRPr="00E70B3A">
        <w:t>Overview</w:t>
      </w:r>
      <w:bookmarkEnd w:id="0"/>
      <w:r w:rsidRPr="00E70B3A">
        <w:t xml:space="preserve"> </w:t>
      </w:r>
    </w:p>
    <w:p w:rsidR="001F067A" w:rsidP="001F067A" w:rsidRDefault="001F067A" w14:paraId="00333FD8" w14:textId="0E3C3582">
      <w:pPr>
        <w:pStyle w:val="DHHSbody"/>
        <w:rPr>
          <w:rFonts w:cs="Arial"/>
        </w:rPr>
      </w:pPr>
      <w:r w:rsidRPr="22A89554" w:rsidR="001F067A">
        <w:rPr>
          <w:rFonts w:cs="Arial"/>
        </w:rPr>
        <w:t>The Victorian Health Services Performance Monitoring Framework</w:t>
      </w:r>
      <w:r w:rsidRPr="22A89554" w:rsidR="00941172">
        <w:rPr>
          <w:rFonts w:cs="Arial"/>
        </w:rPr>
        <w:t xml:space="preserve"> (the framework)</w:t>
      </w:r>
      <w:r w:rsidRPr="22A89554" w:rsidR="001F067A">
        <w:rPr>
          <w:rFonts w:cs="Arial"/>
        </w:rPr>
        <w:t xml:space="preserve"> </w:t>
      </w:r>
      <w:r w:rsidRPr="22A89554" w:rsidR="00877314">
        <w:rPr>
          <w:rFonts w:cs="Arial"/>
        </w:rPr>
        <w:t>sets out</w:t>
      </w:r>
      <w:r w:rsidRPr="22A89554" w:rsidR="001F067A">
        <w:rPr>
          <w:rFonts w:cs="Arial"/>
        </w:rPr>
        <w:t xml:space="preserve"> how the Department of Health</w:t>
      </w:r>
      <w:r w:rsidRPr="22A89554" w:rsidR="00B3631A">
        <w:rPr>
          <w:rFonts w:cs="Arial"/>
        </w:rPr>
        <w:t xml:space="preserve"> (the department)</w:t>
      </w:r>
      <w:r w:rsidRPr="22A89554" w:rsidR="001F067A">
        <w:rPr>
          <w:rFonts w:cs="Arial"/>
        </w:rPr>
        <w:t xml:space="preserve"> oversee</w:t>
      </w:r>
      <w:r w:rsidRPr="22A89554" w:rsidR="1E813106">
        <w:rPr>
          <w:rFonts w:cs="Arial"/>
        </w:rPr>
        <w:t>s</w:t>
      </w:r>
      <w:r w:rsidRPr="22A89554" w:rsidR="001F067A">
        <w:rPr>
          <w:rFonts w:cs="Arial"/>
        </w:rPr>
        <w:t xml:space="preserve"> the performance of publicly funded health services. Its purpose is to support safe, high-quality, </w:t>
      </w:r>
      <w:r w:rsidRPr="22A89554" w:rsidR="001F067A">
        <w:rPr>
          <w:rFonts w:cs="Arial"/>
        </w:rPr>
        <w:t>accessible</w:t>
      </w:r>
      <w:r w:rsidRPr="22A89554" w:rsidR="001F067A">
        <w:rPr>
          <w:rFonts w:cs="Arial"/>
        </w:rPr>
        <w:t xml:space="preserve"> and sustainable care for Victorian patients, </w:t>
      </w:r>
      <w:r w:rsidRPr="22A89554" w:rsidR="001F067A">
        <w:rPr>
          <w:rFonts w:cs="Arial"/>
        </w:rPr>
        <w:t>consumers</w:t>
      </w:r>
      <w:r w:rsidRPr="22A89554" w:rsidR="001F067A">
        <w:rPr>
          <w:rFonts w:cs="Arial"/>
        </w:rPr>
        <w:t xml:space="preserve"> and communities.</w:t>
      </w:r>
    </w:p>
    <w:p w:rsidR="00D27D89" w:rsidP="00D27D89" w:rsidRDefault="00D27D89" w14:paraId="68FDFFE2" w14:textId="77777777">
      <w:pPr>
        <w:pStyle w:val="DHHSbody"/>
        <w:rPr>
          <w:rFonts w:cs="Arial"/>
        </w:rPr>
      </w:pPr>
      <w:r w:rsidRPr="000A3E51">
        <w:rPr>
          <w:rFonts w:cs="Arial"/>
        </w:rPr>
        <w:t>The framework provides a clear and consistent approach to performance oversight and improvement across Victorian public health services. It establishes shared accountability between the department and health services, supporting effective monitoring, early identification of risks, and timely action to improve performance.</w:t>
      </w:r>
    </w:p>
    <w:p w:rsidR="00E94ACC" w:rsidP="00D27D89" w:rsidRDefault="00E94ACC" w14:paraId="332E9651" w14:textId="0C4F2568">
      <w:pPr>
        <w:pStyle w:val="DHHSbody"/>
        <w:rPr>
          <w:rFonts w:cs="Arial"/>
        </w:rPr>
      </w:pPr>
      <w:r w:rsidRPr="001F067A">
        <w:rPr>
          <w:rFonts w:cs="Arial"/>
        </w:rPr>
        <w:t>The department monitors performance against the Statement of Prioritie</w:t>
      </w:r>
      <w:r>
        <w:rPr>
          <w:rFonts w:cs="Arial"/>
        </w:rPr>
        <w:t xml:space="preserve">s. </w:t>
      </w:r>
      <w:r w:rsidRPr="00EE0BBE">
        <w:rPr>
          <w:rFonts w:cs="Arial"/>
        </w:rPr>
        <w:t>It draws on data, evidence and informed assessment to evaluate performance against agreed expectations.</w:t>
      </w:r>
      <w:r>
        <w:rPr>
          <w:rFonts w:cs="Arial"/>
        </w:rPr>
        <w:t xml:space="preserve"> It</w:t>
      </w:r>
      <w:r w:rsidRPr="001B0DF7">
        <w:rPr>
          <w:rFonts w:cs="Arial"/>
        </w:rPr>
        <w:t xml:space="preserve"> tailors its oversight approach based on each health service’s performance tier and level of assessed risk.</w:t>
      </w:r>
    </w:p>
    <w:p w:rsidRPr="001F067A" w:rsidR="00D27D89" w:rsidP="001F067A" w:rsidRDefault="00D27D89" w14:paraId="46C1E586" w14:textId="40E45463">
      <w:pPr>
        <w:pStyle w:val="DHHSbody"/>
        <w:rPr>
          <w:rFonts w:cs="Arial"/>
        </w:rPr>
      </w:pPr>
      <w:r w:rsidRPr="00E70B3A">
        <w:rPr>
          <w:rFonts w:cs="Arial"/>
        </w:rPr>
        <w:t>Where performance concerns emerge, the department works in partnership with health services and statewide entities to understand underlying drivers, agree to improvement actions and, where necessary, apply proportionate accountability mechanisms available under the Health Services Act 1988</w:t>
      </w:r>
      <w:r>
        <w:rPr>
          <w:rFonts w:cs="Arial"/>
        </w:rPr>
        <w:t xml:space="preserve"> </w:t>
      </w:r>
      <w:r w:rsidRPr="00E70B3A">
        <w:rPr>
          <w:rFonts w:cs="Arial"/>
        </w:rPr>
        <w:t>consistent with the department’s stewardship role.</w:t>
      </w:r>
    </w:p>
    <w:p w:rsidRPr="000C7288" w:rsidR="000C7288" w:rsidP="000C7288" w:rsidRDefault="000C7288" w14:paraId="132279E0" w14:textId="21FF51B4">
      <w:pPr>
        <w:pStyle w:val="DHHSbody"/>
        <w:rPr>
          <w:rFonts w:cs="Arial"/>
        </w:rPr>
      </w:pPr>
      <w:r w:rsidRPr="000C7288">
        <w:rPr>
          <w:rFonts w:cs="Arial"/>
        </w:rPr>
        <w:t>The framework strengthens how performance is managed by setting out a clear escalation and de</w:t>
      </w:r>
      <w:r w:rsidRPr="000C7288">
        <w:rPr>
          <w:rFonts w:ascii="Cambria Math" w:hAnsi="Cambria Math" w:cs="Cambria Math"/>
        </w:rPr>
        <w:t>‑</w:t>
      </w:r>
      <w:r w:rsidRPr="000C7288">
        <w:rPr>
          <w:rFonts w:cs="Arial"/>
        </w:rPr>
        <w:t>escalation pathway, a consistent approach to assessing performance tiers, and a standardised Exit Criteria lifecycle (develop–agree–monitor–close) linked to health service Performance Improvement Plans</w:t>
      </w:r>
      <w:r w:rsidR="00B83D8D">
        <w:rPr>
          <w:rFonts w:cs="Arial"/>
        </w:rPr>
        <w:t xml:space="preserve"> </w:t>
      </w:r>
      <w:r w:rsidR="002E38A4">
        <w:rPr>
          <w:rFonts w:cs="Arial"/>
        </w:rPr>
        <w:t>(PiP)</w:t>
      </w:r>
      <w:r w:rsidRPr="000C7288">
        <w:rPr>
          <w:rFonts w:cs="Arial"/>
        </w:rPr>
        <w:t>.</w:t>
      </w:r>
    </w:p>
    <w:p w:rsidR="005506B8" w:rsidP="000C7288" w:rsidRDefault="005506B8" w14:paraId="427848C0" w14:textId="01449937">
      <w:pPr>
        <w:pStyle w:val="DHHSbody"/>
        <w:rPr>
          <w:rFonts w:cs="Arial"/>
        </w:rPr>
      </w:pPr>
      <w:r w:rsidRPr="005506B8">
        <w:rPr>
          <w:rFonts w:cs="Arial"/>
        </w:rPr>
        <w:t xml:space="preserve">Performance oversight under the </w:t>
      </w:r>
      <w:r>
        <w:rPr>
          <w:rFonts w:cs="Arial"/>
        </w:rPr>
        <w:t>f</w:t>
      </w:r>
      <w:r w:rsidRPr="005506B8">
        <w:rPr>
          <w:rFonts w:cs="Arial"/>
        </w:rPr>
        <w:t>ramework is organised around a set of core performance priorities—quality and safety (including cultural safety), access to care, workforce sustainability, and financial sustainability—while retaining flexibility to respond to emerging government and departmental priorities and evolving system risks.</w:t>
      </w:r>
    </w:p>
    <w:p w:rsidRPr="00913C0C" w:rsidR="00913C0C" w:rsidP="001F067A" w:rsidRDefault="00913C0C" w14:paraId="357B50AC" w14:textId="280EA248">
      <w:pPr>
        <w:pStyle w:val="DHHSbody"/>
      </w:pPr>
      <w:r>
        <w:t>The updated framework also strengthens engagement with the introduction of the Health Service Interface and Collaboration team (</w:t>
      </w:r>
      <w:r w:rsidR="00581FFF">
        <w:t>HSIC) as</w:t>
      </w:r>
      <w:r>
        <w:t xml:space="preserve"> the primary point of contact for health services and formalising in</w:t>
      </w:r>
      <w:r>
        <w:rPr>
          <w:rFonts w:ascii="Cambria Math" w:hAnsi="Cambria Math" w:cs="Cambria Math"/>
        </w:rPr>
        <w:t>‑</w:t>
      </w:r>
      <w:r>
        <w:t xml:space="preserve">cycle meetings between formal quarterly performance </w:t>
      </w:r>
      <w:r w:rsidR="00554BA2">
        <w:t>meetings (</w:t>
      </w:r>
      <w:r w:rsidR="006F1B3A">
        <w:t>QPMs)</w:t>
      </w:r>
      <w:r>
        <w:t xml:space="preserve">. </w:t>
      </w:r>
    </w:p>
    <w:p w:rsidR="00B75887" w:rsidP="001F067A" w:rsidRDefault="00B75887" w14:paraId="5B281796" w14:textId="4F41C889">
      <w:pPr>
        <w:pStyle w:val="DHHSbody"/>
        <w:rPr>
          <w:rFonts w:cs="Arial"/>
        </w:rPr>
      </w:pPr>
      <w:r w:rsidRPr="00E70B3A">
        <w:rPr>
          <w:rFonts w:cs="Arial"/>
        </w:rPr>
        <w:t xml:space="preserve">The </w:t>
      </w:r>
      <w:r>
        <w:rPr>
          <w:rFonts w:cs="Arial"/>
        </w:rPr>
        <w:t>f</w:t>
      </w:r>
      <w:r w:rsidRPr="00E70B3A">
        <w:rPr>
          <w:rFonts w:cs="Arial"/>
        </w:rPr>
        <w:t>ramework includes specific provisions for Multi-Purpose Services (MPS), denominational health services and statewide entities reflecting differences in governance, service profiles and legislative arrangements.</w:t>
      </w:r>
    </w:p>
    <w:p w:rsidRPr="001F067A" w:rsidR="00447B79" w:rsidP="001F067A" w:rsidRDefault="00447B79" w14:paraId="497D6847" w14:textId="307FB50D">
      <w:pPr>
        <w:pStyle w:val="DHHSbody"/>
        <w:rPr>
          <w:rFonts w:cs="Arial"/>
        </w:rPr>
      </w:pPr>
      <w:r>
        <w:rPr>
          <w:rFonts w:cs="Arial"/>
        </w:rPr>
        <w:t>The updates</w:t>
      </w:r>
      <w:r w:rsidR="001219EB">
        <w:rPr>
          <w:rFonts w:cs="Arial"/>
        </w:rPr>
        <w:t xml:space="preserve"> in the 2026-27 framework</w:t>
      </w:r>
      <w:r>
        <w:rPr>
          <w:rFonts w:cs="Arial"/>
        </w:rPr>
        <w:t xml:space="preserve"> </w:t>
      </w:r>
      <w:r w:rsidRPr="000C7288">
        <w:rPr>
          <w:rFonts w:cs="Arial"/>
        </w:rPr>
        <w:t>support more consistent decision-making, clearer accountability, and a stronger focus on early action and sustained improvement in health service performance</w:t>
      </w:r>
      <w:r w:rsidR="00721CB3">
        <w:rPr>
          <w:rFonts w:cs="Arial"/>
        </w:rPr>
        <w:t>.</w:t>
      </w:r>
    </w:p>
    <w:p w:rsidRPr="00E70B3A" w:rsidR="00BD0599" w:rsidP="00BD0599" w:rsidRDefault="00BD0599" w14:paraId="5A6AC557" w14:textId="77777777">
      <w:pPr>
        <w:pStyle w:val="DHHSbody"/>
        <w:rPr>
          <w:rFonts w:cs="Arial"/>
        </w:rPr>
      </w:pPr>
      <w:r w:rsidRPr="00E70B3A">
        <w:rPr>
          <w:rFonts w:cs="Arial"/>
        </w:rPr>
        <w:t>The remainder of this document is structured as follows:</w:t>
      </w:r>
    </w:p>
    <w:p w:rsidRPr="00E70B3A" w:rsidR="00BD0599" w:rsidP="00BD0599" w:rsidRDefault="00BD0599" w14:paraId="4D217678" w14:textId="33F7B88C">
      <w:pPr>
        <w:pStyle w:val="DHHSbody"/>
        <w:numPr>
          <w:ilvl w:val="0"/>
          <w:numId w:val="9"/>
        </w:numPr>
        <w:rPr>
          <w:rFonts w:cs="Arial"/>
        </w:rPr>
      </w:pPr>
      <w:r w:rsidRPr="00E70B3A">
        <w:rPr>
          <w:rFonts w:cs="Arial"/>
          <w:b/>
          <w:bCs/>
        </w:rPr>
        <w:t>Section 1</w:t>
      </w:r>
      <w:r w:rsidRPr="00E70B3A">
        <w:rPr>
          <w:rFonts w:cs="Arial"/>
        </w:rPr>
        <w:t xml:space="preserve"> sets out the scope of the </w:t>
      </w:r>
      <w:r w:rsidR="009D27E7">
        <w:rPr>
          <w:rFonts w:cs="Arial"/>
        </w:rPr>
        <w:t>f</w:t>
      </w:r>
      <w:r w:rsidRPr="00E70B3A">
        <w:rPr>
          <w:rFonts w:cs="Arial"/>
        </w:rPr>
        <w:t>ramework, including its legislative basis in the Health Services Act 1988, its application to publicly funded health services, and links to key policy documents and operating parameters.</w:t>
      </w:r>
    </w:p>
    <w:p w:rsidRPr="00E70B3A" w:rsidR="00BD0599" w:rsidP="00BD0599" w:rsidRDefault="00BD0599" w14:paraId="17CAA799" w14:textId="742D019A">
      <w:pPr>
        <w:pStyle w:val="DHHSbody"/>
        <w:numPr>
          <w:ilvl w:val="0"/>
          <w:numId w:val="9"/>
        </w:numPr>
        <w:rPr>
          <w:rFonts w:cs="Arial"/>
        </w:rPr>
      </w:pPr>
      <w:r w:rsidRPr="00E70B3A">
        <w:rPr>
          <w:rFonts w:cs="Arial"/>
          <w:b/>
          <w:bCs/>
        </w:rPr>
        <w:t>Section 2</w:t>
      </w:r>
      <w:r w:rsidRPr="00E70B3A">
        <w:rPr>
          <w:rFonts w:cs="Arial"/>
        </w:rPr>
        <w:t xml:space="preserve"> outlines key components of the </w:t>
      </w:r>
      <w:r w:rsidR="009D27E7">
        <w:rPr>
          <w:rFonts w:cs="Arial"/>
        </w:rPr>
        <w:t>f</w:t>
      </w:r>
      <w:r w:rsidRPr="00E70B3A">
        <w:rPr>
          <w:rFonts w:cs="Arial"/>
        </w:rPr>
        <w:t>ramework including performance cycle, performance domain and performance tiers.</w:t>
      </w:r>
    </w:p>
    <w:p w:rsidRPr="00E70B3A" w:rsidR="00BD0599" w:rsidP="00BD0599" w:rsidRDefault="00BD0599" w14:paraId="548C4F6E" w14:textId="3A1E01F4">
      <w:pPr>
        <w:pStyle w:val="DHHSbody"/>
        <w:numPr>
          <w:ilvl w:val="0"/>
          <w:numId w:val="9"/>
        </w:numPr>
        <w:rPr>
          <w:rFonts w:cs="Arial"/>
        </w:rPr>
      </w:pPr>
      <w:r w:rsidRPr="00E70B3A">
        <w:rPr>
          <w:rFonts w:cs="Arial"/>
          <w:b/>
          <w:bCs/>
        </w:rPr>
        <w:t>Section 3</w:t>
      </w:r>
      <w:r w:rsidRPr="00E70B3A">
        <w:rPr>
          <w:rFonts w:cs="Arial"/>
        </w:rPr>
        <w:t xml:space="preserve"> details each stage of the performance cycle encompassing planning and strategy, continuous improvement</w:t>
      </w:r>
      <w:r w:rsidR="00D427D7">
        <w:rPr>
          <w:rFonts w:cs="Arial"/>
        </w:rPr>
        <w:t xml:space="preserve"> (including </w:t>
      </w:r>
      <w:r w:rsidRPr="0052077E" w:rsidR="00D427D7">
        <w:rPr>
          <w:rFonts w:cs="Arial"/>
        </w:rPr>
        <w:t>health service engagement</w:t>
      </w:r>
      <w:r w:rsidR="00D427D7">
        <w:rPr>
          <w:rFonts w:cs="Arial"/>
        </w:rPr>
        <w:t>s</w:t>
      </w:r>
      <w:r w:rsidR="00721CB3">
        <w:rPr>
          <w:rFonts w:cs="Arial"/>
        </w:rPr>
        <w:t xml:space="preserve"> led by sub-domain teams</w:t>
      </w:r>
      <w:r w:rsidR="00D427D7">
        <w:rPr>
          <w:rFonts w:cs="Arial"/>
        </w:rPr>
        <w:t>)</w:t>
      </w:r>
      <w:r w:rsidRPr="00E70B3A">
        <w:rPr>
          <w:rFonts w:cs="Arial"/>
        </w:rPr>
        <w:t xml:space="preserve"> and formal accountability.</w:t>
      </w:r>
    </w:p>
    <w:p w:rsidRPr="0052077E" w:rsidR="0052077E" w:rsidRDefault="00BD0599" w14:paraId="65A3F585" w14:textId="462D83BE">
      <w:pPr>
        <w:pStyle w:val="ListParagraph"/>
        <w:numPr>
          <w:ilvl w:val="0"/>
          <w:numId w:val="9"/>
        </w:numPr>
        <w:rPr>
          <w:rFonts w:cs="Arial"/>
        </w:rPr>
      </w:pPr>
      <w:r w:rsidRPr="0052077E">
        <w:rPr>
          <w:rFonts w:cs="Arial"/>
          <w:b/>
          <w:bCs/>
        </w:rPr>
        <w:t>Section 4</w:t>
      </w:r>
      <w:r w:rsidRPr="0052077E">
        <w:rPr>
          <w:rFonts w:cs="Arial"/>
        </w:rPr>
        <w:t xml:space="preserve"> </w:t>
      </w:r>
      <w:r w:rsidR="00B13FF4">
        <w:rPr>
          <w:rFonts w:cs="Arial"/>
        </w:rPr>
        <w:t xml:space="preserve">outlines </w:t>
      </w:r>
      <w:r w:rsidR="00B13FF4">
        <w:rPr>
          <w:rFonts w:eastAsia="Times" w:cs="Arial"/>
        </w:rPr>
        <w:t>f</w:t>
      </w:r>
      <w:r w:rsidRPr="0052077E" w:rsidR="0052077E">
        <w:rPr>
          <w:rFonts w:eastAsia="Times" w:cs="Arial"/>
        </w:rPr>
        <w:t>ormal performance assessments, performance tier implications, exit criteria, and processes for escalation and de-escalation.</w:t>
      </w:r>
    </w:p>
    <w:p w:rsidRPr="0052077E" w:rsidR="00BD0599" w:rsidRDefault="00BD0599" w14:paraId="38B4F4BB" w14:textId="28BF2096">
      <w:pPr>
        <w:pStyle w:val="ListParagraph"/>
        <w:numPr>
          <w:ilvl w:val="0"/>
          <w:numId w:val="9"/>
        </w:numPr>
        <w:rPr>
          <w:rFonts w:cs="Arial"/>
        </w:rPr>
      </w:pPr>
      <w:r w:rsidRPr="0052077E">
        <w:rPr>
          <w:rFonts w:cs="Arial"/>
          <w:b/>
          <w:bCs/>
        </w:rPr>
        <w:t>Section 5</w:t>
      </w:r>
      <w:r w:rsidRPr="0052077E">
        <w:rPr>
          <w:rFonts w:cs="Arial"/>
        </w:rPr>
        <w:t xml:space="preserve"> outlines the quarterly performance cycle. It describes formal quarterly performance </w:t>
      </w:r>
      <w:r w:rsidRPr="0052077E" w:rsidR="00554BA2">
        <w:rPr>
          <w:rFonts w:cs="Arial"/>
        </w:rPr>
        <w:t>meetings</w:t>
      </w:r>
      <w:r w:rsidR="00554BA2">
        <w:rPr>
          <w:rFonts w:cs="Arial"/>
        </w:rPr>
        <w:t xml:space="preserve"> (</w:t>
      </w:r>
      <w:r w:rsidR="006F1B3A">
        <w:rPr>
          <w:rFonts w:cs="Arial"/>
        </w:rPr>
        <w:t>QPMs)</w:t>
      </w:r>
      <w:r w:rsidRPr="0052077E">
        <w:rPr>
          <w:rFonts w:cs="Arial"/>
        </w:rPr>
        <w:t xml:space="preserve"> and in-cycle meetings to support sustained performance improvement and clear accountability.</w:t>
      </w:r>
    </w:p>
    <w:p w:rsidRPr="00E70B3A" w:rsidR="00BD0599" w:rsidP="00BD0599" w:rsidRDefault="00BD0599" w14:paraId="111D8905" w14:textId="77777777">
      <w:pPr>
        <w:pStyle w:val="DHHSbody"/>
        <w:numPr>
          <w:ilvl w:val="0"/>
          <w:numId w:val="9"/>
        </w:numPr>
        <w:rPr>
          <w:rFonts w:cs="Arial"/>
        </w:rPr>
      </w:pPr>
      <w:r w:rsidRPr="00E70B3A">
        <w:rPr>
          <w:rFonts w:cs="Arial"/>
          <w:b/>
          <w:bCs/>
        </w:rPr>
        <w:t>Section 6</w:t>
      </w:r>
      <w:r w:rsidRPr="00E70B3A">
        <w:rPr>
          <w:rFonts w:cs="Arial"/>
        </w:rPr>
        <w:t xml:space="preserve"> Multi-Purpose Services (MPS) and Denominational Services (new): dedicated guidance for MPS and denominational services oversight.</w:t>
      </w:r>
    </w:p>
    <w:p w:rsidRPr="00E70B3A" w:rsidR="00BD0599" w:rsidP="00BD0599" w:rsidRDefault="00BD0599" w14:paraId="351E4B8D" w14:textId="77777777">
      <w:pPr>
        <w:pStyle w:val="DHHSbody"/>
        <w:numPr>
          <w:ilvl w:val="0"/>
          <w:numId w:val="9"/>
        </w:numPr>
        <w:rPr>
          <w:rFonts w:cs="Arial"/>
        </w:rPr>
      </w:pPr>
      <w:r w:rsidRPr="00E70B3A">
        <w:rPr>
          <w:rFonts w:cs="Arial"/>
          <w:b/>
          <w:bCs/>
        </w:rPr>
        <w:t>Section 7</w:t>
      </w:r>
      <w:r w:rsidRPr="00E70B3A">
        <w:rPr>
          <w:rFonts w:cs="Arial"/>
        </w:rPr>
        <w:t xml:space="preserve"> details distributed roles and responsibilities across the department, including key points of contact for health services.</w:t>
      </w:r>
    </w:p>
    <w:p w:rsidRPr="00E70B3A" w:rsidR="00BD0599" w:rsidP="00BD0599" w:rsidRDefault="00BD0599" w14:paraId="664525AE" w14:textId="77777777">
      <w:pPr>
        <w:pStyle w:val="DHHSbody"/>
        <w:numPr>
          <w:ilvl w:val="0"/>
          <w:numId w:val="9"/>
        </w:numPr>
        <w:rPr>
          <w:rFonts w:cs="Arial"/>
        </w:rPr>
      </w:pPr>
      <w:r w:rsidRPr="00E70B3A">
        <w:rPr>
          <w:rFonts w:cs="Arial"/>
          <w:b/>
          <w:bCs/>
        </w:rPr>
        <w:t>Section 8</w:t>
      </w:r>
      <w:r w:rsidRPr="00E70B3A">
        <w:rPr>
          <w:rFonts w:cs="Arial"/>
        </w:rPr>
        <w:t xml:space="preserve"> specifies formal reporting requirements - specific event breaches and temporary capability changes.</w:t>
      </w:r>
    </w:p>
    <w:p w:rsidRPr="00B46575" w:rsidR="00B46575" w:rsidP="00B96666" w:rsidRDefault="002B0FA6" w14:paraId="55E0DC3C" w14:textId="045504E7">
      <w:pPr>
        <w:pStyle w:val="DHHSbody"/>
        <w:rPr>
          <w:rFonts w:cs="Arial"/>
        </w:rPr>
      </w:pPr>
      <w:r w:rsidRPr="002B0FA6">
        <w:rPr>
          <w:rFonts w:cs="Arial"/>
        </w:rPr>
        <w:t>The department</w:t>
      </w:r>
      <w:r w:rsidRPr="002B0FA6">
        <w:t xml:space="preserve"> </w:t>
      </w:r>
      <w:r w:rsidRPr="002B0FA6">
        <w:rPr>
          <w:rFonts w:cs="Arial"/>
        </w:rPr>
        <w:t>values feedback from the sector</w:t>
      </w:r>
      <w:r w:rsidR="00B96666">
        <w:rPr>
          <w:rFonts w:cs="Arial"/>
        </w:rPr>
        <w:t xml:space="preserve"> and</w:t>
      </w:r>
      <w:r w:rsidRPr="002B0FA6">
        <w:rPr>
          <w:rFonts w:cs="Arial"/>
        </w:rPr>
        <w:t xml:space="preserve"> is committed to partnering with health services to strengthen performance through this framework. In 2026–27, the department will continue to evaluate the framework’s effectiveness and engage with the sector to prioritise further refinement</w:t>
      </w:r>
      <w:r w:rsidR="00B96666">
        <w:rPr>
          <w:rFonts w:cs="Arial"/>
        </w:rPr>
        <w:t xml:space="preserve"> in the following areas: </w:t>
      </w:r>
    </w:p>
    <w:p w:rsidRPr="00B46575" w:rsidR="00B46575" w:rsidRDefault="00B46575" w14:paraId="2E6DD22C" w14:textId="77777777">
      <w:pPr>
        <w:pStyle w:val="DHHSbody"/>
        <w:numPr>
          <w:ilvl w:val="0"/>
          <w:numId w:val="39"/>
        </w:numPr>
        <w:rPr>
          <w:rFonts w:cs="Arial"/>
        </w:rPr>
      </w:pPr>
      <w:r w:rsidRPr="00286D14">
        <w:rPr>
          <w:rFonts w:cs="Arial"/>
          <w:b/>
          <w:bCs/>
        </w:rPr>
        <w:t>Enhanced Autonomy tier</w:t>
      </w:r>
      <w:r w:rsidRPr="00B46575">
        <w:rPr>
          <w:rFonts w:cs="Arial"/>
        </w:rPr>
        <w:t xml:space="preserve"> – refining the criteria to ensure this tier is clearly defined, achievable, and represents a meaningful aspiration, with clearer benefits for services that attain it.</w:t>
      </w:r>
    </w:p>
    <w:p w:rsidRPr="00B46575" w:rsidR="00B46575" w:rsidRDefault="00B46575" w14:paraId="4624BCCC" w14:textId="77777777">
      <w:pPr>
        <w:pStyle w:val="DHHSbody"/>
        <w:numPr>
          <w:ilvl w:val="0"/>
          <w:numId w:val="39"/>
        </w:numPr>
        <w:rPr>
          <w:rFonts w:cs="Arial"/>
        </w:rPr>
      </w:pPr>
      <w:r w:rsidRPr="00286D14">
        <w:rPr>
          <w:rFonts w:cs="Arial"/>
          <w:b/>
          <w:bCs/>
        </w:rPr>
        <w:t>Recognition of local context</w:t>
      </w:r>
      <w:r w:rsidRPr="00B46575">
        <w:rPr>
          <w:rFonts w:cs="Arial"/>
        </w:rPr>
        <w:t xml:space="preserve"> – improving how local circumstances are considered to support consistent and fair application of the framework.</w:t>
      </w:r>
    </w:p>
    <w:p w:rsidRPr="00B46575" w:rsidR="00B46575" w:rsidRDefault="00B46575" w14:paraId="0A6BBDA6" w14:textId="09681DC1">
      <w:pPr>
        <w:pStyle w:val="DHHSbody"/>
        <w:numPr>
          <w:ilvl w:val="0"/>
          <w:numId w:val="39"/>
        </w:numPr>
        <w:rPr>
          <w:rFonts w:cs="Arial"/>
        </w:rPr>
      </w:pPr>
      <w:r w:rsidRPr="00286D14">
        <w:rPr>
          <w:rFonts w:cs="Arial"/>
          <w:b/>
          <w:bCs/>
        </w:rPr>
        <w:t>Shared understanding of performance data</w:t>
      </w:r>
      <w:r w:rsidRPr="00B46575">
        <w:rPr>
          <w:rFonts w:cs="Arial"/>
        </w:rPr>
        <w:t xml:space="preserve"> – strengthening how performance data (for example, through MONITOR</w:t>
      </w:r>
      <w:r>
        <w:rPr>
          <w:rFonts w:cs="Arial"/>
        </w:rPr>
        <w:t xml:space="preserve">, </w:t>
      </w:r>
      <w:r w:rsidRPr="00B46575">
        <w:rPr>
          <w:rFonts w:cs="Arial"/>
        </w:rPr>
        <w:t>PRISM</w:t>
      </w:r>
      <w:r>
        <w:rPr>
          <w:rFonts w:cs="Arial"/>
        </w:rPr>
        <w:t>, HeART</w:t>
      </w:r>
      <w:r w:rsidRPr="00B46575">
        <w:rPr>
          <w:rFonts w:cs="Arial"/>
        </w:rPr>
        <w:t>) is used to inform preparation for, and discussion during, performance oversight meetings.</w:t>
      </w:r>
    </w:p>
    <w:p w:rsidR="00B46575" w:rsidRDefault="00B46575" w14:paraId="2DC91F8D" w14:textId="77777777">
      <w:pPr>
        <w:pStyle w:val="DHHSbody"/>
        <w:numPr>
          <w:ilvl w:val="0"/>
          <w:numId w:val="39"/>
        </w:numPr>
        <w:rPr>
          <w:rFonts w:cs="Arial"/>
        </w:rPr>
      </w:pPr>
      <w:r w:rsidRPr="00286D14">
        <w:rPr>
          <w:rFonts w:cs="Arial"/>
          <w:b/>
          <w:bCs/>
        </w:rPr>
        <w:t>Support for escalated tiers</w:t>
      </w:r>
      <w:r w:rsidRPr="00B46575">
        <w:rPr>
          <w:rFonts w:cs="Arial"/>
        </w:rPr>
        <w:t xml:space="preserve"> – enhancing the practical, targeted support provided to services in the Performance Support and Mandated Intensive Support tiers.</w:t>
      </w:r>
    </w:p>
    <w:p w:rsidR="00913C0C" w:rsidRDefault="00913C0C" w14:paraId="41CDD2E2" w14:textId="34E5411D">
      <w:pPr>
        <w:spacing w:after="0" w:line="240" w:lineRule="auto"/>
      </w:pPr>
      <w:r>
        <w:br w:type="page"/>
      </w:r>
    </w:p>
    <w:p w:rsidRPr="00E70B3A" w:rsidR="00FA5C92" w:rsidRDefault="00FA5C92" w14:paraId="2DBFB61D" w14:textId="5024F165">
      <w:pPr>
        <w:pStyle w:val="Heading1"/>
        <w:numPr>
          <w:ilvl w:val="0"/>
          <w:numId w:val="34"/>
        </w:numPr>
      </w:pPr>
      <w:bookmarkStart w:name="_Toc235628523" w:id="2"/>
      <w:r w:rsidRPr="00E70B3A">
        <w:t>Scope of the Framework</w:t>
      </w:r>
      <w:bookmarkEnd w:id="2"/>
      <w:r w:rsidRPr="00E70B3A">
        <w:t xml:space="preserve"> </w:t>
      </w:r>
    </w:p>
    <w:p w:rsidRPr="00AB3F83" w:rsidR="00054CC1" w:rsidP="00054CC1" w:rsidRDefault="00E9528F" w14:paraId="15B708FA" w14:textId="315B0CFB">
      <w:pPr>
        <w:pStyle w:val="DHHSbody"/>
        <w:rPr>
          <w:rFonts w:cs="Arial"/>
        </w:rPr>
      </w:pPr>
      <w:r w:rsidRPr="00E9528F">
        <w:rPr>
          <w:rFonts w:cs="Arial"/>
        </w:rPr>
        <w:t xml:space="preserve">The framework applies to publicly funded Victorian health services listed in </w:t>
      </w:r>
      <w:r w:rsidRPr="00E9528F">
        <w:rPr>
          <w:rFonts w:cs="Arial"/>
          <w:b/>
          <w:bCs/>
        </w:rPr>
        <w:t>Appendix 1a</w:t>
      </w:r>
      <w:r>
        <w:rPr>
          <w:rFonts w:cs="Arial"/>
        </w:rPr>
        <w:t>.</w:t>
      </w:r>
      <w:r w:rsidRPr="00AB3F83" w:rsidR="00054CC1">
        <w:rPr>
          <w:rFonts w:cs="Arial"/>
        </w:rPr>
        <w:t xml:space="preserve"> In this document, “health services” includes public hospitals, public health services and multi-purpose services established under the Health Services Act 1988</w:t>
      </w:r>
      <w:r w:rsidR="002D1E04">
        <w:rPr>
          <w:rFonts w:cs="Arial"/>
        </w:rPr>
        <w:t xml:space="preserve"> </w:t>
      </w:r>
      <w:r w:rsidRPr="00AB3F83" w:rsidR="00054CC1">
        <w:rPr>
          <w:rFonts w:cs="Arial"/>
        </w:rPr>
        <w:t>unless otherwise stated.</w:t>
      </w:r>
      <w:r w:rsidRPr="00F9674C" w:rsidR="00F9674C">
        <w:t xml:space="preserve"> </w:t>
      </w:r>
      <w:r w:rsidRPr="00F9674C" w:rsidR="00F9674C">
        <w:rPr>
          <w:rFonts w:cs="Arial"/>
        </w:rPr>
        <w:t>References to 'the department' encompass relevant areas within and alongside the Department of Health, including independent entities such as Safer Care Victoria (SCV), and the Office of the Chief Psychiatrist.</w:t>
      </w:r>
    </w:p>
    <w:p w:rsidRPr="00AB3F83" w:rsidR="00054CC1" w:rsidP="00054CC1" w:rsidRDefault="00822567" w14:paraId="29E02495" w14:textId="0EFD8E77">
      <w:pPr>
        <w:pStyle w:val="DHHSbody"/>
        <w:rPr>
          <w:rFonts w:cs="Arial"/>
        </w:rPr>
      </w:pPr>
      <w:r w:rsidRPr="00822567">
        <w:rPr>
          <w:rFonts w:cs="Arial"/>
        </w:rPr>
        <w:t>The framework draws its primary authority from, and operates in accordance with</w:t>
      </w:r>
      <w:r w:rsidR="00BA5285">
        <w:rPr>
          <w:rFonts w:cs="Arial"/>
        </w:rPr>
        <w:t xml:space="preserve"> the</w:t>
      </w:r>
      <w:r w:rsidRPr="00822567">
        <w:rPr>
          <w:rFonts w:cs="Arial"/>
        </w:rPr>
        <w:t xml:space="preserve"> </w:t>
      </w:r>
      <w:r w:rsidRPr="00AB3F83" w:rsidR="00025BC2">
        <w:rPr>
          <w:rFonts w:cs="Arial"/>
        </w:rPr>
        <w:t>Health Services Act 1988</w:t>
      </w:r>
      <w:r w:rsidRPr="005A0D56" w:rsidR="005A0D56">
        <w:rPr>
          <w:rFonts w:cs="Arial"/>
        </w:rPr>
        <w:t>, which defines the roles of the Minister for Health and Ambulance Services, the Secretary</w:t>
      </w:r>
      <w:r w:rsidR="009308B2">
        <w:rPr>
          <w:rFonts w:cs="Arial"/>
        </w:rPr>
        <w:t xml:space="preserve">, </w:t>
      </w:r>
      <w:r w:rsidRPr="00AB3F83" w:rsidR="00054CC1">
        <w:rPr>
          <w:rFonts w:cs="Arial"/>
        </w:rPr>
        <w:t>the department and boards in relation to health service performance and accountability.</w:t>
      </w:r>
    </w:p>
    <w:p w:rsidRPr="00AB3F83" w:rsidR="00CD15FF" w:rsidP="00054CC1" w:rsidRDefault="00CD15FF" w14:paraId="59875636" w14:textId="4F2AAD46">
      <w:pPr>
        <w:pStyle w:val="DHHSbody"/>
        <w:rPr>
          <w:rFonts w:cs="Arial"/>
        </w:rPr>
      </w:pPr>
      <w:r w:rsidRPr="00CD15FF">
        <w:rPr>
          <w:rFonts w:cs="Arial"/>
        </w:rPr>
        <w:t xml:space="preserve">While the principles of the framework apply </w:t>
      </w:r>
      <w:r w:rsidRPr="00AB3F83" w:rsidR="00FE23BF">
        <w:rPr>
          <w:rFonts w:cs="Arial"/>
        </w:rPr>
        <w:t>to Ambulance Victoria, Oral Health Victoria, Forensicare and the Parkville Youth Mental Health and Wellbeing Service</w:t>
      </w:r>
      <w:r w:rsidRPr="00CD15FF">
        <w:rPr>
          <w:rFonts w:cs="Arial"/>
        </w:rPr>
        <w:t>, implementation may be adapted to reflect the unique role and operating environment of these statewide entities. Specific requirements are outlined in the Policy and Funding Guidelines and other relevant legislation, agreements or accountability mechanisms.</w:t>
      </w:r>
    </w:p>
    <w:p w:rsidR="00542A55" w:rsidP="00542A55" w:rsidRDefault="00E1397A" w14:paraId="5E801760" w14:textId="77777777">
      <w:pPr>
        <w:pStyle w:val="DHHSbody"/>
        <w:keepNext/>
      </w:pPr>
      <w:r w:rsidRPr="00E70B3A">
        <w:rPr>
          <w:rFonts w:cs="Arial"/>
          <w:noProof/>
        </w:rPr>
        <w:drawing>
          <wp:inline distT="0" distB="0" distL="0" distR="0" wp14:anchorId="5D101181" wp14:editId="01EDE9CE">
            <wp:extent cx="5904230" cy="3629157"/>
            <wp:effectExtent l="0" t="0" r="1270" b="9525"/>
            <wp:docPr id="2085619123" name="Picture 1" descr="Diagram illustrating Victorian Health Services Performance Monitoring Framework for 2026-27, showing hierarchical structure from Minister for Health and Secretary of Department of Health overseeing Department of Health as steward. Framework includes legislative instruments on left, central Performance Monitoring Framework box with key components, and three main outputs at bottom: Statement of Priorities, Policy and Funding Guidelines, and PMF Business Ru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619123" name="Picture 1" descr="Diagram illustrating Victorian Health Services Performance Monitoring Framework for 2026-27, showing hierarchical structure from Minister for Health and Secretary of Department of Health overseeing Department of Health as steward. Framework includes legislative instruments on left, central Performance Monitoring Framework box with key components, and three main outputs at bottom: Statement of Priorities, Policy and Funding Guidelines, and PMF Business Rules."/>
                    <pic:cNvPicPr/>
                  </pic:nvPicPr>
                  <pic:blipFill>
                    <a:blip r:embed="rId20"/>
                    <a:stretch>
                      <a:fillRect/>
                    </a:stretch>
                  </pic:blipFill>
                  <pic:spPr>
                    <a:xfrm>
                      <a:off x="0" y="0"/>
                      <a:ext cx="5904230" cy="3629157"/>
                    </a:xfrm>
                    <a:prstGeom prst="rect">
                      <a:avLst/>
                    </a:prstGeom>
                  </pic:spPr>
                </pic:pic>
              </a:graphicData>
            </a:graphic>
          </wp:inline>
        </w:drawing>
      </w:r>
    </w:p>
    <w:p w:rsidRPr="00E70B3A" w:rsidR="00E1397A" w:rsidP="00542A55" w:rsidRDefault="00542A55" w14:paraId="12F1258F" w14:textId="52FED3A2">
      <w:pPr>
        <w:pStyle w:val="Caption"/>
        <w:rPr>
          <w:rFonts w:cs="Arial"/>
        </w:rPr>
      </w:pPr>
      <w:r w:rsidRPr="00CC7567">
        <w:rPr>
          <w:b/>
          <w:bCs/>
        </w:rPr>
        <w:t xml:space="preserve">Figure </w:t>
      </w:r>
      <w:r w:rsidRPr="00CC7567" w:rsidR="00965FAC">
        <w:rPr>
          <w:b/>
          <w:bCs/>
        </w:rPr>
        <w:fldChar w:fldCharType="begin"/>
      </w:r>
      <w:r w:rsidRPr="00CC7567" w:rsidR="00965FAC">
        <w:rPr>
          <w:b/>
          <w:bCs/>
        </w:rPr>
        <w:instrText xml:space="preserve"> SEQ Figure \* ARABIC </w:instrText>
      </w:r>
      <w:r w:rsidRPr="00CC7567" w:rsidR="00965FAC">
        <w:rPr>
          <w:b/>
          <w:bCs/>
        </w:rPr>
        <w:fldChar w:fldCharType="separate"/>
      </w:r>
      <w:r w:rsidRPr="00CC7567" w:rsidR="00965FAC">
        <w:rPr>
          <w:b/>
          <w:bCs/>
          <w:noProof/>
        </w:rPr>
        <w:t>1</w:t>
      </w:r>
      <w:r w:rsidRPr="00CC7567" w:rsidR="00965FAC">
        <w:rPr>
          <w:b/>
          <w:bCs/>
          <w:noProof/>
        </w:rPr>
        <w:fldChar w:fldCharType="end"/>
      </w:r>
      <w:r w:rsidRPr="00475E1C">
        <w:t xml:space="preserve"> Overview of the Victorian Performance Monitoring Framework (the framework) </w:t>
      </w:r>
    </w:p>
    <w:p w:rsidR="00FA5C92" w:rsidP="00183E11" w:rsidRDefault="00E1397A" w14:paraId="395DF654" w14:textId="27970AD1">
      <w:pPr>
        <w:pStyle w:val="DHHSbody"/>
      </w:pPr>
      <w:r w:rsidRPr="00CC7567">
        <w:t xml:space="preserve">See </w:t>
      </w:r>
      <w:r w:rsidRPr="00840629">
        <w:rPr>
          <w:b/>
          <w:bCs/>
        </w:rPr>
        <w:t>Appendix 2</w:t>
      </w:r>
      <w:r w:rsidRPr="00CC7567">
        <w:t xml:space="preserve"> for </w:t>
      </w:r>
      <w:r w:rsidRPr="00CC7567" w:rsidR="00DD6936">
        <w:t>Legislative and</w:t>
      </w:r>
      <w:r w:rsidRPr="00CC7567">
        <w:t xml:space="preserve"> Accountability Instruments, DH areas (sub-domains) and data flows</w:t>
      </w:r>
      <w:r w:rsidR="00B878B0">
        <w:t>.</w:t>
      </w:r>
    </w:p>
    <w:p w:rsidRPr="00183E11" w:rsidR="00183E11" w:rsidP="00183E11" w:rsidRDefault="00183E11" w14:paraId="14DBBD89" w14:textId="77777777">
      <w:pPr>
        <w:pStyle w:val="DHHSbody"/>
      </w:pPr>
    </w:p>
    <w:p w:rsidR="00183E11" w:rsidP="00183E11" w:rsidRDefault="00183E11" w14:paraId="2FDA80A3" w14:textId="6BA608CD">
      <w:pPr>
        <w:pStyle w:val="Heading2"/>
        <w:numPr>
          <w:ilvl w:val="1"/>
          <w:numId w:val="43"/>
        </w:numPr>
        <w:rPr>
          <w:rFonts w:cs="Arial"/>
        </w:rPr>
      </w:pPr>
      <w:bookmarkStart w:name="_Toc235628524" w:id="3"/>
      <w:r w:rsidRPr="004F4D2A">
        <w:rPr>
          <w:rFonts w:cs="Arial"/>
        </w:rPr>
        <w:t>Alignment with broader operating parameters set by key policy documents</w:t>
      </w:r>
      <w:bookmarkEnd w:id="3"/>
    </w:p>
    <w:p w:rsidRPr="00085987" w:rsidR="00183E11" w:rsidP="00183E11" w:rsidRDefault="00183E11" w14:paraId="3898AA69" w14:textId="312FBE5F">
      <w:pPr>
        <w:rPr>
          <w:rFonts w:cs="Arial"/>
          <w:color w:val="000000" w:themeColor="text1"/>
          <w:szCs w:val="21"/>
        </w:rPr>
      </w:pPr>
      <w:r w:rsidRPr="00085987">
        <w:rPr>
          <w:rFonts w:cs="Arial"/>
          <w:color w:val="000000" w:themeColor="text1"/>
          <w:szCs w:val="21"/>
        </w:rPr>
        <w:t xml:space="preserve">The </w:t>
      </w:r>
      <w:r>
        <w:rPr>
          <w:rFonts w:cs="Arial"/>
          <w:color w:val="000000" w:themeColor="text1"/>
          <w:szCs w:val="21"/>
        </w:rPr>
        <w:t>f</w:t>
      </w:r>
      <w:r w:rsidRPr="00085987">
        <w:rPr>
          <w:rFonts w:cs="Arial"/>
          <w:color w:val="000000" w:themeColor="text1"/>
          <w:szCs w:val="21"/>
        </w:rPr>
        <w:t>ramework aligns with broader operating parameters set by key policy documents, including:</w:t>
      </w:r>
    </w:p>
    <w:p w:rsidRPr="00085987" w:rsidR="00183E11" w:rsidP="00183E11" w:rsidRDefault="00183E11" w14:paraId="53CE4A59" w14:textId="7573ED25">
      <w:pPr>
        <w:pStyle w:val="DHHSbullet1"/>
        <w:numPr>
          <w:ilvl w:val="0"/>
          <w:numId w:val="8"/>
        </w:numPr>
        <w:rPr>
          <w:rFonts w:cs="Arial"/>
          <w:szCs w:val="21"/>
        </w:rPr>
      </w:pPr>
      <w:r w:rsidRPr="00085987">
        <w:rPr>
          <w:rFonts w:cs="Arial"/>
          <w:szCs w:val="21"/>
        </w:rPr>
        <w:t xml:space="preserve">strategic priorities and service delivery targets set out in each health service’s </w:t>
      </w:r>
      <w:hyperlink w:history="1" r:id="rId21">
        <w:r w:rsidRPr="00085987">
          <w:rPr>
            <w:rStyle w:val="Hyperlink"/>
            <w:rFonts w:cs="Arial"/>
            <w:color w:val="000000" w:themeColor="text1"/>
            <w:szCs w:val="21"/>
            <w:u w:val="none"/>
          </w:rPr>
          <w:t>Statement of Priorities</w:t>
        </w:r>
      </w:hyperlink>
      <w:r w:rsidRPr="00085987">
        <w:rPr>
          <w:rStyle w:val="Hyperlink"/>
          <w:rFonts w:cs="Arial"/>
          <w:color w:val="000000" w:themeColor="text1"/>
          <w:szCs w:val="21"/>
          <w:u w:val="none"/>
        </w:rPr>
        <w:t xml:space="preserve"> (</w:t>
      </w:r>
      <w:r w:rsidRPr="00085987">
        <w:rPr>
          <w:rFonts w:cs="Arial"/>
          <w:szCs w:val="21"/>
        </w:rPr>
        <w:t>SoPs) &lt;</w:t>
      </w:r>
      <w:hyperlink w:history="1" r:id="rId22">
        <w:r w:rsidRPr="00085987">
          <w:rPr>
            <w:rFonts w:cs="Arial"/>
            <w:szCs w:val="21"/>
          </w:rPr>
          <w:t>https://www.health.vic.gov.au/funding-performance-accountability/statements-of-priorities</w:t>
        </w:r>
      </w:hyperlink>
      <w:r w:rsidRPr="00085987">
        <w:rPr>
          <w:rFonts w:cs="Arial"/>
          <w:szCs w:val="21"/>
        </w:rPr>
        <w:t>&gt;, the key service delivery and accountability agreements between health services and the Minister for Health and Ambulance Services</w:t>
      </w:r>
    </w:p>
    <w:p w:rsidRPr="00085987" w:rsidR="00183E11" w:rsidP="00183E11" w:rsidRDefault="00183E11" w14:paraId="2C0707C2" w14:textId="77777777">
      <w:pPr>
        <w:pStyle w:val="DHHSbullet1"/>
        <w:numPr>
          <w:ilvl w:val="0"/>
          <w:numId w:val="8"/>
        </w:numPr>
        <w:rPr>
          <w:rFonts w:cs="Arial"/>
          <w:szCs w:val="21"/>
        </w:rPr>
      </w:pPr>
      <w:r w:rsidRPr="00085987">
        <w:rPr>
          <w:rFonts w:cs="Arial"/>
          <w:szCs w:val="21"/>
        </w:rPr>
        <w:t xml:space="preserve">the </w:t>
      </w:r>
      <w:hyperlink w:history="1" r:id="rId23">
        <w:r w:rsidRPr="00085987">
          <w:rPr>
            <w:rFonts w:cs="Arial" w:eastAsiaTheme="minorEastAsia"/>
            <w:szCs w:val="21"/>
            <w:lang w:eastAsia="ja-JP"/>
          </w:rPr>
          <w:t>Department of Health’s Strategic Plan 2023-27</w:t>
        </w:r>
      </w:hyperlink>
      <w:r w:rsidRPr="00085987">
        <w:rPr>
          <w:rFonts w:cs="Arial"/>
          <w:szCs w:val="21"/>
        </w:rPr>
        <w:t xml:space="preserve"> &lt;</w:t>
      </w:r>
      <w:hyperlink w:history="1" r:id="rId24">
        <w:r w:rsidRPr="00085987">
          <w:rPr>
            <w:rFonts w:cs="Arial"/>
            <w:szCs w:val="21"/>
          </w:rPr>
          <w:t>https://www.health.vic.gov.au/our-strategic-plan-2023-27</w:t>
        </w:r>
      </w:hyperlink>
      <w:r w:rsidRPr="00085987">
        <w:rPr>
          <w:rFonts w:cs="Arial"/>
          <w:szCs w:val="21"/>
        </w:rPr>
        <w:t xml:space="preserve">&gt; and </w:t>
      </w:r>
      <w:hyperlink w:history="1" r:id="rId25">
        <w:r w:rsidRPr="00085987">
          <w:rPr>
            <w:rStyle w:val="Hyperlink"/>
            <w:rFonts w:cs="Arial"/>
            <w:color w:val="000000" w:themeColor="text1"/>
            <w:szCs w:val="21"/>
            <w:u w:val="none"/>
          </w:rPr>
          <w:t>Outcomes Framework</w:t>
        </w:r>
      </w:hyperlink>
      <w:r w:rsidRPr="00085987">
        <w:rPr>
          <w:rFonts w:cs="Arial"/>
          <w:szCs w:val="21"/>
        </w:rPr>
        <w:t xml:space="preserve"> &lt;</w:t>
      </w:r>
      <w:hyperlink w:history="1" r:id="rId26">
        <w:r w:rsidRPr="00085987">
          <w:rPr>
            <w:rFonts w:cs="Arial"/>
            <w:szCs w:val="21"/>
          </w:rPr>
          <w:t>https://www.health.vic.gov.au/our-strategic-plan-2023-27/our-outcomes-framework</w:t>
        </w:r>
      </w:hyperlink>
      <w:r w:rsidRPr="00085987">
        <w:rPr>
          <w:rFonts w:cs="Arial"/>
          <w:szCs w:val="21"/>
        </w:rPr>
        <w:t>&gt;, which reflect the Victorian Government’s priorities and inform the SoPs</w:t>
      </w:r>
    </w:p>
    <w:p w:rsidRPr="00085987" w:rsidR="00183E11" w:rsidP="00183E11" w:rsidRDefault="00183E11" w14:paraId="24C165A2" w14:textId="77777777">
      <w:pPr>
        <w:pStyle w:val="DHHSbullet1"/>
        <w:numPr>
          <w:ilvl w:val="0"/>
          <w:numId w:val="8"/>
        </w:numPr>
        <w:rPr>
          <w:rFonts w:cs="Arial"/>
          <w:szCs w:val="21"/>
        </w:rPr>
      </w:pPr>
      <w:r w:rsidRPr="00085987">
        <w:rPr>
          <w:rFonts w:cs="Arial"/>
          <w:szCs w:val="21"/>
        </w:rPr>
        <w:t xml:space="preserve">the conditions of health service funding (including detailed program and policy requirements) outlined in the </w:t>
      </w:r>
      <w:hyperlink w:history="1" r:id="rId27">
        <w:r w:rsidRPr="00085987">
          <w:rPr>
            <w:rStyle w:val="Hyperlink"/>
            <w:rFonts w:cs="Arial"/>
            <w:color w:val="000000" w:themeColor="text1"/>
            <w:szCs w:val="21"/>
            <w:u w:val="none"/>
          </w:rPr>
          <w:t>Policy and Funding Guidelines</w:t>
        </w:r>
      </w:hyperlink>
      <w:r w:rsidRPr="00085987">
        <w:rPr>
          <w:rFonts w:cs="Arial"/>
          <w:szCs w:val="21"/>
        </w:rPr>
        <w:t xml:space="preserve"> &lt;</w:t>
      </w:r>
      <w:hyperlink w:history="1" r:id="rId28">
        <w:r w:rsidRPr="00085987">
          <w:rPr>
            <w:rFonts w:cs="Arial"/>
            <w:szCs w:val="21"/>
          </w:rPr>
          <w:t>https://www.health.vic.gov.au/policy-and-funding-guidelines-for-health-services</w:t>
        </w:r>
      </w:hyperlink>
      <w:r w:rsidRPr="00085987">
        <w:rPr>
          <w:rFonts w:cs="Arial"/>
          <w:szCs w:val="21"/>
        </w:rPr>
        <w:t>&gt;</w:t>
      </w:r>
    </w:p>
    <w:p w:rsidR="00183E11" w:rsidP="00183E11" w:rsidRDefault="00183E11" w14:paraId="2A64CE9F" w14:textId="77777777">
      <w:pPr>
        <w:pStyle w:val="DHHSbullet1"/>
        <w:numPr>
          <w:ilvl w:val="0"/>
          <w:numId w:val="8"/>
        </w:numPr>
        <w:rPr>
          <w:rFonts w:cs="Arial"/>
          <w:szCs w:val="21"/>
        </w:rPr>
      </w:pPr>
      <w:r w:rsidRPr="00085987">
        <w:rPr>
          <w:rFonts w:cs="Arial"/>
          <w:szCs w:val="21"/>
        </w:rPr>
        <w:t xml:space="preserve">the </w:t>
      </w:r>
      <w:hyperlink w:history="1" r:id="rId29">
        <w:r w:rsidRPr="00085987">
          <w:rPr>
            <w:rStyle w:val="Hyperlink"/>
            <w:rFonts w:cs="Arial"/>
            <w:color w:val="000000" w:themeColor="text1"/>
            <w:szCs w:val="21"/>
            <w:u w:val="none"/>
          </w:rPr>
          <w:t>Victorian Clinical Governance Framework</w:t>
        </w:r>
      </w:hyperlink>
      <w:r w:rsidRPr="00085987">
        <w:rPr>
          <w:rFonts w:cs="Arial"/>
          <w:szCs w:val="21"/>
        </w:rPr>
        <w:t xml:space="preserve"> &lt;</w:t>
      </w:r>
      <w:hyperlink w:history="1" r:id="rId30">
        <w:r w:rsidRPr="00085987">
          <w:rPr>
            <w:rFonts w:cs="Arial"/>
            <w:szCs w:val="21"/>
          </w:rPr>
          <w:t>https://www.safercare.vic.gov.au/best-practice-improvement/publications/clinical-governance-framework</w:t>
        </w:r>
      </w:hyperlink>
      <w:r w:rsidRPr="00085987">
        <w:rPr>
          <w:rFonts w:cs="Arial"/>
          <w:szCs w:val="21"/>
        </w:rPr>
        <w:t>&gt;, which articulates expectations of clinical governance to ensure quality and safety of care</w:t>
      </w:r>
    </w:p>
    <w:p w:rsidRPr="003D278B" w:rsidR="00183E11" w:rsidP="00183E11" w:rsidRDefault="00183E11" w14:paraId="714C3531" w14:textId="2176E4C7">
      <w:pPr>
        <w:pStyle w:val="DHHSbullet1"/>
        <w:numPr>
          <w:ilvl w:val="0"/>
          <w:numId w:val="8"/>
        </w:numPr>
        <w:rPr>
          <w:rFonts w:cs="Arial"/>
        </w:rPr>
      </w:pPr>
      <w:r w:rsidRPr="00BA01D8">
        <w:rPr>
          <w:rFonts w:cs="Arial"/>
        </w:rPr>
        <w:t>Statutory Duty of Candour and protections for SAPSE reviews</w:t>
      </w:r>
      <w:r>
        <w:rPr>
          <w:rFonts w:cs="Arial"/>
        </w:rPr>
        <w:t xml:space="preserve"> </w:t>
      </w:r>
      <w:r w:rsidRPr="00A676F1">
        <w:rPr>
          <w:rFonts w:cs="Arial"/>
        </w:rPr>
        <w:t>https://www.safercare.vic.gov.au/report-manage-issues/adverse-events/duty-of-candour</w:t>
      </w:r>
    </w:p>
    <w:p w:rsidRPr="00085987" w:rsidR="00183E11" w:rsidP="00183E11" w:rsidRDefault="00183E11" w14:paraId="78576A46" w14:textId="77777777">
      <w:pPr>
        <w:pStyle w:val="DHHSbullet1"/>
        <w:numPr>
          <w:ilvl w:val="0"/>
          <w:numId w:val="8"/>
        </w:numPr>
        <w:rPr>
          <w:rFonts w:cs="Arial"/>
          <w:szCs w:val="21"/>
        </w:rPr>
      </w:pPr>
      <w:r w:rsidRPr="00085987">
        <w:rPr>
          <w:rFonts w:cs="Arial"/>
          <w:szCs w:val="21"/>
        </w:rPr>
        <w:t xml:space="preserve">the </w:t>
      </w:r>
      <w:hyperlink w:history="1" r:id="rId31">
        <w:r w:rsidRPr="00085987">
          <w:rPr>
            <w:rFonts w:cs="Arial" w:eastAsiaTheme="minorEastAsia"/>
            <w:szCs w:val="21"/>
            <w:lang w:eastAsia="ja-JP"/>
          </w:rPr>
          <w:t>Mental Health and Wellbeing Outcomes and Performance Framework</w:t>
        </w:r>
      </w:hyperlink>
      <w:r w:rsidRPr="00085987">
        <w:rPr>
          <w:rFonts w:cs="Arial"/>
          <w:szCs w:val="21"/>
        </w:rPr>
        <w:t xml:space="preserve"> &lt;https://www.health.vic.gov.au/mental-health/research-and-reporting/mental-health-and-wellbeing-outcomes-and-performance-framework&gt;.</w:t>
      </w:r>
    </w:p>
    <w:p w:rsidRPr="00085987" w:rsidR="00183E11" w:rsidP="00183E11" w:rsidRDefault="00183E11" w14:paraId="4C94E854" w14:textId="77777777">
      <w:pPr>
        <w:pStyle w:val="DHHSbullet1"/>
        <w:numPr>
          <w:ilvl w:val="0"/>
          <w:numId w:val="8"/>
        </w:numPr>
        <w:rPr>
          <w:rFonts w:cs="Arial"/>
          <w:szCs w:val="21"/>
        </w:rPr>
      </w:pPr>
      <w:r w:rsidRPr="00085987">
        <w:rPr>
          <w:rFonts w:cs="Arial"/>
          <w:szCs w:val="21"/>
        </w:rPr>
        <w:t xml:space="preserve">Service capability frameworks are being introduced for clinical streams across Victoria's health system. </w:t>
      </w:r>
      <w:hyperlink w:history="1" r:id="rId32">
        <w:r w:rsidRPr="00085987">
          <w:rPr>
            <w:rStyle w:val="Hyperlink"/>
            <w:rFonts w:cs="Arial"/>
            <w:color w:val="000000" w:themeColor="text1"/>
            <w:szCs w:val="21"/>
            <w:u w:val="none"/>
          </w:rPr>
          <w:t>Service capability frameworks for Victoria | health.vic.gov.au</w:t>
        </w:r>
      </w:hyperlink>
      <w:r w:rsidRPr="00085987">
        <w:rPr>
          <w:rFonts w:cs="Arial"/>
          <w:szCs w:val="21"/>
        </w:rPr>
        <w:t xml:space="preserve"> &lt; </w:t>
      </w:r>
      <w:hyperlink w:history="1" r:id="rId33">
        <w:r w:rsidRPr="00085987">
          <w:rPr>
            <w:rStyle w:val="Hyperlink"/>
            <w:rFonts w:cs="Arial"/>
            <w:color w:val="000000" w:themeColor="text1"/>
            <w:szCs w:val="21"/>
            <w:u w:val="none"/>
          </w:rPr>
          <w:t>https://www.health.vic.gov.au/health-system-design-planning/service-capability-frameworks-for-victoria</w:t>
        </w:r>
      </w:hyperlink>
    </w:p>
    <w:p w:rsidRPr="00047821" w:rsidR="00183E11" w:rsidP="00183E11" w:rsidRDefault="00183E11" w14:paraId="02585199" w14:textId="24818E31">
      <w:pPr>
        <w:pStyle w:val="DHHSbullet1"/>
        <w:numPr>
          <w:ilvl w:val="0"/>
          <w:numId w:val="8"/>
        </w:numPr>
        <w:rPr>
          <w:rFonts w:cs="Arial"/>
        </w:rPr>
      </w:pPr>
      <w:r w:rsidRPr="00085987">
        <w:rPr>
          <w:rFonts w:cs="Arial"/>
        </w:rPr>
        <w:t xml:space="preserve">the Chief Psychiatrist guidelines </w:t>
      </w:r>
      <w:hyperlink w:history="1" r:id="rId34">
        <w:r w:rsidRPr="00085987">
          <w:rPr>
            <w:rStyle w:val="Hyperlink"/>
            <w:rFonts w:cs="Arial"/>
            <w:color w:val="000000" w:themeColor="text1"/>
            <w:u w:val="none"/>
          </w:rPr>
          <w:t>https://www.health.vic.gov.au/chief-psychiatrist/chief-psychiatrist-guidelines</w:t>
        </w:r>
      </w:hyperlink>
      <w:r w:rsidRPr="00085987">
        <w:rPr>
          <w:rFonts w:cs="Arial"/>
          <w:lang w:val="en-US"/>
        </w:rPr>
        <w:t xml:space="preserve"> which contain specialist information and advice on clinical practice in mental health and wellbeing services.</w:t>
      </w:r>
    </w:p>
    <w:p w:rsidRPr="00183E11" w:rsidR="00183E11" w:rsidP="00183E11" w:rsidRDefault="00183E11" w14:paraId="06F091F1" w14:textId="77777777">
      <w:pPr>
        <w:pStyle w:val="Body"/>
      </w:pPr>
    </w:p>
    <w:p w:rsidRPr="00E70B3A" w:rsidR="00A705E7" w:rsidP="00183E11" w:rsidRDefault="00A705E7" w14:paraId="6566F3FF" w14:textId="19676E71">
      <w:pPr>
        <w:pStyle w:val="Heading2"/>
        <w:numPr>
          <w:ilvl w:val="1"/>
          <w:numId w:val="43"/>
        </w:numPr>
        <w:rPr>
          <w:rFonts w:cs="Arial"/>
        </w:rPr>
      </w:pPr>
      <w:bookmarkStart w:name="_Toc235628525" w:id="4"/>
      <w:r w:rsidRPr="00E70B3A">
        <w:rPr>
          <w:rFonts w:cs="Arial"/>
        </w:rPr>
        <w:t>Coverage and Exclusions</w:t>
      </w:r>
      <w:bookmarkEnd w:id="4"/>
      <w:r w:rsidRPr="00E70B3A">
        <w:rPr>
          <w:rFonts w:cs="Arial"/>
        </w:rPr>
        <w:t xml:space="preserve"> </w:t>
      </w:r>
    </w:p>
    <w:p w:rsidRPr="008504D4" w:rsidR="008504D4" w:rsidP="008504D4" w:rsidRDefault="008504D4" w14:paraId="344A79E5" w14:textId="0738DDE0">
      <w:pPr>
        <w:pStyle w:val="DHHSbody"/>
      </w:pPr>
      <w:r w:rsidRPr="008504D4">
        <w:t>The framework is designed to assess the performance of health services with direct clinical service delivery responsibilities.</w:t>
      </w:r>
      <w:r w:rsidRPr="004D59DF" w:rsidR="004D59DF">
        <w:t xml:space="preserve"> </w:t>
      </w:r>
      <w:r w:rsidRPr="004D59DF" w:rsidR="004D59DF">
        <w:rPr>
          <w:b/>
          <w:bCs/>
        </w:rPr>
        <w:t>Appendix 1</w:t>
      </w:r>
      <w:r w:rsidR="004053EE">
        <w:rPr>
          <w:b/>
          <w:bCs/>
        </w:rPr>
        <w:t>A</w:t>
      </w:r>
      <w:r w:rsidRPr="004D59DF" w:rsidR="004D59DF">
        <w:t xml:space="preserve"> describes in detail the services in scope, the legislative basis for their establishment and the services whose functions place them outside the direct scope of the framework.</w:t>
      </w:r>
    </w:p>
    <w:p w:rsidRPr="008504D4" w:rsidR="008504D4" w:rsidP="008504D4" w:rsidRDefault="008504D4" w14:paraId="1E5FDF9A" w14:textId="2598F6CB">
      <w:pPr>
        <w:pStyle w:val="DHHSbody"/>
      </w:pPr>
      <w:r w:rsidRPr="008504D4">
        <w:t xml:space="preserve">HealthShare Victoria is a statutory authority under the </w:t>
      </w:r>
      <w:r w:rsidR="00BA5285">
        <w:t>HSA</w:t>
      </w:r>
      <w:r w:rsidRPr="008504D4">
        <w:t xml:space="preserve"> and remains subject to Statement of Priorities requirements where relevant. However, because its role centres on purchasing and shared services, it sits outside the framework’s performance tiering and escalation arrangements.</w:t>
      </w:r>
    </w:p>
    <w:p w:rsidRPr="00E70B3A" w:rsidR="00A705E7" w:rsidP="00183E11" w:rsidRDefault="00A705E7" w14:paraId="3F437602" w14:textId="690B0C19">
      <w:pPr>
        <w:pStyle w:val="Heading2"/>
        <w:numPr>
          <w:ilvl w:val="1"/>
          <w:numId w:val="43"/>
        </w:numPr>
        <w:rPr>
          <w:rFonts w:cs="Arial"/>
        </w:rPr>
      </w:pPr>
      <w:bookmarkStart w:name="_Toc235628526" w:id="5"/>
      <w:r w:rsidRPr="00E70B3A">
        <w:rPr>
          <w:rFonts w:cs="Arial"/>
        </w:rPr>
        <w:t>Victorian Health Services Performance Monitoring Framework Business Rules 2026-27</w:t>
      </w:r>
      <w:bookmarkEnd w:id="5"/>
    </w:p>
    <w:p w:rsidRPr="00085987" w:rsidR="00FD4124" w:rsidP="00FD4124" w:rsidRDefault="00FD4124" w14:paraId="54ECD52F" w14:textId="7C39B8E1">
      <w:pPr>
        <w:rPr>
          <w:color w:val="000000" w:themeColor="text1"/>
        </w:rPr>
      </w:pPr>
      <w:r w:rsidRPr="00085987">
        <w:rPr>
          <w:color w:val="000000" w:themeColor="text1"/>
        </w:rPr>
        <w:t>The Victorian Health Services Performance Monitoring Framework Business Rules 2026-27 sit alongside this framework. They set out indicator definitions, thresholds, data sources, reporting frequency and ownership</w:t>
      </w:r>
      <w:r w:rsidRPr="00085987" w:rsidR="00516CCC">
        <w:rPr>
          <w:color w:val="000000" w:themeColor="text1"/>
        </w:rPr>
        <w:t xml:space="preserve"> </w:t>
      </w:r>
      <w:r w:rsidRPr="00085987" w:rsidR="00516CCC">
        <w:rPr>
          <w:rFonts w:cs="Arial"/>
          <w:color w:val="000000" w:themeColor="text1"/>
        </w:rPr>
        <w:t xml:space="preserve">(see </w:t>
      </w:r>
      <w:r w:rsidRPr="00085987" w:rsidR="00516CCC">
        <w:rPr>
          <w:rFonts w:cs="Arial"/>
          <w:b/>
          <w:bCs/>
          <w:color w:val="000000" w:themeColor="text1"/>
        </w:rPr>
        <w:t>Appendix 3</w:t>
      </w:r>
      <w:r w:rsidRPr="00085987" w:rsidR="00516CCC">
        <w:rPr>
          <w:rFonts w:cs="Arial"/>
          <w:color w:val="000000" w:themeColor="text1"/>
        </w:rPr>
        <w:t>).</w:t>
      </w:r>
    </w:p>
    <w:p w:rsidRPr="00085987" w:rsidR="00085987" w:rsidP="00085987" w:rsidRDefault="00FD4124" w14:paraId="04D97B93" w14:textId="65F234E3">
      <w:pPr>
        <w:rPr>
          <w:color w:val="000000" w:themeColor="text1"/>
        </w:rPr>
      </w:pPr>
      <w:r w:rsidRPr="00085987">
        <w:rPr>
          <w:color w:val="000000" w:themeColor="text1"/>
        </w:rPr>
        <w:t>The Business Rules may be updated during the year to reflect new indicators or technical refinements. This allows the department to update operational settings without reissuing the full framework each time.</w:t>
      </w:r>
    </w:p>
    <w:p w:rsidRPr="00EA3378" w:rsidR="00592C3E" w:rsidP="000F1451" w:rsidRDefault="00C900FD" w14:paraId="67D0D36F" w14:textId="49E129AC">
      <w:pPr>
        <w:pStyle w:val="DHHSbody"/>
        <w:rPr>
          <w:rFonts w:cs="Arial"/>
          <w:color w:val="auto"/>
        </w:rPr>
      </w:pPr>
      <w:r>
        <w:rPr>
          <w:rFonts w:cs="Arial"/>
        </w:rPr>
        <w:t>For more information</w:t>
      </w:r>
      <w:r w:rsidR="0001647E">
        <w:rPr>
          <w:rFonts w:cs="Arial"/>
        </w:rPr>
        <w:t xml:space="preserve"> see </w:t>
      </w:r>
      <w:r w:rsidRPr="00C93434" w:rsidR="00592C3E">
        <w:rPr>
          <w:rFonts w:cs="Arial"/>
        </w:rPr>
        <w:t xml:space="preserve"> </w:t>
      </w:r>
      <w:hyperlink w:history="1" r:id="rId35">
        <w:r w:rsidRPr="00EA3378" w:rsidR="00592C3E">
          <w:rPr>
            <w:rStyle w:val="Hyperlink"/>
            <w:rFonts w:cs="Arial"/>
          </w:rPr>
          <w:t>Business Rules</w:t>
        </w:r>
      </w:hyperlink>
      <w:r w:rsidRPr="00C93434" w:rsidR="00592C3E">
        <w:rPr>
          <w:rFonts w:cs="Arial"/>
        </w:rPr>
        <w:t xml:space="preserve"> </w:t>
      </w:r>
      <w:r w:rsidRPr="00EA3378" w:rsidR="00C93434">
        <w:rPr>
          <w:rFonts w:cs="Arial"/>
          <w:color w:val="auto"/>
        </w:rPr>
        <w:t>&lt;</w:t>
      </w:r>
      <w:hyperlink w:history="1" r:id="rId36">
        <w:r w:rsidRPr="00EA3378" w:rsidR="00F4060B">
          <w:rPr>
            <w:rStyle w:val="Hyperlink"/>
            <w:rFonts w:cs="Arial"/>
            <w:color w:val="auto"/>
            <w:u w:val="none"/>
          </w:rPr>
          <w:t>https://www.health.vic.gov.au/funding-performance-accountability/performance-monitoring-framework</w:t>
        </w:r>
      </w:hyperlink>
      <w:r w:rsidRPr="00EA3378" w:rsidR="00C93434">
        <w:rPr>
          <w:rFonts w:cs="Arial"/>
          <w:color w:val="auto"/>
        </w:rPr>
        <w:t xml:space="preserve">&gt;. </w:t>
      </w:r>
    </w:p>
    <w:p w:rsidRPr="00E70B3A" w:rsidR="00A705E7" w:rsidP="00C31036" w:rsidRDefault="00A705E7" w14:paraId="68328E5F" w14:textId="0B11305E">
      <w:pPr>
        <w:pStyle w:val="Heading2"/>
        <w:numPr>
          <w:ilvl w:val="1"/>
          <w:numId w:val="10"/>
        </w:numPr>
        <w:rPr>
          <w:rFonts w:cs="Arial"/>
        </w:rPr>
      </w:pPr>
      <w:bookmarkStart w:name="_Toc235628527" w:id="6"/>
      <w:r w:rsidRPr="00E70B3A">
        <w:rPr>
          <w:rFonts w:cs="Arial"/>
        </w:rPr>
        <w:t xml:space="preserve">Health Services undergoing voluntary </w:t>
      </w:r>
      <w:r w:rsidR="00AF664F">
        <w:rPr>
          <w:rFonts w:cs="Arial"/>
        </w:rPr>
        <w:t>merger</w:t>
      </w:r>
      <w:bookmarkEnd w:id="6"/>
      <w:r w:rsidRPr="00E70B3A">
        <w:rPr>
          <w:rFonts w:cs="Arial"/>
        </w:rPr>
        <w:t xml:space="preserve"> </w:t>
      </w:r>
    </w:p>
    <w:p w:rsidRPr="0061357A" w:rsidR="00243688" w:rsidP="00243688" w:rsidRDefault="00BB37C9" w14:paraId="4B00E2FA" w14:textId="39B26BF0">
      <w:pPr>
        <w:rPr>
          <w:color w:val="000000" w:themeColor="text1"/>
        </w:rPr>
      </w:pPr>
      <w:r w:rsidRPr="00BB37C9">
        <w:rPr>
          <w:color w:val="000000" w:themeColor="text1"/>
        </w:rPr>
        <w:t xml:space="preserve">Some Victorian health services are undertaking voluntary </w:t>
      </w:r>
      <w:r w:rsidR="00AF664F">
        <w:rPr>
          <w:color w:val="000000" w:themeColor="text1"/>
        </w:rPr>
        <w:t>merger</w:t>
      </w:r>
      <w:r w:rsidRPr="00BB37C9">
        <w:rPr>
          <w:color w:val="000000" w:themeColor="text1"/>
        </w:rPr>
        <w:t>s</w:t>
      </w:r>
      <w:r w:rsidRPr="0061357A" w:rsidR="00243688">
        <w:rPr>
          <w:color w:val="000000" w:themeColor="text1"/>
        </w:rPr>
        <w:t>. During this transition, existing accountability arrangements stay in place until they are formally replaced, usually at the start of the next financial year or when a new Statement of Priorities is signed.</w:t>
      </w:r>
    </w:p>
    <w:p w:rsidR="00243688" w:rsidP="00243688" w:rsidRDefault="00243688" w14:paraId="7C106D34" w14:textId="77777777">
      <w:pPr>
        <w:rPr>
          <w:color w:val="000000" w:themeColor="text1"/>
        </w:rPr>
      </w:pPr>
      <w:r w:rsidRPr="0061357A">
        <w:rPr>
          <w:color w:val="000000" w:themeColor="text1"/>
        </w:rPr>
        <w:t>The department will work with affected services and boards to make sure oversight remains proportionate, practical and aligned to transitional governance arrangements.</w:t>
      </w:r>
    </w:p>
    <w:p w:rsidR="0061357A" w:rsidP="00243688" w:rsidRDefault="0061357A" w14:paraId="3384A9F2" w14:textId="77777777">
      <w:pPr>
        <w:rPr>
          <w:color w:val="000000" w:themeColor="text1"/>
        </w:rPr>
      </w:pPr>
    </w:p>
    <w:p w:rsidR="0061357A" w:rsidP="00243688" w:rsidRDefault="0061357A" w14:paraId="63B0046B" w14:textId="77777777">
      <w:pPr>
        <w:rPr>
          <w:color w:val="000000" w:themeColor="text1"/>
        </w:rPr>
      </w:pPr>
    </w:p>
    <w:p w:rsidR="0061357A" w:rsidP="00243688" w:rsidRDefault="0061357A" w14:paraId="3A5509AC" w14:textId="77777777">
      <w:pPr>
        <w:rPr>
          <w:color w:val="000000" w:themeColor="text1"/>
        </w:rPr>
      </w:pPr>
    </w:p>
    <w:p w:rsidR="0061357A" w:rsidP="00243688" w:rsidRDefault="0061357A" w14:paraId="21E238D7" w14:textId="77777777">
      <w:pPr>
        <w:rPr>
          <w:color w:val="000000" w:themeColor="text1"/>
        </w:rPr>
      </w:pPr>
    </w:p>
    <w:p w:rsidR="0061357A" w:rsidP="00243688" w:rsidRDefault="0061357A" w14:paraId="33F21C6F" w14:textId="77777777">
      <w:pPr>
        <w:rPr>
          <w:color w:val="000000" w:themeColor="text1"/>
        </w:rPr>
      </w:pPr>
    </w:p>
    <w:p w:rsidR="0061357A" w:rsidP="00243688" w:rsidRDefault="0061357A" w14:paraId="04FB8DBC" w14:textId="77777777">
      <w:pPr>
        <w:rPr>
          <w:color w:val="000000" w:themeColor="text1"/>
        </w:rPr>
      </w:pPr>
    </w:p>
    <w:p w:rsidR="0061357A" w:rsidP="00243688" w:rsidRDefault="0061357A" w14:paraId="1D6126BC" w14:textId="77777777">
      <w:pPr>
        <w:rPr>
          <w:color w:val="000000" w:themeColor="text1"/>
        </w:rPr>
      </w:pPr>
    </w:p>
    <w:p w:rsidR="0061357A" w:rsidP="00243688" w:rsidRDefault="0061357A" w14:paraId="2171EE11" w14:textId="77777777">
      <w:pPr>
        <w:rPr>
          <w:color w:val="000000" w:themeColor="text1"/>
        </w:rPr>
      </w:pPr>
    </w:p>
    <w:p w:rsidR="0061357A" w:rsidP="00243688" w:rsidRDefault="0061357A" w14:paraId="6F77B2A9" w14:textId="77777777">
      <w:pPr>
        <w:rPr>
          <w:color w:val="000000" w:themeColor="text1"/>
        </w:rPr>
      </w:pPr>
    </w:p>
    <w:p w:rsidR="0061357A" w:rsidP="00243688" w:rsidRDefault="0061357A" w14:paraId="2A28B859" w14:textId="77777777">
      <w:pPr>
        <w:rPr>
          <w:color w:val="000000" w:themeColor="text1"/>
        </w:rPr>
      </w:pPr>
    </w:p>
    <w:p w:rsidR="0061357A" w:rsidP="00243688" w:rsidRDefault="0061357A" w14:paraId="5A7B7722" w14:textId="77777777">
      <w:pPr>
        <w:rPr>
          <w:color w:val="000000" w:themeColor="text1"/>
        </w:rPr>
      </w:pPr>
    </w:p>
    <w:p w:rsidR="0061357A" w:rsidP="00243688" w:rsidRDefault="0061357A" w14:paraId="48E50FDE" w14:textId="77777777">
      <w:pPr>
        <w:rPr>
          <w:color w:val="000000" w:themeColor="text1"/>
        </w:rPr>
      </w:pPr>
    </w:p>
    <w:p w:rsidR="0061357A" w:rsidP="00243688" w:rsidRDefault="0061357A" w14:paraId="6D1C79FF" w14:textId="77777777">
      <w:pPr>
        <w:rPr>
          <w:color w:val="000000" w:themeColor="text1"/>
        </w:rPr>
      </w:pPr>
    </w:p>
    <w:p w:rsidR="0061357A" w:rsidP="00243688" w:rsidRDefault="0061357A" w14:paraId="14DF137B" w14:textId="77777777">
      <w:pPr>
        <w:rPr>
          <w:color w:val="000000" w:themeColor="text1"/>
        </w:rPr>
      </w:pPr>
    </w:p>
    <w:p w:rsidR="0061357A" w:rsidP="00243688" w:rsidRDefault="0061357A" w14:paraId="10E9EEC3" w14:textId="77777777">
      <w:pPr>
        <w:rPr>
          <w:color w:val="000000" w:themeColor="text1"/>
        </w:rPr>
      </w:pPr>
    </w:p>
    <w:p w:rsidR="0061357A" w:rsidP="00243688" w:rsidRDefault="0061357A" w14:paraId="7280CF9D" w14:textId="77777777">
      <w:pPr>
        <w:rPr>
          <w:color w:val="000000" w:themeColor="text1"/>
        </w:rPr>
      </w:pPr>
    </w:p>
    <w:p w:rsidR="0061357A" w:rsidP="00243688" w:rsidRDefault="0061357A" w14:paraId="3B7E00C5" w14:textId="77777777">
      <w:pPr>
        <w:rPr>
          <w:color w:val="000000" w:themeColor="text1"/>
        </w:rPr>
      </w:pPr>
    </w:p>
    <w:p w:rsidR="0061357A" w:rsidP="00243688" w:rsidRDefault="0061357A" w14:paraId="262E103E" w14:textId="77777777">
      <w:pPr>
        <w:rPr>
          <w:color w:val="000000" w:themeColor="text1"/>
        </w:rPr>
      </w:pPr>
    </w:p>
    <w:p w:rsidR="00CC7567" w:rsidRDefault="00CC7567" w14:paraId="41D6B942" w14:textId="2D8E2321">
      <w:pPr>
        <w:spacing w:after="0" w:line="240" w:lineRule="auto"/>
        <w:rPr>
          <w:color w:val="000000" w:themeColor="text1"/>
        </w:rPr>
      </w:pPr>
      <w:r>
        <w:rPr>
          <w:color w:val="000000" w:themeColor="text1"/>
        </w:rPr>
        <w:br w:type="page"/>
      </w:r>
    </w:p>
    <w:p w:rsidRPr="00E70B3A" w:rsidR="000F1451" w:rsidP="00183E11" w:rsidRDefault="000D6C3A" w14:paraId="2FF9CCB5" w14:textId="435CFEA4">
      <w:pPr>
        <w:pStyle w:val="Heading1"/>
        <w:numPr>
          <w:ilvl w:val="0"/>
          <w:numId w:val="43"/>
        </w:numPr>
      </w:pPr>
      <w:bookmarkStart w:name="_Toc235628528" w:id="7"/>
      <w:r>
        <w:t>K</w:t>
      </w:r>
      <w:r w:rsidRPr="00E70B3A" w:rsidR="000F1451">
        <w:t>ey components of the Framework</w:t>
      </w:r>
      <w:bookmarkEnd w:id="7"/>
    </w:p>
    <w:p w:rsidRPr="004813E6" w:rsidR="002D67E8" w:rsidP="002D67E8" w:rsidRDefault="002D67E8" w14:paraId="0A7B4685" w14:textId="215B5C20">
      <w:pPr>
        <w:rPr>
          <w:color w:val="000000" w:themeColor="text1"/>
        </w:rPr>
      </w:pPr>
      <w:r w:rsidRPr="004813E6">
        <w:rPr>
          <w:color w:val="000000" w:themeColor="text1"/>
        </w:rPr>
        <w:t xml:space="preserve">The framework has </w:t>
      </w:r>
      <w:r w:rsidR="00F21196">
        <w:rPr>
          <w:color w:val="000000" w:themeColor="text1"/>
        </w:rPr>
        <w:t>three</w:t>
      </w:r>
      <w:r w:rsidRPr="004813E6">
        <w:rPr>
          <w:color w:val="000000" w:themeColor="text1"/>
        </w:rPr>
        <w:t xml:space="preserve"> core components: the </w:t>
      </w:r>
      <w:r w:rsidRPr="004813E6">
        <w:rPr>
          <w:b/>
          <w:bCs/>
          <w:color w:val="000000" w:themeColor="text1"/>
        </w:rPr>
        <w:t>performance cycle</w:t>
      </w:r>
      <w:r w:rsidRPr="004813E6">
        <w:rPr>
          <w:color w:val="000000" w:themeColor="text1"/>
        </w:rPr>
        <w:t xml:space="preserve">, the </w:t>
      </w:r>
      <w:r w:rsidRPr="004813E6">
        <w:rPr>
          <w:b/>
          <w:bCs/>
          <w:color w:val="000000" w:themeColor="text1"/>
        </w:rPr>
        <w:t>performance domains</w:t>
      </w:r>
      <w:r w:rsidRPr="004813E6">
        <w:rPr>
          <w:color w:val="000000" w:themeColor="text1"/>
        </w:rPr>
        <w:t xml:space="preserve"> and the </w:t>
      </w:r>
      <w:r w:rsidRPr="004813E6">
        <w:rPr>
          <w:b/>
          <w:bCs/>
          <w:color w:val="000000" w:themeColor="text1"/>
        </w:rPr>
        <w:t xml:space="preserve">performance tiers </w:t>
      </w:r>
      <w:r w:rsidRPr="004813E6">
        <w:rPr>
          <w:rFonts w:cs="Arial"/>
          <w:color w:val="000000" w:themeColor="text1"/>
        </w:rPr>
        <w:t>which together drive strategic alignment, continuous improvement and accountability across Victoria's public health system.</w:t>
      </w:r>
    </w:p>
    <w:p w:rsidRPr="004813E6" w:rsidR="002D67E8" w:rsidP="00C55964" w:rsidRDefault="002D67E8" w14:paraId="4A0DB23A" w14:textId="25092632">
      <w:pPr>
        <w:rPr>
          <w:color w:val="000000" w:themeColor="text1"/>
        </w:rPr>
      </w:pPr>
      <w:r w:rsidRPr="004813E6">
        <w:rPr>
          <w:color w:val="000000" w:themeColor="text1"/>
        </w:rPr>
        <w:t>The performance cycle sets the annual and quarterly rhythm for performance monitoring. The performance domains identify what the department assesses. The performance tiers determine the level of oversight, support and intervention required.</w:t>
      </w:r>
    </w:p>
    <w:p w:rsidR="000F1451" w:rsidP="00C31036" w:rsidRDefault="000F1451" w14:paraId="303FD235" w14:textId="46781221">
      <w:pPr>
        <w:pStyle w:val="DHHSbody"/>
        <w:numPr>
          <w:ilvl w:val="0"/>
          <w:numId w:val="11"/>
        </w:numPr>
        <w:rPr>
          <w:rFonts w:cs="Arial"/>
        </w:rPr>
      </w:pPr>
      <w:r w:rsidRPr="00E70B3A">
        <w:rPr>
          <w:rFonts w:cs="Arial"/>
          <w:b/>
          <w:bCs/>
        </w:rPr>
        <w:t>The Performance Cycle</w:t>
      </w:r>
      <w:r w:rsidRPr="00E70B3A">
        <w:rPr>
          <w:rFonts w:cs="Arial"/>
        </w:rPr>
        <w:t xml:space="preserve"> provides a structured process (Planning and Strategy, Continuous Improvement, Accountability) that integrates the SoP to set and monitor performance expectations.</w:t>
      </w:r>
      <w:r w:rsidR="00C21E7D">
        <w:rPr>
          <w:rFonts w:cs="Arial"/>
        </w:rPr>
        <w:t xml:space="preserve"> </w:t>
      </w:r>
      <w:r w:rsidRPr="00630D96" w:rsidR="00630D96">
        <w:rPr>
          <w:rFonts w:cs="Arial"/>
        </w:rPr>
        <w:t xml:space="preserve">Refer to </w:t>
      </w:r>
      <w:r w:rsidRPr="00630D96" w:rsidR="00630D96">
        <w:rPr>
          <w:rFonts w:cs="Arial"/>
          <w:b/>
          <w:bCs/>
        </w:rPr>
        <w:t>Section 3</w:t>
      </w:r>
      <w:r w:rsidRPr="00630D96" w:rsidR="00630D96">
        <w:rPr>
          <w:rFonts w:cs="Arial"/>
        </w:rPr>
        <w:t xml:space="preserve"> for further detail.</w:t>
      </w:r>
    </w:p>
    <w:p w:rsidR="00EC134C" w:rsidP="00EC134C" w:rsidRDefault="00496B34" w14:paraId="32EC1DEB" w14:textId="77777777">
      <w:pPr>
        <w:pStyle w:val="DHHSbody"/>
        <w:keepNext/>
      </w:pPr>
      <w:r w:rsidRPr="00496B34">
        <w:rPr>
          <w:rFonts w:cs="Arial"/>
          <w:noProof/>
        </w:rPr>
        <w:drawing>
          <wp:inline distT="0" distB="0" distL="0" distR="0" wp14:anchorId="421BDC5C" wp14:editId="0EA8C9E9">
            <wp:extent cx="5759450" cy="3280410"/>
            <wp:effectExtent l="0" t="0" r="0" b="0"/>
            <wp:docPr id="1932910712" name="Picture 1" descr="Diagram showing the three components of the performance cycle: Planning and Strategy, Continuous Improvement, and Accountability, with examples such as the Statement of Priorities, collaboration activities and performance monitoring.&#10;Refer to Section 3 for further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10712" name="Picture 1" descr="Diagram showing the three components of the performance cycle: Planning and Strategy, Continuous Improvement, and Accountability, with examples such as the Statement of Priorities, collaboration activities and performance monitoring.&#10;Refer to Section 3 for further detail."/>
                    <pic:cNvPicPr/>
                  </pic:nvPicPr>
                  <pic:blipFill>
                    <a:blip r:embed="rId37"/>
                    <a:stretch>
                      <a:fillRect/>
                    </a:stretch>
                  </pic:blipFill>
                  <pic:spPr>
                    <a:xfrm>
                      <a:off x="0" y="0"/>
                      <a:ext cx="5759450" cy="3280410"/>
                    </a:xfrm>
                    <a:prstGeom prst="rect">
                      <a:avLst/>
                    </a:prstGeom>
                  </pic:spPr>
                </pic:pic>
              </a:graphicData>
            </a:graphic>
          </wp:inline>
        </w:drawing>
      </w:r>
    </w:p>
    <w:p w:rsidRPr="00E06124" w:rsidR="00E06124" w:rsidP="009C5CD2" w:rsidRDefault="00EC134C" w14:paraId="232BEE9E" w14:textId="7C569C73">
      <w:pPr>
        <w:pStyle w:val="Caption"/>
      </w:pPr>
      <w:r w:rsidRPr="00C7616E">
        <w:rPr>
          <w:b/>
          <w:bCs/>
        </w:rPr>
        <w:t xml:space="preserve">Figure </w:t>
      </w:r>
      <w:r w:rsidRPr="00C7616E">
        <w:rPr>
          <w:b/>
          <w:bCs/>
        </w:rPr>
        <w:fldChar w:fldCharType="begin"/>
      </w:r>
      <w:r w:rsidRPr="00C7616E">
        <w:rPr>
          <w:b/>
          <w:bCs/>
        </w:rPr>
        <w:instrText xml:space="preserve"> SEQ Figure \* ARABIC </w:instrText>
      </w:r>
      <w:r w:rsidRPr="00C7616E">
        <w:rPr>
          <w:b/>
          <w:bCs/>
        </w:rPr>
        <w:fldChar w:fldCharType="separate"/>
      </w:r>
      <w:r w:rsidR="00965FAC">
        <w:rPr>
          <w:b/>
          <w:bCs/>
          <w:noProof/>
        </w:rPr>
        <w:t>2</w:t>
      </w:r>
      <w:r w:rsidRPr="00C7616E">
        <w:rPr>
          <w:b/>
          <w:bCs/>
        </w:rPr>
        <w:fldChar w:fldCharType="end"/>
      </w:r>
      <w:r w:rsidRPr="00C7616E">
        <w:rPr>
          <w:b/>
          <w:bCs/>
        </w:rPr>
        <w:t>:</w:t>
      </w:r>
      <w:r>
        <w:t xml:space="preserve"> </w:t>
      </w:r>
      <w:r w:rsidRPr="005F79F6">
        <w:t xml:space="preserve">Outlines components of the performance cycle: Planning and Strategy, Continuous Improvement, and Accountability. </w:t>
      </w:r>
    </w:p>
    <w:p w:rsidR="000A7F44" w:rsidP="000A7F44" w:rsidRDefault="009C5CD2" w14:paraId="07B0E735" w14:textId="28BF0F6D">
      <w:pPr>
        <w:pStyle w:val="DHHSbody"/>
        <w:numPr>
          <w:ilvl w:val="0"/>
          <w:numId w:val="11"/>
        </w:numPr>
        <w:rPr>
          <w:rFonts w:cs="Arial"/>
        </w:rPr>
      </w:pPr>
      <w:r w:rsidRPr="009C5CD2">
        <w:rPr>
          <w:rFonts w:cs="Arial"/>
          <w:noProof/>
        </w:rPr>
        <w:drawing>
          <wp:anchor distT="0" distB="0" distL="114300" distR="114300" simplePos="0" relativeHeight="251658243" behindDoc="0" locked="0" layoutInCell="1" allowOverlap="1" wp14:anchorId="016E2540" wp14:editId="62C0ED57">
            <wp:simplePos x="0" y="0"/>
            <wp:positionH relativeFrom="margin">
              <wp:posOffset>-219913</wp:posOffset>
            </wp:positionH>
            <wp:positionV relativeFrom="paragraph">
              <wp:posOffset>564488</wp:posOffset>
            </wp:positionV>
            <wp:extent cx="6303010" cy="1517015"/>
            <wp:effectExtent l="0" t="0" r="2540" b="6985"/>
            <wp:wrapSquare wrapText="bothSides"/>
            <wp:docPr id="35754801" name="Picture 1" descr="Diagram presenting four key healthcare priorities: High Quality and Safe Care, Strong Governance and Leadership, Timely Access to Care, and Effective Financial Management. Includes  brief descriptions emphasizing clinical outcomes, workforce safety, reduced waiting, and balanced operating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54801" name="Picture 1" descr="Diagram presenting four key healthcare priorities: High Quality and Safe Care, Strong Governance and Leadership, Timely Access to Care, and Effective Financial Management. Includes  brief descriptions emphasizing clinical outcomes, workforce safety, reduced waiting, and balanced operating results."/>
                    <pic:cNvPicPr/>
                  </pic:nvPicPr>
                  <pic:blipFill>
                    <a:blip r:embed="rId38"/>
                    <a:stretch>
                      <a:fillRect/>
                    </a:stretch>
                  </pic:blipFill>
                  <pic:spPr>
                    <a:xfrm>
                      <a:off x="0" y="0"/>
                      <a:ext cx="6303010" cy="1517015"/>
                    </a:xfrm>
                    <a:prstGeom prst="rect">
                      <a:avLst/>
                    </a:prstGeom>
                  </pic:spPr>
                </pic:pic>
              </a:graphicData>
            </a:graphic>
            <wp14:sizeRelH relativeFrom="margin">
              <wp14:pctWidth>0</wp14:pctWidth>
            </wp14:sizeRelH>
            <wp14:sizeRelV relativeFrom="margin">
              <wp14:pctHeight>0</wp14:pctHeight>
            </wp14:sizeRelV>
          </wp:anchor>
        </w:drawing>
      </w:r>
      <w:r w:rsidRPr="00E70B3A" w:rsidR="00C16C01">
        <w:rPr>
          <w:rFonts w:cs="Arial"/>
          <w:b/>
          <w:bCs/>
        </w:rPr>
        <w:t>The Performance Domains</w:t>
      </w:r>
      <w:r w:rsidRPr="00E70B3A" w:rsidR="00C16C01">
        <w:rPr>
          <w:rFonts w:cs="Arial"/>
        </w:rPr>
        <w:t xml:space="preserve"> define the key areas of focus (High quality and safe care; strong governance, leadership and culture; timely access to care</w:t>
      </w:r>
      <w:r w:rsidR="000B3AFC">
        <w:rPr>
          <w:rFonts w:cs="Arial"/>
        </w:rPr>
        <w:t xml:space="preserve"> and </w:t>
      </w:r>
      <w:r w:rsidRPr="00E70B3A" w:rsidR="000B3AFC">
        <w:rPr>
          <w:rFonts w:cs="Arial"/>
        </w:rPr>
        <w:t>effective financial management</w:t>
      </w:r>
      <w:r w:rsidRPr="00E70B3A" w:rsidR="00C16C01">
        <w:rPr>
          <w:rFonts w:cs="Arial"/>
        </w:rPr>
        <w:t>) within the SoP, ensuring metrics align with overall health system priorities</w:t>
      </w:r>
      <w:r w:rsidR="00F4060B">
        <w:rPr>
          <w:rFonts w:cs="Arial"/>
        </w:rPr>
        <w:t>.</w:t>
      </w:r>
    </w:p>
    <w:p w:rsidRPr="009F25F1" w:rsidR="004813E6" w:rsidP="009F25F1" w:rsidRDefault="009C5CD2" w14:paraId="32F8CD69" w14:textId="1E5E1240">
      <w:pPr>
        <w:pStyle w:val="Caption"/>
        <w:rPr>
          <w:rFonts w:eastAsia="Times" w:cs="Arial"/>
          <w:noProof/>
          <w:color w:val="000000" w:themeColor="text1"/>
          <w:sz w:val="21"/>
          <w:szCs w:val="20"/>
        </w:rPr>
      </w:pPr>
      <w:r w:rsidRPr="00740858">
        <w:rPr>
          <w:b/>
          <w:bCs/>
        </w:rPr>
        <w:t xml:space="preserve">Figure </w:t>
      </w:r>
      <w:r w:rsidRPr="00740858">
        <w:rPr>
          <w:b/>
          <w:bCs/>
        </w:rPr>
        <w:fldChar w:fldCharType="begin"/>
      </w:r>
      <w:r w:rsidRPr="00740858">
        <w:rPr>
          <w:b/>
          <w:bCs/>
        </w:rPr>
        <w:instrText xml:space="preserve"> SEQ Figure \* ARABIC </w:instrText>
      </w:r>
      <w:r w:rsidRPr="00740858">
        <w:rPr>
          <w:b/>
          <w:bCs/>
        </w:rPr>
        <w:fldChar w:fldCharType="separate"/>
      </w:r>
      <w:r>
        <w:rPr>
          <w:b/>
          <w:bCs/>
          <w:noProof/>
        </w:rPr>
        <w:t>3</w:t>
      </w:r>
      <w:r w:rsidRPr="00740858">
        <w:rPr>
          <w:b/>
          <w:bCs/>
        </w:rPr>
        <w:fldChar w:fldCharType="end"/>
      </w:r>
      <w:r w:rsidRPr="00740858">
        <w:rPr>
          <w:b/>
          <w:bCs/>
        </w:rPr>
        <w:t>:</w:t>
      </w:r>
      <w:r>
        <w:t xml:space="preserve"> </w:t>
      </w:r>
      <w:r w:rsidRPr="007E424C">
        <w:t xml:space="preserve">Four performance domains used to assess health service performance. </w:t>
      </w:r>
    </w:p>
    <w:p w:rsidRPr="00E70B3A" w:rsidR="000F1451" w:rsidP="00C31036" w:rsidRDefault="000F1451" w14:paraId="48CC45A6" w14:textId="76419D0D">
      <w:pPr>
        <w:pStyle w:val="DHHSbody"/>
        <w:numPr>
          <w:ilvl w:val="0"/>
          <w:numId w:val="11"/>
        </w:numPr>
        <w:rPr>
          <w:rFonts w:cs="Arial"/>
        </w:rPr>
      </w:pPr>
      <w:r w:rsidRPr="00E70B3A">
        <w:rPr>
          <w:rFonts w:cs="Arial"/>
          <w:b/>
          <w:bCs/>
        </w:rPr>
        <w:t>The Performance Tiers</w:t>
      </w:r>
      <w:r w:rsidRPr="00E70B3A">
        <w:rPr>
          <w:rFonts w:cs="Arial"/>
        </w:rPr>
        <w:t xml:space="preserve"> result from quarterly assessments of performance against SoP measures and risk signals, and guide the level of oversight, support or intervention required.</w:t>
      </w:r>
    </w:p>
    <w:p w:rsidRPr="00E70B3A" w:rsidR="003F55EC" w:rsidP="003F55EC" w:rsidRDefault="005F364C" w14:paraId="788B7ED1" w14:textId="01002BF3">
      <w:pPr>
        <w:pStyle w:val="DHHSbody"/>
        <w:ind w:left="720"/>
        <w:rPr>
          <w:rFonts w:cs="Arial"/>
        </w:rPr>
      </w:pPr>
      <w:r w:rsidRPr="00E70B3A">
        <w:rPr>
          <w:rFonts w:cs="Arial"/>
          <w:noProof/>
        </w:rPr>
        <w:drawing>
          <wp:anchor distT="0" distB="0" distL="114300" distR="114300" simplePos="0" relativeHeight="251658242" behindDoc="0" locked="0" layoutInCell="1" allowOverlap="1" wp14:anchorId="6CF64767" wp14:editId="3422F441">
            <wp:simplePos x="0" y="0"/>
            <wp:positionH relativeFrom="column">
              <wp:posOffset>194945</wp:posOffset>
            </wp:positionH>
            <wp:positionV relativeFrom="paragraph">
              <wp:posOffset>4445</wp:posOffset>
            </wp:positionV>
            <wp:extent cx="3790950" cy="3507105"/>
            <wp:effectExtent l="0" t="0" r="0" b="0"/>
            <wp:wrapSquare wrapText="bothSides"/>
            <wp:docPr id="1289465179" name="Picture 3" descr="Outlines the four performance tiers—Enhanced Autonomy, Standard Oversight, Performance Support, and Mandated Intensive Support— are arranged to reflect increasing levels of oversight and intervention. It explains that performance tiers are based on performance and risk and determine the level of support or intervention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465179" name="Picture 3" descr="Outlines the four performance tiers—Enhanced Autonomy, Standard Oversight, Performance Support, and Mandated Intensive Support— are arranged to reflect increasing levels of oversight and intervention. It explains that performance tiers are based on performance and risk and determine the level of support or intervention requir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90950" cy="3507105"/>
                    </a:xfrm>
                    <a:prstGeom prst="rect">
                      <a:avLst/>
                    </a:prstGeom>
                    <a:noFill/>
                  </pic:spPr>
                </pic:pic>
              </a:graphicData>
            </a:graphic>
            <wp14:sizeRelH relativeFrom="margin">
              <wp14:pctWidth>0</wp14:pctWidth>
            </wp14:sizeRelH>
            <wp14:sizeRelV relativeFrom="margin">
              <wp14:pctHeight>0</wp14:pctHeight>
            </wp14:sizeRelV>
          </wp:anchor>
        </w:drawing>
      </w:r>
    </w:p>
    <w:p w:rsidR="004813E6" w:rsidP="00673F39" w:rsidRDefault="000D10B2" w14:paraId="1E370B6D" w14:textId="77777777">
      <w:pPr>
        <w:pStyle w:val="DHHSbody"/>
        <w:rPr>
          <w:rFonts w:cs="Arial"/>
          <w:i/>
          <w:iCs/>
          <w:sz w:val="16"/>
          <w:szCs w:val="16"/>
        </w:rPr>
      </w:pPr>
      <w:r>
        <w:rPr>
          <w:rFonts w:cs="Arial"/>
          <w:i/>
          <w:iCs/>
          <w:sz w:val="16"/>
          <w:szCs w:val="16"/>
        </w:rPr>
        <w:t xml:space="preserve">               </w:t>
      </w:r>
    </w:p>
    <w:p w:rsidR="004813E6" w:rsidP="00673F39" w:rsidRDefault="004813E6" w14:paraId="5753BB09" w14:textId="77777777">
      <w:pPr>
        <w:pStyle w:val="DHHSbody"/>
        <w:rPr>
          <w:rFonts w:cs="Arial"/>
          <w:i/>
          <w:iCs/>
          <w:sz w:val="16"/>
          <w:szCs w:val="16"/>
        </w:rPr>
      </w:pPr>
    </w:p>
    <w:p w:rsidR="004813E6" w:rsidP="00673F39" w:rsidRDefault="004813E6" w14:paraId="741C40DF" w14:textId="77777777">
      <w:pPr>
        <w:pStyle w:val="DHHSbody"/>
        <w:rPr>
          <w:rFonts w:cs="Arial"/>
          <w:i/>
          <w:iCs/>
          <w:sz w:val="16"/>
          <w:szCs w:val="16"/>
        </w:rPr>
      </w:pPr>
    </w:p>
    <w:p w:rsidR="004813E6" w:rsidP="00673F39" w:rsidRDefault="004813E6" w14:paraId="23D4F3A5" w14:textId="77777777">
      <w:pPr>
        <w:pStyle w:val="DHHSbody"/>
        <w:rPr>
          <w:rFonts w:cs="Arial"/>
          <w:i/>
          <w:iCs/>
          <w:sz w:val="16"/>
          <w:szCs w:val="16"/>
        </w:rPr>
      </w:pPr>
    </w:p>
    <w:p w:rsidR="004813E6" w:rsidP="00673F39" w:rsidRDefault="004813E6" w14:paraId="2DF2EDBB" w14:textId="77777777">
      <w:pPr>
        <w:pStyle w:val="DHHSbody"/>
        <w:rPr>
          <w:rFonts w:cs="Arial"/>
          <w:i/>
          <w:iCs/>
          <w:sz w:val="16"/>
          <w:szCs w:val="16"/>
        </w:rPr>
      </w:pPr>
    </w:p>
    <w:p w:rsidR="004813E6" w:rsidP="00673F39" w:rsidRDefault="004813E6" w14:paraId="49F5140D" w14:textId="77777777">
      <w:pPr>
        <w:pStyle w:val="DHHSbody"/>
        <w:rPr>
          <w:rFonts w:cs="Arial"/>
          <w:i/>
          <w:iCs/>
          <w:sz w:val="16"/>
          <w:szCs w:val="16"/>
        </w:rPr>
      </w:pPr>
    </w:p>
    <w:p w:rsidR="004813E6" w:rsidP="00673F39" w:rsidRDefault="004813E6" w14:paraId="0D4089E7" w14:textId="77777777">
      <w:pPr>
        <w:pStyle w:val="DHHSbody"/>
        <w:rPr>
          <w:rFonts w:cs="Arial"/>
          <w:i/>
          <w:iCs/>
          <w:sz w:val="16"/>
          <w:szCs w:val="16"/>
        </w:rPr>
      </w:pPr>
    </w:p>
    <w:p w:rsidR="004813E6" w:rsidP="00673F39" w:rsidRDefault="004813E6" w14:paraId="4830CF30" w14:textId="77777777">
      <w:pPr>
        <w:pStyle w:val="DHHSbody"/>
        <w:rPr>
          <w:rFonts w:cs="Arial"/>
          <w:i/>
          <w:iCs/>
          <w:sz w:val="16"/>
          <w:szCs w:val="16"/>
        </w:rPr>
      </w:pPr>
    </w:p>
    <w:p w:rsidR="004813E6" w:rsidP="00673F39" w:rsidRDefault="004813E6" w14:paraId="11D98A78" w14:textId="77777777">
      <w:pPr>
        <w:pStyle w:val="DHHSbody"/>
        <w:rPr>
          <w:rFonts w:cs="Arial"/>
          <w:i/>
          <w:iCs/>
          <w:sz w:val="16"/>
          <w:szCs w:val="16"/>
        </w:rPr>
      </w:pPr>
    </w:p>
    <w:p w:rsidR="004813E6" w:rsidP="00673F39" w:rsidRDefault="004813E6" w14:paraId="1A739378" w14:textId="77777777">
      <w:pPr>
        <w:pStyle w:val="DHHSbody"/>
        <w:rPr>
          <w:rFonts w:cs="Arial"/>
          <w:i/>
          <w:iCs/>
          <w:sz w:val="16"/>
          <w:szCs w:val="16"/>
        </w:rPr>
      </w:pPr>
    </w:p>
    <w:p w:rsidR="004813E6" w:rsidP="00673F39" w:rsidRDefault="004813E6" w14:paraId="4A126F96" w14:textId="77777777">
      <w:pPr>
        <w:pStyle w:val="DHHSbody"/>
        <w:rPr>
          <w:rFonts w:cs="Arial"/>
          <w:i/>
          <w:iCs/>
          <w:sz w:val="16"/>
          <w:szCs w:val="16"/>
        </w:rPr>
      </w:pPr>
    </w:p>
    <w:p w:rsidR="004813E6" w:rsidP="00673F39" w:rsidRDefault="004813E6" w14:paraId="4DCFD726" w14:textId="77777777">
      <w:pPr>
        <w:pStyle w:val="DHHSbody"/>
        <w:rPr>
          <w:rFonts w:cs="Arial"/>
          <w:i/>
          <w:iCs/>
          <w:sz w:val="16"/>
          <w:szCs w:val="16"/>
        </w:rPr>
      </w:pPr>
    </w:p>
    <w:p w:rsidR="004813E6" w:rsidP="00673F39" w:rsidRDefault="004813E6" w14:paraId="26D03E33" w14:textId="537F5030">
      <w:pPr>
        <w:pStyle w:val="DHHSbody"/>
        <w:rPr>
          <w:rFonts w:cs="Arial"/>
          <w:i/>
          <w:iCs/>
          <w:sz w:val="16"/>
          <w:szCs w:val="16"/>
        </w:rPr>
      </w:pPr>
    </w:p>
    <w:p w:rsidR="00C03D07" w:rsidP="00673F39" w:rsidRDefault="00C03D07" w14:paraId="47C8CD8C" w14:textId="77777777">
      <w:pPr>
        <w:pStyle w:val="DHHSbody"/>
        <w:rPr>
          <w:rFonts w:cs="Arial"/>
          <w:i/>
          <w:iCs/>
          <w:sz w:val="16"/>
          <w:szCs w:val="16"/>
        </w:rPr>
      </w:pPr>
    </w:p>
    <w:p w:rsidRPr="00C03D07" w:rsidR="00C03D07" w:rsidP="00C03D07" w:rsidRDefault="00C03D07" w14:paraId="218F2D99" w14:textId="4080C112">
      <w:pPr>
        <w:pStyle w:val="Caption"/>
        <w:rPr>
          <w:rFonts w:eastAsia="Times" w:cs="Arial"/>
          <w:noProof/>
          <w:color w:val="000000" w:themeColor="text1"/>
          <w:sz w:val="21"/>
          <w:szCs w:val="20"/>
        </w:rPr>
      </w:pPr>
      <w:r w:rsidRPr="00740858">
        <w:rPr>
          <w:b/>
          <w:bCs/>
        </w:rPr>
        <w:t xml:space="preserve">Figure </w:t>
      </w:r>
      <w:r w:rsidRPr="00740858">
        <w:rPr>
          <w:b/>
          <w:bCs/>
        </w:rPr>
        <w:fldChar w:fldCharType="begin"/>
      </w:r>
      <w:r w:rsidRPr="00740858">
        <w:rPr>
          <w:b/>
          <w:bCs/>
        </w:rPr>
        <w:instrText xml:space="preserve"> SEQ Figure \* ARABIC </w:instrText>
      </w:r>
      <w:r w:rsidRPr="00740858">
        <w:rPr>
          <w:b/>
          <w:bCs/>
        </w:rPr>
        <w:fldChar w:fldCharType="separate"/>
      </w:r>
      <w:r>
        <w:rPr>
          <w:b/>
          <w:bCs/>
          <w:noProof/>
        </w:rPr>
        <w:t>4</w:t>
      </w:r>
      <w:r w:rsidRPr="00740858">
        <w:rPr>
          <w:b/>
          <w:bCs/>
        </w:rPr>
        <w:fldChar w:fldCharType="end"/>
      </w:r>
      <w:r w:rsidRPr="00740858">
        <w:rPr>
          <w:b/>
          <w:bCs/>
        </w:rPr>
        <w:t>:</w:t>
      </w:r>
      <w:r>
        <w:t xml:space="preserve"> </w:t>
      </w:r>
      <w:r w:rsidRPr="004A64B5">
        <w:t>Outlines the four performance tiers—Enhanced Autonomy, Standard Oversight, Performance Support, and Mandated Intensive Support</w:t>
      </w:r>
      <w:r>
        <w:t>.</w:t>
      </w:r>
    </w:p>
    <w:p w:rsidRPr="00711980" w:rsidR="00673F39" w:rsidP="00711980" w:rsidRDefault="00711980" w14:paraId="327BAF7D" w14:textId="790FD23D">
      <w:pPr>
        <w:pStyle w:val="Heading2"/>
        <w:rPr>
          <w:rFonts w:eastAsia="Times"/>
          <w:lang w:val="en-US"/>
        </w:rPr>
      </w:pPr>
      <w:bookmarkStart w:name="_Toc235628529" w:id="8"/>
      <w:r>
        <w:rPr>
          <w:lang w:val="en-US"/>
        </w:rPr>
        <w:t xml:space="preserve">2.1 </w:t>
      </w:r>
      <w:r w:rsidRPr="00711980" w:rsidR="00673F39">
        <w:rPr>
          <w:rFonts w:eastAsia="Times"/>
          <w:lang w:val="en-US"/>
        </w:rPr>
        <w:t xml:space="preserve">How the three components </w:t>
      </w:r>
      <w:r w:rsidRPr="00711980" w:rsidR="0083169C">
        <w:rPr>
          <w:rFonts w:eastAsia="Times"/>
          <w:lang w:val="en-US"/>
        </w:rPr>
        <w:t>interact.</w:t>
      </w:r>
      <w:bookmarkEnd w:id="8"/>
    </w:p>
    <w:p w:rsidR="00830C92" w:rsidP="00830C92" w:rsidRDefault="00830C92" w14:paraId="0474F4FE" w14:textId="07FC8F2C">
      <w:pPr>
        <w:pStyle w:val="DHHSbody"/>
      </w:pPr>
      <w:r w:rsidRPr="00830C92">
        <w:t>The Statement of Priorities is established at the start of each year and monitored through the performance cycle. The department draws on domain performance, risk signals and other intelligence to assign a performance tier. Performance is assessed across four domains to determine each service’s quarterly</w:t>
      </w:r>
      <w:r w:rsidR="00537568">
        <w:t xml:space="preserve"> performance</w:t>
      </w:r>
      <w:r w:rsidRPr="00830C92">
        <w:t xml:space="preserve"> tier, which in turn informs the cadence, participants and focus of subsequent</w:t>
      </w:r>
      <w:r w:rsidR="00F5336C">
        <w:t xml:space="preserve"> quarterly performance</w:t>
      </w:r>
      <w:r w:rsidRPr="00830C92">
        <w:t xml:space="preserve"> monitoring and engagement.</w:t>
      </w:r>
    </w:p>
    <w:p w:rsidRPr="00B15CFD" w:rsidR="00B15CFD" w:rsidP="00830C92" w:rsidRDefault="00B15CFD" w14:paraId="384D00E0" w14:textId="3045E528">
      <w:pPr>
        <w:pStyle w:val="DHHSbody"/>
        <w:numPr>
          <w:ilvl w:val="0"/>
          <w:numId w:val="11"/>
        </w:numPr>
      </w:pPr>
      <w:r w:rsidRPr="00B15CFD">
        <w:rPr>
          <w:b/>
          <w:bCs/>
        </w:rPr>
        <w:t>Performance cycle</w:t>
      </w:r>
      <w:r w:rsidR="00AA7828">
        <w:rPr>
          <w:b/>
          <w:bCs/>
        </w:rPr>
        <w:t xml:space="preserve"> </w:t>
      </w:r>
      <w:r w:rsidRPr="00B15CFD" w:rsidR="00AA7828">
        <w:rPr>
          <w:b/>
          <w:bCs/>
        </w:rPr>
        <w:t>(annual)</w:t>
      </w:r>
      <w:r w:rsidRPr="00B15CFD">
        <w:rPr>
          <w:b/>
          <w:bCs/>
        </w:rPr>
        <w:t xml:space="preserve"> → performance domains </w:t>
      </w:r>
      <w:r w:rsidRPr="00B15CFD">
        <w:t>The Statement of Priorities (SoP) is signed at the start of the year. Performance is then reviewed regularly across four domains. All health services take part in an annual strategy meeting.</w:t>
      </w:r>
    </w:p>
    <w:p w:rsidRPr="00B15CFD" w:rsidR="00B15CFD" w:rsidP="00B15CFD" w:rsidRDefault="00B15CFD" w14:paraId="7D276D62" w14:textId="71741E04">
      <w:pPr>
        <w:pStyle w:val="DHHSbody"/>
        <w:numPr>
          <w:ilvl w:val="0"/>
          <w:numId w:val="11"/>
        </w:numPr>
      </w:pPr>
      <w:r w:rsidRPr="00B15CFD">
        <w:rPr>
          <w:b/>
          <w:bCs/>
        </w:rPr>
        <w:t>Performance domains → performance tiers:</w:t>
      </w:r>
      <w:r w:rsidRPr="00B15CFD">
        <w:t xml:space="preserve"> Information from all domains is combined with risk signals (from RAT, Monitor, and other sources) to decide the health service’s performance tier each quarter.</w:t>
      </w:r>
    </w:p>
    <w:p w:rsidRPr="00711980" w:rsidR="008037F6" w:rsidP="00673F39" w:rsidRDefault="00B15CFD" w14:paraId="59B80622" w14:textId="627734C8">
      <w:pPr>
        <w:pStyle w:val="DHHSbody"/>
        <w:numPr>
          <w:ilvl w:val="0"/>
          <w:numId w:val="11"/>
        </w:numPr>
      </w:pPr>
      <w:r w:rsidRPr="00B15CFD">
        <w:rPr>
          <w:b/>
          <w:bCs/>
        </w:rPr>
        <w:t>Performance tier → performance cycle</w:t>
      </w:r>
      <w:r w:rsidR="00E54D9F">
        <w:rPr>
          <w:b/>
          <w:bCs/>
        </w:rPr>
        <w:t>(quarterly)</w:t>
      </w:r>
      <w:r w:rsidRPr="00B15CFD">
        <w:rPr>
          <w:b/>
          <w:bCs/>
        </w:rPr>
        <w:t>:</w:t>
      </w:r>
      <w:r w:rsidRPr="00B15CFD">
        <w:t xml:space="preserve"> The performance tier sets how often monitoring occurs, who is involved, and what actions, support or intervention are needed in the next </w:t>
      </w:r>
      <w:r w:rsidR="00421968">
        <w:t xml:space="preserve">quarterly performance </w:t>
      </w:r>
      <w:r w:rsidRPr="00B15CFD">
        <w:t>cycle.</w:t>
      </w:r>
    </w:p>
    <w:p w:rsidRPr="00E70B3A" w:rsidR="00673F39" w:rsidP="00673F39" w:rsidRDefault="00673F39" w14:paraId="0B8350D1" w14:textId="0EFA229B">
      <w:pPr>
        <w:pStyle w:val="Heading2"/>
        <w:rPr>
          <w:rFonts w:cs="Arial"/>
        </w:rPr>
      </w:pPr>
      <w:bookmarkStart w:name="_Toc235628530" w:id="9"/>
      <w:r w:rsidRPr="00E70B3A">
        <w:rPr>
          <w:rFonts w:cs="Arial"/>
        </w:rPr>
        <w:t>2.2 The Performance Domains</w:t>
      </w:r>
      <w:bookmarkEnd w:id="9"/>
    </w:p>
    <w:p w:rsidRPr="00E70B3A" w:rsidR="00673F39" w:rsidP="00673F39" w:rsidRDefault="00673F39" w14:paraId="47C028BC" w14:textId="3BA0643F">
      <w:pPr>
        <w:pStyle w:val="DHHSbody"/>
        <w:rPr>
          <w:rFonts w:cs="Arial"/>
        </w:rPr>
      </w:pPr>
      <w:r w:rsidRPr="00E70B3A">
        <w:rPr>
          <w:rFonts w:cs="Arial"/>
        </w:rPr>
        <w:t xml:space="preserve">The </w:t>
      </w:r>
      <w:r w:rsidR="007756DA">
        <w:rPr>
          <w:rFonts w:cs="Arial"/>
        </w:rPr>
        <w:t>f</w:t>
      </w:r>
      <w:r w:rsidRPr="00E70B3A">
        <w:rPr>
          <w:rFonts w:cs="Arial"/>
        </w:rPr>
        <w:t xml:space="preserve">ramework </w:t>
      </w:r>
      <w:r w:rsidR="00055D80">
        <w:rPr>
          <w:rFonts w:cs="Arial"/>
        </w:rPr>
        <w:t xml:space="preserve">assesses a health service performance against </w:t>
      </w:r>
      <w:r w:rsidR="009B2281">
        <w:rPr>
          <w:rFonts w:cs="Arial"/>
        </w:rPr>
        <w:t>four</w:t>
      </w:r>
      <w:r w:rsidR="00055D80">
        <w:rPr>
          <w:rFonts w:cs="Arial"/>
        </w:rPr>
        <w:t xml:space="preserve"> </w:t>
      </w:r>
      <w:r w:rsidRPr="00E70B3A">
        <w:rPr>
          <w:rFonts w:cs="Arial"/>
        </w:rPr>
        <w:t>performance domains that collectively determine the overall performance of a health service. These domains are central to the SoP and to quarterly performance assessment:</w:t>
      </w:r>
    </w:p>
    <w:p w:rsidRPr="00E70B3A" w:rsidR="00673F39" w:rsidP="00891C03" w:rsidRDefault="00673F39" w14:paraId="31E780BA" w14:textId="7CD08372">
      <w:pPr>
        <w:pStyle w:val="DHHSbody"/>
        <w:numPr>
          <w:ilvl w:val="0"/>
          <w:numId w:val="12"/>
        </w:numPr>
        <w:rPr>
          <w:rFonts w:cs="Arial"/>
        </w:rPr>
      </w:pPr>
      <w:r w:rsidRPr="00E70B3A">
        <w:rPr>
          <w:rFonts w:cs="Arial"/>
          <w:b/>
          <w:bCs/>
        </w:rPr>
        <w:t>High quality and safe care</w:t>
      </w:r>
      <w:r w:rsidRPr="00E70B3A">
        <w:rPr>
          <w:rFonts w:cs="Arial"/>
        </w:rPr>
        <w:t xml:space="preserve"> – delivery of safe, high-quality, evidence-based care that improves patient outcomes and provides a positive and culturally safe experience of care.</w:t>
      </w:r>
    </w:p>
    <w:p w:rsidRPr="00E70B3A" w:rsidR="00673F39" w:rsidP="00891C03" w:rsidRDefault="00673F39" w14:paraId="19421D8A" w14:textId="3E9F7710">
      <w:pPr>
        <w:pStyle w:val="DHHSbody"/>
        <w:numPr>
          <w:ilvl w:val="0"/>
          <w:numId w:val="12"/>
        </w:numPr>
        <w:rPr>
          <w:rFonts w:cs="Arial"/>
        </w:rPr>
      </w:pPr>
      <w:r w:rsidRPr="00E70B3A">
        <w:rPr>
          <w:rFonts w:cs="Arial"/>
          <w:b/>
          <w:bCs/>
        </w:rPr>
        <w:t>Strong governance, leadership and culture</w:t>
      </w:r>
      <w:r w:rsidRPr="00E70B3A">
        <w:rPr>
          <w:rFonts w:cs="Arial"/>
        </w:rPr>
        <w:t xml:space="preserve"> – organisational maturity, including Board and executive leadership and capability, workforce safety and engagement, and effective clinical and corporate governance.</w:t>
      </w:r>
    </w:p>
    <w:p w:rsidR="00B54A88" w:rsidP="00891C03" w:rsidRDefault="00673F39" w14:paraId="2127F912" w14:textId="79AC09AB">
      <w:pPr>
        <w:pStyle w:val="DHHSbody"/>
        <w:numPr>
          <w:ilvl w:val="0"/>
          <w:numId w:val="12"/>
        </w:numPr>
        <w:rPr>
          <w:rFonts w:cs="Arial"/>
        </w:rPr>
      </w:pPr>
      <w:r w:rsidRPr="00E70B3A">
        <w:rPr>
          <w:rFonts w:cs="Arial"/>
          <w:b/>
          <w:bCs/>
        </w:rPr>
        <w:t>Timely access to care</w:t>
      </w:r>
      <w:r w:rsidRPr="00E70B3A">
        <w:rPr>
          <w:rFonts w:cs="Arial"/>
        </w:rPr>
        <w:t xml:space="preserve"> – equitable access to the right care, in the right place, at the right time, reflecting operational capacity, service efficiency and demand management.</w:t>
      </w:r>
    </w:p>
    <w:p w:rsidRPr="00045DDC" w:rsidR="00045DDC" w:rsidP="00045DDC" w:rsidRDefault="00045DDC" w14:paraId="1A76FDE5" w14:textId="0BDEE7A8">
      <w:pPr>
        <w:pStyle w:val="DHHSbody"/>
        <w:numPr>
          <w:ilvl w:val="0"/>
          <w:numId w:val="12"/>
        </w:numPr>
        <w:rPr>
          <w:rFonts w:cs="Arial"/>
        </w:rPr>
      </w:pPr>
      <w:r w:rsidRPr="00E70B3A">
        <w:rPr>
          <w:rFonts w:cs="Arial"/>
          <w:b/>
          <w:bCs/>
        </w:rPr>
        <w:t>Effective financial management</w:t>
      </w:r>
      <w:r w:rsidRPr="00E70B3A">
        <w:rPr>
          <w:rFonts w:cs="Arial"/>
        </w:rPr>
        <w:t xml:space="preserve"> – efficient allocation of resources to deliver cost-effective, sustainable services within agreed budgets, with demonstrable value from resources.</w:t>
      </w:r>
    </w:p>
    <w:p w:rsidRPr="00E70B3A" w:rsidR="00B54A88" w:rsidP="00B54A88" w:rsidRDefault="0014381E" w14:paraId="2478BA85" w14:textId="77EDAEF2">
      <w:pPr>
        <w:pStyle w:val="DHHSbody"/>
        <w:rPr>
          <w:rFonts w:cs="Arial"/>
        </w:rPr>
      </w:pPr>
      <w:r w:rsidRPr="0014381E">
        <w:rPr>
          <w:rFonts w:cs="Arial"/>
        </w:rPr>
        <w:t>These domains are grounded in legislation and policy. They are monitored using both quantitative measures and qualitative information.</w:t>
      </w:r>
      <w:r w:rsidRPr="00E70B3A" w:rsidR="00B54A88">
        <w:rPr>
          <w:rFonts w:cs="Arial"/>
        </w:rPr>
        <w:t xml:space="preserve"> They form the foundation of the SoP and underpin each performance tier assessment. See </w:t>
      </w:r>
      <w:r w:rsidRPr="00E70B3A" w:rsidR="00B54A88">
        <w:rPr>
          <w:rFonts w:cs="Arial"/>
          <w:b/>
          <w:bCs/>
        </w:rPr>
        <w:t xml:space="preserve">Appendix </w:t>
      </w:r>
      <w:r w:rsidRPr="00E70B3A" w:rsidR="00A20B53">
        <w:rPr>
          <w:rFonts w:cs="Arial"/>
          <w:b/>
          <w:bCs/>
        </w:rPr>
        <w:t>4</w:t>
      </w:r>
      <w:r w:rsidRPr="00E70B3A" w:rsidR="00B54A88">
        <w:rPr>
          <w:rFonts w:cs="Arial"/>
        </w:rPr>
        <w:t xml:space="preserve"> for more detail on how the domains are reflected in the SoP structure</w:t>
      </w:r>
      <w:r w:rsidRPr="00E70B3A" w:rsidR="00A0531A">
        <w:rPr>
          <w:rFonts w:cs="Arial"/>
        </w:rPr>
        <w:t>.</w:t>
      </w:r>
    </w:p>
    <w:p w:rsidRPr="00E70B3A" w:rsidR="0086418B" w:rsidP="00B54A88" w:rsidRDefault="0014381E" w14:paraId="7EAB0992" w14:textId="7E4AA0A1">
      <w:pPr>
        <w:pStyle w:val="DHHSbody"/>
        <w:rPr>
          <w:rFonts w:cs="Arial"/>
          <w:i/>
          <w:iCs/>
          <w:sz w:val="16"/>
          <w:szCs w:val="16"/>
        </w:rPr>
      </w:pPr>
      <w:r w:rsidRPr="00E70B3A">
        <w:rPr>
          <w:rFonts w:cs="Arial"/>
          <w:noProof/>
        </w:rPr>
        <w:drawing>
          <wp:anchor distT="0" distB="0" distL="114300" distR="114300" simplePos="0" relativeHeight="251658240" behindDoc="1" locked="0" layoutInCell="1" allowOverlap="1" wp14:anchorId="7F1C712C" wp14:editId="0CC29A62">
            <wp:simplePos x="0" y="0"/>
            <wp:positionH relativeFrom="margin">
              <wp:posOffset>80645</wp:posOffset>
            </wp:positionH>
            <wp:positionV relativeFrom="paragraph">
              <wp:posOffset>60960</wp:posOffset>
            </wp:positionV>
            <wp:extent cx="4238625" cy="4030980"/>
            <wp:effectExtent l="0" t="0" r="9525" b="7620"/>
            <wp:wrapSquare wrapText="bothSides"/>
            <wp:docPr id="1059933998" name="Picture 1" descr="Each domain includes specific elements:&#10;High quality and safe care: best practice, zero harm, positive patient experience&#10;Governance, leadership and culture: leadership capability, workforce safety and engagement, risk management&#10;Timely access: reduced waiting, equitable access, optimal recovery&#10;Effective financial management: balanced operating results and value from resource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933998" name="Picture 1" descr="Each domain includes specific elements:&#10;High quality and safe care: best practice, zero harm, positive patient experience&#10;Governance, leadership and culture: leadership capability, workforce safety and engagement, risk management&#10;Timely access: reduced waiting, equitable access, optimal recovery&#10;Effective financial management: balanced operating results and value from resources. &#10;"/>
                    <pic:cNvPicPr/>
                  </pic:nvPicPr>
                  <pic:blipFill>
                    <a:blip r:embed="rId40"/>
                    <a:stretch>
                      <a:fillRect/>
                    </a:stretch>
                  </pic:blipFill>
                  <pic:spPr>
                    <a:xfrm>
                      <a:off x="0" y="0"/>
                      <a:ext cx="4238625" cy="4030980"/>
                    </a:xfrm>
                    <a:prstGeom prst="rect">
                      <a:avLst/>
                    </a:prstGeom>
                  </pic:spPr>
                </pic:pic>
              </a:graphicData>
            </a:graphic>
            <wp14:sizeRelH relativeFrom="margin">
              <wp14:pctWidth>0</wp14:pctWidth>
            </wp14:sizeRelH>
            <wp14:sizeRelV relativeFrom="margin">
              <wp14:pctHeight>0</wp14:pctHeight>
            </wp14:sizeRelV>
          </wp:anchor>
        </w:drawing>
      </w:r>
    </w:p>
    <w:p w:rsidRPr="00E70B3A" w:rsidR="0086418B" w:rsidP="00B54A88" w:rsidRDefault="0086418B" w14:paraId="171C52FF" w14:textId="51CA8FF3">
      <w:pPr>
        <w:pStyle w:val="DHHSbody"/>
        <w:rPr>
          <w:rFonts w:cs="Arial"/>
          <w:i/>
          <w:iCs/>
          <w:sz w:val="16"/>
          <w:szCs w:val="16"/>
        </w:rPr>
      </w:pPr>
    </w:p>
    <w:p w:rsidRPr="00E70B3A" w:rsidR="0086418B" w:rsidP="00B54A88" w:rsidRDefault="0086418B" w14:paraId="461E5034" w14:textId="2E00DC29">
      <w:pPr>
        <w:pStyle w:val="DHHSbody"/>
        <w:rPr>
          <w:rFonts w:cs="Arial"/>
          <w:i/>
          <w:iCs/>
          <w:sz w:val="16"/>
          <w:szCs w:val="16"/>
        </w:rPr>
      </w:pPr>
    </w:p>
    <w:p w:rsidRPr="00E70B3A" w:rsidR="0086418B" w:rsidP="00B54A88" w:rsidRDefault="0086418B" w14:paraId="2030C35E" w14:textId="77777777">
      <w:pPr>
        <w:pStyle w:val="DHHSbody"/>
        <w:rPr>
          <w:rFonts w:cs="Arial"/>
          <w:i/>
          <w:iCs/>
          <w:sz w:val="16"/>
          <w:szCs w:val="16"/>
        </w:rPr>
      </w:pPr>
    </w:p>
    <w:p w:rsidRPr="00E70B3A" w:rsidR="0086418B" w:rsidP="00B54A88" w:rsidRDefault="0086418B" w14:paraId="33740F16" w14:textId="77777777">
      <w:pPr>
        <w:pStyle w:val="DHHSbody"/>
        <w:rPr>
          <w:rFonts w:cs="Arial"/>
          <w:i/>
          <w:iCs/>
          <w:sz w:val="16"/>
          <w:szCs w:val="16"/>
        </w:rPr>
      </w:pPr>
    </w:p>
    <w:p w:rsidRPr="00E70B3A" w:rsidR="0086418B" w:rsidP="00B54A88" w:rsidRDefault="0086418B" w14:paraId="1C89EBBE" w14:textId="77777777">
      <w:pPr>
        <w:pStyle w:val="DHHSbody"/>
        <w:rPr>
          <w:rFonts w:cs="Arial"/>
          <w:i/>
          <w:iCs/>
          <w:sz w:val="16"/>
          <w:szCs w:val="16"/>
        </w:rPr>
      </w:pPr>
    </w:p>
    <w:p w:rsidRPr="00E70B3A" w:rsidR="0086418B" w:rsidP="00B54A88" w:rsidRDefault="0086418B" w14:paraId="26DB2E5D" w14:textId="77777777">
      <w:pPr>
        <w:pStyle w:val="DHHSbody"/>
        <w:rPr>
          <w:rFonts w:cs="Arial"/>
          <w:i/>
          <w:iCs/>
          <w:sz w:val="16"/>
          <w:szCs w:val="16"/>
        </w:rPr>
      </w:pPr>
    </w:p>
    <w:p w:rsidRPr="00E70B3A" w:rsidR="0086418B" w:rsidP="00B54A88" w:rsidRDefault="0086418B" w14:paraId="0D25AF77" w14:textId="77777777">
      <w:pPr>
        <w:pStyle w:val="DHHSbody"/>
        <w:rPr>
          <w:rFonts w:cs="Arial"/>
          <w:i/>
          <w:iCs/>
          <w:sz w:val="16"/>
          <w:szCs w:val="16"/>
        </w:rPr>
      </w:pPr>
    </w:p>
    <w:p w:rsidRPr="00E70B3A" w:rsidR="0086418B" w:rsidP="00B54A88" w:rsidRDefault="0086418B" w14:paraId="317E1458" w14:textId="77777777">
      <w:pPr>
        <w:pStyle w:val="DHHSbody"/>
        <w:rPr>
          <w:rFonts w:cs="Arial"/>
          <w:i/>
          <w:iCs/>
          <w:sz w:val="16"/>
          <w:szCs w:val="16"/>
        </w:rPr>
      </w:pPr>
    </w:p>
    <w:p w:rsidRPr="00E70B3A" w:rsidR="0086418B" w:rsidP="00B54A88" w:rsidRDefault="0086418B" w14:paraId="113CEF2B" w14:textId="77777777">
      <w:pPr>
        <w:pStyle w:val="DHHSbody"/>
        <w:rPr>
          <w:rFonts w:cs="Arial"/>
          <w:i/>
          <w:iCs/>
          <w:sz w:val="16"/>
          <w:szCs w:val="16"/>
        </w:rPr>
      </w:pPr>
    </w:p>
    <w:p w:rsidRPr="00E70B3A" w:rsidR="0086418B" w:rsidP="00B54A88" w:rsidRDefault="0086418B" w14:paraId="2190C8F1" w14:textId="77777777">
      <w:pPr>
        <w:pStyle w:val="DHHSbody"/>
        <w:rPr>
          <w:rFonts w:cs="Arial"/>
          <w:i/>
          <w:iCs/>
          <w:sz w:val="16"/>
          <w:szCs w:val="16"/>
        </w:rPr>
      </w:pPr>
    </w:p>
    <w:p w:rsidRPr="00E70B3A" w:rsidR="0086418B" w:rsidP="00B54A88" w:rsidRDefault="0086418B" w14:paraId="3460ADF8" w14:textId="77777777">
      <w:pPr>
        <w:pStyle w:val="DHHSbody"/>
        <w:rPr>
          <w:rFonts w:cs="Arial"/>
          <w:i/>
          <w:iCs/>
          <w:sz w:val="16"/>
          <w:szCs w:val="16"/>
        </w:rPr>
      </w:pPr>
    </w:p>
    <w:p w:rsidRPr="00E70B3A" w:rsidR="0086418B" w:rsidP="00B54A88" w:rsidRDefault="0086418B" w14:paraId="7BB94B21" w14:textId="77777777">
      <w:pPr>
        <w:pStyle w:val="DHHSbody"/>
        <w:rPr>
          <w:rFonts w:cs="Arial"/>
          <w:i/>
          <w:iCs/>
          <w:sz w:val="16"/>
          <w:szCs w:val="16"/>
        </w:rPr>
      </w:pPr>
    </w:p>
    <w:p w:rsidRPr="00E70B3A" w:rsidR="0086418B" w:rsidP="00B54A88" w:rsidRDefault="0086418B" w14:paraId="017F699E" w14:textId="77777777">
      <w:pPr>
        <w:pStyle w:val="DHHSbody"/>
        <w:rPr>
          <w:rFonts w:cs="Arial"/>
          <w:i/>
          <w:iCs/>
          <w:sz w:val="16"/>
          <w:szCs w:val="16"/>
        </w:rPr>
      </w:pPr>
    </w:p>
    <w:p w:rsidRPr="00E70B3A" w:rsidR="0086418B" w:rsidP="00B54A88" w:rsidRDefault="0086418B" w14:paraId="2B4EA404" w14:textId="77777777">
      <w:pPr>
        <w:pStyle w:val="DHHSbody"/>
        <w:rPr>
          <w:rFonts w:cs="Arial"/>
          <w:i/>
          <w:iCs/>
          <w:sz w:val="16"/>
          <w:szCs w:val="16"/>
        </w:rPr>
      </w:pPr>
    </w:p>
    <w:p w:rsidRPr="00E70B3A" w:rsidR="0086418B" w:rsidP="00B54A88" w:rsidRDefault="0086418B" w14:paraId="552B301B" w14:textId="77777777">
      <w:pPr>
        <w:pStyle w:val="DHHSbody"/>
        <w:rPr>
          <w:rFonts w:cs="Arial"/>
          <w:i/>
          <w:iCs/>
          <w:sz w:val="16"/>
          <w:szCs w:val="16"/>
        </w:rPr>
      </w:pPr>
    </w:p>
    <w:p w:rsidR="00C03D07" w:rsidP="00C03D07" w:rsidRDefault="00C03D07" w14:paraId="6CB07095" w14:textId="77777777">
      <w:pPr>
        <w:pStyle w:val="Caption"/>
        <w:spacing w:after="0"/>
        <w:rPr>
          <w:b/>
          <w:bCs/>
        </w:rPr>
      </w:pPr>
    </w:p>
    <w:p w:rsidR="00C03D07" w:rsidP="00C03D07" w:rsidRDefault="00C03D07" w14:paraId="5B99C57D" w14:textId="77777777">
      <w:pPr>
        <w:pStyle w:val="Caption"/>
        <w:spacing w:after="0"/>
        <w:rPr>
          <w:b/>
          <w:bCs/>
        </w:rPr>
      </w:pPr>
    </w:p>
    <w:p w:rsidRPr="001913C9" w:rsidR="00C03D07" w:rsidP="00C03D07" w:rsidRDefault="00C03D07" w14:paraId="029EC595" w14:textId="0D685D3E">
      <w:pPr>
        <w:pStyle w:val="Caption"/>
        <w:spacing w:after="0"/>
      </w:pPr>
      <w:r w:rsidRPr="006927B7">
        <w:rPr>
          <w:b/>
          <w:bCs/>
        </w:rPr>
        <w:t xml:space="preserve">Figure </w:t>
      </w:r>
      <w:r w:rsidRPr="006927B7">
        <w:rPr>
          <w:b/>
          <w:bCs/>
        </w:rPr>
        <w:fldChar w:fldCharType="begin"/>
      </w:r>
      <w:r w:rsidRPr="006927B7">
        <w:rPr>
          <w:b/>
          <w:bCs/>
        </w:rPr>
        <w:instrText xml:space="preserve"> SEQ Figure \* ARABIC </w:instrText>
      </w:r>
      <w:r w:rsidRPr="006927B7">
        <w:rPr>
          <w:b/>
          <w:bCs/>
        </w:rPr>
        <w:fldChar w:fldCharType="separate"/>
      </w:r>
      <w:r>
        <w:rPr>
          <w:b/>
          <w:bCs/>
          <w:noProof/>
        </w:rPr>
        <w:t>5</w:t>
      </w:r>
      <w:r w:rsidRPr="006927B7">
        <w:rPr>
          <w:b/>
          <w:bCs/>
        </w:rPr>
        <w:fldChar w:fldCharType="end"/>
      </w:r>
      <w:r w:rsidRPr="006927B7">
        <w:rPr>
          <w:b/>
          <w:bCs/>
        </w:rPr>
        <w:t>:</w:t>
      </w:r>
      <w:r>
        <w:t xml:space="preserve"> Four PMF performance domains </w:t>
      </w:r>
    </w:p>
    <w:p w:rsidRPr="00E70B3A" w:rsidR="0086418B" w:rsidP="00B54A88" w:rsidRDefault="0086418B" w14:paraId="039CCA1D" w14:textId="7F8A95B9">
      <w:pPr>
        <w:pStyle w:val="DHHSbody"/>
        <w:rPr>
          <w:rFonts w:cs="Arial"/>
          <w:i/>
          <w:iCs/>
          <w:sz w:val="16"/>
          <w:szCs w:val="16"/>
        </w:rPr>
      </w:pPr>
    </w:p>
    <w:p w:rsidRPr="00E70B3A" w:rsidR="001913C9" w:rsidP="000A3B94" w:rsidRDefault="001913C9" w14:paraId="7F174428" w14:textId="75A5EBCF">
      <w:pPr>
        <w:pStyle w:val="DHHSbody"/>
        <w:spacing w:after="0" w:line="240" w:lineRule="auto"/>
        <w:rPr>
          <w:rFonts w:cs="Arial"/>
        </w:rPr>
        <w:sectPr w:rsidRPr="00E70B3A" w:rsidR="001913C9" w:rsidSect="00B62D2E">
          <w:headerReference w:type="even" r:id="rId41"/>
          <w:headerReference w:type="default" r:id="rId42"/>
          <w:footerReference w:type="even" r:id="rId43"/>
          <w:footerReference w:type="default" r:id="rId44"/>
          <w:headerReference w:type="first" r:id="rId45"/>
          <w:pgSz w:w="11906" w:h="16838" w:orient="portrait" w:code="9"/>
          <w:pgMar w:top="1418" w:right="1418" w:bottom="1418" w:left="1418" w:header="680" w:footer="851" w:gutter="0"/>
          <w:cols w:space="340"/>
          <w:titlePg/>
          <w:docGrid w:linePitch="360"/>
        </w:sectPr>
      </w:pPr>
      <w:bookmarkStart w:name="_Toc227761736" w:id="10"/>
    </w:p>
    <w:p w:rsidRPr="00E70B3A" w:rsidR="00E528DF" w:rsidP="00E528DF" w:rsidRDefault="00E528DF" w14:paraId="2E20F3FA" w14:textId="35B787B0">
      <w:pPr>
        <w:pStyle w:val="Heading2"/>
        <w:rPr>
          <w:rFonts w:cs="Arial"/>
        </w:rPr>
      </w:pPr>
      <w:bookmarkStart w:name="_Toc235628531" w:id="11"/>
      <w:r w:rsidRPr="00E70B3A">
        <w:rPr>
          <w:rFonts w:cs="Arial"/>
        </w:rPr>
        <w:t>2.</w:t>
      </w:r>
      <w:r w:rsidRPr="00E70B3A" w:rsidR="008F1A37">
        <w:rPr>
          <w:rFonts w:cs="Arial"/>
        </w:rPr>
        <w:t>3</w:t>
      </w:r>
      <w:r w:rsidRPr="00E70B3A">
        <w:rPr>
          <w:rFonts w:cs="Arial"/>
        </w:rPr>
        <w:t xml:space="preserve"> The Performance Tiers</w:t>
      </w:r>
      <w:bookmarkEnd w:id="10"/>
      <w:bookmarkEnd w:id="11"/>
    </w:p>
    <w:p w:rsidRPr="002347F7" w:rsidR="008B0E9F" w:rsidP="002347F7" w:rsidRDefault="00F63AAA" w14:paraId="5498C574" w14:textId="2944CA9B">
      <w:pPr>
        <w:pStyle w:val="DHHSbody"/>
        <w:spacing w:after="0"/>
      </w:pPr>
      <w:r w:rsidRPr="00F63AAA">
        <w:t>Each quarter, the department assigns every health service to 1 of 4 performance tiers based on performance and risk.</w:t>
      </w:r>
      <w:r w:rsidR="003A2303">
        <w:t xml:space="preserve"> </w:t>
      </w:r>
      <w:r w:rsidRPr="00F63AAA">
        <w:t>The</w:t>
      </w:r>
      <w:r>
        <w:t xml:space="preserve"> performance</w:t>
      </w:r>
      <w:r w:rsidRPr="00F63AAA">
        <w:t xml:space="preserve"> tiers are </w:t>
      </w:r>
      <w:r w:rsidRPr="00CF50A6">
        <w:rPr>
          <w:b/>
          <w:bCs/>
        </w:rPr>
        <w:t>Enhanced Autonomy, Standard Oversight, Performance Support and Mandated Intensive Support.</w:t>
      </w:r>
      <w:r w:rsidR="003A2303">
        <w:t xml:space="preserve"> </w:t>
      </w:r>
      <w:r w:rsidRPr="00F63AAA">
        <w:t>The</w:t>
      </w:r>
      <w:r>
        <w:t xml:space="preserve"> performance</w:t>
      </w:r>
      <w:r w:rsidRPr="00F63AAA">
        <w:t xml:space="preserve"> tier affects the level of autonomy, support, intervention and performance meeting requirements.</w:t>
      </w:r>
      <w:r w:rsidRPr="00F63AAA" w:rsidR="00E528DF">
        <w:t xml:space="preserve"> The performance tiers are set out below: </w:t>
      </w:r>
    </w:p>
    <w:tbl>
      <w:tblPr>
        <w:tblStyle w:val="GridTable5Dark-Accent1"/>
        <w:tblW w:w="15163" w:type="dxa"/>
        <w:tblLook w:val="0420" w:firstRow="1" w:lastRow="0" w:firstColumn="0" w:lastColumn="0" w:noHBand="0" w:noVBand="1"/>
      </w:tblPr>
      <w:tblGrid>
        <w:gridCol w:w="2122"/>
        <w:gridCol w:w="4536"/>
        <w:gridCol w:w="4120"/>
        <w:gridCol w:w="4385"/>
      </w:tblGrid>
      <w:tr w:rsidRPr="00D004E4" w:rsidR="00C25CEF" w:rsidTr="005D781A" w14:paraId="67B65737" w14:textId="77777777">
        <w:trPr>
          <w:cnfStyle w:val="100000000000" w:firstRow="1" w:lastRow="0" w:firstColumn="0" w:lastColumn="0" w:oddVBand="0" w:evenVBand="0" w:oddHBand="0" w:evenHBand="0" w:firstRowFirstColumn="0" w:firstRowLastColumn="0" w:lastRowFirstColumn="0" w:lastRowLastColumn="0"/>
          <w:trHeight w:val="371"/>
          <w:tblHeader/>
        </w:trPr>
        <w:tc>
          <w:tcPr>
            <w:tcW w:w="2122" w:type="dxa"/>
            <w:shd w:val="clear" w:color="auto" w:fill="17365D" w:themeFill="text2" w:themeFillShade="BF"/>
            <w:hideMark/>
          </w:tcPr>
          <w:p w:rsidRPr="00D004E4" w:rsidR="00C25CEF" w:rsidP="00D004E4" w:rsidRDefault="00C25CEF" w14:paraId="080DB67E" w14:textId="03019DD1">
            <w:pPr>
              <w:pStyle w:val="DHHSbody"/>
              <w:rPr>
                <w:color w:val="FFFFFF" w:themeColor="background1"/>
              </w:rPr>
            </w:pPr>
            <w:r w:rsidRPr="00D004E4">
              <w:rPr>
                <w:color w:val="FFFFFF" w:themeColor="background1"/>
              </w:rPr>
              <w:t xml:space="preserve">Performance Tier </w:t>
            </w:r>
          </w:p>
        </w:tc>
        <w:tc>
          <w:tcPr>
            <w:tcW w:w="4536" w:type="dxa"/>
            <w:shd w:val="clear" w:color="auto" w:fill="17365D" w:themeFill="text2" w:themeFillShade="BF"/>
            <w:hideMark/>
          </w:tcPr>
          <w:p w:rsidRPr="00D004E4" w:rsidR="00C25CEF" w:rsidP="00D004E4" w:rsidRDefault="00C25CEF" w14:paraId="6467720C" w14:textId="77777777">
            <w:pPr>
              <w:pStyle w:val="DHHSbody"/>
              <w:rPr>
                <w:color w:val="FFFFFF" w:themeColor="background1"/>
              </w:rPr>
            </w:pPr>
            <w:r w:rsidRPr="00D004E4">
              <w:rPr>
                <w:color w:val="FFFFFF" w:themeColor="background1"/>
              </w:rPr>
              <w:t xml:space="preserve">Definition </w:t>
            </w:r>
          </w:p>
        </w:tc>
        <w:tc>
          <w:tcPr>
            <w:tcW w:w="4120" w:type="dxa"/>
            <w:shd w:val="clear" w:color="auto" w:fill="17365D" w:themeFill="text2" w:themeFillShade="BF"/>
            <w:hideMark/>
          </w:tcPr>
          <w:p w:rsidRPr="00D004E4" w:rsidR="00C25CEF" w:rsidP="00D004E4" w:rsidRDefault="00C25CEF" w14:paraId="5F6D1AB0" w14:textId="77777777">
            <w:pPr>
              <w:pStyle w:val="DHHSbody"/>
              <w:rPr>
                <w:color w:val="FFFFFF" w:themeColor="background1"/>
              </w:rPr>
            </w:pPr>
            <w:r w:rsidRPr="00D004E4">
              <w:rPr>
                <w:color w:val="FFFFFF" w:themeColor="background1"/>
              </w:rPr>
              <w:t>Monitoring Approach</w:t>
            </w:r>
          </w:p>
        </w:tc>
        <w:tc>
          <w:tcPr>
            <w:tcW w:w="4385" w:type="dxa"/>
            <w:shd w:val="clear" w:color="auto" w:fill="17365D" w:themeFill="text2" w:themeFillShade="BF"/>
            <w:hideMark/>
          </w:tcPr>
          <w:p w:rsidRPr="00D004E4" w:rsidR="00C25CEF" w:rsidP="00D004E4" w:rsidRDefault="00C25CEF" w14:paraId="2C342684" w14:textId="77777777">
            <w:pPr>
              <w:pStyle w:val="DHHSbody"/>
              <w:rPr>
                <w:color w:val="FFFFFF" w:themeColor="background1"/>
              </w:rPr>
            </w:pPr>
            <w:r w:rsidRPr="00D004E4">
              <w:rPr>
                <w:color w:val="FFFFFF" w:themeColor="background1"/>
              </w:rPr>
              <w:t xml:space="preserve">Quarterly Engagement/Agenda focus </w:t>
            </w:r>
          </w:p>
        </w:tc>
      </w:tr>
      <w:tr w:rsidRPr="00D004E4" w:rsidR="00C25CEF" w:rsidTr="005D781A" w14:paraId="2FD9A9DE" w14:textId="77777777">
        <w:trPr>
          <w:cnfStyle w:val="000000100000" w:firstRow="0" w:lastRow="0" w:firstColumn="0" w:lastColumn="0" w:oddVBand="0" w:evenVBand="0" w:oddHBand="1" w:evenHBand="0" w:firstRowFirstColumn="0" w:firstRowLastColumn="0" w:lastRowFirstColumn="0" w:lastRowLastColumn="0"/>
          <w:trHeight w:val="1102"/>
        </w:trPr>
        <w:tc>
          <w:tcPr>
            <w:tcW w:w="2122" w:type="dxa"/>
            <w:shd w:val="clear" w:color="auto" w:fill="DBE5F1" w:themeFill="accent1" w:themeFillTint="33"/>
            <w:hideMark/>
          </w:tcPr>
          <w:p w:rsidRPr="00C03D07" w:rsidR="00C25CEF" w:rsidP="00D004E4" w:rsidRDefault="00C25CEF" w14:paraId="416C2CA0" w14:textId="77777777">
            <w:pPr>
              <w:pStyle w:val="DHHSbody"/>
              <w:rPr>
                <w:b/>
                <w:bCs/>
              </w:rPr>
            </w:pPr>
            <w:r w:rsidRPr="00C03D07">
              <w:rPr>
                <w:b/>
                <w:bCs/>
              </w:rPr>
              <w:t>ENHANCED AUTONOMY</w:t>
            </w:r>
          </w:p>
        </w:tc>
        <w:tc>
          <w:tcPr>
            <w:tcW w:w="4536" w:type="dxa"/>
            <w:shd w:val="clear" w:color="auto" w:fill="DBE5F1" w:themeFill="accent1" w:themeFillTint="33"/>
            <w:hideMark/>
          </w:tcPr>
          <w:p w:rsidRPr="00D004E4" w:rsidR="00C25CEF" w:rsidP="00D004E4" w:rsidRDefault="00C25CEF" w14:paraId="7F826F0D" w14:textId="77777777">
            <w:pPr>
              <w:pStyle w:val="DHHSbody"/>
            </w:pPr>
            <w:r w:rsidRPr="00D004E4">
              <w:t>Sustained strong performance across all domains and SoP deliverables, supported by effective leadership, continuous improvement, and innovation. Health service excels in core priorities and demonstrates leadership through innovation and system collaboration.</w:t>
            </w:r>
          </w:p>
        </w:tc>
        <w:tc>
          <w:tcPr>
            <w:tcW w:w="4120" w:type="dxa"/>
            <w:shd w:val="clear" w:color="auto" w:fill="DBE5F1" w:themeFill="accent1" w:themeFillTint="33"/>
            <w:hideMark/>
          </w:tcPr>
          <w:p w:rsidRPr="00D004E4" w:rsidR="00C25CEF" w:rsidP="00D004E4" w:rsidRDefault="00C25CEF" w14:paraId="618A6AFB" w14:textId="77777777">
            <w:pPr>
              <w:pStyle w:val="DHHSbody"/>
            </w:pPr>
            <w:r w:rsidRPr="00D004E4">
              <w:t>Improvement, collaboration and focus on system innovation.</w:t>
            </w:r>
          </w:p>
          <w:p w:rsidRPr="00D004E4" w:rsidR="00C25CEF" w:rsidP="00D004E4" w:rsidRDefault="00C25CEF" w14:paraId="16371054" w14:textId="77777777">
            <w:pPr>
              <w:pStyle w:val="DHHSbody"/>
            </w:pPr>
            <w:r w:rsidRPr="00D004E4">
              <w:t xml:space="preserve">Quarterly desktop review of SoP measures and performance data. </w:t>
            </w:r>
          </w:p>
          <w:p w:rsidRPr="00D004E4" w:rsidR="00C25CEF" w:rsidP="00D004E4" w:rsidRDefault="00C25CEF" w14:paraId="597A24A1" w14:textId="77777777">
            <w:pPr>
              <w:pStyle w:val="DHHSbody"/>
            </w:pPr>
            <w:r w:rsidRPr="00D004E4">
              <w:t xml:space="preserve"> </w:t>
            </w:r>
          </w:p>
        </w:tc>
        <w:tc>
          <w:tcPr>
            <w:tcW w:w="4385" w:type="dxa"/>
            <w:shd w:val="clear" w:color="auto" w:fill="DBE5F1" w:themeFill="accent1" w:themeFillTint="33"/>
            <w:hideMark/>
          </w:tcPr>
          <w:p w:rsidRPr="00D004E4" w:rsidR="00C25CEF" w:rsidP="00D004E4" w:rsidRDefault="00C25CEF" w14:paraId="417437C7" w14:textId="28222882">
            <w:pPr>
              <w:pStyle w:val="DHHSbody"/>
            </w:pPr>
            <w:r w:rsidRPr="00D004E4">
              <w:t xml:space="preserve">No formal </w:t>
            </w:r>
            <w:r w:rsidR="006F1B3A">
              <w:t>QPM</w:t>
            </w:r>
            <w:r w:rsidRPr="00D004E4">
              <w:t xml:space="preserve"> unless requested.</w:t>
            </w:r>
          </w:p>
          <w:p w:rsidRPr="00D004E4" w:rsidR="00C25CEF" w:rsidP="00144E95" w:rsidRDefault="00144E95" w14:paraId="09702F77" w14:textId="16EB6084">
            <w:pPr>
              <w:pStyle w:val="DHHSbody"/>
            </w:pPr>
            <w:r>
              <w:t xml:space="preserve">Where a meeting is </w:t>
            </w:r>
            <w:r w:rsidR="008B0EFA">
              <w:t>requested,</w:t>
            </w:r>
            <w:r>
              <w:t xml:space="preserve"> discussion may focus on i</w:t>
            </w:r>
            <w:r w:rsidRPr="00D004E4" w:rsidR="00C25CEF">
              <w:t xml:space="preserve">nnovation, strategic progress, system leadership, and emerging risks </w:t>
            </w:r>
            <w:r w:rsidR="00245384">
              <w:t>to maintain strong</w:t>
            </w:r>
            <w:r w:rsidRPr="00D004E4" w:rsidR="00C25CEF">
              <w:t xml:space="preserve"> performance.</w:t>
            </w:r>
          </w:p>
        </w:tc>
      </w:tr>
      <w:tr w:rsidRPr="00D004E4" w:rsidR="00C25CEF" w:rsidTr="005D781A" w14:paraId="63D34D5E" w14:textId="77777777">
        <w:trPr>
          <w:trHeight w:val="1095"/>
        </w:trPr>
        <w:tc>
          <w:tcPr>
            <w:tcW w:w="2122" w:type="dxa"/>
            <w:hideMark/>
          </w:tcPr>
          <w:p w:rsidRPr="00C03D07" w:rsidR="00C25CEF" w:rsidP="00D004E4" w:rsidRDefault="00C25CEF" w14:paraId="3095FF62" w14:textId="77777777">
            <w:pPr>
              <w:pStyle w:val="DHHSbody"/>
              <w:rPr>
                <w:b/>
                <w:bCs/>
              </w:rPr>
            </w:pPr>
            <w:r w:rsidRPr="00C03D07">
              <w:rPr>
                <w:b/>
                <w:bCs/>
              </w:rPr>
              <w:t xml:space="preserve">STANDARD OVERSIGHT </w:t>
            </w:r>
          </w:p>
        </w:tc>
        <w:tc>
          <w:tcPr>
            <w:tcW w:w="4536" w:type="dxa"/>
            <w:hideMark/>
          </w:tcPr>
          <w:p w:rsidRPr="00D004E4" w:rsidR="00C25CEF" w:rsidP="00D004E4" w:rsidRDefault="00C25CEF" w14:paraId="2F4313CD" w14:textId="77777777">
            <w:pPr>
              <w:pStyle w:val="DHHSbody"/>
            </w:pPr>
            <w:r w:rsidRPr="00D004E4">
              <w:t>Performance generally within tolerance, with no material performance concerns identified. Health service meets most targets, with credible plans in place to address specific gaps, and demonstrate active collaboration and sustained improvement.</w:t>
            </w:r>
          </w:p>
        </w:tc>
        <w:tc>
          <w:tcPr>
            <w:tcW w:w="4120" w:type="dxa"/>
            <w:hideMark/>
          </w:tcPr>
          <w:p w:rsidRPr="00D004E4" w:rsidR="00C25CEF" w:rsidP="00D004E4" w:rsidRDefault="00C25CEF" w14:paraId="3CD9FFCC" w14:textId="77777777">
            <w:pPr>
              <w:pStyle w:val="DHHSbody"/>
            </w:pPr>
            <w:r w:rsidRPr="00D004E4">
              <w:t>Quarterly desktop review of performance data and other intel also considered (incidents, complaints); targeted management of issues as they arise.</w:t>
            </w:r>
          </w:p>
        </w:tc>
        <w:tc>
          <w:tcPr>
            <w:tcW w:w="4385" w:type="dxa"/>
            <w:hideMark/>
          </w:tcPr>
          <w:p w:rsidRPr="00D004E4" w:rsidR="00C25CEF" w:rsidP="00D004E4" w:rsidRDefault="00C25CEF" w14:paraId="66FD1E29" w14:textId="3F91D8EF">
            <w:pPr>
              <w:pStyle w:val="DHHSbody"/>
            </w:pPr>
            <w:r w:rsidRPr="00D004E4">
              <w:t xml:space="preserve">No formal </w:t>
            </w:r>
            <w:r w:rsidR="006F1B3A">
              <w:t>QPM</w:t>
            </w:r>
            <w:r w:rsidRPr="00D004E4">
              <w:t xml:space="preserve"> unless emerging risks or concerns are identified during the desktop review</w:t>
            </w:r>
            <w:r w:rsidR="00F8758C">
              <w:t xml:space="preserve"> </w:t>
            </w:r>
            <w:r w:rsidR="00F33A50">
              <w:t xml:space="preserve">or as raised by the sub-domain. </w:t>
            </w:r>
          </w:p>
          <w:p w:rsidRPr="00D004E4" w:rsidR="00C25CEF" w:rsidP="00D004E4" w:rsidRDefault="005D781A" w14:paraId="177AF9F1" w14:textId="1706E4AE">
            <w:pPr>
              <w:pStyle w:val="DHHSbody"/>
            </w:pPr>
            <w:r w:rsidRPr="005D781A">
              <w:t xml:space="preserve">Where a meeting is </w:t>
            </w:r>
            <w:r w:rsidR="008B0EFA">
              <w:t>required,</w:t>
            </w:r>
            <w:r w:rsidRPr="005D781A">
              <w:t xml:space="preserve"> discussion may focus on </w:t>
            </w:r>
            <w:r>
              <w:t>s</w:t>
            </w:r>
            <w:r w:rsidRPr="00D004E4" w:rsidR="00C25CEF">
              <w:t>ustaining performance, identifying potential barriers to and action on any emerging issues.</w:t>
            </w:r>
          </w:p>
        </w:tc>
      </w:tr>
      <w:tr w:rsidRPr="00D004E4" w:rsidR="00C25CEF" w:rsidTr="005D781A" w14:paraId="2E8CF4AF" w14:textId="77777777">
        <w:trPr>
          <w:cnfStyle w:val="000000100000" w:firstRow="0" w:lastRow="0" w:firstColumn="0" w:lastColumn="0" w:oddVBand="0" w:evenVBand="0" w:oddHBand="1" w:evenHBand="0" w:firstRowFirstColumn="0" w:firstRowLastColumn="0" w:lastRowFirstColumn="0" w:lastRowLastColumn="0"/>
        </w:trPr>
        <w:tc>
          <w:tcPr>
            <w:tcW w:w="2122" w:type="dxa"/>
            <w:shd w:val="clear" w:color="auto" w:fill="DBE5F1" w:themeFill="accent1" w:themeFillTint="33"/>
            <w:hideMark/>
          </w:tcPr>
          <w:p w:rsidRPr="00C03D07" w:rsidR="00C25CEF" w:rsidP="00D004E4" w:rsidRDefault="00C25CEF" w14:paraId="4A973CA8" w14:textId="77777777">
            <w:pPr>
              <w:pStyle w:val="DHHSbody"/>
              <w:rPr>
                <w:b/>
                <w:bCs/>
              </w:rPr>
            </w:pPr>
          </w:p>
        </w:tc>
        <w:tc>
          <w:tcPr>
            <w:tcW w:w="4536" w:type="dxa"/>
            <w:shd w:val="clear" w:color="auto" w:fill="DBE5F1" w:themeFill="accent1" w:themeFillTint="33"/>
            <w:hideMark/>
          </w:tcPr>
          <w:p w:rsidRPr="00D004E4" w:rsidR="00C25CEF" w:rsidP="00D004E4" w:rsidRDefault="00C25CEF" w14:paraId="16EFBD94" w14:textId="77777777">
            <w:pPr>
              <w:pStyle w:val="DHHSbody"/>
            </w:pPr>
          </w:p>
        </w:tc>
        <w:tc>
          <w:tcPr>
            <w:tcW w:w="4120" w:type="dxa"/>
            <w:shd w:val="clear" w:color="auto" w:fill="DBE5F1" w:themeFill="accent1" w:themeFillTint="33"/>
            <w:hideMark/>
          </w:tcPr>
          <w:p w:rsidRPr="00D004E4" w:rsidR="00C25CEF" w:rsidP="00D004E4" w:rsidRDefault="00C25CEF" w14:paraId="27EF1E11" w14:textId="77777777">
            <w:pPr>
              <w:pStyle w:val="DHHSbody"/>
            </w:pPr>
          </w:p>
        </w:tc>
        <w:tc>
          <w:tcPr>
            <w:tcW w:w="4385" w:type="dxa"/>
            <w:shd w:val="clear" w:color="auto" w:fill="DBE5F1" w:themeFill="accent1" w:themeFillTint="33"/>
            <w:hideMark/>
          </w:tcPr>
          <w:p w:rsidRPr="00D004E4" w:rsidR="00C25CEF" w:rsidP="00D004E4" w:rsidRDefault="00C25CEF" w14:paraId="7DFEAF03" w14:textId="77777777">
            <w:pPr>
              <w:pStyle w:val="DHHSbody"/>
            </w:pPr>
          </w:p>
        </w:tc>
      </w:tr>
      <w:tr w:rsidRPr="00D004E4" w:rsidR="00C25CEF" w:rsidTr="005D781A" w14:paraId="02BFD3E9" w14:textId="77777777">
        <w:trPr>
          <w:trHeight w:val="1340"/>
        </w:trPr>
        <w:tc>
          <w:tcPr>
            <w:tcW w:w="2122" w:type="dxa"/>
            <w:hideMark/>
          </w:tcPr>
          <w:p w:rsidRPr="00C03D07" w:rsidR="00C25CEF" w:rsidP="00D004E4" w:rsidRDefault="00C25CEF" w14:paraId="6E85A874" w14:textId="77777777">
            <w:pPr>
              <w:pStyle w:val="DHHSbody"/>
              <w:rPr>
                <w:b/>
                <w:bCs/>
              </w:rPr>
            </w:pPr>
            <w:r w:rsidRPr="00C03D07">
              <w:rPr>
                <w:b/>
                <w:bCs/>
              </w:rPr>
              <w:t xml:space="preserve">PERFORMANCE SUPPORT </w:t>
            </w:r>
          </w:p>
          <w:p w:rsidRPr="00C03D07" w:rsidR="00C25CEF" w:rsidP="00D004E4" w:rsidRDefault="00C25CEF" w14:paraId="189C5391" w14:textId="77777777">
            <w:pPr>
              <w:pStyle w:val="DHHSbody"/>
              <w:rPr>
                <w:b/>
                <w:bCs/>
              </w:rPr>
            </w:pPr>
            <w:r w:rsidRPr="00C03D07">
              <w:rPr>
                <w:b/>
                <w:bCs/>
              </w:rPr>
              <w:t xml:space="preserve">Escalated Tier </w:t>
            </w:r>
          </w:p>
        </w:tc>
        <w:tc>
          <w:tcPr>
            <w:tcW w:w="4536" w:type="dxa"/>
            <w:hideMark/>
          </w:tcPr>
          <w:p w:rsidRPr="00D004E4" w:rsidR="00C25CEF" w:rsidP="00D004E4" w:rsidRDefault="00C25CEF" w14:paraId="3F342514" w14:textId="77777777">
            <w:pPr>
              <w:pStyle w:val="DHHSbody"/>
            </w:pPr>
            <w:r w:rsidRPr="00D004E4">
              <w:t>Material underperformance and/or specific risks identified, requiring targeted departmental support to return to Standard Oversight. Services are not meeting core priorities or carry significant underlying risks, necessitating active intervention to stabilise performance and prevent further deterioration.</w:t>
            </w:r>
          </w:p>
        </w:tc>
        <w:tc>
          <w:tcPr>
            <w:tcW w:w="4120" w:type="dxa"/>
            <w:hideMark/>
          </w:tcPr>
          <w:p w:rsidRPr="00D004E4" w:rsidR="00C25CEF" w:rsidP="00D004E4" w:rsidRDefault="00C25CEF" w14:paraId="021D1893" w14:textId="77777777">
            <w:pPr>
              <w:pStyle w:val="DHHSbody"/>
            </w:pPr>
            <w:r w:rsidRPr="00D004E4">
              <w:t xml:space="preserve">Active Oversight. </w:t>
            </w:r>
          </w:p>
          <w:p w:rsidRPr="00D004E4" w:rsidR="00C25CEF" w:rsidP="00D004E4" w:rsidRDefault="00C25CEF" w14:paraId="31446C49" w14:textId="77777777">
            <w:pPr>
              <w:pStyle w:val="DHHSbody"/>
            </w:pPr>
            <w:r w:rsidRPr="00D004E4">
              <w:t>Documented Exit Criteria and Performance Improvement Plan (PiP).</w:t>
            </w:r>
          </w:p>
          <w:p w:rsidRPr="00D004E4" w:rsidR="00C25CEF" w:rsidP="00D004E4" w:rsidRDefault="00C25CEF" w14:paraId="28FAFECB" w14:textId="77777777">
            <w:pPr>
              <w:pStyle w:val="DHHSbody"/>
            </w:pPr>
            <w:r w:rsidRPr="00D004E4">
              <w:t xml:space="preserve">In-cycle engagements (monthly, 6 weekly or as required) </w:t>
            </w:r>
          </w:p>
          <w:p w:rsidRPr="00D004E4" w:rsidR="00C25CEF" w:rsidP="00D004E4" w:rsidRDefault="00C25CEF" w14:paraId="400D8D29" w14:textId="53CC0ABF">
            <w:pPr>
              <w:pStyle w:val="DHHSbody"/>
            </w:pPr>
            <w:r w:rsidRPr="00D004E4">
              <w:t>Board Chair/Delegate meetings – where applicable</w:t>
            </w:r>
            <w:r w:rsidR="00F065B3">
              <w:t>.</w:t>
            </w:r>
          </w:p>
        </w:tc>
        <w:tc>
          <w:tcPr>
            <w:tcW w:w="4385" w:type="dxa"/>
            <w:hideMark/>
          </w:tcPr>
          <w:p w:rsidRPr="00D004E4" w:rsidR="00C25CEF" w:rsidP="00D004E4" w:rsidRDefault="00C25CEF" w14:paraId="3F35935A" w14:textId="2648FA7D">
            <w:pPr>
              <w:pStyle w:val="DHHSbody"/>
            </w:pPr>
            <w:r w:rsidRPr="00D004E4">
              <w:t xml:space="preserve">Formal </w:t>
            </w:r>
            <w:r w:rsidR="006F1B3A">
              <w:t>QPM</w:t>
            </w:r>
            <w:r w:rsidRPr="00D004E4">
              <w:t xml:space="preserve"> Required. </w:t>
            </w:r>
          </w:p>
          <w:p w:rsidRPr="00D004E4" w:rsidR="00C25CEF" w:rsidP="00D004E4" w:rsidRDefault="00C25CEF" w14:paraId="0562B9CB" w14:textId="77777777">
            <w:pPr>
              <w:pStyle w:val="DHHSbody"/>
            </w:pPr>
            <w:r w:rsidRPr="00D004E4">
              <w:t xml:space="preserve">Progress against Exit Criteria reviewed each quarter (with additional in-cycle meetings based on risk severity to monitor PiP). </w:t>
            </w:r>
          </w:p>
          <w:p w:rsidRPr="00D004E4" w:rsidR="00C25CEF" w:rsidP="00D004E4" w:rsidRDefault="00C25CEF" w14:paraId="377E48E9" w14:textId="77777777">
            <w:pPr>
              <w:pStyle w:val="DHHSbody"/>
            </w:pPr>
            <w:r w:rsidRPr="00D004E4">
              <w:t>Progress against the PiP, barriers to success, and progress toward exit criteria for de-escalation.</w:t>
            </w:r>
          </w:p>
        </w:tc>
      </w:tr>
      <w:tr w:rsidRPr="00D004E4" w:rsidR="00C25CEF" w:rsidTr="005D781A" w14:paraId="44D6E0B5" w14:textId="77777777">
        <w:trPr>
          <w:cnfStyle w:val="000000100000" w:firstRow="0" w:lastRow="0" w:firstColumn="0" w:lastColumn="0" w:oddVBand="0" w:evenVBand="0" w:oddHBand="1" w:evenHBand="0" w:firstRowFirstColumn="0" w:firstRowLastColumn="0" w:lastRowFirstColumn="0" w:lastRowLastColumn="0"/>
        </w:trPr>
        <w:tc>
          <w:tcPr>
            <w:tcW w:w="2122" w:type="dxa"/>
            <w:shd w:val="clear" w:color="auto" w:fill="DBE5F1" w:themeFill="accent1" w:themeFillTint="33"/>
            <w:hideMark/>
          </w:tcPr>
          <w:p w:rsidRPr="00D004E4" w:rsidR="00C25CEF" w:rsidP="00D004E4" w:rsidRDefault="00C25CEF" w14:paraId="42691A19" w14:textId="77777777">
            <w:pPr>
              <w:pStyle w:val="DHHSbody"/>
            </w:pPr>
          </w:p>
        </w:tc>
        <w:tc>
          <w:tcPr>
            <w:tcW w:w="4536" w:type="dxa"/>
            <w:shd w:val="clear" w:color="auto" w:fill="DBE5F1" w:themeFill="accent1" w:themeFillTint="33"/>
            <w:hideMark/>
          </w:tcPr>
          <w:p w:rsidRPr="00D004E4" w:rsidR="00C25CEF" w:rsidP="00D004E4" w:rsidRDefault="00C25CEF" w14:paraId="0A08CB34" w14:textId="77777777">
            <w:pPr>
              <w:pStyle w:val="DHHSbody"/>
            </w:pPr>
          </w:p>
        </w:tc>
        <w:tc>
          <w:tcPr>
            <w:tcW w:w="4120" w:type="dxa"/>
            <w:shd w:val="clear" w:color="auto" w:fill="DBE5F1" w:themeFill="accent1" w:themeFillTint="33"/>
            <w:hideMark/>
          </w:tcPr>
          <w:p w:rsidRPr="00D004E4" w:rsidR="00C25CEF" w:rsidP="00D004E4" w:rsidRDefault="00C25CEF" w14:paraId="4F0FDBF1" w14:textId="77777777">
            <w:pPr>
              <w:pStyle w:val="DHHSbody"/>
            </w:pPr>
          </w:p>
        </w:tc>
        <w:tc>
          <w:tcPr>
            <w:tcW w:w="4385" w:type="dxa"/>
            <w:shd w:val="clear" w:color="auto" w:fill="DBE5F1" w:themeFill="accent1" w:themeFillTint="33"/>
            <w:hideMark/>
          </w:tcPr>
          <w:p w:rsidRPr="00D004E4" w:rsidR="00C25CEF" w:rsidP="00D004E4" w:rsidRDefault="00C25CEF" w14:paraId="6EFEECFF" w14:textId="77777777">
            <w:pPr>
              <w:pStyle w:val="DHHSbody"/>
            </w:pPr>
          </w:p>
        </w:tc>
      </w:tr>
      <w:tr w:rsidRPr="00D004E4" w:rsidR="00C25CEF" w:rsidTr="005D781A" w14:paraId="300E2C94" w14:textId="77777777">
        <w:trPr>
          <w:trHeight w:val="1340"/>
        </w:trPr>
        <w:tc>
          <w:tcPr>
            <w:tcW w:w="2122" w:type="dxa"/>
            <w:hideMark/>
          </w:tcPr>
          <w:p w:rsidRPr="00C03D07" w:rsidR="00C25CEF" w:rsidP="00D004E4" w:rsidRDefault="00C25CEF" w14:paraId="36BDB903" w14:textId="77777777">
            <w:pPr>
              <w:pStyle w:val="DHHSbody"/>
              <w:rPr>
                <w:b/>
                <w:bCs/>
              </w:rPr>
            </w:pPr>
            <w:r w:rsidRPr="00C03D07">
              <w:rPr>
                <w:b/>
                <w:bCs/>
              </w:rPr>
              <w:t xml:space="preserve">MANDATED INTENSIVE SUPPORT </w:t>
            </w:r>
          </w:p>
          <w:p w:rsidRPr="00D004E4" w:rsidR="00C25CEF" w:rsidP="00D004E4" w:rsidRDefault="00C25CEF" w14:paraId="276F8AA0" w14:textId="77777777">
            <w:pPr>
              <w:pStyle w:val="DHHSbody"/>
            </w:pPr>
            <w:r w:rsidRPr="00C03D07">
              <w:rPr>
                <w:b/>
                <w:bCs/>
              </w:rPr>
              <w:t>Escalated Tier</w:t>
            </w:r>
            <w:r w:rsidRPr="00D004E4">
              <w:t xml:space="preserve"> </w:t>
            </w:r>
          </w:p>
        </w:tc>
        <w:tc>
          <w:tcPr>
            <w:tcW w:w="4536" w:type="dxa"/>
            <w:hideMark/>
          </w:tcPr>
          <w:p w:rsidRPr="00D004E4" w:rsidR="00C25CEF" w:rsidP="00D004E4" w:rsidRDefault="00C25CEF" w14:paraId="313ABA5B" w14:textId="4CBBB5BA">
            <w:pPr>
              <w:pStyle w:val="DHHSbody"/>
            </w:pPr>
            <w:r w:rsidRPr="00D004E4">
              <w:t>Significant, sustained, or escalating underperformance across domains requiring directed and mandatory intervention. This</w:t>
            </w:r>
            <w:r w:rsidR="00492643">
              <w:t xml:space="preserve"> performance</w:t>
            </w:r>
            <w:r w:rsidRPr="00D004E4">
              <w:t xml:space="preserve"> tier applies where failures are systemic, critical, or persistent (for example, serious patient safety events, governance breakdowns, or major financial distress) and cannot be managed through routine or targeted support. Intensive oversight, formal directions, and strengthened assurance and accountability arrangements are required to protect service viability and patient safety.</w:t>
            </w:r>
          </w:p>
        </w:tc>
        <w:tc>
          <w:tcPr>
            <w:tcW w:w="4120" w:type="dxa"/>
            <w:hideMark/>
          </w:tcPr>
          <w:p w:rsidRPr="00D004E4" w:rsidR="00C25CEF" w:rsidP="00D004E4" w:rsidRDefault="00C25CEF" w14:paraId="29C9E90F" w14:textId="77777777">
            <w:pPr>
              <w:pStyle w:val="DHHSbody"/>
            </w:pPr>
            <w:r w:rsidRPr="00D004E4">
              <w:t>Intensive oversight with directed actions.</w:t>
            </w:r>
          </w:p>
          <w:p w:rsidRPr="00D004E4" w:rsidR="00C25CEF" w:rsidP="00D004E4" w:rsidRDefault="00C25CEF" w14:paraId="41FE9DC5" w14:textId="77777777">
            <w:pPr>
              <w:pStyle w:val="DHHSbody"/>
            </w:pPr>
            <w:r w:rsidRPr="00D004E4">
              <w:t xml:space="preserve">Senior departmental leadership attends </w:t>
            </w:r>
          </w:p>
          <w:p w:rsidRPr="00D004E4" w:rsidR="00C25CEF" w:rsidP="00D004E4" w:rsidRDefault="00C25CEF" w14:paraId="5FF766AE" w14:textId="36D62985">
            <w:pPr>
              <w:pStyle w:val="DHHSbody"/>
            </w:pPr>
            <w:r w:rsidRPr="00D004E4">
              <w:t xml:space="preserve">Documented Exit Criteria and </w:t>
            </w:r>
            <w:r w:rsidR="006A35F4">
              <w:t>PiP.</w:t>
            </w:r>
          </w:p>
          <w:p w:rsidRPr="00D004E4" w:rsidR="00C25CEF" w:rsidP="00D004E4" w:rsidRDefault="00C25CEF" w14:paraId="312B126E" w14:textId="77777777">
            <w:pPr>
              <w:pStyle w:val="DHHSbody"/>
            </w:pPr>
            <w:r w:rsidRPr="00D004E4">
              <w:t>In-cycle engagements (weekly, bi-weekly, monthly or 6 weekly) focusing on remediation and critical priorities.</w:t>
            </w:r>
          </w:p>
          <w:p w:rsidRPr="00D004E4" w:rsidR="00C25CEF" w:rsidP="00D004E4" w:rsidRDefault="00C25CEF" w14:paraId="5C6ECB0B" w14:textId="77777777">
            <w:pPr>
              <w:pStyle w:val="DHHSbody"/>
            </w:pPr>
            <w:r w:rsidRPr="00D004E4">
              <w:t>Board Chair/Delegate meetings – where applicable</w:t>
            </w:r>
          </w:p>
        </w:tc>
        <w:tc>
          <w:tcPr>
            <w:tcW w:w="4385" w:type="dxa"/>
            <w:hideMark/>
          </w:tcPr>
          <w:p w:rsidRPr="00D004E4" w:rsidR="00C25CEF" w:rsidP="00D004E4" w:rsidRDefault="00C25CEF" w14:paraId="6CDF0A1D" w14:textId="248BCBF6">
            <w:pPr>
              <w:pStyle w:val="DHHSbody"/>
            </w:pPr>
            <w:r w:rsidRPr="00D004E4">
              <w:t xml:space="preserve">Formal </w:t>
            </w:r>
            <w:r w:rsidR="006F1B3A">
              <w:t>QPM</w:t>
            </w:r>
            <w:r w:rsidRPr="00D004E4">
              <w:t xml:space="preserve"> Required. </w:t>
            </w:r>
          </w:p>
          <w:p w:rsidRPr="00D004E4" w:rsidR="00C25CEF" w:rsidP="00D004E4" w:rsidRDefault="00C25CEF" w14:paraId="4393FA70" w14:textId="77777777">
            <w:pPr>
              <w:pStyle w:val="DHHSbody"/>
            </w:pPr>
            <w:r w:rsidRPr="00D004E4">
              <w:t xml:space="preserve">Progress against Exit Criteria and emerging risks reviewed each quarter (with additional in-cycle meetings based on risk severity to monitor PiP). </w:t>
            </w:r>
          </w:p>
          <w:p w:rsidRPr="00D004E4" w:rsidR="00C25CEF" w:rsidP="00D004E4" w:rsidRDefault="00C25CEF" w14:paraId="1EFB76ED" w14:textId="77777777">
            <w:pPr>
              <w:pStyle w:val="DHHSbody"/>
            </w:pPr>
            <w:r w:rsidRPr="00D004E4">
              <w:t>Critical performance gaps, remediation actions, progress against exit criteria, and coordination with escalation options under Appendix 7.</w:t>
            </w:r>
          </w:p>
        </w:tc>
      </w:tr>
    </w:tbl>
    <w:p w:rsidR="003A2303" w:rsidP="000E4D79" w:rsidRDefault="003A2303" w14:paraId="34108350" w14:textId="411ED2A9">
      <w:pPr>
        <w:pStyle w:val="DHHSbody"/>
        <w:spacing w:after="0" w:line="240" w:lineRule="auto"/>
        <w:rPr>
          <w:rFonts w:cs="Arial"/>
          <w:i/>
          <w:iCs/>
          <w:sz w:val="20"/>
        </w:rPr>
      </w:pPr>
    </w:p>
    <w:p w:rsidR="00D22902" w:rsidP="00181DBB" w:rsidRDefault="001C2093" w14:paraId="6A0C755B" w14:textId="77777777">
      <w:pPr>
        <w:pStyle w:val="DHHSbody"/>
        <w:spacing w:after="0" w:line="240" w:lineRule="auto"/>
        <w:rPr>
          <w:rFonts w:cs="Arial"/>
          <w:i/>
          <w:iCs/>
          <w:sz w:val="20"/>
        </w:rPr>
      </w:pPr>
      <w:r w:rsidRPr="00705585">
        <w:rPr>
          <w:rFonts w:cs="Arial"/>
          <w:b/>
          <w:bCs/>
          <w:i/>
          <w:iCs/>
          <w:sz w:val="20"/>
        </w:rPr>
        <w:t xml:space="preserve">Table </w:t>
      </w:r>
      <w:r w:rsidRPr="00705585" w:rsidR="00757021">
        <w:rPr>
          <w:rFonts w:cs="Arial"/>
          <w:b/>
          <w:bCs/>
          <w:i/>
          <w:iCs/>
          <w:sz w:val="20"/>
        </w:rPr>
        <w:t>1</w:t>
      </w:r>
      <w:r w:rsidRPr="00705585">
        <w:rPr>
          <w:rFonts w:cs="Arial"/>
          <w:b/>
          <w:bCs/>
          <w:i/>
          <w:iCs/>
          <w:sz w:val="20"/>
        </w:rPr>
        <w:t>:</w:t>
      </w:r>
      <w:r w:rsidRPr="00FD2C03">
        <w:rPr>
          <w:rFonts w:cs="Arial"/>
          <w:i/>
          <w:iCs/>
          <w:sz w:val="20"/>
        </w:rPr>
        <w:t xml:space="preserve"> </w:t>
      </w:r>
      <w:r w:rsidRPr="00FD2C03" w:rsidR="000E4D79">
        <w:rPr>
          <w:rFonts w:cs="Arial"/>
          <w:i/>
          <w:iCs/>
          <w:sz w:val="20"/>
        </w:rPr>
        <w:t>A structured comparison table describing each performance tier. It outlines the definition of each tier, the level of departmental monitoring, and the required frequency and focus of engagement activities, including meetings.</w:t>
      </w:r>
    </w:p>
    <w:p w:rsidR="00181DBB" w:rsidP="00181DBB" w:rsidRDefault="00181DBB" w14:paraId="45301C8F" w14:textId="77777777">
      <w:pPr>
        <w:pStyle w:val="DHHSbody"/>
        <w:spacing w:after="0" w:line="240" w:lineRule="auto"/>
        <w:rPr>
          <w:rFonts w:cs="Arial"/>
          <w:i/>
          <w:iCs/>
          <w:sz w:val="20"/>
        </w:rPr>
      </w:pPr>
    </w:p>
    <w:p w:rsidRPr="00E70B3A" w:rsidR="00181DBB" w:rsidP="00181DBB" w:rsidRDefault="00181DBB" w14:paraId="3CC578A6" w14:textId="77777777">
      <w:pPr>
        <w:pStyle w:val="DHHSbody"/>
        <w:rPr>
          <w:rFonts w:cs="Arial"/>
        </w:rPr>
      </w:pPr>
      <w:r w:rsidRPr="00E70B3A">
        <w:rPr>
          <w:rFonts w:cs="Arial"/>
        </w:rPr>
        <w:t xml:space="preserve">Refer to </w:t>
      </w:r>
      <w:r w:rsidRPr="00E70B3A">
        <w:rPr>
          <w:rFonts w:cs="Arial"/>
          <w:b/>
          <w:bCs/>
        </w:rPr>
        <w:t>Section 4</w:t>
      </w:r>
      <w:r w:rsidRPr="00E70B3A">
        <w:rPr>
          <w:rFonts w:cs="Arial"/>
        </w:rPr>
        <w:t xml:space="preserve"> for the formal performance assessment process</w:t>
      </w:r>
      <w:r>
        <w:rPr>
          <w:rFonts w:cs="Arial"/>
        </w:rPr>
        <w:t>. See</w:t>
      </w:r>
      <w:r w:rsidRPr="00E70B3A">
        <w:rPr>
          <w:rFonts w:cs="Arial"/>
        </w:rPr>
        <w:t xml:space="preserve"> </w:t>
      </w:r>
      <w:r w:rsidRPr="00E70B3A">
        <w:rPr>
          <w:rFonts w:cs="Arial"/>
          <w:b/>
          <w:bCs/>
        </w:rPr>
        <w:t>Appendix 5</w:t>
      </w:r>
      <w:r w:rsidRPr="00E70B3A">
        <w:rPr>
          <w:rFonts w:cs="Arial"/>
        </w:rPr>
        <w:t xml:space="preserve"> for detailed performance tier criteria</w:t>
      </w:r>
      <w:r>
        <w:rPr>
          <w:rFonts w:cs="Arial"/>
        </w:rPr>
        <w:t xml:space="preserve"> and </w:t>
      </w:r>
      <w:r w:rsidRPr="00E70B3A">
        <w:rPr>
          <w:rFonts w:cs="Arial"/>
          <w:b/>
          <w:bCs/>
        </w:rPr>
        <w:t>Appendix 6</w:t>
      </w:r>
      <w:r w:rsidRPr="00E70B3A">
        <w:rPr>
          <w:rFonts w:cs="Arial"/>
        </w:rPr>
        <w:t xml:space="preserve"> describes the implications of each tier for health services.</w:t>
      </w:r>
    </w:p>
    <w:p w:rsidRPr="00181DBB" w:rsidR="00181DBB" w:rsidP="00181DBB" w:rsidRDefault="00181DBB" w14:paraId="3F6A4175" w14:textId="1882314B">
      <w:pPr>
        <w:pStyle w:val="DHHSbody"/>
        <w:spacing w:after="0" w:line="240" w:lineRule="auto"/>
        <w:rPr>
          <w:rFonts w:cs="Arial"/>
          <w:sz w:val="20"/>
        </w:rPr>
        <w:sectPr w:rsidRPr="00181DBB" w:rsidR="00181DBB" w:rsidSect="00335827">
          <w:pgSz w:w="16838" w:h="11906" w:orient="landscape" w:code="9"/>
          <w:pgMar w:top="720" w:right="720" w:bottom="720" w:left="720" w:header="680" w:footer="851" w:gutter="0"/>
          <w:cols w:space="340"/>
          <w:titlePg/>
          <w:docGrid w:linePitch="360"/>
        </w:sectPr>
      </w:pPr>
    </w:p>
    <w:p w:rsidRPr="00E70B3A" w:rsidR="00A83F32" w:rsidP="00A83F32" w:rsidRDefault="00A83F32" w14:paraId="2DB25A1D" w14:textId="5F0256B0">
      <w:pPr>
        <w:pStyle w:val="Heading1"/>
      </w:pPr>
      <w:bookmarkStart w:name="_Toc235628532" w:id="12"/>
      <w:r w:rsidRPr="00E70B3A">
        <w:t>3. The Performance Cycle</w:t>
      </w:r>
      <w:bookmarkEnd w:id="12"/>
      <w:r w:rsidRPr="00E70B3A">
        <w:t xml:space="preserve"> </w:t>
      </w:r>
    </w:p>
    <w:p w:rsidR="00DF2D42" w:rsidP="00DF2D42" w:rsidRDefault="00DF2D42" w14:paraId="6D24C96D" w14:textId="0B2F9707">
      <w:r w:rsidRPr="00DF2D42">
        <w:t xml:space="preserve">The performance cycle sets how the department and health services work together </w:t>
      </w:r>
      <w:r w:rsidR="001C44F0">
        <w:t xml:space="preserve">through </w:t>
      </w:r>
      <w:r w:rsidR="008A54AE">
        <w:t>the following stages:</w:t>
      </w:r>
      <w:r w:rsidRPr="00DF2D42">
        <w:t xml:space="preserve"> </w:t>
      </w:r>
      <w:r w:rsidRPr="00DF2D42">
        <w:rPr>
          <w:rFonts w:cs="Arial"/>
          <w:b/>
          <w:bCs/>
        </w:rPr>
        <w:t>Planning and Strategy, Continuous Improvement</w:t>
      </w:r>
      <w:r w:rsidRPr="00DF2D42">
        <w:rPr>
          <w:rFonts w:cs="Arial"/>
        </w:rPr>
        <w:t xml:space="preserve"> and </w:t>
      </w:r>
      <w:r w:rsidRPr="00DF2D42">
        <w:rPr>
          <w:rFonts w:cs="Arial"/>
          <w:b/>
          <w:bCs/>
        </w:rPr>
        <w:t>Accountability.</w:t>
      </w:r>
      <w:r w:rsidRPr="00DF2D42">
        <w:t xml:space="preserve"> Engagement continues throughout the year, </w:t>
      </w:r>
      <w:r w:rsidR="008A54AE">
        <w:t xml:space="preserve">the level of </w:t>
      </w:r>
      <w:r w:rsidRPr="00DF2D42">
        <w:t>oversight depends on each service’s performance tier and risk profile.</w:t>
      </w:r>
    </w:p>
    <w:p w:rsidR="00563973" w:rsidP="00563973" w:rsidRDefault="00007A06" w14:paraId="5A4F8271" w14:textId="715D3E78">
      <w:pPr>
        <w:keepNext/>
      </w:pPr>
      <w:r w:rsidRPr="00007A06">
        <w:rPr>
          <w:noProof/>
        </w:rPr>
        <w:drawing>
          <wp:inline distT="0" distB="0" distL="0" distR="0" wp14:anchorId="2132707B" wp14:editId="6CE0ABA0">
            <wp:extent cx="5759450" cy="2558415"/>
            <wp:effectExtent l="0" t="0" r="0" b="0"/>
            <wp:docPr id="369203448" name="Picture 1" descr="Maps key activities within the stages of Planning and Strategy, Continuous Improvement, and Accountability. Activities include signing the Statement of Priorities, annual strategy meetings, ongoing engagement between the department and health services, and formal quarterly performance mee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203448" name="Picture 1" descr="Maps key activities within the stages of Planning and Strategy, Continuous Improvement, and Accountability. Activities include signing the Statement of Priorities, annual strategy meetings, ongoing engagement between the department and health services, and formal quarterly performance meetings."/>
                    <pic:cNvPicPr/>
                  </pic:nvPicPr>
                  <pic:blipFill>
                    <a:blip r:embed="rId46"/>
                    <a:stretch>
                      <a:fillRect/>
                    </a:stretch>
                  </pic:blipFill>
                  <pic:spPr>
                    <a:xfrm>
                      <a:off x="0" y="0"/>
                      <a:ext cx="5759450" cy="2558415"/>
                    </a:xfrm>
                    <a:prstGeom prst="rect">
                      <a:avLst/>
                    </a:prstGeom>
                  </pic:spPr>
                </pic:pic>
              </a:graphicData>
            </a:graphic>
          </wp:inline>
        </w:drawing>
      </w:r>
    </w:p>
    <w:p w:rsidRPr="007601DB" w:rsidR="003E4162" w:rsidP="00563973" w:rsidRDefault="00563973" w14:paraId="60799C35" w14:textId="02250A45">
      <w:pPr>
        <w:pStyle w:val="Caption"/>
      </w:pPr>
      <w:r w:rsidRPr="001C44F0">
        <w:rPr>
          <w:b/>
          <w:bCs/>
        </w:rPr>
        <w:t xml:space="preserve">Figure </w:t>
      </w:r>
      <w:r w:rsidRPr="001C44F0">
        <w:rPr>
          <w:b/>
          <w:bCs/>
        </w:rPr>
        <w:fldChar w:fldCharType="begin"/>
      </w:r>
      <w:r w:rsidRPr="001C44F0">
        <w:rPr>
          <w:b/>
          <w:bCs/>
        </w:rPr>
        <w:instrText xml:space="preserve"> SEQ Figure \* ARABIC </w:instrText>
      </w:r>
      <w:r w:rsidRPr="001C44F0">
        <w:rPr>
          <w:b/>
          <w:bCs/>
        </w:rPr>
        <w:fldChar w:fldCharType="separate"/>
      </w:r>
      <w:r w:rsidR="00965FAC">
        <w:rPr>
          <w:b/>
          <w:bCs/>
          <w:noProof/>
        </w:rPr>
        <w:t>6</w:t>
      </w:r>
      <w:r w:rsidRPr="001C44F0">
        <w:rPr>
          <w:b/>
          <w:bCs/>
        </w:rPr>
        <w:fldChar w:fldCharType="end"/>
      </w:r>
      <w:r>
        <w:t xml:space="preserve">: </w:t>
      </w:r>
      <w:r w:rsidRPr="00935725">
        <w:t xml:space="preserve">Maps key activities within the stages of Planning and Strategy, Continuous Improvement, and Accountability. </w:t>
      </w:r>
    </w:p>
    <w:p w:rsidRPr="00E70B3A" w:rsidR="00A83F32" w:rsidP="00A83F32" w:rsidRDefault="00A83F32" w14:paraId="48FCC249" w14:textId="18029757">
      <w:pPr>
        <w:pStyle w:val="Heading2"/>
        <w:rPr>
          <w:rFonts w:cs="Arial"/>
        </w:rPr>
      </w:pPr>
      <w:bookmarkStart w:name="_Toc235628533" w:id="13"/>
      <w:r w:rsidRPr="00E70B3A">
        <w:rPr>
          <w:rFonts w:cs="Arial"/>
        </w:rPr>
        <w:t>3.1 Planning and Strategy</w:t>
      </w:r>
      <w:bookmarkEnd w:id="13"/>
    </w:p>
    <w:p w:rsidRPr="002C6F65" w:rsidR="00441C2A" w:rsidP="002C6F65" w:rsidRDefault="00441C2A" w14:paraId="078FC69C" w14:textId="6C6CBF37">
      <w:pPr>
        <w:rPr>
          <w:b/>
          <w:bCs/>
        </w:rPr>
      </w:pPr>
      <w:r w:rsidRPr="002C6F65">
        <w:t xml:space="preserve">The </w:t>
      </w:r>
      <w:r w:rsidRPr="002C6F65">
        <w:rPr>
          <w:b/>
          <w:bCs/>
        </w:rPr>
        <w:t>Planning and Strategy stage</w:t>
      </w:r>
      <w:r w:rsidRPr="002C6F65">
        <w:t xml:space="preserve"> sets priorities, expectations and operating settings for the year.</w:t>
      </w:r>
      <w:r w:rsidRPr="002C6F65" w:rsidR="002C6F65">
        <w:t xml:space="preserve"> </w:t>
      </w:r>
      <w:r w:rsidRPr="002C6F65">
        <w:t xml:space="preserve">It is supported by </w:t>
      </w:r>
      <w:r w:rsidR="008A54AE">
        <w:t>two</w:t>
      </w:r>
      <w:r w:rsidRPr="002C6F65">
        <w:t xml:space="preserve"> main mechanisms: the </w:t>
      </w:r>
      <w:r w:rsidRPr="002C6F65">
        <w:rPr>
          <w:b/>
          <w:bCs/>
        </w:rPr>
        <w:t>Statement of Priorities</w:t>
      </w:r>
      <w:r w:rsidRPr="002C6F65">
        <w:t xml:space="preserve"> and the </w:t>
      </w:r>
      <w:r w:rsidRPr="002C6F65">
        <w:rPr>
          <w:b/>
          <w:bCs/>
        </w:rPr>
        <w:t>Annual Strategy Meeting.</w:t>
      </w:r>
    </w:p>
    <w:p w:rsidRPr="00E70B3A" w:rsidR="00A83F32" w:rsidP="00A83F32" w:rsidRDefault="00A83F32" w14:paraId="27F478E0" w14:textId="77777777">
      <w:pPr>
        <w:pStyle w:val="Heading3"/>
        <w:rPr>
          <w:rFonts w:cs="Arial"/>
        </w:rPr>
      </w:pPr>
      <w:r w:rsidRPr="00E70B3A">
        <w:rPr>
          <w:rFonts w:cs="Arial"/>
        </w:rPr>
        <w:t>3.1.1 Statement of Priorities</w:t>
      </w:r>
    </w:p>
    <w:p w:rsidRPr="00FB07C4" w:rsidR="00FB07C4" w:rsidP="00FB07C4" w:rsidRDefault="00FB07C4" w14:paraId="6EBEC97E" w14:textId="77777777">
      <w:pPr>
        <w:pStyle w:val="DHHSbody"/>
        <w:rPr>
          <w:rFonts w:cs="Arial"/>
        </w:rPr>
      </w:pPr>
      <w:r w:rsidRPr="00FB07C4">
        <w:rPr>
          <w:rFonts w:cs="Arial"/>
        </w:rPr>
        <w:t xml:space="preserve">The </w:t>
      </w:r>
      <w:r w:rsidRPr="00900865">
        <w:rPr>
          <w:rFonts w:cs="Arial"/>
          <w:b/>
          <w:bCs/>
        </w:rPr>
        <w:t>Statement of Priorities (SoP)</w:t>
      </w:r>
      <w:r w:rsidRPr="00FB07C4">
        <w:rPr>
          <w:rFonts w:cs="Arial"/>
        </w:rPr>
        <w:t xml:space="preserve"> is the annual service delivery and accountability agreement between the Victorian Government and publicly funded health entities. It sets out the strategic priorities, performance targets, service delivery expectations, activity commitments and funding arrangements for the financial year.</w:t>
      </w:r>
    </w:p>
    <w:p w:rsidRPr="00FB07C4" w:rsidR="00FB07C4" w:rsidP="00FB07C4" w:rsidRDefault="00FB07C4" w14:paraId="73F0F280" w14:textId="763304DF">
      <w:pPr>
        <w:pStyle w:val="DHHSbody"/>
        <w:rPr>
          <w:rFonts w:cs="Arial"/>
        </w:rPr>
      </w:pPr>
      <w:r w:rsidRPr="00FB07C4">
        <w:rPr>
          <w:rFonts w:cs="Arial"/>
        </w:rPr>
        <w:t xml:space="preserve">Under the </w:t>
      </w:r>
      <w:r w:rsidRPr="00025BC2" w:rsidR="00025BC2">
        <w:rPr>
          <w:rFonts w:cs="Arial"/>
        </w:rPr>
        <w:t xml:space="preserve">Health Services Act 1988 </w:t>
      </w:r>
      <w:r w:rsidRPr="00FB07C4">
        <w:rPr>
          <w:rFonts w:cs="Arial"/>
        </w:rPr>
        <w:t>and relevant funding and accountability arrangements, the following entities are required to enter into an annual SoP with the relevant Minister and/or the Secretary:</w:t>
      </w:r>
    </w:p>
    <w:p w:rsidRPr="00FB07C4" w:rsidR="00FB07C4" w:rsidP="00A967B1" w:rsidRDefault="00FB07C4" w14:paraId="7D9400A6" w14:textId="0852BA63">
      <w:pPr>
        <w:pStyle w:val="DHHSbody"/>
        <w:numPr>
          <w:ilvl w:val="0"/>
          <w:numId w:val="41"/>
        </w:numPr>
        <w:rPr>
          <w:rFonts w:cs="Arial"/>
        </w:rPr>
      </w:pPr>
      <w:r w:rsidRPr="00FB07C4">
        <w:rPr>
          <w:rFonts w:cs="Arial"/>
        </w:rPr>
        <w:t>Public health services and certain statewide public health service entities (for example, Oral Health Victoria) with the Minister for Health.</w:t>
      </w:r>
    </w:p>
    <w:p w:rsidRPr="00FB07C4" w:rsidR="00FB07C4" w:rsidP="00A967B1" w:rsidRDefault="00FB07C4" w14:paraId="31E9CCBA" w14:textId="68C50F9A">
      <w:pPr>
        <w:pStyle w:val="DHHSbody"/>
        <w:numPr>
          <w:ilvl w:val="0"/>
          <w:numId w:val="41"/>
        </w:numPr>
        <w:rPr>
          <w:rFonts w:cs="Arial"/>
        </w:rPr>
      </w:pPr>
      <w:r w:rsidRPr="00FB07C4">
        <w:rPr>
          <w:rFonts w:cs="Arial"/>
        </w:rPr>
        <w:t>Public hospitals with the Secretary, Department of Health.</w:t>
      </w:r>
    </w:p>
    <w:p w:rsidRPr="00FB07C4" w:rsidR="00FB07C4" w:rsidP="00A967B1" w:rsidRDefault="00FB07C4" w14:paraId="715FCF1D" w14:textId="6AF46427">
      <w:pPr>
        <w:pStyle w:val="DHHSbody"/>
        <w:numPr>
          <w:ilvl w:val="0"/>
          <w:numId w:val="41"/>
        </w:numPr>
        <w:rPr>
          <w:rFonts w:cs="Arial"/>
        </w:rPr>
      </w:pPr>
      <w:r w:rsidRPr="00FB07C4">
        <w:rPr>
          <w:rFonts w:cs="Arial"/>
        </w:rPr>
        <w:t>Ambulance Victoria with the Minister for Ambulance Services.</w:t>
      </w:r>
    </w:p>
    <w:p w:rsidRPr="00FB07C4" w:rsidR="00FB07C4" w:rsidP="00A967B1" w:rsidRDefault="00FB07C4" w14:paraId="039979AF" w14:textId="3CB32ADF">
      <w:pPr>
        <w:pStyle w:val="DHHSbody"/>
        <w:numPr>
          <w:ilvl w:val="0"/>
          <w:numId w:val="41"/>
        </w:numPr>
        <w:rPr>
          <w:rFonts w:cs="Arial"/>
        </w:rPr>
      </w:pPr>
      <w:r w:rsidRPr="00FB07C4">
        <w:rPr>
          <w:rFonts w:cs="Arial"/>
        </w:rPr>
        <w:t>The Victorian Institute of Forensic Mental Health (Forensicare) with the Minister for Mental Health.</w:t>
      </w:r>
    </w:p>
    <w:p w:rsidRPr="00FB07C4" w:rsidR="00FB07C4" w:rsidP="00A967B1" w:rsidRDefault="00FB07C4" w14:paraId="31DDE2A7" w14:textId="40808CD8">
      <w:pPr>
        <w:pStyle w:val="DHHSbody"/>
        <w:numPr>
          <w:ilvl w:val="0"/>
          <w:numId w:val="41"/>
        </w:numPr>
        <w:rPr>
          <w:rFonts w:cs="Arial"/>
        </w:rPr>
      </w:pPr>
      <w:r w:rsidRPr="00FB07C4">
        <w:rPr>
          <w:rFonts w:cs="Arial"/>
        </w:rPr>
        <w:t>The Parkville Youth Mental Health and Wellbeing Service with the Minister for Mental Health.</w:t>
      </w:r>
    </w:p>
    <w:p w:rsidRPr="00FB07C4" w:rsidR="00FB07C4" w:rsidP="00FB07C4" w:rsidRDefault="00FB07C4" w14:paraId="284CDD5D" w14:textId="77777777">
      <w:pPr>
        <w:pStyle w:val="DHHSbody"/>
        <w:rPr>
          <w:rFonts w:cs="Arial"/>
        </w:rPr>
      </w:pPr>
    </w:p>
    <w:p w:rsidRPr="003742BF" w:rsidR="00FB07C4" w:rsidP="00A83F32" w:rsidRDefault="00FB07C4" w14:paraId="265A6C56" w14:textId="37428CDE">
      <w:pPr>
        <w:pStyle w:val="DHHSbody"/>
        <w:rPr>
          <w:rFonts w:cs="Arial"/>
        </w:rPr>
      </w:pPr>
      <w:r w:rsidRPr="00FB07C4">
        <w:rPr>
          <w:rFonts w:cs="Arial"/>
        </w:rPr>
        <w:t xml:space="preserve">The detailed structure, content and performance requirements of the SoP are outlined in </w:t>
      </w:r>
      <w:r w:rsidRPr="003742BF">
        <w:rPr>
          <w:rFonts w:cs="Arial"/>
          <w:b/>
          <w:bCs/>
        </w:rPr>
        <w:t>Appendix 4</w:t>
      </w:r>
      <w:r w:rsidRPr="00FB07C4">
        <w:rPr>
          <w:rFonts w:cs="Arial"/>
        </w:rPr>
        <w:t>.</w:t>
      </w:r>
    </w:p>
    <w:p w:rsidRPr="004728F4" w:rsidR="00A83F32" w:rsidP="00A83F32" w:rsidRDefault="00A83F32" w14:paraId="4535C8C5" w14:textId="71DA9D9A">
      <w:pPr>
        <w:pStyle w:val="DHHSbody"/>
        <w:rPr>
          <w:rFonts w:cs="Arial"/>
          <w:color w:val="auto"/>
        </w:rPr>
      </w:pPr>
      <w:r w:rsidRPr="004728F4">
        <w:rPr>
          <w:rFonts w:cs="Arial"/>
          <w:color w:val="auto"/>
        </w:rPr>
        <w:t xml:space="preserve">Note: </w:t>
      </w:r>
      <w:r w:rsidR="00300BF2">
        <w:rPr>
          <w:rFonts w:cs="Arial"/>
          <w:color w:val="auto"/>
        </w:rPr>
        <w:t>Multi-Purpose</w:t>
      </w:r>
      <w:r w:rsidR="003742BF">
        <w:rPr>
          <w:rFonts w:cs="Arial"/>
          <w:color w:val="auto"/>
        </w:rPr>
        <w:t xml:space="preserve"> Services</w:t>
      </w:r>
      <w:r w:rsidRPr="004728F4">
        <w:rPr>
          <w:rFonts w:cs="Arial"/>
          <w:color w:val="auto"/>
        </w:rPr>
        <w:t xml:space="preserve"> do not sign a SoP. Performance expectations for MPS are carried through Tripartite Agreements, Service Plans and aged care regulatory requirements, as set out in Section 6.</w:t>
      </w:r>
    </w:p>
    <w:p w:rsidRPr="00363E93" w:rsidR="004728F4" w:rsidP="00363E93" w:rsidRDefault="004728F4" w14:paraId="3FB2C3E2" w14:textId="26C09AF6">
      <w:r w:rsidRPr="004728F4">
        <w:t>Local Health Service Network arrangements operate alongside each health service’s direct accountability through its own Statement of Priorities</w:t>
      </w:r>
      <w:r w:rsidR="002A319A">
        <w:t xml:space="preserve"> and Statement of Expectations. </w:t>
      </w:r>
    </w:p>
    <w:p w:rsidR="00274418" w:rsidP="00274418" w:rsidRDefault="00274418" w14:paraId="5B3827F4" w14:textId="77777777">
      <w:pPr>
        <w:pStyle w:val="Heading3"/>
        <w:rPr>
          <w:rFonts w:cs="Arial"/>
        </w:rPr>
      </w:pPr>
      <w:r w:rsidRPr="00E70B3A">
        <w:rPr>
          <w:rFonts w:cs="Arial"/>
        </w:rPr>
        <w:t xml:space="preserve">3.1.2 Annual Strategy Meeting </w:t>
      </w:r>
    </w:p>
    <w:p w:rsidRPr="006E1FD6" w:rsidR="006E1FD6" w:rsidP="006E1FD6" w:rsidRDefault="006E1FD6" w14:paraId="51C94D7D" w14:textId="77777777">
      <w:pPr>
        <w:pStyle w:val="DHHSbody"/>
      </w:pPr>
      <w:r w:rsidRPr="006E1FD6">
        <w:t>The department meets with each health service once a year through an Annual Strategy Meeting. This meeting provides a structured discussion between the department and health service leaders and is a key part of the performance cycle.</w:t>
      </w:r>
    </w:p>
    <w:p w:rsidRPr="006E1FD6" w:rsidR="006E1FD6" w:rsidP="006E1FD6" w:rsidRDefault="006E1FD6" w14:paraId="32AE978B" w14:textId="77777777">
      <w:pPr>
        <w:pStyle w:val="DHHSbody"/>
      </w:pPr>
      <w:r w:rsidRPr="006E1FD6">
        <w:t>The meeting focuses on how the health service is delivering on government and department priorities set out in the Statement of Priorities (SoP) Part A. This includes:</w:t>
      </w:r>
    </w:p>
    <w:p w:rsidRPr="006E1FD6" w:rsidR="006E1FD6" w:rsidRDefault="006E1FD6" w14:paraId="6EF86EE2" w14:textId="77777777">
      <w:pPr>
        <w:pStyle w:val="DHHSbody"/>
        <w:numPr>
          <w:ilvl w:val="0"/>
          <w:numId w:val="28"/>
        </w:numPr>
      </w:pPr>
      <w:r w:rsidRPr="006E1FD6">
        <w:t>progress over the past year</w:t>
      </w:r>
    </w:p>
    <w:p w:rsidRPr="006E1FD6" w:rsidR="006E1FD6" w:rsidRDefault="006E1FD6" w14:paraId="4BC2C791" w14:textId="77777777">
      <w:pPr>
        <w:pStyle w:val="DHHSbody"/>
        <w:numPr>
          <w:ilvl w:val="0"/>
          <w:numId w:val="28"/>
        </w:numPr>
      </w:pPr>
      <w:r w:rsidRPr="006E1FD6">
        <w:t>key priorities, risks, challenges and support needed for the next year</w:t>
      </w:r>
    </w:p>
    <w:p w:rsidRPr="006E1FD6" w:rsidR="006E1FD6" w:rsidRDefault="006E1FD6" w14:paraId="0A6EDC12" w14:textId="77777777">
      <w:pPr>
        <w:pStyle w:val="DHHSbody"/>
        <w:numPr>
          <w:ilvl w:val="0"/>
          <w:numId w:val="28"/>
        </w:numPr>
      </w:pPr>
      <w:r w:rsidRPr="006E1FD6">
        <w:t>opportunities to improve innovation, integration and collaboration</w:t>
      </w:r>
    </w:p>
    <w:p w:rsidRPr="006E1FD6" w:rsidR="006E1FD6" w:rsidP="006E1FD6" w:rsidRDefault="006E1FD6" w14:paraId="59FD6293" w14:textId="0533E676">
      <w:pPr>
        <w:pStyle w:val="DHHSbody"/>
      </w:pPr>
      <w:r w:rsidRPr="006E1FD6">
        <w:t xml:space="preserve">For health services in </w:t>
      </w:r>
      <w:r w:rsidR="00E64B14">
        <w:t>escalated</w:t>
      </w:r>
      <w:r w:rsidRPr="006E1FD6">
        <w:t xml:space="preserve"> performance tiers, the Annual Strategy Meeting may be combined with performance meetings. This helps streamline discussions</w:t>
      </w:r>
      <w:r w:rsidR="008B0E32">
        <w:t xml:space="preserve"> </w:t>
      </w:r>
      <w:r w:rsidRPr="006E1FD6">
        <w:t>and maintain focus on accountability and improvement.</w:t>
      </w:r>
    </w:p>
    <w:p w:rsidRPr="006E1FD6" w:rsidR="006E1FD6" w:rsidP="00363E93" w:rsidRDefault="006E1FD6" w14:paraId="32563000" w14:textId="74ED0520">
      <w:pPr>
        <w:pStyle w:val="DHHSbody"/>
      </w:pPr>
      <w:r w:rsidRPr="006E1FD6">
        <w:t>All meetings follow a standard agenda based on SoP Part A.</w:t>
      </w:r>
    </w:p>
    <w:p w:rsidR="00A62015" w:rsidP="00EA45DD" w:rsidRDefault="00A83F32" w14:paraId="52494FFB" w14:textId="20F91123">
      <w:pPr>
        <w:pStyle w:val="Heading2"/>
        <w:rPr>
          <w:rFonts w:cs="Arial"/>
        </w:rPr>
      </w:pPr>
      <w:bookmarkStart w:name="_Toc235628534" w:id="14"/>
      <w:r w:rsidRPr="00E70B3A">
        <w:rPr>
          <w:rFonts w:cs="Arial"/>
        </w:rPr>
        <w:t>3.2 Continuous Improvement</w:t>
      </w:r>
      <w:bookmarkEnd w:id="14"/>
    </w:p>
    <w:p w:rsidR="0026192F" w:rsidP="00FF2240" w:rsidRDefault="0026192F" w14:paraId="46D356BD" w14:textId="40172823">
      <w:pPr>
        <w:pStyle w:val="DHHSbody"/>
      </w:pPr>
      <w:r w:rsidRPr="0026192F">
        <w:t>Health services are responsible for leading and delivering their own performance improvement. The department supports this through ongoing</w:t>
      </w:r>
      <w:r w:rsidR="003E385D">
        <w:t xml:space="preserve"> </w:t>
      </w:r>
      <w:r w:rsidRPr="0026192F">
        <w:t>engagement, knowledge sharing, alignment of system-wide efforts, and access to expert advice and support.</w:t>
      </w:r>
    </w:p>
    <w:p w:rsidRPr="00B77C20" w:rsidR="00043354" w:rsidP="00FF2240" w:rsidRDefault="00FF2240" w14:paraId="3B1E8CEB" w14:textId="05ABFC86">
      <w:pPr>
        <w:pStyle w:val="DHHSbody"/>
      </w:pPr>
      <w:r>
        <w:t xml:space="preserve">As part of this approach, the department engages with all health services through regular, ongoing </w:t>
      </w:r>
      <w:r w:rsidR="00895738">
        <w:t xml:space="preserve">health service </w:t>
      </w:r>
      <w:r>
        <w:t>engagement and a range of forums to address issues, support improvement and promote collaboration</w:t>
      </w:r>
      <w:r w:rsidR="00895738">
        <w:t xml:space="preserve"> i.e. formal programs, peer learning and specialist advice</w:t>
      </w:r>
    </w:p>
    <w:p w:rsidR="007974EF" w:rsidP="00835248" w:rsidRDefault="007974EF" w14:paraId="7BD55B2B" w14:textId="77777777">
      <w:pPr>
        <w:pStyle w:val="DHHSbody"/>
        <w:rPr>
          <w:rStyle w:val="Heading3Char"/>
        </w:rPr>
      </w:pPr>
    </w:p>
    <w:p w:rsidR="004A2AD9" w:rsidP="00835248" w:rsidRDefault="004A2AD9" w14:paraId="26EBA0F6" w14:textId="77777777">
      <w:pPr>
        <w:pStyle w:val="DHHSbody"/>
        <w:rPr>
          <w:rStyle w:val="Heading3Char"/>
        </w:rPr>
      </w:pPr>
    </w:p>
    <w:p w:rsidR="00835248" w:rsidP="00835248" w:rsidRDefault="00B77C20" w14:paraId="423017B4" w14:textId="2F159D35">
      <w:pPr>
        <w:pStyle w:val="DHHSbody"/>
      </w:pPr>
      <w:r w:rsidRPr="00CC4969">
        <w:rPr>
          <w:rStyle w:val="Heading3Char"/>
        </w:rPr>
        <w:t>3.2.1 Health Service Engagement</w:t>
      </w:r>
      <w:r w:rsidRPr="00CC4969">
        <w:rPr>
          <w:rStyle w:val="Heading3Char"/>
        </w:rPr>
        <w:br/>
      </w:r>
      <w:r w:rsidR="00835248">
        <w:t xml:space="preserve">Health service engagement involves regular, flexible </w:t>
      </w:r>
      <w:r w:rsidR="000E5D0D">
        <w:t>engagements</w:t>
      </w:r>
      <w:r w:rsidR="00E3704F">
        <w:t xml:space="preserve"> or interactions</w:t>
      </w:r>
      <w:r w:rsidR="00835248">
        <w:t xml:space="preserve"> between the department and health services outside formal performance meetings.</w:t>
      </w:r>
    </w:p>
    <w:p w:rsidR="00987BCC" w:rsidP="00835248" w:rsidRDefault="00835248" w14:paraId="2F728684" w14:textId="77777777">
      <w:pPr>
        <w:pStyle w:val="DHHSbody"/>
      </w:pPr>
      <w:r>
        <w:t>Engagement may include check-ins, discussions and targeted support to monitor progress, manage risks and respond to emerging issues. It can be formal or informal, with a focus on collaborative problem-solving.</w:t>
      </w:r>
      <w:r w:rsidR="00931BA0">
        <w:t xml:space="preserve"> </w:t>
      </w:r>
    </w:p>
    <w:p w:rsidRPr="00931BA0" w:rsidR="00942976" w:rsidP="00835248" w:rsidRDefault="00942976" w14:paraId="737FA415" w14:textId="01E7AA07">
      <w:pPr>
        <w:pStyle w:val="DHHSbody"/>
      </w:pPr>
      <w:r w:rsidRPr="00E70B3A">
        <w:rPr>
          <w:rFonts w:cs="Arial"/>
          <w:b/>
          <w:bCs/>
        </w:rPr>
        <w:t xml:space="preserve">Key aims: </w:t>
      </w:r>
    </w:p>
    <w:p w:rsidRPr="00A6258E" w:rsidR="00931BA0" w:rsidRDefault="0053653C" w14:paraId="4E2CF3EE" w14:textId="609E27F4">
      <w:pPr>
        <w:pStyle w:val="DHHSbody"/>
        <w:numPr>
          <w:ilvl w:val="0"/>
          <w:numId w:val="32"/>
        </w:numPr>
      </w:pPr>
      <w:r w:rsidRPr="00A6258E">
        <w:t>Maintain</w:t>
      </w:r>
      <w:r w:rsidRPr="00A6258E" w:rsidR="00931BA0">
        <w:t xml:space="preserve"> strong</w:t>
      </w:r>
      <w:r w:rsidRPr="00A6258E" w:rsidR="00A6258E">
        <w:t xml:space="preserve"> working</w:t>
      </w:r>
      <w:r w:rsidRPr="00A6258E" w:rsidR="00931BA0">
        <w:t xml:space="preserve"> relationships between the department and health services</w:t>
      </w:r>
      <w:r w:rsidR="00E8789F">
        <w:t xml:space="preserve"> and </w:t>
      </w:r>
      <w:r w:rsidR="0083169C">
        <w:t xml:space="preserve">a </w:t>
      </w:r>
      <w:r w:rsidRPr="00A6258E" w:rsidR="0083169C">
        <w:t>shared</w:t>
      </w:r>
      <w:r w:rsidRPr="00A6258E" w:rsidR="00E8789F">
        <w:t xml:space="preserve"> understanding of performance and emerging risks</w:t>
      </w:r>
    </w:p>
    <w:p w:rsidRPr="00A6258E" w:rsidR="00931BA0" w:rsidRDefault="00931BA0" w14:paraId="2D96C036" w14:textId="6C0C09D6">
      <w:pPr>
        <w:pStyle w:val="DHHSbody"/>
        <w:numPr>
          <w:ilvl w:val="0"/>
          <w:numId w:val="32"/>
        </w:numPr>
      </w:pPr>
      <w:r w:rsidRPr="00A6258E">
        <w:t>Identify and respond to issues early, without waiting for formal</w:t>
      </w:r>
      <w:r w:rsidR="00A96032">
        <w:t xml:space="preserve"> performance</w:t>
      </w:r>
      <w:r w:rsidRPr="00A6258E">
        <w:t xml:space="preserve"> meetings</w:t>
      </w:r>
    </w:p>
    <w:p w:rsidRPr="00C33850" w:rsidR="00931BA0" w:rsidRDefault="00C33850" w14:paraId="0B58ADCA" w14:textId="31E0612D">
      <w:pPr>
        <w:pStyle w:val="ListParagraph"/>
        <w:numPr>
          <w:ilvl w:val="0"/>
          <w:numId w:val="32"/>
        </w:numPr>
        <w:rPr>
          <w:rFonts w:eastAsia="Times"/>
          <w:color w:val="000000" w:themeColor="text1"/>
        </w:rPr>
      </w:pPr>
      <w:r>
        <w:rPr>
          <w:rFonts w:eastAsia="Times"/>
          <w:color w:val="000000" w:themeColor="text1"/>
        </w:rPr>
        <w:t>C</w:t>
      </w:r>
      <w:r w:rsidRPr="00C33850">
        <w:rPr>
          <w:rFonts w:eastAsia="Times"/>
          <w:color w:val="000000" w:themeColor="text1"/>
        </w:rPr>
        <w:t>onnect</w:t>
      </w:r>
      <w:r>
        <w:rPr>
          <w:rFonts w:eastAsia="Times"/>
          <w:color w:val="000000" w:themeColor="text1"/>
        </w:rPr>
        <w:t xml:space="preserve"> health</w:t>
      </w:r>
      <w:r w:rsidRPr="00C33850">
        <w:rPr>
          <w:rFonts w:eastAsia="Times"/>
          <w:color w:val="000000" w:themeColor="text1"/>
        </w:rPr>
        <w:t xml:space="preserve"> services to the right </w:t>
      </w:r>
      <w:r>
        <w:rPr>
          <w:rFonts w:eastAsia="Times"/>
          <w:color w:val="000000" w:themeColor="text1"/>
        </w:rPr>
        <w:t>areas in the department</w:t>
      </w:r>
      <w:r w:rsidR="006468CA">
        <w:rPr>
          <w:rFonts w:eastAsia="Times"/>
          <w:color w:val="000000" w:themeColor="text1"/>
        </w:rPr>
        <w:t xml:space="preserve">. </w:t>
      </w:r>
    </w:p>
    <w:p w:rsidRPr="004B4F51" w:rsidR="004B4F51" w:rsidP="006468CA" w:rsidRDefault="004B4F51" w14:paraId="2197C2FE" w14:textId="0DDC6647">
      <w:pPr>
        <w:pStyle w:val="DHHSbody"/>
      </w:pPr>
      <w:r w:rsidRPr="004B4F51">
        <w:t xml:space="preserve">Health services can contact their local Health Service Interface and Collaboration (HSIC) Manager via </w:t>
      </w:r>
      <w:r w:rsidR="007974EF">
        <w:t>&lt;</w:t>
      </w:r>
      <w:r w:rsidRPr="004B4F51">
        <w:t>HSIC@health.vic.gov.au</w:t>
      </w:r>
      <w:r w:rsidR="007974EF">
        <w:t>&gt;</w:t>
      </w:r>
      <w:r w:rsidRPr="004B4F51">
        <w:t xml:space="preserve"> as their main point of contact. HSIC helps connect services with the right areas of the department and supports navigation of processes and issues.</w:t>
      </w:r>
    </w:p>
    <w:p w:rsidR="004B4F51" w:rsidP="004B4F51" w:rsidRDefault="004B4F51" w14:paraId="56204B9C" w14:textId="121172ED">
      <w:pPr>
        <w:pStyle w:val="DHHSbody"/>
      </w:pPr>
      <w:r w:rsidRPr="004B4F51">
        <w:t>Health services may also engage directly with</w:t>
      </w:r>
      <w:r w:rsidR="007C1EF3">
        <w:t xml:space="preserve"> </w:t>
      </w:r>
      <w:r w:rsidR="002E2808">
        <w:t>other</w:t>
      </w:r>
      <w:r w:rsidRPr="004B4F51">
        <w:t xml:space="preserve"> areas</w:t>
      </w:r>
      <w:r w:rsidR="00D1143F">
        <w:t xml:space="preserve"> in the department</w:t>
      </w:r>
      <w:r w:rsidRPr="004B4F51">
        <w:t xml:space="preserve"> </w:t>
      </w:r>
      <w:r w:rsidR="002E2808">
        <w:t xml:space="preserve">see Section 7.2.2. </w:t>
      </w:r>
    </w:p>
    <w:p w:rsidRPr="004B4F51" w:rsidR="0033580B" w:rsidP="004B4F51" w:rsidRDefault="00C64B70" w14:paraId="503F2C2B" w14:textId="5D94D644">
      <w:pPr>
        <w:pStyle w:val="DHHSbody"/>
      </w:pPr>
      <w:r w:rsidRPr="00424CA8">
        <w:t>Where</w:t>
      </w:r>
      <w:r w:rsidRPr="004B4F51" w:rsidR="004B4F51">
        <w:t xml:space="preserve"> issues are not </w:t>
      </w:r>
      <w:r w:rsidR="00946023">
        <w:t xml:space="preserve">able to be </w:t>
      </w:r>
      <w:r w:rsidRPr="004B4F51" w:rsidR="004B4F51">
        <w:t xml:space="preserve">resolved through </w:t>
      </w:r>
      <w:r w:rsidR="004B4F51">
        <w:t>health service engagement</w:t>
      </w:r>
      <w:r w:rsidR="0060223D">
        <w:t xml:space="preserve"> the relevant area may nominate for the matter to be escalated </w:t>
      </w:r>
      <w:r w:rsidRPr="004B4F51" w:rsidR="004B4F51">
        <w:t xml:space="preserve">to a </w:t>
      </w:r>
      <w:r w:rsidR="004B4F51">
        <w:t xml:space="preserve">formal </w:t>
      </w:r>
      <w:r w:rsidR="006F1B3A">
        <w:t>QPM</w:t>
      </w:r>
      <w:r w:rsidRPr="004B4F51" w:rsidR="004B4F51">
        <w:t xml:space="preserve"> for more structured discussion</w:t>
      </w:r>
      <w:r w:rsidR="00033996">
        <w:t xml:space="preserve"> and oversight. </w:t>
      </w:r>
    </w:p>
    <w:p w:rsidRPr="00B53DAD" w:rsidR="00B77C20" w:rsidP="00B77C20" w:rsidRDefault="00B77C20" w14:paraId="43184012" w14:textId="75351D5C">
      <w:pPr>
        <w:pStyle w:val="Body"/>
        <w:rPr>
          <w:rStyle w:val="DHHSbodyChar"/>
          <w:b/>
          <w:bCs/>
        </w:rPr>
      </w:pPr>
      <w:r w:rsidRPr="008F7C19">
        <w:rPr>
          <w:rStyle w:val="Heading3Char"/>
        </w:rPr>
        <w:t>3.2.2 Knowledge exchange and collaboration</w:t>
      </w:r>
      <w:r w:rsidRPr="00B77C20">
        <w:br/>
      </w:r>
      <w:r w:rsidRPr="006859AA">
        <w:rPr>
          <w:rStyle w:val="DHHSbodyChar"/>
        </w:rPr>
        <w:t>The department supports system improvement through collaboratives, peer networks and reform programs. This includes initiatives across areas such as emergency care, planned surgery, specialist clinics, quality and safety, workforce wellbeing, financial sustainability and cultural safety</w:t>
      </w:r>
      <w:r w:rsidR="00B53DAD">
        <w:rPr>
          <w:rStyle w:val="DHHSbodyChar"/>
        </w:rPr>
        <w:t xml:space="preserve"> see </w:t>
      </w:r>
      <w:r w:rsidRPr="00B53DAD" w:rsidR="00B53DAD">
        <w:rPr>
          <w:rStyle w:val="DHHSbodyChar"/>
          <w:b/>
          <w:bCs/>
        </w:rPr>
        <w:t xml:space="preserve">Appendix 7. </w:t>
      </w:r>
    </w:p>
    <w:p w:rsidRPr="006859AA" w:rsidR="00B77C20" w:rsidP="00B77C20" w:rsidRDefault="00B77C20" w14:paraId="145EC197" w14:textId="77777777">
      <w:pPr>
        <w:pStyle w:val="Body"/>
        <w:rPr>
          <w:rStyle w:val="DHHSbodyChar"/>
        </w:rPr>
      </w:pPr>
      <w:r w:rsidRPr="006859AA">
        <w:rPr>
          <w:rStyle w:val="Heading3Char"/>
        </w:rPr>
        <w:t>3.2.3 Expert advice and peer support</w:t>
      </w:r>
      <w:r w:rsidRPr="006859AA">
        <w:rPr>
          <w:rStyle w:val="Heading3Char"/>
        </w:rPr>
        <w:br/>
      </w:r>
      <w:r w:rsidRPr="006859AA">
        <w:rPr>
          <w:rStyle w:val="DHHSbodyChar"/>
        </w:rPr>
        <w:t>Improvement expertise sits strongly within the sector. The department facilitates access to peer health services, clinical leaders and networked problem-solving to support health service leadership in addressing challenges and driving improvement.</w:t>
      </w:r>
    </w:p>
    <w:p w:rsidRPr="00B77C20" w:rsidR="00B77C20" w:rsidP="006859AA" w:rsidRDefault="00B77C20" w14:paraId="12358989" w14:textId="77777777">
      <w:pPr>
        <w:pStyle w:val="DHHSbody"/>
      </w:pPr>
      <w:r w:rsidRPr="006859AA">
        <w:rPr>
          <w:rStyle w:val="Heading3Char"/>
        </w:rPr>
        <w:t>3.2.4 Ongoing improvement work</w:t>
      </w:r>
      <w:r w:rsidRPr="006859AA">
        <w:rPr>
          <w:rStyle w:val="Heading3Char"/>
        </w:rPr>
        <w:br/>
      </w:r>
      <w:r w:rsidRPr="00B77C20">
        <w:t>The department maintains regular, open dialogue with health services on risks, performance and system-wide improvement opportunities.</w:t>
      </w:r>
    </w:p>
    <w:p w:rsidRPr="00B77C20" w:rsidR="00B77C20" w:rsidP="006859AA" w:rsidRDefault="00B77C20" w14:paraId="2AEA11C8" w14:textId="307E458F">
      <w:pPr>
        <w:pStyle w:val="DHHSbody"/>
      </w:pPr>
      <w:r w:rsidRPr="00B77C20">
        <w:t xml:space="preserve">This engagement, led by relevant </w:t>
      </w:r>
      <w:r w:rsidR="00A50E12">
        <w:t>sub-domains</w:t>
      </w:r>
      <w:r w:rsidRPr="00B77C20">
        <w:t xml:space="preserve"> (see </w:t>
      </w:r>
      <w:r w:rsidRPr="007974EF">
        <w:rPr>
          <w:b/>
          <w:bCs/>
        </w:rPr>
        <w:t>Section 7.2</w:t>
      </w:r>
      <w:r w:rsidRPr="007974EF" w:rsidR="00561D72">
        <w:rPr>
          <w:b/>
          <w:bCs/>
        </w:rPr>
        <w:t>.2</w:t>
      </w:r>
      <w:r w:rsidRPr="00B77C20">
        <w:t>), helps monitor progress, identify risks and support services to address complex challenges and deliver high-quality, culturally safe care.</w:t>
      </w:r>
    </w:p>
    <w:p w:rsidRPr="00B77C20" w:rsidR="00B77C20" w:rsidP="006859AA" w:rsidRDefault="00B77C20" w14:paraId="70B8E44B" w14:textId="77777777">
      <w:pPr>
        <w:pStyle w:val="DHHSbody"/>
      </w:pPr>
      <w:r w:rsidRPr="00B77C20">
        <w:t>Engagement occurs with visibility to the health service CEO, with direct involvement guided by preference. Issues not resolved through this process may be escalated to formal performance meetings.</w:t>
      </w:r>
    </w:p>
    <w:p w:rsidRPr="00E70B3A" w:rsidR="00F9636C" w:rsidP="004418A5" w:rsidRDefault="00F9636C" w14:paraId="21F41DCA" w14:textId="4F6E0D1E">
      <w:pPr>
        <w:pStyle w:val="Heading2"/>
        <w:rPr>
          <w:rFonts w:cs="Arial"/>
        </w:rPr>
      </w:pPr>
      <w:bookmarkStart w:name="_Toc227761745" w:id="15"/>
      <w:bookmarkStart w:name="_Toc235628535" w:id="16"/>
      <w:r w:rsidRPr="00E70B3A">
        <w:rPr>
          <w:rFonts w:cs="Arial"/>
        </w:rPr>
        <w:t>3.3 Accountability</w:t>
      </w:r>
      <w:bookmarkEnd w:id="15"/>
      <w:bookmarkEnd w:id="16"/>
    </w:p>
    <w:p w:rsidR="00307AD1" w:rsidP="00233788" w:rsidRDefault="00307AD1" w14:paraId="4D2068BE" w14:textId="7BF8ADC0">
      <w:pPr>
        <w:pStyle w:val="DHHSbody"/>
        <w:rPr>
          <w:rFonts w:cs="Arial"/>
        </w:rPr>
      </w:pPr>
      <w:r w:rsidRPr="00307AD1">
        <w:rPr>
          <w:rFonts w:cs="Arial"/>
        </w:rPr>
        <w:t xml:space="preserve">The accountability stage involves continuous monitoring of performance and risks against the Statement of Priorities and, where applicable, relevant service agreements or written </w:t>
      </w:r>
      <w:r w:rsidR="00145806">
        <w:rPr>
          <w:rFonts w:cs="Arial"/>
        </w:rPr>
        <w:t>d</w:t>
      </w:r>
      <w:r w:rsidRPr="00307AD1">
        <w:rPr>
          <w:rFonts w:cs="Arial"/>
        </w:rPr>
        <w:t>irectives. These instruments translate Government, Ministerial and Departmental strategic objectives into service</w:t>
      </w:r>
      <w:r w:rsidRPr="00307AD1">
        <w:rPr>
          <w:rFonts w:ascii="Cambria Math" w:hAnsi="Cambria Math" w:cs="Cambria Math"/>
        </w:rPr>
        <w:t>‑</w:t>
      </w:r>
      <w:r w:rsidRPr="00307AD1">
        <w:rPr>
          <w:rFonts w:cs="Arial"/>
        </w:rPr>
        <w:t xml:space="preserve">specific goals, deliverables and measures aligned to the four performance domains. </w:t>
      </w:r>
    </w:p>
    <w:p w:rsidR="00233788" w:rsidP="00233788" w:rsidRDefault="00233788" w14:paraId="050E7A5B" w14:textId="7A588E0A">
      <w:pPr>
        <w:pStyle w:val="DHHSbody"/>
        <w:rPr>
          <w:rFonts w:cs="Arial"/>
        </w:rPr>
      </w:pPr>
      <w:r w:rsidRPr="00233788">
        <w:rPr>
          <w:rFonts w:cs="Arial"/>
        </w:rPr>
        <w:t xml:space="preserve">Each quarter, </w:t>
      </w:r>
      <w:r w:rsidR="00C42AF4">
        <w:rPr>
          <w:rFonts w:cs="Arial"/>
        </w:rPr>
        <w:t>h</w:t>
      </w:r>
      <w:r w:rsidRPr="00E70B3A" w:rsidR="00C42AF4">
        <w:rPr>
          <w:rFonts w:cs="Arial"/>
        </w:rPr>
        <w:t xml:space="preserve">ealth services are assessed </w:t>
      </w:r>
      <w:r w:rsidR="00C42AF4">
        <w:rPr>
          <w:rFonts w:cs="Arial"/>
        </w:rPr>
        <w:t>and</w:t>
      </w:r>
      <w:r w:rsidRPr="00E70B3A" w:rsidR="00C42AF4">
        <w:rPr>
          <w:rFonts w:cs="Arial"/>
        </w:rPr>
        <w:t xml:space="preserve"> assigned to one of four performance tiers (Enhanced Autonomy, Standard Oversight, Performance Support or Mandated Intensive Support). </w:t>
      </w:r>
      <w:r w:rsidRPr="00E003CF" w:rsidR="00E003CF">
        <w:rPr>
          <w:rFonts w:cs="Arial"/>
        </w:rPr>
        <w:t>Tiering reflects performance against</w:t>
      </w:r>
      <w:r w:rsidR="00450555">
        <w:rPr>
          <w:rFonts w:cs="Arial"/>
        </w:rPr>
        <w:t xml:space="preserve"> agreed</w:t>
      </w:r>
      <w:r w:rsidRPr="00E003CF" w:rsidR="00E003CF">
        <w:rPr>
          <w:rFonts w:cs="Arial"/>
        </w:rPr>
        <w:t xml:space="preserve"> targets and priorities, broader domain performance</w:t>
      </w:r>
      <w:r w:rsidR="00E003CF">
        <w:rPr>
          <w:rFonts w:cs="Arial"/>
        </w:rPr>
        <w:t xml:space="preserve">, </w:t>
      </w:r>
      <w:r w:rsidRPr="00E003CF" w:rsidR="00E003CF">
        <w:rPr>
          <w:rFonts w:cs="Arial"/>
        </w:rPr>
        <w:t>other relevant risk information</w:t>
      </w:r>
      <w:r w:rsidR="00E003CF">
        <w:rPr>
          <w:rFonts w:cs="Arial"/>
        </w:rPr>
        <w:t xml:space="preserve"> </w:t>
      </w:r>
      <w:r w:rsidRPr="00E70B3A" w:rsidR="00C42AF4">
        <w:rPr>
          <w:rFonts w:cs="Arial"/>
        </w:rPr>
        <w:t>and informs the level of oversight, support and intervention required or applied.</w:t>
      </w:r>
    </w:p>
    <w:p w:rsidRPr="00E70B3A" w:rsidR="00F9636C" w:rsidP="002E4CF1" w:rsidRDefault="00F9636C" w14:paraId="00B9AAA2" w14:textId="4FCFCA2C">
      <w:pPr>
        <w:pStyle w:val="Heading3"/>
        <w:rPr>
          <w:rFonts w:cs="Arial"/>
        </w:rPr>
      </w:pPr>
      <w:r w:rsidRPr="00E70B3A">
        <w:rPr>
          <w:rFonts w:cs="Arial"/>
        </w:rPr>
        <w:t>3.3.1 Setting clear performance expectations</w:t>
      </w:r>
    </w:p>
    <w:p w:rsidRPr="0087095B" w:rsidR="0087095B" w:rsidP="0087095B" w:rsidRDefault="0087095B" w14:paraId="67C437A3" w14:textId="77777777">
      <w:pPr>
        <w:pStyle w:val="DHHSbody"/>
      </w:pPr>
      <w:r w:rsidRPr="0087095B">
        <w:t>The Statement of Priorities (SoP) sets the core performance expectations for health services.</w:t>
      </w:r>
    </w:p>
    <w:p w:rsidRPr="0087095B" w:rsidR="0087095B" w:rsidP="0087095B" w:rsidRDefault="0087095B" w14:paraId="6D975622" w14:textId="77777777">
      <w:pPr>
        <w:pStyle w:val="DHHSbody"/>
      </w:pPr>
      <w:r w:rsidRPr="0087095B">
        <w:t>Part A outlines mandatory strategic goals and deliverables, while Part B sets targeted, risk-based indicators and performance targets. Services are required to report progress against Part A and, where applicable, meet or demonstrate credible improvement against Part B targets.</w:t>
      </w:r>
    </w:p>
    <w:p w:rsidRPr="0087095B" w:rsidR="0087095B" w:rsidP="0087095B" w:rsidRDefault="0087095B" w14:paraId="61D04219" w14:textId="7C9CA2A9">
      <w:pPr>
        <w:pStyle w:val="DHHSbody"/>
      </w:pPr>
      <w:r w:rsidRPr="0087095B">
        <w:t>Performance</w:t>
      </w:r>
      <w:r w:rsidR="00137412">
        <w:t xml:space="preserve"> </w:t>
      </w:r>
      <w:r w:rsidRPr="0087095B" w:rsidR="00137412">
        <w:t>against Part B targets</w:t>
      </w:r>
      <w:r w:rsidRPr="0087095B">
        <w:t xml:space="preserve"> is assessed using approved Business Rules, which consider factors such as seasonal variation, peer comparison and related measures. Ongoing monitoring supports early identification of risks, informs performance tiering, and enables timely escalation where expectations are not being met.</w:t>
      </w:r>
    </w:p>
    <w:p w:rsidRPr="0087095B" w:rsidR="0087095B" w:rsidP="0087095B" w:rsidRDefault="0087095B" w14:paraId="0D849AB8" w14:textId="0BF508BA">
      <w:pPr>
        <w:pStyle w:val="DHHSbody"/>
      </w:pPr>
      <w:r w:rsidRPr="0087095B">
        <w:t>Improvement targets may include multi-year pathways with interim milestones where system or capability change is required.</w:t>
      </w:r>
    </w:p>
    <w:p w:rsidR="0087095B" w:rsidP="0087095B" w:rsidRDefault="0087095B" w14:paraId="7BC2AA80" w14:textId="2B20008A">
      <w:pPr>
        <w:pStyle w:val="DHHSbody"/>
      </w:pPr>
      <w:r w:rsidRPr="0087095B">
        <w:t xml:space="preserve">Regardless of improvement trajectories, all services are expected to meet baseline expectations in priority areas, including safety and cultural safety, financial sustainability, and timely access to care. Failure to meet these minimum standards may result in escalation </w:t>
      </w:r>
      <w:r w:rsidR="00DF542D">
        <w:t xml:space="preserve">of health service performance tier. </w:t>
      </w:r>
    </w:p>
    <w:p w:rsidR="00F9636C" w:rsidP="0087095B" w:rsidRDefault="00F9636C" w14:paraId="2C34DCDA" w14:textId="37C0D7F6">
      <w:pPr>
        <w:pStyle w:val="Heading3"/>
      </w:pPr>
      <w:r w:rsidRPr="00E70B3A">
        <w:t xml:space="preserve">3.3.2 </w:t>
      </w:r>
      <w:r w:rsidR="00CE2CD5">
        <w:t>Continuous m</w:t>
      </w:r>
      <w:r w:rsidR="00D838A9">
        <w:t xml:space="preserve">onitoring </w:t>
      </w:r>
      <w:r w:rsidR="001F2C82">
        <w:t xml:space="preserve">of </w:t>
      </w:r>
      <w:r w:rsidR="00D327DA">
        <w:t xml:space="preserve">performance and risk </w:t>
      </w:r>
    </w:p>
    <w:p w:rsidR="00DB2CA6" w:rsidP="00052144" w:rsidRDefault="00DB2CA6" w14:paraId="20723A8A" w14:textId="3ED5B7C1">
      <w:pPr>
        <w:pStyle w:val="DHHSbody"/>
      </w:pPr>
      <w:r w:rsidRPr="00DB2CA6">
        <w:t xml:space="preserve">Continuous monitoring involves quarterly review of performance against agreed targets, using data and broader intelligence to identify emerging risks early. This is supported by coordinated input from relevant sub-domains (see </w:t>
      </w:r>
      <w:r w:rsidRPr="00844BB9">
        <w:rPr>
          <w:b/>
          <w:bCs/>
        </w:rPr>
        <w:t>Section 7.2.2</w:t>
      </w:r>
      <w:r w:rsidRPr="00DB2CA6">
        <w:t xml:space="preserve">) and ongoing engagement with health services. Sub-domains are responsible for monitoring </w:t>
      </w:r>
      <w:r w:rsidR="00844BB9">
        <w:t xml:space="preserve">SoP </w:t>
      </w:r>
      <w:r w:rsidRPr="00DB2CA6">
        <w:t>measures and performance targets they own</w:t>
      </w:r>
      <w:r w:rsidR="00844BB9">
        <w:t xml:space="preserve"> (see </w:t>
      </w:r>
      <w:r w:rsidRPr="00844BB9" w:rsidR="00844BB9">
        <w:rPr>
          <w:b/>
          <w:bCs/>
        </w:rPr>
        <w:t>Appendix 3</w:t>
      </w:r>
      <w:r w:rsidR="00844BB9">
        <w:t>)</w:t>
      </w:r>
      <w:r w:rsidRPr="00DB2CA6">
        <w:t>, working directly with health services to address performance issues, support continuous improvement, and respond to emerging risks.</w:t>
      </w:r>
    </w:p>
    <w:p w:rsidRPr="00052144" w:rsidR="00052144" w:rsidP="00052144" w:rsidRDefault="00052144" w14:paraId="1709A432" w14:textId="77777777">
      <w:pPr>
        <w:pStyle w:val="DHHSbody"/>
      </w:pPr>
      <w:r w:rsidRPr="00052144">
        <w:t>Monitoring draws on both quantitative data—such as performance trends, financial metrics and eHealth analytics—and qualitative intelligence, including third-party reports, cross-agency insights and Board correspondence.</w:t>
      </w:r>
    </w:p>
    <w:p w:rsidRPr="00052144" w:rsidR="00052144" w:rsidP="00052144" w:rsidRDefault="00052144" w14:paraId="67ECC351" w14:textId="77777777">
      <w:pPr>
        <w:pStyle w:val="DHHSbody"/>
      </w:pPr>
      <w:r w:rsidRPr="00052144">
        <w:t>This integrated approach supports early identification of risks, informs performance tiering decisions, and enables timely intervention where there is a risk that SoP obligations and performance expectations may not be met.</w:t>
      </w:r>
    </w:p>
    <w:p w:rsidRPr="005B6701" w:rsidR="00052144" w:rsidP="00052144" w:rsidRDefault="00052144" w14:paraId="34633C51" w14:textId="59D3C48F">
      <w:pPr>
        <w:pStyle w:val="DHHSbody"/>
        <w:rPr>
          <w:b/>
          <w:bCs/>
        </w:rPr>
      </w:pPr>
      <w:r w:rsidRPr="00052144">
        <w:t xml:space="preserve">Where performance deteriorates, </w:t>
      </w:r>
      <w:r w:rsidRPr="00724299" w:rsidR="00724299">
        <w:t xml:space="preserve">relevant </w:t>
      </w:r>
      <w:r w:rsidR="00A50E12">
        <w:t>sub-domains</w:t>
      </w:r>
      <w:r w:rsidRPr="00724299" w:rsidR="00724299">
        <w:t xml:space="preserve"> </w:t>
      </w:r>
      <w:r w:rsidRPr="00052144">
        <w:t xml:space="preserve">work with the health service to address issues. </w:t>
      </w:r>
      <w:r w:rsidR="00724299">
        <w:t>Where</w:t>
      </w:r>
      <w:r w:rsidRPr="00052144">
        <w:t xml:space="preserve"> </w:t>
      </w:r>
      <w:r w:rsidR="00905CC6">
        <w:t>performance concerns are identified</w:t>
      </w:r>
      <w:r w:rsidRPr="005A6418" w:rsidR="005A6418">
        <w:t xml:space="preserve"> </w:t>
      </w:r>
      <w:r w:rsidR="00DD3527">
        <w:t xml:space="preserve">and </w:t>
      </w:r>
      <w:r w:rsidRPr="005A6418" w:rsidR="005A6418">
        <w:t xml:space="preserve">not resolved through </w:t>
      </w:r>
      <w:r w:rsidR="00F73AF9">
        <w:t>health service engagements</w:t>
      </w:r>
      <w:r w:rsidRPr="005A6418" w:rsidR="005A6418">
        <w:t xml:space="preserve">, they may be escalated to more formal oversight mechanisms see </w:t>
      </w:r>
      <w:r w:rsidRPr="005B6701" w:rsidR="005A6418">
        <w:rPr>
          <w:b/>
          <w:bCs/>
        </w:rPr>
        <w:t>Section 5.</w:t>
      </w:r>
    </w:p>
    <w:p w:rsidRPr="00E70B3A" w:rsidR="00F34011" w:rsidP="00052144" w:rsidRDefault="00F34011" w14:paraId="4676C8D3" w14:textId="7776356E">
      <w:pPr>
        <w:pStyle w:val="Heading3"/>
      </w:pPr>
      <w:r w:rsidRPr="00E70B3A">
        <w:t xml:space="preserve">3.3.3 </w:t>
      </w:r>
      <w:r w:rsidR="009C1040">
        <w:t>Formal</w:t>
      </w:r>
      <w:r w:rsidRPr="00E70B3A">
        <w:t xml:space="preserve"> </w:t>
      </w:r>
      <w:r w:rsidRPr="00E70B3A" w:rsidR="008838FE">
        <w:t xml:space="preserve">quarterly </w:t>
      </w:r>
      <w:r w:rsidRPr="00E70B3A">
        <w:t xml:space="preserve">performance </w:t>
      </w:r>
      <w:r w:rsidRPr="00E70B3A" w:rsidR="006C06FF">
        <w:t>meeting</w:t>
      </w:r>
      <w:r w:rsidR="006C06FF">
        <w:t>s (</w:t>
      </w:r>
      <w:r w:rsidR="009C1040">
        <w:t>QPM</w:t>
      </w:r>
      <w:r w:rsidR="006F1B3A">
        <w:t>s</w:t>
      </w:r>
      <w:r w:rsidR="009C1040">
        <w:t xml:space="preserve">) and </w:t>
      </w:r>
      <w:r w:rsidR="006619E4">
        <w:t>in-cycle meeting</w:t>
      </w:r>
      <w:r w:rsidR="000E27BC">
        <w:t>s</w:t>
      </w:r>
    </w:p>
    <w:p w:rsidR="005B2EE6" w:rsidP="00DD3527" w:rsidRDefault="00824E37" w14:paraId="47EB3DB3" w14:textId="53D5D699">
      <w:pPr>
        <w:spacing w:after="0" w:line="240" w:lineRule="auto"/>
        <w:rPr>
          <w:rFonts w:cs="Arial"/>
        </w:rPr>
      </w:pPr>
      <w:r w:rsidRPr="00824E37">
        <w:rPr>
          <w:rFonts w:cs="Arial"/>
        </w:rPr>
        <w:t xml:space="preserve">Formal QPMs and </w:t>
      </w:r>
      <w:r w:rsidR="006619E4">
        <w:rPr>
          <w:rFonts w:cs="Arial"/>
        </w:rPr>
        <w:t>in-cycle meeting</w:t>
      </w:r>
      <w:r w:rsidR="000E27BC">
        <w:rPr>
          <w:rFonts w:cs="Arial"/>
        </w:rPr>
        <w:t>s</w:t>
      </w:r>
      <w:r w:rsidRPr="00824E37">
        <w:rPr>
          <w:rFonts w:cs="Arial"/>
        </w:rPr>
        <w:t xml:space="preserve"> are primarily applied to services in escalated performance tiers</w:t>
      </w:r>
      <w:r w:rsidR="00FA7413">
        <w:rPr>
          <w:rFonts w:cs="Arial"/>
        </w:rPr>
        <w:t xml:space="preserve"> </w:t>
      </w:r>
      <w:r w:rsidR="00DD3527">
        <w:rPr>
          <w:rFonts w:cs="Arial"/>
        </w:rPr>
        <w:t xml:space="preserve">- </w:t>
      </w:r>
      <w:r w:rsidR="00FA7413">
        <w:rPr>
          <w:rFonts w:cs="Arial"/>
        </w:rPr>
        <w:t>Performance Support and Mandated Intensive Support</w:t>
      </w:r>
      <w:r w:rsidR="00DD3527">
        <w:rPr>
          <w:rFonts w:cs="Arial"/>
        </w:rPr>
        <w:t xml:space="preserve">. </w:t>
      </w:r>
      <w:r w:rsidRPr="005B2EE6" w:rsidR="00DD3527">
        <w:rPr>
          <w:rFonts w:cs="Arial"/>
        </w:rPr>
        <w:t xml:space="preserve">Formal QPMs for Standard Oversight services </w:t>
      </w:r>
      <w:r w:rsidR="00DD3527">
        <w:rPr>
          <w:rFonts w:cs="Arial"/>
        </w:rPr>
        <w:t>may be</w:t>
      </w:r>
      <w:r w:rsidRPr="005B2EE6" w:rsidR="00DD3527">
        <w:rPr>
          <w:rFonts w:cs="Arial"/>
        </w:rPr>
        <w:t xml:space="preserve"> initiated where emerging performance issues are identified and </w:t>
      </w:r>
      <w:r w:rsidR="00DD3527">
        <w:rPr>
          <w:rFonts w:cs="Arial"/>
        </w:rPr>
        <w:t>that are not</w:t>
      </w:r>
      <w:r w:rsidRPr="005B2EE6" w:rsidR="00DD3527">
        <w:rPr>
          <w:rFonts w:cs="Arial"/>
        </w:rPr>
        <w:t xml:space="preserve"> resolved through </w:t>
      </w:r>
      <w:r w:rsidR="00A20269">
        <w:rPr>
          <w:rFonts w:cs="Arial"/>
        </w:rPr>
        <w:t>ongoing</w:t>
      </w:r>
      <w:r w:rsidR="007A4126">
        <w:rPr>
          <w:rFonts w:cs="Arial"/>
        </w:rPr>
        <w:t xml:space="preserve"> health service </w:t>
      </w:r>
      <w:r w:rsidRPr="005B2EE6" w:rsidR="00DD3527">
        <w:rPr>
          <w:rFonts w:cs="Arial"/>
        </w:rPr>
        <w:t>engagement</w:t>
      </w:r>
      <w:r w:rsidR="008108ED">
        <w:rPr>
          <w:rFonts w:cs="Arial"/>
        </w:rPr>
        <w:t xml:space="preserve"> (see </w:t>
      </w:r>
      <w:r w:rsidR="008108ED">
        <w:rPr>
          <w:rFonts w:cs="Arial"/>
          <w:b/>
          <w:bCs/>
        </w:rPr>
        <w:t>S</w:t>
      </w:r>
      <w:r w:rsidRPr="008108ED" w:rsidR="008108ED">
        <w:rPr>
          <w:rFonts w:cs="Arial"/>
          <w:b/>
          <w:bCs/>
        </w:rPr>
        <w:t>ection 3.2.1</w:t>
      </w:r>
      <w:r w:rsidR="008108ED">
        <w:rPr>
          <w:rFonts w:cs="Arial"/>
        </w:rPr>
        <w:t xml:space="preserve">) </w:t>
      </w:r>
    </w:p>
    <w:p w:rsidR="007A4126" w:rsidP="00DD3527" w:rsidRDefault="007A4126" w14:paraId="64EA98CC" w14:textId="77777777">
      <w:pPr>
        <w:spacing w:after="0" w:line="240" w:lineRule="auto"/>
        <w:rPr>
          <w:rFonts w:cs="Arial"/>
        </w:rPr>
      </w:pPr>
    </w:p>
    <w:p w:rsidRPr="00E70B3A" w:rsidR="00E45894" w:rsidRDefault="00F34011" w14:paraId="7A56B7ED" w14:textId="042CC263">
      <w:pPr>
        <w:pStyle w:val="DHHSbody"/>
        <w:numPr>
          <w:ilvl w:val="0"/>
          <w:numId w:val="30"/>
        </w:numPr>
        <w:rPr>
          <w:rFonts w:cs="Arial"/>
          <w:b/>
          <w:bCs/>
        </w:rPr>
      </w:pPr>
      <w:r w:rsidRPr="00E70B3A">
        <w:rPr>
          <w:rFonts w:cs="Arial"/>
          <w:b/>
          <w:bCs/>
        </w:rPr>
        <w:t>Formal Q</w:t>
      </w:r>
      <w:r w:rsidR="00633A6E">
        <w:rPr>
          <w:rFonts w:cs="Arial"/>
          <w:b/>
          <w:bCs/>
        </w:rPr>
        <w:t>PMs</w:t>
      </w:r>
      <w:r w:rsidRPr="00E70B3A">
        <w:rPr>
          <w:rFonts w:cs="Arial"/>
        </w:rPr>
        <w:t xml:space="preserve"> are structured meetings with the primary purpose of addressing performance issues and agreeing actions to mitigate emerging or ongoing risks. Meetings focus on clarifying accountability </w:t>
      </w:r>
      <w:r w:rsidRPr="00E70B3A" w:rsidR="00B13059">
        <w:rPr>
          <w:rFonts w:cs="Arial"/>
        </w:rPr>
        <w:t>outlined in the Exit Criteria</w:t>
      </w:r>
      <w:r w:rsidRPr="00E70B3A" w:rsidR="004D0829">
        <w:rPr>
          <w:rFonts w:cs="Arial"/>
        </w:rPr>
        <w:t xml:space="preserve"> and progress against the health service </w:t>
      </w:r>
      <w:r w:rsidR="00633A6E">
        <w:rPr>
          <w:rFonts w:cs="Arial"/>
        </w:rPr>
        <w:t>PiP</w:t>
      </w:r>
      <w:r w:rsidRPr="00E70B3A">
        <w:rPr>
          <w:rFonts w:cs="Arial"/>
        </w:rPr>
        <w:t xml:space="preserve">. The performance meeting approach is outlined in </w:t>
      </w:r>
      <w:r w:rsidRPr="00E70B3A">
        <w:rPr>
          <w:rFonts w:cs="Arial"/>
          <w:b/>
          <w:bCs/>
        </w:rPr>
        <w:t>Section 5</w:t>
      </w:r>
      <w:r w:rsidRPr="00E70B3A" w:rsidR="00DC3048">
        <w:rPr>
          <w:rFonts w:cs="Arial"/>
          <w:b/>
          <w:bCs/>
        </w:rPr>
        <w:t>.</w:t>
      </w:r>
      <w:r w:rsidR="000A462E">
        <w:rPr>
          <w:rFonts w:cs="Arial"/>
          <w:b/>
          <w:bCs/>
        </w:rPr>
        <w:t>1</w:t>
      </w:r>
    </w:p>
    <w:p w:rsidRPr="007A4126" w:rsidR="00E96EAE" w:rsidP="007A4126" w:rsidRDefault="006619E4" w14:paraId="49ADD0E8" w14:textId="5972B8AE">
      <w:pPr>
        <w:pStyle w:val="DHHSbody"/>
        <w:numPr>
          <w:ilvl w:val="0"/>
          <w:numId w:val="20"/>
        </w:numPr>
        <w:rPr>
          <w:rFonts w:cs="Arial"/>
        </w:rPr>
      </w:pPr>
      <w:r>
        <w:rPr>
          <w:rFonts w:cs="Arial"/>
          <w:b/>
          <w:bCs/>
        </w:rPr>
        <w:t>In-cycle meeting</w:t>
      </w:r>
      <w:r w:rsidRPr="00E70B3A" w:rsidR="00E45894">
        <w:rPr>
          <w:rFonts w:cs="Arial"/>
          <w:b/>
          <w:bCs/>
        </w:rPr>
        <w:t xml:space="preserve">s </w:t>
      </w:r>
      <w:r w:rsidRPr="00E70B3A" w:rsidR="00882AB4">
        <w:rPr>
          <w:rFonts w:cs="Arial"/>
        </w:rPr>
        <w:t xml:space="preserve">are meetings that take place between formal </w:t>
      </w:r>
      <w:r w:rsidR="006F1B3A">
        <w:rPr>
          <w:rFonts w:cs="Arial"/>
        </w:rPr>
        <w:t>QPMs</w:t>
      </w:r>
      <w:r w:rsidRPr="00E70B3A" w:rsidR="00882AB4">
        <w:rPr>
          <w:rFonts w:cs="Arial"/>
        </w:rPr>
        <w:t xml:space="preserve"> with services on escalated performance tiers</w:t>
      </w:r>
      <w:r w:rsidRPr="00E70B3A" w:rsidR="000032BD">
        <w:rPr>
          <w:rFonts w:cs="Arial"/>
        </w:rPr>
        <w:t>.</w:t>
      </w:r>
      <w:r w:rsidRPr="00E70B3A" w:rsidR="00882AB4">
        <w:rPr>
          <w:rFonts w:cs="Arial"/>
        </w:rPr>
        <w:t xml:space="preserve"> </w:t>
      </w:r>
      <w:r w:rsidRPr="00E70B3A" w:rsidR="00A3284A">
        <w:rPr>
          <w:rFonts w:cs="Arial"/>
        </w:rPr>
        <w:t xml:space="preserve">Further details on </w:t>
      </w:r>
      <w:r w:rsidRPr="00E70B3A" w:rsidR="00882AB4">
        <w:rPr>
          <w:rFonts w:cs="Arial"/>
        </w:rPr>
        <w:t xml:space="preserve">how the </w:t>
      </w:r>
      <w:r>
        <w:rPr>
          <w:rFonts w:cs="Arial"/>
        </w:rPr>
        <w:t>in-cycle meeting</w:t>
      </w:r>
      <w:r w:rsidRPr="00E70B3A" w:rsidR="002F0071">
        <w:rPr>
          <w:rFonts w:cs="Arial"/>
        </w:rPr>
        <w:t xml:space="preserve">s connect with a formal </w:t>
      </w:r>
      <w:r w:rsidR="00A01366">
        <w:rPr>
          <w:rFonts w:cs="Arial"/>
        </w:rPr>
        <w:t>QPM</w:t>
      </w:r>
      <w:r w:rsidRPr="00E70B3A" w:rsidR="002F0071">
        <w:rPr>
          <w:rFonts w:cs="Arial"/>
        </w:rPr>
        <w:t xml:space="preserve"> cycle to broader performance oversight</w:t>
      </w:r>
      <w:r w:rsidRPr="00E70B3A" w:rsidR="00121367">
        <w:rPr>
          <w:rFonts w:cs="Arial"/>
        </w:rPr>
        <w:t xml:space="preserve"> is outlined in </w:t>
      </w:r>
      <w:r w:rsidRPr="00E70B3A" w:rsidR="00121367">
        <w:rPr>
          <w:rFonts w:cs="Arial"/>
          <w:b/>
          <w:bCs/>
        </w:rPr>
        <w:t>Section 5.</w:t>
      </w:r>
      <w:r w:rsidR="000A462E">
        <w:rPr>
          <w:rFonts w:cs="Arial"/>
          <w:b/>
          <w:bCs/>
        </w:rPr>
        <w:t>2</w:t>
      </w:r>
    </w:p>
    <w:p w:rsidRPr="00E70B3A" w:rsidR="007B0ECF" w:rsidP="00E96EAE" w:rsidRDefault="007B0ECF" w14:paraId="7C2C3ED1" w14:textId="77777777">
      <w:pPr>
        <w:pStyle w:val="Heading1"/>
        <w:sectPr w:rsidRPr="00E70B3A" w:rsidR="007B0ECF" w:rsidSect="00C00ABD">
          <w:pgSz w:w="11906" w:h="16838" w:orient="portrait" w:code="9"/>
          <w:pgMar w:top="1418" w:right="1418" w:bottom="1418" w:left="1418" w:header="680" w:footer="851" w:gutter="0"/>
          <w:cols w:space="340"/>
          <w:titlePg/>
          <w:docGrid w:linePitch="360"/>
        </w:sectPr>
      </w:pPr>
    </w:p>
    <w:p w:rsidRPr="00E70B3A" w:rsidR="00F34011" w:rsidP="00E96EAE" w:rsidRDefault="00F34011" w14:paraId="21BDF4D0" w14:textId="6F73D48B">
      <w:pPr>
        <w:pStyle w:val="Heading1"/>
      </w:pPr>
      <w:bookmarkStart w:name="_Toc235628536" w:id="17"/>
      <w:r w:rsidRPr="00E70B3A">
        <w:t xml:space="preserve">4. </w:t>
      </w:r>
      <w:r w:rsidRPr="00E70B3A" w:rsidR="00967FD9">
        <w:t>Performance tier criteria,</w:t>
      </w:r>
      <w:r w:rsidRPr="00E70B3A" w:rsidR="003F55EC">
        <w:t xml:space="preserve"> </w:t>
      </w:r>
      <w:r w:rsidRPr="00E70B3A">
        <w:t>assessment</w:t>
      </w:r>
      <w:r w:rsidRPr="00E70B3A" w:rsidR="003F55EC">
        <w:t xml:space="preserve"> and exit criteria</w:t>
      </w:r>
      <w:bookmarkEnd w:id="17"/>
      <w:r w:rsidRPr="00E70B3A" w:rsidR="003F55EC">
        <w:t xml:space="preserve"> </w:t>
      </w:r>
    </w:p>
    <w:p w:rsidRPr="00C74B11" w:rsidR="00BD0953" w:rsidP="00BD0953" w:rsidRDefault="00BD0953" w14:paraId="0800CA7B" w14:textId="5550D2AC">
      <w:pPr>
        <w:rPr>
          <w:color w:val="000000" w:themeColor="text1"/>
        </w:rPr>
      </w:pPr>
      <w:r w:rsidRPr="00C74B11">
        <w:rPr>
          <w:color w:val="000000" w:themeColor="text1"/>
        </w:rPr>
        <w:t>The framework sets out a clear approach to performance assessment, performance tier assignment, escalation, de-escalation and related accountability arrangements.</w:t>
      </w:r>
    </w:p>
    <w:p w:rsidRPr="00C74B11" w:rsidR="004A7152" w:rsidP="00BD0953" w:rsidRDefault="00BD0953" w14:paraId="1840594A" w14:textId="7DBD657D">
      <w:pPr>
        <w:rPr>
          <w:color w:val="000000" w:themeColor="text1"/>
        </w:rPr>
      </w:pPr>
      <w:r w:rsidRPr="00C74B11">
        <w:rPr>
          <w:color w:val="000000" w:themeColor="text1"/>
        </w:rPr>
        <w:t xml:space="preserve">Health services are assigned a performance tier at the end of each quarter. The decision reflects performance against deliverables and </w:t>
      </w:r>
      <w:r w:rsidR="00A00E8C">
        <w:rPr>
          <w:color w:val="000000" w:themeColor="text1"/>
        </w:rPr>
        <w:t xml:space="preserve">agreed </w:t>
      </w:r>
      <w:r w:rsidRPr="00C74B11">
        <w:rPr>
          <w:color w:val="000000" w:themeColor="text1"/>
        </w:rPr>
        <w:t>targets, broader domain performance and other relevant risk information.</w:t>
      </w:r>
      <w:r w:rsidR="00517482">
        <w:rPr>
          <w:color w:val="000000" w:themeColor="text1"/>
        </w:rPr>
        <w:t xml:space="preserve"> </w:t>
      </w:r>
    </w:p>
    <w:p w:rsidRPr="00E70B3A" w:rsidR="00F34011" w:rsidP="00F34011" w:rsidRDefault="00F34011" w14:paraId="732E0E83" w14:textId="5570888E">
      <w:pPr>
        <w:pStyle w:val="Heading2"/>
        <w:rPr>
          <w:rFonts w:cs="Arial"/>
          <w:szCs w:val="20"/>
        </w:rPr>
      </w:pPr>
      <w:bookmarkStart w:name="_Toc235628537" w:id="18"/>
      <w:bookmarkEnd w:id="1"/>
      <w:r w:rsidRPr="00E70B3A">
        <w:rPr>
          <w:rFonts w:cs="Arial"/>
          <w:szCs w:val="20"/>
        </w:rPr>
        <w:t>4.1 Performance Tier Criteria</w:t>
      </w:r>
      <w:bookmarkEnd w:id="18"/>
      <w:r w:rsidRPr="00E70B3A">
        <w:rPr>
          <w:rFonts w:cs="Arial"/>
          <w:szCs w:val="20"/>
        </w:rPr>
        <w:t xml:space="preserve"> </w:t>
      </w:r>
    </w:p>
    <w:p w:rsidRPr="00E70B3A" w:rsidR="00F34011" w:rsidP="00F34011" w:rsidRDefault="00F34011" w14:paraId="2CC736D0" w14:textId="10401C6A">
      <w:pPr>
        <w:pStyle w:val="DHHSbody"/>
        <w:rPr>
          <w:rFonts w:cs="Arial"/>
        </w:rPr>
      </w:pPr>
      <w:r w:rsidRPr="00E70B3A">
        <w:rPr>
          <w:rFonts w:cs="Arial"/>
        </w:rPr>
        <w:t xml:space="preserve">Performance </w:t>
      </w:r>
      <w:r w:rsidR="00373654">
        <w:rPr>
          <w:rFonts w:cs="Arial"/>
        </w:rPr>
        <w:t>tiers</w:t>
      </w:r>
      <w:r w:rsidR="00BB026E">
        <w:rPr>
          <w:rFonts w:cs="Arial"/>
        </w:rPr>
        <w:t xml:space="preserve"> </w:t>
      </w:r>
      <w:r w:rsidRPr="00E70B3A">
        <w:rPr>
          <w:rFonts w:cs="Arial"/>
        </w:rPr>
        <w:t>determine the level</w:t>
      </w:r>
      <w:r w:rsidRPr="00E628A0" w:rsidR="00E628A0">
        <w:rPr>
          <w:rFonts w:cs="Arial"/>
        </w:rPr>
        <w:t xml:space="preserve"> of oversight, support and intervention </w:t>
      </w:r>
      <w:r w:rsidRPr="00E70B3A">
        <w:rPr>
          <w:rFonts w:cs="Arial"/>
        </w:rPr>
        <w:t xml:space="preserve">provided to a health service. In line with the criteria for performance tiers, the department may change a health service’s </w:t>
      </w:r>
      <w:r w:rsidRPr="00E70B3A" w:rsidR="00D8061A">
        <w:rPr>
          <w:rFonts w:cs="Arial"/>
        </w:rPr>
        <w:t>performance</w:t>
      </w:r>
      <w:r w:rsidRPr="00E70B3A">
        <w:rPr>
          <w:rFonts w:cs="Arial"/>
        </w:rPr>
        <w:t xml:space="preserve"> tier, and the proportionate response</w:t>
      </w:r>
      <w:r w:rsidR="00373654">
        <w:rPr>
          <w:rFonts w:cs="Arial"/>
        </w:rPr>
        <w:t>/support</w:t>
      </w:r>
      <w:r w:rsidRPr="00E70B3A">
        <w:rPr>
          <w:rFonts w:cs="Arial"/>
        </w:rPr>
        <w:t xml:space="preserve"> </w:t>
      </w:r>
      <w:r w:rsidR="00373654">
        <w:rPr>
          <w:rFonts w:cs="Arial"/>
        </w:rPr>
        <w:t xml:space="preserve">provided. </w:t>
      </w:r>
      <w:r w:rsidRPr="00E70B3A">
        <w:rPr>
          <w:rFonts w:cs="Arial"/>
        </w:rPr>
        <w:t xml:space="preserve"> </w:t>
      </w:r>
    </w:p>
    <w:p w:rsidRPr="00E70B3A" w:rsidR="00F34011" w:rsidP="00F34011" w:rsidRDefault="00F34011" w14:paraId="718E85F4" w14:textId="187A7AF9">
      <w:pPr>
        <w:pStyle w:val="DHHSbody"/>
        <w:rPr>
          <w:rFonts w:cs="Arial"/>
        </w:rPr>
      </w:pPr>
      <w:r w:rsidRPr="00E70B3A">
        <w:rPr>
          <w:rFonts w:cs="Arial"/>
        </w:rPr>
        <w:t xml:space="preserve">Criteria for each of the performance tiers is defined in </w:t>
      </w:r>
      <w:r w:rsidRPr="00E70B3A">
        <w:rPr>
          <w:rFonts w:cs="Arial"/>
          <w:b/>
          <w:bCs/>
          <w:i/>
          <w:iCs/>
        </w:rPr>
        <w:t xml:space="preserve">Appendix </w:t>
      </w:r>
      <w:r w:rsidRPr="00E70B3A" w:rsidR="00F4553E">
        <w:rPr>
          <w:rFonts w:cs="Arial"/>
          <w:b/>
          <w:bCs/>
          <w:i/>
          <w:iCs/>
        </w:rPr>
        <w:t>5</w:t>
      </w:r>
      <w:r w:rsidRPr="00E70B3A">
        <w:rPr>
          <w:rFonts w:cs="Arial"/>
          <w:b/>
          <w:bCs/>
          <w:i/>
          <w:iCs/>
        </w:rPr>
        <w:t>: Performance Tier Criteria</w:t>
      </w:r>
      <w:r w:rsidRPr="00E70B3A">
        <w:rPr>
          <w:rFonts w:cs="Arial"/>
          <w:b/>
          <w:bCs/>
        </w:rPr>
        <w:t xml:space="preserve"> </w:t>
      </w:r>
      <w:r w:rsidRPr="00E70B3A">
        <w:rPr>
          <w:rFonts w:cs="Arial"/>
        </w:rPr>
        <w:t>and is centred around three key considerations:</w:t>
      </w:r>
    </w:p>
    <w:p w:rsidRPr="004320C5" w:rsidR="00AA55E4" w:rsidP="00AA55E4" w:rsidRDefault="00F34011" w14:paraId="641B8D78" w14:textId="1AD92296">
      <w:pPr>
        <w:pStyle w:val="ListParagraph"/>
        <w:numPr>
          <w:ilvl w:val="0"/>
          <w:numId w:val="14"/>
        </w:numPr>
        <w:rPr>
          <w:rFonts w:eastAsia="Times" w:cs="Arial"/>
          <w:b/>
          <w:bCs/>
          <w:color w:val="000000" w:themeColor="text1"/>
        </w:rPr>
      </w:pPr>
      <w:r w:rsidRPr="00AA55E4">
        <w:rPr>
          <w:rFonts w:cs="Arial"/>
          <w:b/>
          <w:bCs/>
        </w:rPr>
        <w:t>Performance against SoP priorities and targets, and other measures</w:t>
      </w:r>
      <w:r w:rsidRPr="00AA55E4">
        <w:rPr>
          <w:rFonts w:cs="Arial"/>
        </w:rPr>
        <w:t xml:space="preserve"> - meeting core government expectations </w:t>
      </w:r>
      <w:r w:rsidRPr="00AA55E4" w:rsidR="00DD3A9D">
        <w:rPr>
          <w:rFonts w:cs="Arial"/>
        </w:rPr>
        <w:t>of balanced</w:t>
      </w:r>
      <w:r w:rsidRPr="00AA55E4">
        <w:rPr>
          <w:rFonts w:cs="Arial"/>
        </w:rPr>
        <w:t xml:space="preserve"> operating results; safe services, including culturally safe care; timely emergency care</w:t>
      </w:r>
      <w:r w:rsidRPr="00AA55E4" w:rsidR="00FA403C">
        <w:rPr>
          <w:rFonts w:cs="Arial"/>
        </w:rPr>
        <w:t xml:space="preserve">; and </w:t>
      </w:r>
      <w:r w:rsidRPr="00AA55E4">
        <w:rPr>
          <w:rFonts w:cs="Arial"/>
        </w:rPr>
        <w:t>planned</w:t>
      </w:r>
      <w:r w:rsidRPr="00AA55E4" w:rsidR="00547814">
        <w:rPr>
          <w:rFonts w:cs="Arial"/>
        </w:rPr>
        <w:t xml:space="preserve"> surgery</w:t>
      </w:r>
      <w:r w:rsidRPr="00AA55E4">
        <w:rPr>
          <w:rFonts w:cs="Arial"/>
        </w:rPr>
        <w:t xml:space="preserve"> and specialist clinic reform programs; achieving locally specific improvement targets; and identifying emerging concerns through quantitative and qualitative </w:t>
      </w:r>
      <w:r w:rsidRPr="00AA55E4" w:rsidR="00AA55E4">
        <w:rPr>
          <w:rFonts w:eastAsia="Times" w:cs="Arial"/>
          <w:color w:val="000000" w:themeColor="text1"/>
        </w:rPr>
        <w:t xml:space="preserve">data from a range of sources and other intel. See </w:t>
      </w:r>
      <w:r w:rsidRPr="004320C5" w:rsidR="00AA55E4">
        <w:rPr>
          <w:rFonts w:eastAsia="Times" w:cs="Arial"/>
          <w:b/>
          <w:bCs/>
          <w:color w:val="000000" w:themeColor="text1"/>
        </w:rPr>
        <w:t>Appendix 7: Box 2 and Box 3.</w:t>
      </w:r>
    </w:p>
    <w:p w:rsidRPr="00E70B3A" w:rsidR="00F34011" w:rsidP="00891C03" w:rsidRDefault="00C41935" w14:paraId="703654C9" w14:textId="0508E94D">
      <w:pPr>
        <w:pStyle w:val="DHHSbody"/>
        <w:numPr>
          <w:ilvl w:val="0"/>
          <w:numId w:val="14"/>
        </w:numPr>
        <w:rPr>
          <w:rFonts w:cs="Arial"/>
        </w:rPr>
      </w:pPr>
      <w:r>
        <w:rPr>
          <w:rFonts w:cs="Arial"/>
          <w:b/>
          <w:bCs/>
        </w:rPr>
        <w:t>Evidence of c</w:t>
      </w:r>
      <w:r w:rsidRPr="00E70B3A" w:rsidR="00F34011">
        <w:rPr>
          <w:rFonts w:cs="Arial"/>
          <w:b/>
          <w:bCs/>
        </w:rPr>
        <w:t>ontinuous and sustained improvement</w:t>
      </w:r>
      <w:r w:rsidRPr="00E70B3A" w:rsidR="00F34011">
        <w:rPr>
          <w:rFonts w:cs="Arial"/>
        </w:rPr>
        <w:t xml:space="preserve"> - developing collaborative action plans to address performance gaps; engaging with departmental program areas to drive improvement; and implementing innovation and sustained improvement to address identified </w:t>
      </w:r>
      <w:r w:rsidRPr="00E70B3A" w:rsidR="00DD3A9D">
        <w:rPr>
          <w:rFonts w:cs="Arial"/>
        </w:rPr>
        <w:t>challenges.</w:t>
      </w:r>
      <w:r w:rsidRPr="00E70B3A" w:rsidR="00F34011">
        <w:rPr>
          <w:rFonts w:cs="Arial"/>
        </w:rPr>
        <w:t xml:space="preserve"> </w:t>
      </w:r>
    </w:p>
    <w:p w:rsidRPr="00E70B3A" w:rsidR="00F34011" w:rsidP="00891C03" w:rsidRDefault="00C41935" w14:paraId="6F5FA4CB" w14:textId="3C68FCC0">
      <w:pPr>
        <w:pStyle w:val="DHHSbody"/>
        <w:numPr>
          <w:ilvl w:val="0"/>
          <w:numId w:val="14"/>
        </w:numPr>
        <w:rPr>
          <w:rFonts w:cs="Arial"/>
        </w:rPr>
      </w:pPr>
      <w:r>
        <w:rPr>
          <w:rFonts w:cs="Arial"/>
          <w:b/>
          <w:bCs/>
        </w:rPr>
        <w:t>Contribution to s</w:t>
      </w:r>
      <w:r w:rsidRPr="00E70B3A" w:rsidR="00F34011">
        <w:rPr>
          <w:rFonts w:cs="Arial"/>
          <w:b/>
          <w:bCs/>
        </w:rPr>
        <w:t>ystem collaboration</w:t>
      </w:r>
      <w:r w:rsidR="00DF1788">
        <w:rPr>
          <w:rFonts w:cs="Arial"/>
          <w:b/>
          <w:bCs/>
        </w:rPr>
        <w:t xml:space="preserve"> and shared priorities</w:t>
      </w:r>
      <w:r w:rsidRPr="00E70B3A" w:rsidR="00F34011">
        <w:rPr>
          <w:rFonts w:cs="Arial"/>
        </w:rPr>
        <w:t xml:space="preserve"> - contributing positively to system-wide place-based, regional and statewide priorities.</w:t>
      </w:r>
    </w:p>
    <w:p w:rsidRPr="00E70B3A" w:rsidR="00FC51D3" w:rsidP="00FC51D3" w:rsidRDefault="00FC51D3" w14:paraId="3F598B11" w14:textId="0E31E329">
      <w:pPr>
        <w:pStyle w:val="Heading2"/>
        <w:rPr>
          <w:rFonts w:cs="Arial"/>
        </w:rPr>
      </w:pPr>
      <w:bookmarkStart w:name="_Toc235628538" w:id="19"/>
      <w:r w:rsidRPr="00E70B3A">
        <w:rPr>
          <w:rFonts w:cs="Arial"/>
        </w:rPr>
        <w:t xml:space="preserve">4.2 Performance Tier Assessment </w:t>
      </w:r>
      <w:r w:rsidRPr="00E70B3A" w:rsidR="009D1206">
        <w:rPr>
          <w:rFonts w:cs="Arial"/>
        </w:rPr>
        <w:t>(escalation and de-escalation)</w:t>
      </w:r>
      <w:bookmarkEnd w:id="19"/>
      <w:r w:rsidRPr="00E70B3A" w:rsidR="009D1206">
        <w:rPr>
          <w:rFonts w:cs="Arial"/>
        </w:rPr>
        <w:t xml:space="preserve"> </w:t>
      </w:r>
    </w:p>
    <w:p w:rsidR="008C7F1B" w:rsidP="008C7F1B" w:rsidRDefault="00C13221" w14:paraId="74E0C002" w14:textId="6730F270">
      <w:pPr>
        <w:pStyle w:val="DHHSbody"/>
        <w:keepNext/>
      </w:pPr>
      <w:r w:rsidRPr="00C13221">
        <w:rPr>
          <w:rFonts w:cs="Arial"/>
        </w:rPr>
        <w:t xml:space="preserve">Escalation may occur when a health service does not meet </w:t>
      </w:r>
      <w:r w:rsidR="00670FCA">
        <w:rPr>
          <w:rFonts w:cs="Arial"/>
        </w:rPr>
        <w:t xml:space="preserve">agreed </w:t>
      </w:r>
      <w:r w:rsidRPr="00C13221">
        <w:rPr>
          <w:rFonts w:cs="Arial"/>
        </w:rPr>
        <w:t>performance targets, shows deteriorating trends or presents material safety, governance, finance or service delivery risk.</w:t>
      </w:r>
      <w:r w:rsidRPr="002644D6" w:rsidR="002644D6">
        <w:rPr>
          <w:rFonts w:cs="Arial"/>
          <w:noProof/>
        </w:rPr>
        <w:drawing>
          <wp:inline distT="0" distB="0" distL="0" distR="0" wp14:anchorId="23DB393B" wp14:editId="420F80BD">
            <wp:extent cx="6260272" cy="3571875"/>
            <wp:effectExtent l="0" t="0" r="7620" b="0"/>
            <wp:docPr id="717550800" name="Picture 1" descr="Performance tier escalation and de-escalation pathway Escalation increases oversight when risks or underperformance emerge, while de‑escalation reduces oversight once sustained improvement and agreed criteria are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550800" name="Picture 1" descr="Performance tier escalation and de-escalation pathway Escalation increases oversight when risks or underperformance emerge, while de‑escalation reduces oversight once sustained improvement and agreed criteria are met."/>
                    <pic:cNvPicPr/>
                  </pic:nvPicPr>
                  <pic:blipFill>
                    <a:blip r:embed="rId47"/>
                    <a:stretch>
                      <a:fillRect/>
                    </a:stretch>
                  </pic:blipFill>
                  <pic:spPr>
                    <a:xfrm>
                      <a:off x="0" y="0"/>
                      <a:ext cx="6267460" cy="3575976"/>
                    </a:xfrm>
                    <a:prstGeom prst="rect">
                      <a:avLst/>
                    </a:prstGeom>
                  </pic:spPr>
                </pic:pic>
              </a:graphicData>
            </a:graphic>
          </wp:inline>
        </w:drawing>
      </w:r>
    </w:p>
    <w:p w:rsidR="008C7F1B" w:rsidP="008C7F1B" w:rsidRDefault="008C7F1B" w14:paraId="1ACDDF90" w14:textId="67CAA8FA">
      <w:pPr>
        <w:pStyle w:val="Caption"/>
      </w:pPr>
      <w:r w:rsidRPr="008C7F1B">
        <w:rPr>
          <w:b/>
          <w:bCs/>
        </w:rPr>
        <w:t xml:space="preserve">Figure </w:t>
      </w:r>
      <w:r w:rsidRPr="008C7F1B">
        <w:rPr>
          <w:b/>
          <w:bCs/>
        </w:rPr>
        <w:fldChar w:fldCharType="begin"/>
      </w:r>
      <w:r w:rsidRPr="008C7F1B">
        <w:rPr>
          <w:b/>
          <w:bCs/>
        </w:rPr>
        <w:instrText xml:space="preserve"> SEQ Figure \* ARABIC </w:instrText>
      </w:r>
      <w:r w:rsidRPr="008C7F1B">
        <w:rPr>
          <w:b/>
          <w:bCs/>
        </w:rPr>
        <w:fldChar w:fldCharType="separate"/>
      </w:r>
      <w:r w:rsidR="00965FAC">
        <w:rPr>
          <w:b/>
          <w:bCs/>
          <w:noProof/>
        </w:rPr>
        <w:t>7</w:t>
      </w:r>
      <w:r w:rsidRPr="008C7F1B">
        <w:rPr>
          <w:b/>
          <w:bCs/>
        </w:rPr>
        <w:fldChar w:fldCharType="end"/>
      </w:r>
      <w:r>
        <w:t xml:space="preserve"> </w:t>
      </w:r>
      <w:r w:rsidRPr="00A91196">
        <w:t xml:space="preserve">Performance tier escalation and de-escalation pathway </w:t>
      </w:r>
    </w:p>
    <w:p w:rsidRPr="00E70B3A" w:rsidR="000E6FD6" w:rsidP="00E41221" w:rsidRDefault="00E41221" w14:paraId="7C0ACE27" w14:textId="4C83C5EF">
      <w:pPr>
        <w:pStyle w:val="Heading3"/>
        <w:rPr>
          <w:rFonts w:cs="Arial"/>
        </w:rPr>
      </w:pPr>
      <w:r w:rsidRPr="00E70B3A">
        <w:rPr>
          <w:rFonts w:cs="Arial"/>
        </w:rPr>
        <w:t xml:space="preserve">Escalation </w:t>
      </w:r>
    </w:p>
    <w:p w:rsidR="00455AB8" w:rsidP="000E6FD6" w:rsidRDefault="003F5F5E" w14:paraId="24A49E58" w14:textId="23BD1189">
      <w:pPr>
        <w:pStyle w:val="DHHSbody"/>
        <w:rPr>
          <w:rFonts w:cs="Arial"/>
        </w:rPr>
      </w:pPr>
      <w:r w:rsidRPr="003F5F5E">
        <w:rPr>
          <w:rFonts w:cs="Arial"/>
        </w:rPr>
        <w:t>Escalation occurs when a health service is not meeting performance targets or is demonstrating declining performance, as identified through data, risk assessments and other intelligence</w:t>
      </w:r>
      <w:r w:rsidRPr="00455AB8" w:rsidR="00455AB8">
        <w:rPr>
          <w:rFonts w:cs="Arial"/>
        </w:rPr>
        <w:t>.</w:t>
      </w:r>
    </w:p>
    <w:p w:rsidR="00081DDE" w:rsidP="00081DDE" w:rsidRDefault="00081DDE" w14:paraId="339B92C2" w14:textId="77777777">
      <w:pPr>
        <w:pStyle w:val="DHHSbody"/>
        <w:rPr>
          <w:rFonts w:cs="Arial"/>
        </w:rPr>
      </w:pPr>
      <w:r w:rsidRPr="00081DDE">
        <w:rPr>
          <w:rFonts w:cs="Arial"/>
        </w:rPr>
        <w:t>When a health service is escalated to a higher performance tier:</w:t>
      </w:r>
    </w:p>
    <w:p w:rsidRPr="008D7F49" w:rsidR="00C106E0" w:rsidRDefault="008D7F49" w14:paraId="5D717DE5" w14:textId="2488B7C2">
      <w:pPr>
        <w:pStyle w:val="ListParagraph"/>
        <w:numPr>
          <w:ilvl w:val="0"/>
          <w:numId w:val="40"/>
        </w:numPr>
        <w:rPr>
          <w:rFonts w:eastAsia="Times" w:cs="Arial"/>
          <w:color w:val="000000" w:themeColor="text1"/>
        </w:rPr>
      </w:pPr>
      <w:r w:rsidRPr="008D7F49">
        <w:rPr>
          <w:rFonts w:eastAsia="Times" w:cs="Arial"/>
          <w:color w:val="000000" w:themeColor="text1"/>
        </w:rPr>
        <w:t>The department documents the rationale for escalation, including required actions and timeframes.</w:t>
      </w:r>
    </w:p>
    <w:p w:rsidR="00C106E0" w:rsidRDefault="00C106E0" w14:paraId="2FA0F803" w14:textId="77777777">
      <w:pPr>
        <w:pStyle w:val="DHHSbody"/>
        <w:numPr>
          <w:ilvl w:val="0"/>
          <w:numId w:val="31"/>
        </w:numPr>
        <w:rPr>
          <w:rFonts w:cs="Arial"/>
        </w:rPr>
      </w:pPr>
      <w:r w:rsidRPr="003D5BA4">
        <w:rPr>
          <w:rFonts w:cs="Arial"/>
        </w:rPr>
        <w:t xml:space="preserve">The Board Chair is formally notified of the change in performance tier, including the Exit Criteria and review timeframe </w:t>
      </w:r>
      <w:r w:rsidRPr="00C106E0">
        <w:rPr>
          <w:rFonts w:cs="Arial"/>
          <w:b/>
          <w:bCs/>
        </w:rPr>
        <w:t xml:space="preserve">(see Section 4.6). </w:t>
      </w:r>
    </w:p>
    <w:p w:rsidR="00935877" w:rsidRDefault="00935877" w14:paraId="5C8E37BB" w14:textId="6C79B3A4">
      <w:pPr>
        <w:pStyle w:val="DHHSbody"/>
        <w:numPr>
          <w:ilvl w:val="0"/>
          <w:numId w:val="31"/>
        </w:numPr>
        <w:rPr>
          <w:rFonts w:cs="Arial"/>
        </w:rPr>
      </w:pPr>
      <w:r w:rsidRPr="00935877">
        <w:rPr>
          <w:rFonts w:cs="Arial"/>
        </w:rPr>
        <w:t>The health service develops or updates a Board</w:t>
      </w:r>
      <w:r w:rsidRPr="00935877">
        <w:rPr>
          <w:rFonts w:ascii="Cambria Math" w:hAnsi="Cambria Math" w:cs="Cambria Math"/>
        </w:rPr>
        <w:t>‑</w:t>
      </w:r>
      <w:r w:rsidRPr="00935877">
        <w:rPr>
          <w:rFonts w:cs="Arial"/>
        </w:rPr>
        <w:t xml:space="preserve">approved Performance Improvement Plan (PiP) to address </w:t>
      </w:r>
      <w:r w:rsidR="008A0B4A">
        <w:rPr>
          <w:rFonts w:cs="Arial"/>
        </w:rPr>
        <w:t>performance concerns</w:t>
      </w:r>
      <w:r w:rsidRPr="00935877">
        <w:rPr>
          <w:rFonts w:cs="Arial"/>
        </w:rPr>
        <w:t xml:space="preserve"> (see </w:t>
      </w:r>
      <w:r w:rsidRPr="00935877">
        <w:rPr>
          <w:rFonts w:cs="Arial"/>
          <w:b/>
          <w:bCs/>
        </w:rPr>
        <w:t>Attachment 2</w:t>
      </w:r>
      <w:r w:rsidRPr="00935877">
        <w:rPr>
          <w:rFonts w:cs="Arial"/>
        </w:rPr>
        <w:t>).</w:t>
      </w:r>
    </w:p>
    <w:p w:rsidR="009E14D3" w:rsidRDefault="009E14D3" w14:paraId="1496E9F3" w14:textId="4C21834E">
      <w:pPr>
        <w:pStyle w:val="DHHSbody"/>
        <w:numPr>
          <w:ilvl w:val="0"/>
          <w:numId w:val="31"/>
        </w:numPr>
        <w:rPr>
          <w:rFonts w:cs="Arial"/>
        </w:rPr>
      </w:pPr>
      <w:r w:rsidRPr="009E14D3">
        <w:rPr>
          <w:rFonts w:cs="Arial"/>
        </w:rPr>
        <w:t>Progress against the Exit Criteria and PiP is actively monitored</w:t>
      </w:r>
      <w:r>
        <w:rPr>
          <w:rFonts w:cs="Arial"/>
        </w:rPr>
        <w:t xml:space="preserve"> during</w:t>
      </w:r>
      <w:r w:rsidR="001766AC">
        <w:rPr>
          <w:rFonts w:cs="Arial"/>
        </w:rPr>
        <w:t xml:space="preserve"> formal QPMs and</w:t>
      </w:r>
      <w:r>
        <w:rPr>
          <w:rFonts w:cs="Arial"/>
        </w:rPr>
        <w:t xml:space="preserve"> in-cycle meetings. </w:t>
      </w:r>
    </w:p>
    <w:p w:rsidRPr="009E14D3" w:rsidR="00E41221" w:rsidRDefault="00935877" w14:paraId="33B6F7CF" w14:textId="27B1A63E">
      <w:pPr>
        <w:pStyle w:val="DHHSbody"/>
        <w:numPr>
          <w:ilvl w:val="0"/>
          <w:numId w:val="31"/>
        </w:numPr>
        <w:rPr>
          <w:rFonts w:cs="Arial"/>
        </w:rPr>
      </w:pPr>
      <w:r w:rsidRPr="009E14D3">
        <w:rPr>
          <w:rFonts w:cs="Arial"/>
        </w:rPr>
        <w:t xml:space="preserve">Further escalation options may be considered </w:t>
      </w:r>
      <w:r w:rsidR="00225EF5">
        <w:rPr>
          <w:rFonts w:cs="Arial"/>
        </w:rPr>
        <w:t>if required</w:t>
      </w:r>
      <w:r w:rsidRPr="009E14D3">
        <w:rPr>
          <w:rFonts w:cs="Arial"/>
        </w:rPr>
        <w:t xml:space="preserve"> (see </w:t>
      </w:r>
      <w:r w:rsidRPr="009E14D3">
        <w:rPr>
          <w:rFonts w:cs="Arial"/>
          <w:b/>
          <w:bCs/>
        </w:rPr>
        <w:t>Appendix 8</w:t>
      </w:r>
      <w:r w:rsidRPr="009E14D3">
        <w:rPr>
          <w:rFonts w:cs="Arial"/>
        </w:rPr>
        <w:t>).</w:t>
      </w:r>
    </w:p>
    <w:p w:rsidRPr="00E70B3A" w:rsidR="003D5BA4" w:rsidP="003D5BA4" w:rsidRDefault="003D5BA4" w14:paraId="7BD98C13" w14:textId="77777777">
      <w:pPr>
        <w:pStyle w:val="DHHSbody"/>
        <w:rPr>
          <w:rFonts w:cs="Arial"/>
        </w:rPr>
      </w:pPr>
    </w:p>
    <w:p w:rsidRPr="00E70B3A" w:rsidR="00E41221" w:rsidP="00E41221" w:rsidRDefault="00E41221" w14:paraId="72696257" w14:textId="67A2D52C">
      <w:pPr>
        <w:pStyle w:val="Heading3"/>
        <w:rPr>
          <w:rFonts w:cs="Arial"/>
        </w:rPr>
      </w:pPr>
      <w:r w:rsidRPr="00E70B3A">
        <w:rPr>
          <w:rFonts w:cs="Arial"/>
        </w:rPr>
        <w:t xml:space="preserve">De-escalation </w:t>
      </w:r>
    </w:p>
    <w:p w:rsidRPr="00E70B3A" w:rsidR="000E6FD6" w:rsidP="000E6FD6" w:rsidRDefault="000E6FD6" w14:paraId="3C690AC6" w14:textId="0D4D880F">
      <w:pPr>
        <w:pStyle w:val="DHHSbody"/>
        <w:rPr>
          <w:rFonts w:cs="Arial"/>
        </w:rPr>
      </w:pPr>
      <w:r w:rsidRPr="00E70B3A">
        <w:rPr>
          <w:rFonts w:cs="Arial"/>
        </w:rPr>
        <w:t>De</w:t>
      </w:r>
      <w:r w:rsidRPr="00E70B3A">
        <w:rPr>
          <w:rFonts w:cs="Arial"/>
        </w:rPr>
        <w:noBreakHyphen/>
      </w:r>
      <w:r w:rsidRPr="00E70B3A">
        <w:rPr>
          <w:rFonts w:cs="Arial"/>
        </w:rPr>
        <w:t>escalation occurs where a health service consistently meets or exceeds performance targets, demonstrates sustained improvement, and satisfies the defined Exit Criteria outlined in its Performance Improvement Plan. De</w:t>
      </w:r>
      <w:r w:rsidRPr="00E70B3A">
        <w:rPr>
          <w:rFonts w:cs="Arial"/>
        </w:rPr>
        <w:noBreakHyphen/>
      </w:r>
      <w:r w:rsidRPr="00E70B3A">
        <w:rPr>
          <w:rFonts w:cs="Arial"/>
        </w:rPr>
        <w:t>escalation reflects the resolution or effective mitigation of identified risks and the completion of required improvement milestones over an agreed sustained period (typically two consecutive quarters).</w:t>
      </w:r>
    </w:p>
    <w:p w:rsidRPr="00E70B3A" w:rsidR="000E6FD6" w:rsidP="000E6FD6" w:rsidRDefault="000E6FD6" w14:paraId="24CF1EC8" w14:textId="77777777">
      <w:pPr>
        <w:pStyle w:val="DHHSbody"/>
        <w:rPr>
          <w:rFonts w:cs="Arial"/>
        </w:rPr>
      </w:pPr>
      <w:r w:rsidRPr="00E70B3A">
        <w:rPr>
          <w:rFonts w:cs="Arial"/>
        </w:rPr>
        <w:t>The de</w:t>
      </w:r>
      <w:r w:rsidRPr="00E70B3A">
        <w:rPr>
          <w:rFonts w:cs="Arial"/>
        </w:rPr>
        <w:noBreakHyphen/>
      </w:r>
      <w:r w:rsidRPr="00E70B3A">
        <w:rPr>
          <w:rFonts w:cs="Arial"/>
        </w:rPr>
        <w:t>escalation process mirrors escalation arrangements. Progress is confirmed through a formal performance meeting, the performance tier change is formalised by the department, and the Board Chair is formally notified.</w:t>
      </w:r>
    </w:p>
    <w:p w:rsidRPr="00E70B3A" w:rsidR="000E6FD6" w:rsidP="007E686D" w:rsidRDefault="002A7EF9" w14:paraId="4ABB251B" w14:textId="5E928DEB">
      <w:pPr>
        <w:pStyle w:val="Heading2"/>
        <w:rPr>
          <w:rFonts w:cs="Arial"/>
        </w:rPr>
      </w:pPr>
      <w:bookmarkStart w:name="_Toc235628539" w:id="20"/>
      <w:r w:rsidRPr="00E70B3A">
        <w:rPr>
          <w:rFonts w:cs="Arial"/>
        </w:rPr>
        <w:t xml:space="preserve">4.3 Performance Tier </w:t>
      </w:r>
      <w:r w:rsidRPr="00E70B3A" w:rsidR="004F7BE5">
        <w:rPr>
          <w:rFonts w:cs="Arial"/>
        </w:rPr>
        <w:t>Assessment Outcome</w:t>
      </w:r>
      <w:bookmarkEnd w:id="20"/>
      <w:r w:rsidRPr="00E70B3A" w:rsidR="004F7BE5">
        <w:rPr>
          <w:rFonts w:cs="Arial"/>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1590"/>
        <w:gridCol w:w="3830"/>
        <w:gridCol w:w="3640"/>
      </w:tblGrid>
      <w:tr w:rsidRPr="005B3E23" w:rsidR="009F2871" w14:paraId="04978916" w14:textId="77777777">
        <w:trPr>
          <w:tblHeader/>
        </w:trPr>
        <w:tc>
          <w:tcPr>
            <w:tcW w:w="0" w:type="auto"/>
            <w:tcBorders>
              <w:top w:val="single" w:color="BFC6CC" w:sz="4" w:space="0"/>
              <w:left w:val="single" w:color="BFC6CC" w:sz="4" w:space="0"/>
              <w:bottom w:val="single" w:color="BFC6CC" w:sz="4" w:space="0"/>
              <w:right w:val="single" w:color="BFC6CC" w:sz="4" w:space="0"/>
            </w:tcBorders>
            <w:shd w:val="clear" w:color="auto" w:fill="163E64"/>
            <w:tcMar>
              <w:top w:w="100" w:type="dxa"/>
              <w:left w:w="140" w:type="dxa"/>
              <w:bottom w:w="100" w:type="dxa"/>
              <w:right w:w="140" w:type="dxa"/>
            </w:tcMar>
            <w:hideMark/>
          </w:tcPr>
          <w:p w:rsidRPr="005B3E23" w:rsidR="00D242D6" w:rsidP="005B3E23" w:rsidRDefault="00D242D6" w14:paraId="7F07AF62" w14:textId="77777777">
            <w:pPr>
              <w:pStyle w:val="Body"/>
              <w:rPr>
                <w:b/>
                <w:bCs/>
              </w:rPr>
            </w:pPr>
            <w:r w:rsidRPr="005B3E23">
              <w:rPr>
                <w:b/>
                <w:bCs/>
              </w:rPr>
              <w:t>Tier change</w:t>
            </w:r>
          </w:p>
        </w:tc>
        <w:tc>
          <w:tcPr>
            <w:tcW w:w="0" w:type="auto"/>
            <w:tcBorders>
              <w:top w:val="single" w:color="BFC6CC" w:sz="4" w:space="0"/>
              <w:left w:val="single" w:color="BFC6CC" w:sz="4" w:space="0"/>
              <w:bottom w:val="single" w:color="BFC6CC" w:sz="4" w:space="0"/>
              <w:right w:val="single" w:color="BFC6CC" w:sz="4" w:space="0"/>
            </w:tcBorders>
            <w:shd w:val="clear" w:color="auto" w:fill="163E64"/>
            <w:tcMar>
              <w:top w:w="100" w:type="dxa"/>
              <w:left w:w="140" w:type="dxa"/>
              <w:bottom w:w="100" w:type="dxa"/>
              <w:right w:w="140" w:type="dxa"/>
            </w:tcMar>
            <w:hideMark/>
          </w:tcPr>
          <w:p w:rsidRPr="005B3E23" w:rsidR="00D242D6" w:rsidP="005B3E23" w:rsidRDefault="00D242D6" w14:paraId="64E0493F" w14:textId="77777777">
            <w:pPr>
              <w:pStyle w:val="Body"/>
              <w:rPr>
                <w:b/>
                <w:bCs/>
              </w:rPr>
            </w:pPr>
            <w:r w:rsidRPr="005B3E23">
              <w:rPr>
                <w:b/>
                <w:bCs/>
              </w:rPr>
              <w:t>Typical triggers / evidence</w:t>
            </w:r>
          </w:p>
        </w:tc>
        <w:tc>
          <w:tcPr>
            <w:tcW w:w="0" w:type="auto"/>
            <w:tcBorders>
              <w:top w:val="single" w:color="BFC6CC" w:sz="4" w:space="0"/>
              <w:left w:val="single" w:color="BFC6CC" w:sz="4" w:space="0"/>
              <w:bottom w:val="single" w:color="BFC6CC" w:sz="4" w:space="0"/>
              <w:right w:val="single" w:color="BFC6CC" w:sz="4" w:space="0"/>
            </w:tcBorders>
            <w:shd w:val="clear" w:color="auto" w:fill="163E64"/>
            <w:tcMar>
              <w:top w:w="100" w:type="dxa"/>
              <w:left w:w="140" w:type="dxa"/>
              <w:bottom w:w="100" w:type="dxa"/>
              <w:right w:w="140" w:type="dxa"/>
            </w:tcMar>
            <w:hideMark/>
          </w:tcPr>
          <w:p w:rsidRPr="005B3E23" w:rsidR="00D242D6" w:rsidP="005B3E23" w:rsidRDefault="00D242D6" w14:paraId="0B66DF77" w14:textId="77777777">
            <w:pPr>
              <w:pStyle w:val="Body"/>
              <w:rPr>
                <w:b/>
                <w:bCs/>
              </w:rPr>
            </w:pPr>
            <w:r w:rsidRPr="005B3E23">
              <w:rPr>
                <w:b/>
                <w:bCs/>
              </w:rPr>
              <w:t>Examples of movement</w:t>
            </w:r>
          </w:p>
        </w:tc>
      </w:tr>
      <w:tr w:rsidRPr="005B3E23" w:rsidR="009F2871" w14:paraId="3A65BE8E" w14:textId="77777777">
        <w:trPr>
          <w:trHeight w:val="1158"/>
        </w:trPr>
        <w:tc>
          <w:tcPr>
            <w:tcW w:w="0" w:type="auto"/>
            <w:tcBorders>
              <w:top w:val="single" w:color="BFC6CC" w:sz="4" w:space="0"/>
              <w:left w:val="single" w:color="BFC6CC" w:sz="4" w:space="0"/>
              <w:bottom w:val="single" w:color="BFC6CC" w:sz="4" w:space="0"/>
              <w:right w:val="single" w:color="BFC6CC" w:sz="4" w:space="0"/>
            </w:tcBorders>
            <w:shd w:val="clear" w:color="auto" w:fill="FFFFFF" w:themeFill="background1"/>
            <w:tcMar>
              <w:top w:w="100" w:type="dxa"/>
              <w:left w:w="140" w:type="dxa"/>
              <w:bottom w:w="100" w:type="dxa"/>
              <w:right w:w="140" w:type="dxa"/>
            </w:tcMar>
            <w:hideMark/>
          </w:tcPr>
          <w:p w:rsidRPr="005B3E23" w:rsidR="00D242D6" w:rsidP="005B3E23" w:rsidRDefault="00D242D6" w14:paraId="4472D4F4" w14:textId="77777777">
            <w:pPr>
              <w:pStyle w:val="Body"/>
            </w:pPr>
            <w:r w:rsidRPr="005B3E23">
              <w:t>Hold at current tier</w:t>
            </w:r>
          </w:p>
        </w:tc>
        <w:tc>
          <w:tcPr>
            <w:tcW w:w="0" w:type="auto"/>
            <w:tcBorders>
              <w:top w:val="single" w:color="BFC6CC" w:sz="4" w:space="0"/>
              <w:left w:val="single" w:color="BFC6CC" w:sz="4" w:space="0"/>
              <w:bottom w:val="single" w:color="BFC6CC" w:sz="4" w:space="0"/>
              <w:right w:val="single" w:color="BFC6CC" w:sz="4" w:space="0"/>
            </w:tcBorders>
            <w:shd w:val="clear" w:color="auto" w:fill="FFFFFF" w:themeFill="background1"/>
            <w:tcMar>
              <w:top w:w="100" w:type="dxa"/>
              <w:left w:w="140" w:type="dxa"/>
              <w:bottom w:w="100" w:type="dxa"/>
              <w:right w:w="140" w:type="dxa"/>
            </w:tcMar>
            <w:hideMark/>
          </w:tcPr>
          <w:p w:rsidRPr="005B3E23" w:rsidR="00D242D6" w:rsidP="005B3E23" w:rsidRDefault="00D242D6" w14:paraId="046064D1" w14:textId="77777777">
            <w:pPr>
              <w:pStyle w:val="Body"/>
            </w:pPr>
            <w:r w:rsidRPr="005B3E23">
              <w:t xml:space="preserve">Performance is stable; progress is being made against existing improvement plans or Exit Criteria but is not yet sufficient to de-escalate. </w:t>
            </w:r>
          </w:p>
        </w:tc>
        <w:tc>
          <w:tcPr>
            <w:tcW w:w="0" w:type="auto"/>
            <w:tcBorders>
              <w:top w:val="single" w:color="BFC6CC" w:sz="4" w:space="0"/>
              <w:left w:val="single" w:color="BFC6CC" w:sz="4" w:space="0"/>
              <w:bottom w:val="single" w:color="BFC6CC" w:sz="4" w:space="0"/>
              <w:right w:val="single" w:color="BFC6CC" w:sz="4" w:space="0"/>
            </w:tcBorders>
            <w:shd w:val="clear" w:color="auto" w:fill="FFFFFF" w:themeFill="background1"/>
            <w:tcMar>
              <w:top w:w="100" w:type="dxa"/>
              <w:left w:w="140" w:type="dxa"/>
              <w:bottom w:w="100" w:type="dxa"/>
              <w:right w:w="140" w:type="dxa"/>
            </w:tcMar>
            <w:hideMark/>
          </w:tcPr>
          <w:p w:rsidRPr="005B3E23" w:rsidR="00D242D6" w:rsidP="005B3E23" w:rsidRDefault="00D242D6" w14:paraId="0108670B" w14:textId="77777777">
            <w:pPr>
              <w:pStyle w:val="Body"/>
            </w:pPr>
            <w:r w:rsidRPr="005B3E23">
              <w:t>Performance Support service maintained pending closure of remaining Exit Criteria; Standard Oversight service maintained with no emerging performance concerns.</w:t>
            </w:r>
          </w:p>
        </w:tc>
      </w:tr>
      <w:tr w:rsidRPr="005B3E23" w:rsidR="009F2871" w14:paraId="3F8C177A" w14:textId="77777777">
        <w:trPr>
          <w:trHeight w:val="1021"/>
        </w:trPr>
        <w:tc>
          <w:tcPr>
            <w:tcW w:w="0" w:type="auto"/>
            <w:tcBorders>
              <w:top w:val="single" w:color="BFC6CC" w:sz="4" w:space="0"/>
              <w:left w:val="single" w:color="BFC6CC" w:sz="4" w:space="0"/>
              <w:bottom w:val="single" w:color="BFC6CC" w:sz="4" w:space="0"/>
              <w:right w:val="single" w:color="BFC6CC" w:sz="4" w:space="0"/>
            </w:tcBorders>
            <w:shd w:val="clear" w:color="auto" w:fill="FFFFFF" w:themeFill="background1"/>
            <w:tcMar>
              <w:top w:w="100" w:type="dxa"/>
              <w:left w:w="140" w:type="dxa"/>
              <w:bottom w:w="100" w:type="dxa"/>
              <w:right w:w="140" w:type="dxa"/>
            </w:tcMar>
            <w:hideMark/>
          </w:tcPr>
          <w:p w:rsidRPr="005B3E23" w:rsidR="00D242D6" w:rsidP="005B3E23" w:rsidRDefault="00D242D6" w14:paraId="6C4C11D8" w14:textId="77777777">
            <w:pPr>
              <w:pStyle w:val="Body"/>
            </w:pPr>
            <w:r w:rsidRPr="005B3E23">
              <w:t xml:space="preserve"> Escalation</w:t>
            </w:r>
          </w:p>
        </w:tc>
        <w:tc>
          <w:tcPr>
            <w:tcW w:w="0" w:type="auto"/>
            <w:tcBorders>
              <w:top w:val="single" w:color="BFC6CC" w:sz="4" w:space="0"/>
              <w:left w:val="single" w:color="BFC6CC" w:sz="4" w:space="0"/>
              <w:bottom w:val="single" w:color="BFC6CC" w:sz="4" w:space="0"/>
              <w:right w:val="single" w:color="BFC6CC" w:sz="4" w:space="0"/>
            </w:tcBorders>
            <w:shd w:val="clear" w:color="auto" w:fill="FFFFFF" w:themeFill="background1"/>
            <w:tcMar>
              <w:top w:w="100" w:type="dxa"/>
              <w:left w:w="140" w:type="dxa"/>
              <w:bottom w:w="100" w:type="dxa"/>
              <w:right w:w="140" w:type="dxa"/>
            </w:tcMar>
            <w:hideMark/>
          </w:tcPr>
          <w:p w:rsidRPr="005B3E23" w:rsidR="00D242D6" w:rsidP="005B3E23" w:rsidRDefault="00D242D6" w14:paraId="3D5582FB" w14:textId="77777777">
            <w:pPr>
              <w:pStyle w:val="Body"/>
            </w:pPr>
            <w:r w:rsidRPr="005B3E23">
              <w:t>Failure to meet performance targets; deteriorating trends; new material risks; non-progress against existing Exit Criteria; significant safety or governance concerns.</w:t>
            </w:r>
          </w:p>
        </w:tc>
        <w:tc>
          <w:tcPr>
            <w:tcW w:w="0" w:type="auto"/>
            <w:tcBorders>
              <w:top w:val="single" w:color="BFC6CC" w:sz="4" w:space="0"/>
              <w:left w:val="single" w:color="BFC6CC" w:sz="4" w:space="0"/>
              <w:bottom w:val="single" w:color="BFC6CC" w:sz="4" w:space="0"/>
              <w:right w:val="single" w:color="BFC6CC" w:sz="4" w:space="0"/>
            </w:tcBorders>
            <w:shd w:val="clear" w:color="auto" w:fill="FFFFFF" w:themeFill="background1"/>
            <w:tcMar>
              <w:top w:w="100" w:type="dxa"/>
              <w:left w:w="140" w:type="dxa"/>
              <w:bottom w:w="100" w:type="dxa"/>
              <w:right w:w="140" w:type="dxa"/>
            </w:tcMar>
            <w:hideMark/>
          </w:tcPr>
          <w:p w:rsidRPr="005B3E23" w:rsidR="00D242D6" w:rsidP="005B3E23" w:rsidRDefault="00D242D6" w14:paraId="148EA63C" w14:textId="77777777">
            <w:pPr>
              <w:pStyle w:val="Body"/>
            </w:pPr>
            <w:r w:rsidRPr="005B3E23">
              <w:t>Standard Oversight to Performance Support; Performance Support to Mandated Intensive Support.</w:t>
            </w:r>
          </w:p>
        </w:tc>
      </w:tr>
      <w:tr w:rsidRPr="005B3E23" w:rsidR="009F2871" w14:paraId="22091B98" w14:textId="77777777">
        <w:tc>
          <w:tcPr>
            <w:tcW w:w="0" w:type="auto"/>
            <w:tcBorders>
              <w:top w:val="single" w:color="BFC6CC" w:sz="4" w:space="0"/>
              <w:left w:val="single" w:color="BFC6CC" w:sz="4" w:space="0"/>
              <w:bottom w:val="single" w:color="BFC6CC" w:sz="4" w:space="0"/>
              <w:right w:val="single" w:color="BFC6CC" w:sz="4" w:space="0"/>
            </w:tcBorders>
            <w:shd w:val="clear" w:color="auto" w:fill="FFFFFF" w:themeFill="background1"/>
            <w:tcMar>
              <w:top w:w="100" w:type="dxa"/>
              <w:left w:w="140" w:type="dxa"/>
              <w:bottom w:w="100" w:type="dxa"/>
              <w:right w:w="140" w:type="dxa"/>
            </w:tcMar>
            <w:hideMark/>
          </w:tcPr>
          <w:p w:rsidRPr="005B3E23" w:rsidR="00D242D6" w:rsidP="005B3E23" w:rsidRDefault="00D242D6" w14:paraId="7C6D6853" w14:textId="77777777">
            <w:pPr>
              <w:pStyle w:val="Body"/>
            </w:pPr>
            <w:r w:rsidRPr="005B3E23">
              <w:t>De-escalation</w:t>
            </w:r>
          </w:p>
        </w:tc>
        <w:tc>
          <w:tcPr>
            <w:tcW w:w="0" w:type="auto"/>
            <w:tcBorders>
              <w:top w:val="single" w:color="BFC6CC" w:sz="4" w:space="0"/>
              <w:left w:val="single" w:color="BFC6CC" w:sz="4" w:space="0"/>
              <w:bottom w:val="single" w:color="BFC6CC" w:sz="4" w:space="0"/>
              <w:right w:val="single" w:color="BFC6CC" w:sz="4" w:space="0"/>
            </w:tcBorders>
            <w:shd w:val="clear" w:color="auto" w:fill="FFFFFF" w:themeFill="background1"/>
            <w:tcMar>
              <w:top w:w="100" w:type="dxa"/>
              <w:left w:w="140" w:type="dxa"/>
              <w:bottom w:w="100" w:type="dxa"/>
              <w:right w:w="140" w:type="dxa"/>
            </w:tcMar>
            <w:hideMark/>
          </w:tcPr>
          <w:p w:rsidRPr="005B3E23" w:rsidR="00D242D6" w:rsidP="005B3E23" w:rsidRDefault="00D242D6" w14:paraId="0C484386" w14:textId="77777777">
            <w:pPr>
              <w:pStyle w:val="Body"/>
            </w:pPr>
            <w:r w:rsidRPr="005B3E23">
              <w:t>Sustained achievement of agreed targets; demonstrated continuous improvement; closure of Exit Criteria for the agreed sustained period (typically two consecutive quarters).</w:t>
            </w:r>
          </w:p>
        </w:tc>
        <w:tc>
          <w:tcPr>
            <w:tcW w:w="0" w:type="auto"/>
            <w:tcBorders>
              <w:top w:val="single" w:color="BFC6CC" w:sz="4" w:space="0"/>
              <w:left w:val="single" w:color="BFC6CC" w:sz="4" w:space="0"/>
              <w:bottom w:val="single" w:color="BFC6CC" w:sz="4" w:space="0"/>
              <w:right w:val="single" w:color="BFC6CC" w:sz="4" w:space="0"/>
            </w:tcBorders>
            <w:shd w:val="clear" w:color="auto" w:fill="FFFFFF" w:themeFill="background1"/>
            <w:tcMar>
              <w:top w:w="100" w:type="dxa"/>
              <w:left w:w="140" w:type="dxa"/>
              <w:bottom w:w="100" w:type="dxa"/>
              <w:right w:w="140" w:type="dxa"/>
            </w:tcMar>
            <w:hideMark/>
          </w:tcPr>
          <w:p w:rsidRPr="005B3E23" w:rsidR="00D242D6" w:rsidP="005B3E23" w:rsidRDefault="00D242D6" w14:paraId="4B531976" w14:textId="77777777">
            <w:pPr>
              <w:pStyle w:val="Body"/>
            </w:pPr>
            <w:r w:rsidRPr="005B3E23">
              <w:t>Mandated Intensive Support to Performance Support.</w:t>
            </w:r>
          </w:p>
          <w:p w:rsidRPr="005B3E23" w:rsidR="00D242D6" w:rsidP="005B3E23" w:rsidRDefault="00D242D6" w14:paraId="4E049D08" w14:textId="77777777">
            <w:pPr>
              <w:pStyle w:val="Body"/>
            </w:pPr>
            <w:r w:rsidRPr="005B3E23">
              <w:t>Performance Support to Standard Oversight.</w:t>
            </w:r>
          </w:p>
        </w:tc>
      </w:tr>
      <w:tr w:rsidRPr="005B3E23" w:rsidR="009F2871" w14:paraId="15E0876A" w14:textId="77777777">
        <w:tc>
          <w:tcPr>
            <w:tcW w:w="0" w:type="auto"/>
            <w:tcBorders>
              <w:top w:val="single" w:color="BFC6CC" w:sz="4" w:space="0"/>
              <w:left w:val="single" w:color="BFC6CC" w:sz="4" w:space="0"/>
              <w:bottom w:val="single" w:color="BFC6CC" w:sz="4" w:space="0"/>
              <w:right w:val="single" w:color="BFC6CC" w:sz="4" w:space="0"/>
            </w:tcBorders>
            <w:shd w:val="clear" w:color="auto" w:fill="FFFFFF" w:themeFill="background1"/>
            <w:tcMar>
              <w:top w:w="100" w:type="dxa"/>
              <w:left w:w="140" w:type="dxa"/>
              <w:bottom w:w="100" w:type="dxa"/>
              <w:right w:w="140" w:type="dxa"/>
            </w:tcMar>
            <w:hideMark/>
          </w:tcPr>
          <w:p w:rsidRPr="005B3E23" w:rsidR="00D242D6" w:rsidP="005B3E23" w:rsidRDefault="00D242D6" w14:paraId="527447F8" w14:textId="77777777">
            <w:pPr>
              <w:pStyle w:val="Body"/>
            </w:pPr>
            <w:r w:rsidRPr="005B3E23">
              <w:t>Promotion to Enhanced Autonomy</w:t>
            </w:r>
          </w:p>
        </w:tc>
        <w:tc>
          <w:tcPr>
            <w:tcW w:w="0" w:type="auto"/>
            <w:tcBorders>
              <w:top w:val="single" w:color="BFC6CC" w:sz="4" w:space="0"/>
              <w:left w:val="single" w:color="BFC6CC" w:sz="4" w:space="0"/>
              <w:bottom w:val="single" w:color="BFC6CC" w:sz="4" w:space="0"/>
              <w:right w:val="single" w:color="BFC6CC" w:sz="4" w:space="0"/>
            </w:tcBorders>
            <w:shd w:val="clear" w:color="auto" w:fill="FFFFFF" w:themeFill="background1"/>
            <w:tcMar>
              <w:top w:w="100" w:type="dxa"/>
              <w:left w:w="140" w:type="dxa"/>
              <w:bottom w:w="100" w:type="dxa"/>
              <w:right w:w="140" w:type="dxa"/>
            </w:tcMar>
            <w:hideMark/>
          </w:tcPr>
          <w:p w:rsidRPr="005B3E23" w:rsidR="00D242D6" w:rsidP="005B3E23" w:rsidRDefault="00D242D6" w14:paraId="51F9E64F" w14:textId="77777777">
            <w:pPr>
              <w:pStyle w:val="Body"/>
            </w:pPr>
            <w:r w:rsidRPr="005B3E23">
              <w:t>Sustained strong performance across all domains; effective leadership; demonstrated capability to lead system improvement.</w:t>
            </w:r>
          </w:p>
        </w:tc>
        <w:tc>
          <w:tcPr>
            <w:tcW w:w="0" w:type="auto"/>
            <w:tcBorders>
              <w:top w:val="single" w:color="BFC6CC" w:sz="4" w:space="0"/>
              <w:left w:val="single" w:color="BFC6CC" w:sz="4" w:space="0"/>
              <w:bottom w:val="single" w:color="BFC6CC" w:sz="4" w:space="0"/>
              <w:right w:val="single" w:color="BFC6CC" w:sz="4" w:space="0"/>
            </w:tcBorders>
            <w:shd w:val="clear" w:color="auto" w:fill="FFFFFF" w:themeFill="background1"/>
            <w:tcMar>
              <w:top w:w="100" w:type="dxa"/>
              <w:left w:w="140" w:type="dxa"/>
              <w:bottom w:w="100" w:type="dxa"/>
              <w:right w:w="140" w:type="dxa"/>
            </w:tcMar>
            <w:hideMark/>
          </w:tcPr>
          <w:p w:rsidRPr="005B3E23" w:rsidR="00D242D6" w:rsidP="005B3E23" w:rsidRDefault="00D242D6" w14:paraId="7B055025" w14:textId="77777777">
            <w:pPr>
              <w:pStyle w:val="Body"/>
            </w:pPr>
            <w:r w:rsidRPr="005B3E23">
              <w:t>Standard Oversight to Enhanced Autonomy. Currently no services meet this threshold.</w:t>
            </w:r>
          </w:p>
        </w:tc>
      </w:tr>
    </w:tbl>
    <w:p w:rsidRPr="00C051D2" w:rsidR="0004750E" w:rsidP="0004750E" w:rsidRDefault="00FC51D3" w14:paraId="33066BCC" w14:textId="77777777">
      <w:pPr>
        <w:pStyle w:val="DHHSbody"/>
        <w:spacing w:after="0" w:line="240" w:lineRule="auto"/>
        <w:rPr>
          <w:rFonts w:cs="Arial"/>
          <w:i/>
          <w:iCs/>
          <w:color w:val="1F497D" w:themeColor="text2"/>
          <w:sz w:val="20"/>
        </w:rPr>
      </w:pPr>
      <w:r w:rsidRPr="00C051D2">
        <w:rPr>
          <w:rFonts w:cs="Arial"/>
          <w:b/>
          <w:bCs/>
          <w:i/>
          <w:iCs/>
          <w:color w:val="1F497D" w:themeColor="text2"/>
          <w:sz w:val="20"/>
        </w:rPr>
        <w:t>Table</w:t>
      </w:r>
      <w:r w:rsidRPr="00C051D2" w:rsidR="007A1051">
        <w:rPr>
          <w:rFonts w:cs="Arial"/>
          <w:b/>
          <w:bCs/>
          <w:i/>
          <w:iCs/>
          <w:color w:val="1F497D" w:themeColor="text2"/>
          <w:sz w:val="20"/>
        </w:rPr>
        <w:t xml:space="preserve"> 2:</w:t>
      </w:r>
      <w:r w:rsidRPr="00C051D2">
        <w:rPr>
          <w:rFonts w:cs="Arial"/>
          <w:i/>
          <w:iCs/>
          <w:color w:val="1F497D" w:themeColor="text2"/>
          <w:sz w:val="20"/>
        </w:rPr>
        <w:t xml:space="preserve"> </w:t>
      </w:r>
      <w:r w:rsidRPr="00C051D2" w:rsidR="0004750E">
        <w:rPr>
          <w:rFonts w:cs="Arial"/>
          <w:i/>
          <w:iCs/>
          <w:color w:val="1F497D" w:themeColor="text2"/>
          <w:sz w:val="20"/>
        </w:rPr>
        <w:t>Summary of possible outcomes of quarterly performance assessments. (e.g. no change, escalation, de-escalation), the typical triggers or evidence for that outcome, and examples of how services move between tiers.</w:t>
      </w:r>
    </w:p>
    <w:p w:rsidRPr="00E70B3A" w:rsidR="002D42CF" w:rsidP="0004750E" w:rsidRDefault="003F55EC" w14:paraId="0DAEE0E7" w14:textId="6DFD8C90">
      <w:pPr>
        <w:pStyle w:val="Heading2"/>
      </w:pPr>
      <w:bookmarkStart w:name="_Toc235628540" w:id="21"/>
      <w:r w:rsidRPr="00E70B3A">
        <w:t>4.</w:t>
      </w:r>
      <w:r w:rsidRPr="00E70B3A" w:rsidR="00523CDF">
        <w:t>4</w:t>
      </w:r>
      <w:r w:rsidRPr="00E70B3A">
        <w:t xml:space="preserve"> Exit Criteria</w:t>
      </w:r>
      <w:bookmarkEnd w:id="21"/>
      <w:r w:rsidRPr="00E70B3A">
        <w:t xml:space="preserve"> </w:t>
      </w:r>
    </w:p>
    <w:p w:rsidRPr="002A0EC9" w:rsidR="00B004CC" w:rsidP="00B214D0" w:rsidRDefault="00B004CC" w14:paraId="53E2F830" w14:textId="282F382C">
      <w:pPr>
        <w:pStyle w:val="DHHSbody"/>
        <w:rPr>
          <w:rFonts w:cs="Arial"/>
        </w:rPr>
      </w:pPr>
      <w:r w:rsidRPr="00E70B3A">
        <w:rPr>
          <w:rFonts w:cs="Arial"/>
        </w:rPr>
        <w:t>Where a health service is placed on an escalated performance tier—</w:t>
      </w:r>
      <w:r w:rsidRPr="00E70B3A">
        <w:rPr>
          <w:rFonts w:cs="Arial"/>
          <w:b/>
          <w:bCs/>
        </w:rPr>
        <w:t>Performance Support</w:t>
      </w:r>
      <w:r w:rsidRPr="00E70B3A">
        <w:rPr>
          <w:rFonts w:cs="Arial"/>
        </w:rPr>
        <w:t xml:space="preserve"> or </w:t>
      </w:r>
      <w:r w:rsidRPr="00E70B3A">
        <w:rPr>
          <w:rFonts w:cs="Arial"/>
          <w:b/>
          <w:bCs/>
        </w:rPr>
        <w:t>Mandated Intensive Support</w:t>
      </w:r>
      <w:r w:rsidRPr="00E70B3A">
        <w:rPr>
          <w:rFonts w:cs="Arial"/>
        </w:rPr>
        <w:t xml:space="preserve">—the department establishes </w:t>
      </w:r>
      <w:r w:rsidRPr="00E70B3A">
        <w:rPr>
          <w:rFonts w:cs="Arial"/>
          <w:b/>
          <w:bCs/>
        </w:rPr>
        <w:t>Exit Criteria</w:t>
      </w:r>
      <w:r w:rsidRPr="00E70B3A">
        <w:rPr>
          <w:rFonts w:cs="Arial"/>
        </w:rPr>
        <w:t xml:space="preserve"> to set clear, time</w:t>
      </w:r>
      <w:r w:rsidRPr="00E70B3A">
        <w:rPr>
          <w:rFonts w:cs="Arial"/>
        </w:rPr>
        <w:noBreakHyphen/>
      </w:r>
      <w:r w:rsidRPr="00E70B3A">
        <w:rPr>
          <w:rFonts w:cs="Arial"/>
        </w:rPr>
        <w:t>bound expectations for addressing identified performance risks and concerns. Exit Criteria define what must be achieved for the department to be satisfied that risks have been appropriately mitigated and sustained improvement has been demonstrated.</w:t>
      </w:r>
    </w:p>
    <w:p w:rsidR="00CF2787" w:rsidP="00B214D0" w:rsidRDefault="00B214D0" w14:paraId="0F6D0DD3" w14:textId="4758CEB5">
      <w:pPr>
        <w:pStyle w:val="DHHSbody"/>
      </w:pPr>
      <w:r w:rsidRPr="00664CBD">
        <w:t>Exit criteria set out the specific actions and outcomes a health service must achieve to address the risks that led to escalation.</w:t>
      </w:r>
      <w:r>
        <w:t xml:space="preserve"> </w:t>
      </w:r>
      <w:r w:rsidRPr="00664CBD">
        <w:t>They provide a clear pathway to de-escalation and are linked to the service’s Performance Improvement Plan</w:t>
      </w:r>
      <w:r>
        <w:t xml:space="preserve"> (PiP)</w:t>
      </w:r>
      <w:r w:rsidRPr="00664CBD">
        <w:t>.</w:t>
      </w:r>
      <w:r>
        <w:t xml:space="preserve"> </w:t>
      </w:r>
    </w:p>
    <w:p w:rsidR="00B214D0" w:rsidP="00B214D0" w:rsidRDefault="00B214D0" w14:paraId="5B04A8EC" w14:textId="5D667D0E">
      <w:pPr>
        <w:pStyle w:val="DHHSbody"/>
      </w:pPr>
      <w:r w:rsidRPr="00664CBD">
        <w:t xml:space="preserve">The exit criteria lifecycle has 4 stages: </w:t>
      </w:r>
    </w:p>
    <w:tbl>
      <w:tblPr>
        <w:tblStyle w:val="TableGrid"/>
        <w:tblW w:w="10077" w:type="dxa"/>
        <w:tblLook w:val="04A0" w:firstRow="1" w:lastRow="0" w:firstColumn="1" w:lastColumn="0" w:noHBand="0" w:noVBand="1"/>
      </w:tblPr>
      <w:tblGrid>
        <w:gridCol w:w="2547"/>
        <w:gridCol w:w="2551"/>
        <w:gridCol w:w="2790"/>
        <w:gridCol w:w="2189"/>
      </w:tblGrid>
      <w:tr w:rsidR="000A7086" w:rsidTr="003C7195" w14:paraId="084C1FC6" w14:textId="77777777">
        <w:trPr>
          <w:trHeight w:val="461"/>
        </w:trPr>
        <w:tc>
          <w:tcPr>
            <w:tcW w:w="2547" w:type="dxa"/>
            <w:shd w:val="clear" w:color="auto" w:fill="17365D" w:themeFill="text2" w:themeFillShade="BF"/>
          </w:tcPr>
          <w:p w:rsidRPr="000A7086" w:rsidR="000A7086" w:rsidP="000A7086" w:rsidRDefault="000A7086" w14:paraId="0E2DF836" w14:textId="435F5251">
            <w:pPr>
              <w:pStyle w:val="DHHSbody"/>
              <w:keepNext/>
              <w:rPr>
                <w:b/>
                <w:bCs/>
                <w:color w:val="FFFFFF" w:themeColor="background1"/>
              </w:rPr>
            </w:pPr>
            <w:r w:rsidRPr="000A7086">
              <w:rPr>
                <w:b/>
                <w:bCs/>
                <w:color w:val="FFFFFF" w:themeColor="background1"/>
              </w:rPr>
              <w:t>1. Develop</w:t>
            </w:r>
          </w:p>
        </w:tc>
        <w:tc>
          <w:tcPr>
            <w:tcW w:w="2551" w:type="dxa"/>
            <w:shd w:val="clear" w:color="auto" w:fill="17365D" w:themeFill="text2" w:themeFillShade="BF"/>
          </w:tcPr>
          <w:p w:rsidRPr="000A7086" w:rsidR="000A7086" w:rsidP="000A7086" w:rsidRDefault="000A7086" w14:paraId="1497F0A8" w14:textId="7B10A877">
            <w:pPr>
              <w:pStyle w:val="DHHSbody"/>
              <w:keepNext/>
              <w:rPr>
                <w:b/>
                <w:bCs/>
                <w:color w:val="FFFFFF" w:themeColor="background1"/>
              </w:rPr>
            </w:pPr>
            <w:r w:rsidRPr="000A7086">
              <w:rPr>
                <w:b/>
                <w:bCs/>
                <w:color w:val="FFFFFF" w:themeColor="background1"/>
              </w:rPr>
              <w:t>2. Agree</w:t>
            </w:r>
          </w:p>
        </w:tc>
        <w:tc>
          <w:tcPr>
            <w:tcW w:w="2790" w:type="dxa"/>
            <w:shd w:val="clear" w:color="auto" w:fill="17365D" w:themeFill="text2" w:themeFillShade="BF"/>
          </w:tcPr>
          <w:p w:rsidRPr="000A7086" w:rsidR="000A7086" w:rsidP="000A7086" w:rsidRDefault="000A7086" w14:paraId="23F829FC" w14:textId="3A415EDC">
            <w:pPr>
              <w:pStyle w:val="DHHSbody"/>
              <w:keepNext/>
              <w:jc w:val="both"/>
              <w:rPr>
                <w:b/>
                <w:bCs/>
                <w:color w:val="FFFFFF" w:themeColor="background1"/>
              </w:rPr>
            </w:pPr>
            <w:r w:rsidRPr="000A7086">
              <w:rPr>
                <w:b/>
                <w:bCs/>
                <w:color w:val="FFFFFF" w:themeColor="background1"/>
              </w:rPr>
              <w:t xml:space="preserve">3. Monitor </w:t>
            </w:r>
          </w:p>
        </w:tc>
        <w:tc>
          <w:tcPr>
            <w:tcW w:w="2189" w:type="dxa"/>
            <w:shd w:val="clear" w:color="auto" w:fill="17365D" w:themeFill="text2" w:themeFillShade="BF"/>
          </w:tcPr>
          <w:p w:rsidRPr="000A7086" w:rsidR="000A7086" w:rsidP="000A7086" w:rsidRDefault="000A7086" w14:paraId="026F70EF" w14:textId="55F56DEE">
            <w:pPr>
              <w:pStyle w:val="DHHSbody"/>
              <w:keepNext/>
              <w:rPr>
                <w:b/>
                <w:bCs/>
                <w:color w:val="FFFFFF" w:themeColor="background1"/>
              </w:rPr>
            </w:pPr>
            <w:r w:rsidRPr="000A7086">
              <w:rPr>
                <w:b/>
                <w:bCs/>
                <w:color w:val="FFFFFF" w:themeColor="background1"/>
              </w:rPr>
              <w:t>4. Close</w:t>
            </w:r>
          </w:p>
        </w:tc>
      </w:tr>
      <w:tr w:rsidR="00D339BD" w:rsidTr="003C7195" w14:paraId="4A5773EB" w14:textId="77777777">
        <w:trPr>
          <w:trHeight w:val="461"/>
        </w:trPr>
        <w:tc>
          <w:tcPr>
            <w:tcW w:w="2547" w:type="dxa"/>
          </w:tcPr>
          <w:p w:rsidRPr="00DD4587" w:rsidR="00DD4587" w:rsidRDefault="00DD4587" w14:paraId="1106C596" w14:textId="77777777">
            <w:pPr>
              <w:pStyle w:val="DHHSbody"/>
              <w:keepNext/>
              <w:numPr>
                <w:ilvl w:val="0"/>
                <w:numId w:val="38"/>
              </w:numPr>
            </w:pPr>
            <w:r w:rsidRPr="00DD4587">
              <w:t>Identify performance gaps</w:t>
            </w:r>
          </w:p>
          <w:p w:rsidRPr="00DD4587" w:rsidR="00DD4587" w:rsidRDefault="00DD4587" w14:paraId="4BD6CD5B" w14:textId="77777777">
            <w:pPr>
              <w:pStyle w:val="DHHSbody"/>
              <w:keepNext/>
              <w:numPr>
                <w:ilvl w:val="0"/>
                <w:numId w:val="38"/>
              </w:numPr>
            </w:pPr>
            <w:r w:rsidRPr="00DD4587">
              <w:t xml:space="preserve">Design measurable criteria linked to identified risks/performance concerns. </w:t>
            </w:r>
          </w:p>
          <w:p w:rsidR="00D339BD" w:rsidRDefault="00DD4587" w14:paraId="419AB563" w14:textId="0A90E8F0">
            <w:pPr>
              <w:pStyle w:val="DHHSbody"/>
              <w:keepNext/>
              <w:numPr>
                <w:ilvl w:val="0"/>
                <w:numId w:val="38"/>
              </w:numPr>
            </w:pPr>
            <w:r w:rsidRPr="00DD4587">
              <w:rPr>
                <w:rFonts w:eastAsia="Times New Roman"/>
                <w:color w:val="auto"/>
              </w:rPr>
              <w:t xml:space="preserve">Set expectations and timeline.  </w:t>
            </w:r>
          </w:p>
        </w:tc>
        <w:tc>
          <w:tcPr>
            <w:tcW w:w="2551" w:type="dxa"/>
          </w:tcPr>
          <w:p w:rsidRPr="00765D29" w:rsidR="00765D29" w:rsidRDefault="00765D29" w14:paraId="3F653888" w14:textId="77777777">
            <w:pPr>
              <w:pStyle w:val="DHHSbody"/>
              <w:keepNext/>
              <w:numPr>
                <w:ilvl w:val="0"/>
                <w:numId w:val="38"/>
              </w:numPr>
            </w:pPr>
            <w:r w:rsidRPr="00765D29">
              <w:t>Formal notification</w:t>
            </w:r>
          </w:p>
          <w:p w:rsidRPr="00765D29" w:rsidR="00765D29" w:rsidRDefault="00765D29" w14:paraId="29369545" w14:textId="77777777">
            <w:pPr>
              <w:pStyle w:val="DHHSbody"/>
              <w:keepNext/>
              <w:numPr>
                <w:ilvl w:val="0"/>
                <w:numId w:val="38"/>
              </w:numPr>
            </w:pPr>
            <w:r w:rsidRPr="00765D29">
              <w:t>Agree exit criteria and timelines.</w:t>
            </w:r>
          </w:p>
          <w:p w:rsidR="00D339BD" w:rsidRDefault="00765D29" w14:paraId="672D7E37" w14:textId="2E094611">
            <w:pPr>
              <w:pStyle w:val="DHHSbody"/>
              <w:keepNext/>
              <w:numPr>
                <w:ilvl w:val="0"/>
                <w:numId w:val="38"/>
              </w:numPr>
            </w:pPr>
            <w:r w:rsidRPr="00765D29">
              <w:rPr>
                <w:rFonts w:eastAsia="Times New Roman"/>
                <w:color w:val="auto"/>
              </w:rPr>
              <w:t>Develop Board approved Performance Improvement Plan (PiP).</w:t>
            </w:r>
          </w:p>
        </w:tc>
        <w:tc>
          <w:tcPr>
            <w:tcW w:w="2790" w:type="dxa"/>
          </w:tcPr>
          <w:p w:rsidRPr="00DA5AF7" w:rsidR="00DA5AF7" w:rsidRDefault="00DA5AF7" w14:paraId="367FF5FE" w14:textId="35CDC3E1">
            <w:pPr>
              <w:pStyle w:val="DHHSbody"/>
              <w:keepNext/>
              <w:numPr>
                <w:ilvl w:val="0"/>
                <w:numId w:val="38"/>
              </w:numPr>
            </w:pPr>
            <w:r w:rsidRPr="00DA5AF7">
              <w:t xml:space="preserve">Heath service </w:t>
            </w:r>
            <w:r w:rsidRPr="00DA5AF7" w:rsidR="0083169C">
              <w:t>provides</w:t>
            </w:r>
            <w:r w:rsidRPr="00DA5AF7">
              <w:t xml:space="preserve"> progress updates against the PiP </w:t>
            </w:r>
          </w:p>
          <w:p w:rsidR="00D339BD" w:rsidRDefault="00DA5AF7" w14:paraId="574FE95B" w14:textId="660CEC9C">
            <w:pPr>
              <w:pStyle w:val="DHHSbody"/>
              <w:keepNext/>
              <w:numPr>
                <w:ilvl w:val="0"/>
                <w:numId w:val="38"/>
              </w:numPr>
            </w:pPr>
            <w:r w:rsidRPr="00DA5AF7">
              <w:rPr>
                <w:rFonts w:eastAsia="Times New Roman"/>
                <w:color w:val="auto"/>
              </w:rPr>
              <w:t>Assess and review progress at the quarterly performance meeting.</w:t>
            </w:r>
          </w:p>
        </w:tc>
        <w:tc>
          <w:tcPr>
            <w:tcW w:w="2189" w:type="dxa"/>
          </w:tcPr>
          <w:p w:rsidRPr="00597D6D" w:rsidR="00597D6D" w:rsidRDefault="00597D6D" w14:paraId="1C797CF8" w14:textId="77777777">
            <w:pPr>
              <w:pStyle w:val="DHHSbody"/>
              <w:keepNext/>
              <w:numPr>
                <w:ilvl w:val="0"/>
                <w:numId w:val="38"/>
              </w:numPr>
            </w:pPr>
            <w:r w:rsidRPr="00597D6D">
              <w:rPr>
                <w:lang w:val="en-US"/>
              </w:rPr>
              <w:t xml:space="preserve">Confirm all criteria met and sustained over agreed period. </w:t>
            </w:r>
          </w:p>
          <w:p w:rsidRPr="00597D6D" w:rsidR="00597D6D" w:rsidRDefault="00597D6D" w14:paraId="7BBBEE23" w14:textId="77777777">
            <w:pPr>
              <w:pStyle w:val="DHHSbody"/>
              <w:keepNext/>
              <w:numPr>
                <w:ilvl w:val="0"/>
                <w:numId w:val="38"/>
              </w:numPr>
            </w:pPr>
            <w:r w:rsidRPr="00597D6D">
              <w:rPr>
                <w:lang w:val="en-US"/>
              </w:rPr>
              <w:t xml:space="preserve">Formally record/note closure of exit criterion. </w:t>
            </w:r>
          </w:p>
          <w:p w:rsidRPr="00597D6D" w:rsidR="00597D6D" w:rsidRDefault="00597D6D" w14:paraId="73ABAFD2" w14:textId="77777777">
            <w:pPr>
              <w:pStyle w:val="DHHSbody"/>
              <w:keepNext/>
              <w:numPr>
                <w:ilvl w:val="0"/>
                <w:numId w:val="38"/>
              </w:numPr>
            </w:pPr>
            <w:r w:rsidRPr="00597D6D">
              <w:rPr>
                <w:lang w:val="en-US"/>
              </w:rPr>
              <w:t xml:space="preserve">Performance tier assessed. </w:t>
            </w:r>
          </w:p>
          <w:p w:rsidR="00D339BD" w:rsidP="00365267" w:rsidRDefault="00D339BD" w14:paraId="2FB83F0C" w14:textId="77777777">
            <w:pPr>
              <w:pStyle w:val="DHHSbody"/>
              <w:keepNext/>
            </w:pPr>
          </w:p>
        </w:tc>
      </w:tr>
    </w:tbl>
    <w:p w:rsidR="009F5167" w:rsidP="00365267" w:rsidRDefault="00AF742A" w14:paraId="51F8937A" w14:textId="77777777">
      <w:pPr>
        <w:rPr>
          <w:i/>
          <w:iCs/>
          <w:color w:val="1F497D" w:themeColor="text2"/>
          <w:sz w:val="20"/>
        </w:rPr>
      </w:pPr>
      <w:r w:rsidRPr="00365267">
        <w:rPr>
          <w:b/>
          <w:bCs/>
          <w:i/>
          <w:iCs/>
          <w:color w:val="1F497D" w:themeColor="text2"/>
          <w:sz w:val="20"/>
        </w:rPr>
        <w:t xml:space="preserve">Figure </w:t>
      </w:r>
      <w:r w:rsidRPr="00365267">
        <w:rPr>
          <w:b/>
          <w:bCs/>
          <w:i/>
          <w:iCs/>
          <w:color w:val="1F497D" w:themeColor="text2"/>
          <w:sz w:val="20"/>
        </w:rPr>
        <w:fldChar w:fldCharType="begin"/>
      </w:r>
      <w:r w:rsidRPr="00365267">
        <w:rPr>
          <w:b/>
          <w:bCs/>
          <w:i/>
          <w:iCs/>
          <w:color w:val="1F497D" w:themeColor="text2"/>
          <w:sz w:val="20"/>
        </w:rPr>
        <w:instrText xml:space="preserve"> SEQ Figure \* ARABIC </w:instrText>
      </w:r>
      <w:r w:rsidRPr="00365267">
        <w:rPr>
          <w:b/>
          <w:bCs/>
          <w:i/>
          <w:iCs/>
          <w:color w:val="1F497D" w:themeColor="text2"/>
          <w:sz w:val="20"/>
        </w:rPr>
        <w:fldChar w:fldCharType="separate"/>
      </w:r>
      <w:r w:rsidR="00965FAC">
        <w:rPr>
          <w:b/>
          <w:bCs/>
          <w:i/>
          <w:iCs/>
          <w:noProof/>
          <w:color w:val="1F497D" w:themeColor="text2"/>
          <w:sz w:val="20"/>
        </w:rPr>
        <w:t>8</w:t>
      </w:r>
      <w:r w:rsidRPr="00365267">
        <w:rPr>
          <w:b/>
          <w:bCs/>
          <w:i/>
          <w:iCs/>
          <w:color w:val="1F497D" w:themeColor="text2"/>
          <w:sz w:val="20"/>
        </w:rPr>
        <w:fldChar w:fldCharType="end"/>
      </w:r>
      <w:r w:rsidRPr="00365267">
        <w:rPr>
          <w:i/>
          <w:iCs/>
          <w:color w:val="1F497D" w:themeColor="text2"/>
          <w:sz w:val="20"/>
        </w:rPr>
        <w:t xml:space="preserve"> Exit criteria lifecycle: develop, agree, monitor, and close.  </w:t>
      </w:r>
    </w:p>
    <w:p w:rsidRPr="009F5167" w:rsidR="00365267" w:rsidP="00895459" w:rsidRDefault="00AF742A" w14:paraId="109F52BC" w14:textId="292FC2E1">
      <w:pPr>
        <w:pStyle w:val="DHHSbody"/>
      </w:pPr>
      <w:r w:rsidRPr="00365267">
        <w:t>Performance concerns are translated into specific exit criteria agreed between the department and the health service. Progress is monitored through ongoing engagement and performance meetings</w:t>
      </w:r>
      <w:r w:rsidRPr="00365267" w:rsidR="00365267">
        <w:t>. Once criteria are met and sustained, they are formally closed.</w:t>
      </w:r>
    </w:p>
    <w:p w:rsidRPr="00895459" w:rsidR="00B214D0" w:rsidP="00895459" w:rsidRDefault="00B214D0" w14:paraId="79AC35F0" w14:textId="6EFE05B5">
      <w:pPr>
        <w:pStyle w:val="DHHSbody"/>
      </w:pPr>
      <w:r w:rsidRPr="00895459">
        <w:t>From 2026</w:t>
      </w:r>
      <w:r w:rsidR="006449CD">
        <w:t>-</w:t>
      </w:r>
      <w:r w:rsidRPr="00895459">
        <w:t>27, all services moving to an escalated tier will have a defined set of exit criteria. The department monitors progress through quarterly performance meetings and evidence supplied by the health service.</w:t>
      </w:r>
    </w:p>
    <w:p w:rsidRPr="00895459" w:rsidR="00173A38" w:rsidP="00895459" w:rsidRDefault="00FF52A4" w14:paraId="5C96978E" w14:textId="48047336">
      <w:pPr>
        <w:pStyle w:val="DHHSbody"/>
      </w:pPr>
      <w:r w:rsidRPr="00895459">
        <w:t>Exit Criteria are formally monitored and assessed through quarterly performance meetings. Health services report progress against each criterion using the P</w:t>
      </w:r>
      <w:r w:rsidR="007304B6">
        <w:t>i</w:t>
      </w:r>
      <w:r w:rsidRPr="00895459">
        <w:t xml:space="preserve">P and supporting evidence, which is reviewed by the department. </w:t>
      </w:r>
    </w:p>
    <w:p w:rsidRPr="00895459" w:rsidR="00FF52A4" w:rsidP="00895459" w:rsidRDefault="00FF52A4" w14:paraId="2E28B1E9" w14:textId="5FD80349">
      <w:pPr>
        <w:pStyle w:val="DHHSbody"/>
      </w:pPr>
      <w:r w:rsidRPr="00895459">
        <w:t>Where Exit Criteria are met and sustained, closure is formally recorded, and the department may recommend a performance tier review and potential de</w:t>
      </w:r>
      <w:r w:rsidRPr="00895459">
        <w:noBreakHyphen/>
      </w:r>
      <w:r w:rsidRPr="00895459">
        <w:t xml:space="preserve">escalation at the end of the relevant quarter. </w:t>
      </w:r>
      <w:r w:rsidRPr="00895459" w:rsidR="00B7379E">
        <w:t xml:space="preserve">Formal confirmation is provided in writing to the health services when all exit criteria have been closed, or where it is determined that new or amended exit criteria are required </w:t>
      </w:r>
    </w:p>
    <w:p w:rsidRPr="00E70B3A" w:rsidR="00C543F6" w:rsidP="00C543F6" w:rsidRDefault="00C543F6" w14:paraId="61288031" w14:textId="4C060977">
      <w:pPr>
        <w:pStyle w:val="Heading2"/>
        <w:rPr>
          <w:rFonts w:cs="Arial"/>
        </w:rPr>
      </w:pPr>
      <w:bookmarkStart w:name="_Toc235628541" w:id="22"/>
      <w:r w:rsidRPr="00E70B3A">
        <w:rPr>
          <w:rFonts w:cs="Arial"/>
        </w:rPr>
        <w:t>4.</w:t>
      </w:r>
      <w:r w:rsidRPr="00E70B3A" w:rsidR="00670977">
        <w:rPr>
          <w:rFonts w:cs="Arial"/>
        </w:rPr>
        <w:t>5</w:t>
      </w:r>
      <w:r w:rsidRPr="00E70B3A">
        <w:rPr>
          <w:rFonts w:cs="Arial"/>
        </w:rPr>
        <w:t xml:space="preserve"> Escalation Options</w:t>
      </w:r>
      <w:bookmarkEnd w:id="22"/>
      <w:r w:rsidRPr="00E70B3A">
        <w:rPr>
          <w:rFonts w:cs="Arial"/>
        </w:rPr>
        <w:t xml:space="preserve"> </w:t>
      </w:r>
    </w:p>
    <w:p w:rsidRPr="00E70B3A" w:rsidR="00C543F6" w:rsidP="00C543F6" w:rsidRDefault="00C543F6" w14:paraId="23270E8F" w14:textId="765D1591">
      <w:pPr>
        <w:pStyle w:val="DHHSbody"/>
        <w:rPr>
          <w:rFonts w:cs="Arial"/>
        </w:rPr>
      </w:pPr>
      <w:r w:rsidRPr="00E70B3A">
        <w:rPr>
          <w:rFonts w:cs="Arial"/>
        </w:rPr>
        <w:t xml:space="preserve">Where risks or performance concerns result in an elevated performance tier, the department will work with the health service to ensure appropriate action is taken to address concerns and minimise risk to patients or service delivery. Where performance does not improve despite support, escalation options outlined in </w:t>
      </w:r>
      <w:r w:rsidRPr="00E70B3A">
        <w:rPr>
          <w:rFonts w:cs="Arial"/>
          <w:b/>
          <w:bCs/>
        </w:rPr>
        <w:t xml:space="preserve">Appendix </w:t>
      </w:r>
      <w:r w:rsidRPr="00E70B3A" w:rsidR="00824DA0">
        <w:rPr>
          <w:rFonts w:cs="Arial"/>
          <w:b/>
          <w:bCs/>
        </w:rPr>
        <w:t>8</w:t>
      </w:r>
      <w:r w:rsidRPr="00E70B3A">
        <w:rPr>
          <w:rFonts w:cs="Arial"/>
        </w:rPr>
        <w:t xml:space="preserve"> will be considered – including appointing a Board delegate, commissioning an independent review or D</w:t>
      </w:r>
      <w:r w:rsidRPr="00E70B3A" w:rsidR="00961467">
        <w:rPr>
          <w:rFonts w:cs="Arial"/>
        </w:rPr>
        <w:t xml:space="preserve">epartment </w:t>
      </w:r>
      <w:r w:rsidRPr="00E70B3A">
        <w:rPr>
          <w:rFonts w:cs="Arial"/>
        </w:rPr>
        <w:t>-sanctioned audit, or, in extreme cases, Ministerial direction, censure or dismissal of the Board and appointment of an administrator.</w:t>
      </w:r>
    </w:p>
    <w:p w:rsidRPr="00A76A33" w:rsidR="00A76A33" w:rsidP="00A76A33" w:rsidRDefault="00A76A33" w14:paraId="268479F0" w14:textId="77777777">
      <w:pPr>
        <w:rPr>
          <w:rFonts w:eastAsia="Times" w:cs="Arial"/>
          <w:color w:val="000000" w:themeColor="text1"/>
        </w:rPr>
      </w:pPr>
      <w:r w:rsidRPr="00A76A33">
        <w:rPr>
          <w:rFonts w:eastAsia="Times" w:cs="Arial"/>
          <w:color w:val="000000" w:themeColor="text1"/>
        </w:rPr>
        <w:t>The department applies escalation options progressively, taking account of the severity, duration and nature of the concern.</w:t>
      </w:r>
    </w:p>
    <w:p w:rsidRPr="00E70B3A" w:rsidR="00C543F6" w:rsidP="00C543F6" w:rsidRDefault="00C543F6" w14:paraId="7550C5BB" w14:textId="5EB991E9">
      <w:pPr>
        <w:pStyle w:val="Heading2"/>
        <w:rPr>
          <w:rFonts w:cs="Arial"/>
        </w:rPr>
      </w:pPr>
      <w:bookmarkStart w:name="_Toc235628542" w:id="23"/>
      <w:r w:rsidRPr="00E70B3A">
        <w:rPr>
          <w:rFonts w:cs="Arial"/>
        </w:rPr>
        <w:t>4.</w:t>
      </w:r>
      <w:r w:rsidRPr="00E70B3A" w:rsidR="00670977">
        <w:rPr>
          <w:rFonts w:cs="Arial"/>
        </w:rPr>
        <w:t>6</w:t>
      </w:r>
      <w:r w:rsidRPr="00E70B3A">
        <w:rPr>
          <w:rFonts w:cs="Arial"/>
        </w:rPr>
        <w:t xml:space="preserve"> Performance Tier Change and Notification</w:t>
      </w:r>
      <w:bookmarkEnd w:id="23"/>
      <w:r w:rsidRPr="00E70B3A">
        <w:rPr>
          <w:rFonts w:cs="Arial"/>
        </w:rPr>
        <w:t xml:space="preserve"> </w:t>
      </w:r>
    </w:p>
    <w:p w:rsidRPr="00E70B3A" w:rsidR="006425E5" w:rsidP="006425E5" w:rsidRDefault="006425E5" w14:paraId="23239A35" w14:textId="3488D7D3">
      <w:pPr>
        <w:pStyle w:val="DHHSbody"/>
        <w:rPr>
          <w:rFonts w:cs="Arial"/>
        </w:rPr>
      </w:pPr>
      <w:r w:rsidRPr="00E70B3A">
        <w:rPr>
          <w:rFonts w:cs="Arial"/>
        </w:rPr>
        <w:t xml:space="preserve">Following the formal </w:t>
      </w:r>
      <w:r w:rsidR="00A01366">
        <w:rPr>
          <w:rFonts w:cs="Arial"/>
        </w:rPr>
        <w:t>QPM</w:t>
      </w:r>
      <w:r w:rsidRPr="00E70B3A">
        <w:rPr>
          <w:rFonts w:cs="Arial"/>
        </w:rPr>
        <w:t>, where a decision is made to change a health service’s performance tier, the department will formally notify the health service and the Board Chair of the decision.</w:t>
      </w:r>
    </w:p>
    <w:p w:rsidRPr="00E70B3A" w:rsidR="006425E5" w:rsidP="006425E5" w:rsidRDefault="006425E5" w14:paraId="27DFB24E" w14:textId="77777777">
      <w:pPr>
        <w:pStyle w:val="DHHSbody"/>
        <w:rPr>
          <w:rFonts w:cs="Arial"/>
        </w:rPr>
      </w:pPr>
      <w:r w:rsidRPr="00E70B3A">
        <w:rPr>
          <w:rFonts w:cs="Arial"/>
        </w:rPr>
        <w:t>The notification will outline:</w:t>
      </w:r>
    </w:p>
    <w:p w:rsidRPr="00E70B3A" w:rsidR="006425E5" w:rsidP="00891C03" w:rsidRDefault="006425E5" w14:paraId="4BC82603" w14:textId="5424A0C6">
      <w:pPr>
        <w:pStyle w:val="DHHSbody"/>
        <w:numPr>
          <w:ilvl w:val="0"/>
          <w:numId w:val="21"/>
        </w:numPr>
        <w:rPr>
          <w:rFonts w:cs="Arial"/>
        </w:rPr>
      </w:pPr>
      <w:r w:rsidRPr="00E70B3A">
        <w:rPr>
          <w:rFonts w:cs="Arial"/>
        </w:rPr>
        <w:t xml:space="preserve">the new performance tier and the rationale for the </w:t>
      </w:r>
      <w:r w:rsidRPr="00E70B3A" w:rsidR="00901FE3">
        <w:rPr>
          <w:rFonts w:cs="Arial"/>
        </w:rPr>
        <w:t>decision</w:t>
      </w:r>
      <w:r w:rsidRPr="00E70B3A" w:rsidR="00BE5E33">
        <w:rPr>
          <w:rFonts w:cs="Arial"/>
        </w:rPr>
        <w:t>;</w:t>
      </w:r>
    </w:p>
    <w:p w:rsidRPr="00E70B3A" w:rsidR="006425E5" w:rsidP="00891C03" w:rsidRDefault="006425E5" w14:paraId="58672C76" w14:textId="1C38B91A">
      <w:pPr>
        <w:pStyle w:val="DHHSbody"/>
        <w:numPr>
          <w:ilvl w:val="0"/>
          <w:numId w:val="21"/>
        </w:numPr>
        <w:rPr>
          <w:rFonts w:cs="Arial"/>
        </w:rPr>
      </w:pPr>
      <w:r w:rsidRPr="00E70B3A">
        <w:rPr>
          <w:rFonts w:cs="Arial"/>
        </w:rPr>
        <w:t>the department’s expectations of the health service at the assigned tier</w:t>
      </w:r>
      <w:r w:rsidRPr="00E70B3A" w:rsidR="00BE5E33">
        <w:rPr>
          <w:rFonts w:cs="Arial"/>
        </w:rPr>
        <w:t>;</w:t>
      </w:r>
    </w:p>
    <w:p w:rsidRPr="00E70B3A" w:rsidR="006425E5" w:rsidP="00891C03" w:rsidRDefault="006425E5" w14:paraId="09218FE0" w14:textId="77777777">
      <w:pPr>
        <w:pStyle w:val="DHHSbody"/>
        <w:numPr>
          <w:ilvl w:val="0"/>
          <w:numId w:val="21"/>
        </w:numPr>
        <w:rPr>
          <w:rFonts w:cs="Arial"/>
        </w:rPr>
      </w:pPr>
      <w:r w:rsidRPr="00E70B3A">
        <w:rPr>
          <w:rFonts w:cs="Arial"/>
        </w:rPr>
        <w:t>the review timeframe, including clearly defined Exit Criteria and the pathway for de</w:t>
      </w:r>
      <w:r w:rsidRPr="00E70B3A">
        <w:rPr>
          <w:rFonts w:cs="Arial"/>
        </w:rPr>
        <w:noBreakHyphen/>
      </w:r>
      <w:r w:rsidRPr="00E70B3A">
        <w:rPr>
          <w:rFonts w:cs="Arial"/>
        </w:rPr>
        <w:t>escalation;</w:t>
      </w:r>
    </w:p>
    <w:p w:rsidRPr="00E70B3A" w:rsidR="006425E5" w:rsidP="00891C03" w:rsidRDefault="006425E5" w14:paraId="67993227" w14:textId="77777777">
      <w:pPr>
        <w:pStyle w:val="DHHSbody"/>
        <w:numPr>
          <w:ilvl w:val="0"/>
          <w:numId w:val="21"/>
        </w:numPr>
        <w:rPr>
          <w:rFonts w:cs="Arial"/>
        </w:rPr>
      </w:pPr>
      <w:r w:rsidRPr="00E70B3A">
        <w:rPr>
          <w:rFonts w:cs="Arial"/>
        </w:rPr>
        <w:t>acknowledgement and acceptance of the agreed Exit Criteria;</w:t>
      </w:r>
    </w:p>
    <w:p w:rsidRPr="00E70B3A" w:rsidR="006425E5" w:rsidP="00891C03" w:rsidRDefault="006425E5" w14:paraId="7B2601B1" w14:textId="77777777">
      <w:pPr>
        <w:pStyle w:val="DHHSbody"/>
        <w:numPr>
          <w:ilvl w:val="0"/>
          <w:numId w:val="21"/>
        </w:numPr>
        <w:rPr>
          <w:rFonts w:cs="Arial"/>
        </w:rPr>
      </w:pPr>
      <w:r w:rsidRPr="00E70B3A">
        <w:rPr>
          <w:rFonts w:cs="Arial"/>
        </w:rPr>
        <w:t>any escalation options that may be considered where improvement is not sustained; and</w:t>
      </w:r>
    </w:p>
    <w:p w:rsidRPr="00E70B3A" w:rsidR="006425E5" w:rsidP="00891C03" w:rsidRDefault="006425E5" w14:paraId="7C1BE958" w14:textId="2DC5BF1C">
      <w:pPr>
        <w:pStyle w:val="DHHSbody"/>
        <w:numPr>
          <w:ilvl w:val="0"/>
          <w:numId w:val="21"/>
        </w:numPr>
        <w:rPr>
          <w:rFonts w:cs="Arial"/>
        </w:rPr>
      </w:pPr>
      <w:r w:rsidRPr="00E70B3A">
        <w:rPr>
          <w:rFonts w:cs="Arial"/>
        </w:rPr>
        <w:t>a request for the health service to develop, or revise, a Board</w:t>
      </w:r>
      <w:r w:rsidRPr="00E70B3A">
        <w:rPr>
          <w:rFonts w:cs="Arial"/>
        </w:rPr>
        <w:noBreakHyphen/>
      </w:r>
      <w:r w:rsidRPr="00E70B3A">
        <w:rPr>
          <w:rFonts w:cs="Arial"/>
        </w:rPr>
        <w:t>approved Performance Improvement Plan (P</w:t>
      </w:r>
      <w:r w:rsidR="007304B6">
        <w:rPr>
          <w:rFonts w:cs="Arial"/>
        </w:rPr>
        <w:t>i</w:t>
      </w:r>
      <w:r w:rsidRPr="00E70B3A">
        <w:rPr>
          <w:rFonts w:cs="Arial"/>
        </w:rPr>
        <w:t>P) that sets out agreed actions, responsibilities and timeframes.</w:t>
      </w:r>
    </w:p>
    <w:p w:rsidRPr="00E70B3A" w:rsidR="006425E5" w:rsidP="006425E5" w:rsidRDefault="006425E5" w14:paraId="55D3D386" w14:textId="77777777">
      <w:pPr>
        <w:pStyle w:val="DHHSbody"/>
        <w:rPr>
          <w:rFonts w:cs="Arial"/>
        </w:rPr>
      </w:pPr>
      <w:r w:rsidRPr="00E70B3A">
        <w:rPr>
          <w:rFonts w:cs="Arial"/>
        </w:rPr>
        <w:t>The department will document the rationale for the tier change, the associated level of monitoring, support or intervention, and any agreed actions and timeframes. At a minimum, each action will clearly identify the responsible party, the required action, and the timeframe for completion or review.</w:t>
      </w:r>
    </w:p>
    <w:p w:rsidRPr="00E70B3A" w:rsidR="00CD121B" w:rsidRDefault="00CD121B" w14:paraId="54A5B83F" w14:textId="77777777">
      <w:pPr>
        <w:spacing w:after="0" w:line="240" w:lineRule="auto"/>
        <w:rPr>
          <w:rFonts w:eastAsia="MS Gothic" w:cs="Arial"/>
          <w:bCs/>
          <w:color w:val="201547"/>
          <w:kern w:val="32"/>
          <w:sz w:val="44"/>
          <w:szCs w:val="44"/>
        </w:rPr>
      </w:pPr>
      <w:r w:rsidRPr="00E70B3A">
        <w:rPr>
          <w:rFonts w:cs="Arial"/>
        </w:rPr>
        <w:br w:type="page"/>
      </w:r>
    </w:p>
    <w:p w:rsidRPr="00E70B3A" w:rsidR="00C543F6" w:rsidP="00C543F6" w:rsidRDefault="00C543F6" w14:paraId="3FD346D1" w14:textId="52D43541">
      <w:pPr>
        <w:pStyle w:val="Heading1"/>
      </w:pPr>
      <w:bookmarkStart w:name="_Toc235628543" w:id="24"/>
      <w:r w:rsidRPr="00E70B3A">
        <w:t>5.</w:t>
      </w:r>
      <w:r w:rsidRPr="00E70B3A" w:rsidR="003318C0">
        <w:t xml:space="preserve"> Quarterly Performance Cycle</w:t>
      </w:r>
      <w:bookmarkEnd w:id="24"/>
      <w:r w:rsidRPr="00E70B3A" w:rsidR="003318C0">
        <w:t xml:space="preserve"> </w:t>
      </w:r>
      <w:r w:rsidRPr="00E70B3A">
        <w:t xml:space="preserve"> </w:t>
      </w:r>
    </w:p>
    <w:p w:rsidRPr="003B6F63" w:rsidR="00970244" w:rsidP="00970244" w:rsidRDefault="00970244" w14:paraId="3DE865EB" w14:textId="77777777">
      <w:pPr>
        <w:pStyle w:val="DHHSbody"/>
        <w:rPr>
          <w:rFonts w:cs="Arial"/>
        </w:rPr>
      </w:pPr>
      <w:r w:rsidRPr="003B6F63">
        <w:rPr>
          <w:rFonts w:cs="Arial"/>
        </w:rPr>
        <w:t>The quarterly performance cycle provides a structured approach to performance oversight between the department and health services, supporting sustained performance improvement and clear accountability.</w:t>
      </w:r>
    </w:p>
    <w:p w:rsidRPr="003B6F63" w:rsidR="00970244" w:rsidP="00970244" w:rsidRDefault="00970244" w14:paraId="179AAEA8" w14:textId="01AFF9DC">
      <w:pPr>
        <w:pStyle w:val="DHHSbody"/>
        <w:rPr>
          <w:rFonts w:cs="Arial"/>
        </w:rPr>
      </w:pPr>
      <w:r w:rsidRPr="003B6F63">
        <w:rPr>
          <w:rFonts w:cs="Arial"/>
        </w:rPr>
        <w:t xml:space="preserve">The department reviews performance each quarter against agreed targets and identifies unmet or deteriorating measures. Where sustained deterioration is identified, issues are discussed with the health service through </w:t>
      </w:r>
      <w:r w:rsidR="004C2BBA">
        <w:rPr>
          <w:rFonts w:cs="Arial"/>
        </w:rPr>
        <w:t>ongoing</w:t>
      </w:r>
      <w:r w:rsidRPr="003B6F63">
        <w:rPr>
          <w:rFonts w:cs="Arial"/>
        </w:rPr>
        <w:t xml:space="preserve"> health service engagement at the local level.</w:t>
      </w:r>
      <w:r w:rsidRPr="003B6F63" w:rsidR="00142E6D">
        <w:t xml:space="preserve"> </w:t>
      </w:r>
      <w:r w:rsidRPr="003B6F63" w:rsidR="00142E6D">
        <w:rPr>
          <w:rFonts w:cs="Arial"/>
        </w:rPr>
        <w:t xml:space="preserve">Health services engage with the relevant </w:t>
      </w:r>
      <w:r w:rsidR="00A50E12">
        <w:rPr>
          <w:rFonts w:cs="Arial"/>
        </w:rPr>
        <w:t>sub-domain</w:t>
      </w:r>
      <w:r w:rsidRPr="003B6F63" w:rsidR="00142E6D">
        <w:rPr>
          <w:rFonts w:cs="Arial"/>
        </w:rPr>
        <w:t xml:space="preserve"> responsible for each measure or performance expectation (see </w:t>
      </w:r>
      <w:r w:rsidRPr="003E605E" w:rsidR="00142E6D">
        <w:rPr>
          <w:rFonts w:cs="Arial"/>
          <w:b/>
          <w:bCs/>
        </w:rPr>
        <w:t>Section 7.2.2</w:t>
      </w:r>
      <w:r w:rsidRPr="003B6F63" w:rsidR="003B6F63">
        <w:rPr>
          <w:rFonts w:cs="Arial"/>
        </w:rPr>
        <w:t>)</w:t>
      </w:r>
    </w:p>
    <w:p w:rsidRPr="003B6F63" w:rsidR="00970244" w:rsidP="00970244" w:rsidRDefault="00970244" w14:paraId="242B250C" w14:textId="681DDF36">
      <w:pPr>
        <w:pStyle w:val="DHHSbody"/>
        <w:rPr>
          <w:rFonts w:cs="Arial"/>
        </w:rPr>
      </w:pPr>
      <w:r w:rsidRPr="003B6F63">
        <w:rPr>
          <w:rFonts w:cs="Arial"/>
        </w:rPr>
        <w:t xml:space="preserve">For services in Standard Oversight, formal Quarterly Performance Meetings (QPMs) are only convened where emerging issues are not resolved through </w:t>
      </w:r>
      <w:r w:rsidR="004C2BBA">
        <w:rPr>
          <w:rFonts w:cs="Arial"/>
        </w:rPr>
        <w:t xml:space="preserve">ongoing </w:t>
      </w:r>
      <w:r w:rsidRPr="003B6F63" w:rsidR="00405A0B">
        <w:rPr>
          <w:rFonts w:cs="Arial"/>
        </w:rPr>
        <w:t>health service engagement</w:t>
      </w:r>
      <w:r w:rsidRPr="003B6F63">
        <w:rPr>
          <w:rFonts w:cs="Arial"/>
        </w:rPr>
        <w:t xml:space="preserve">. In these cases, </w:t>
      </w:r>
      <w:r w:rsidRPr="003B6F63" w:rsidR="00405A0B">
        <w:rPr>
          <w:rFonts w:cs="Arial"/>
        </w:rPr>
        <w:t xml:space="preserve">formal </w:t>
      </w:r>
      <w:r w:rsidRPr="003B6F63">
        <w:rPr>
          <w:rFonts w:cs="Arial"/>
        </w:rPr>
        <w:t>QPMs are targeted and time</w:t>
      </w:r>
      <w:r w:rsidRPr="003B6F63">
        <w:rPr>
          <w:rFonts w:cs="Arial"/>
        </w:rPr>
        <w:noBreakHyphen/>
      </w:r>
      <w:r w:rsidRPr="003B6F63">
        <w:rPr>
          <w:rFonts w:cs="Arial"/>
        </w:rPr>
        <w:t xml:space="preserve">limited, with escalation and defined </w:t>
      </w:r>
      <w:r w:rsidRPr="003B6F63" w:rsidR="00604B70">
        <w:rPr>
          <w:rFonts w:cs="Arial"/>
        </w:rPr>
        <w:t>e</w:t>
      </w:r>
      <w:r w:rsidRPr="003B6F63">
        <w:rPr>
          <w:rFonts w:cs="Arial"/>
        </w:rPr>
        <w:t xml:space="preserve">xit </w:t>
      </w:r>
      <w:r w:rsidRPr="003B6F63" w:rsidR="00604B70">
        <w:rPr>
          <w:rFonts w:cs="Arial"/>
        </w:rPr>
        <w:t>c</w:t>
      </w:r>
      <w:r w:rsidRPr="003B6F63">
        <w:rPr>
          <w:rFonts w:cs="Arial"/>
        </w:rPr>
        <w:t xml:space="preserve">riteria </w:t>
      </w:r>
      <w:r w:rsidRPr="003B6F63" w:rsidR="00604B70">
        <w:rPr>
          <w:rFonts w:cs="Arial"/>
        </w:rPr>
        <w:t>developed</w:t>
      </w:r>
      <w:r w:rsidRPr="003B6F63">
        <w:rPr>
          <w:rFonts w:cs="Arial"/>
        </w:rPr>
        <w:t xml:space="preserve"> if performance continues to decline.</w:t>
      </w:r>
    </w:p>
    <w:p w:rsidR="00970244" w:rsidP="00970244" w:rsidRDefault="00970244" w14:paraId="2638F1D0" w14:textId="05E86C2B">
      <w:pPr>
        <w:pStyle w:val="DHHSbody"/>
        <w:rPr>
          <w:rFonts w:cs="Arial"/>
        </w:rPr>
      </w:pPr>
      <w:r w:rsidRPr="003B6F63">
        <w:rPr>
          <w:rFonts w:cs="Arial"/>
        </w:rPr>
        <w:t xml:space="preserve">For services in escalated performance tiers—Performance Support and Mandated Intensive Support—formal QPMs and </w:t>
      </w:r>
      <w:r w:rsidR="006619E4">
        <w:rPr>
          <w:rFonts w:cs="Arial"/>
        </w:rPr>
        <w:t>in-cycle meeting</w:t>
      </w:r>
      <w:r w:rsidR="000E27BC">
        <w:rPr>
          <w:rFonts w:cs="Arial"/>
        </w:rPr>
        <w:t>s</w:t>
      </w:r>
      <w:r w:rsidRPr="003B6F63">
        <w:rPr>
          <w:rFonts w:cs="Arial"/>
        </w:rPr>
        <w:t xml:space="preserve"> form the primary mechanism for oversight. QPMs focus on addressing key performance issues, clarifying accountability, and tracking progress against Exit Criteria and the Performance Improvement Plan (PiP), while </w:t>
      </w:r>
      <w:r w:rsidR="006619E4">
        <w:rPr>
          <w:rFonts w:cs="Arial"/>
        </w:rPr>
        <w:t>in-cycle meeting</w:t>
      </w:r>
      <w:r w:rsidR="000E27BC">
        <w:rPr>
          <w:rFonts w:cs="Arial"/>
        </w:rPr>
        <w:t>s</w:t>
      </w:r>
      <w:r w:rsidRPr="003B6F63">
        <w:rPr>
          <w:rFonts w:cs="Arial"/>
        </w:rPr>
        <w:t xml:space="preserve"> </w:t>
      </w:r>
      <w:r w:rsidRPr="003B6F63" w:rsidR="0083169C">
        <w:rPr>
          <w:rFonts w:cs="Arial"/>
        </w:rPr>
        <w:t>provide</w:t>
      </w:r>
      <w:r w:rsidRPr="003B6F63">
        <w:rPr>
          <w:rFonts w:cs="Arial"/>
        </w:rPr>
        <w:t xml:space="preserve"> ongoing monitoring and support between formal meetings.</w:t>
      </w:r>
    </w:p>
    <w:p w:rsidRPr="00970244" w:rsidR="00281824" w:rsidP="00970244" w:rsidRDefault="00281824" w14:paraId="77BD3FEE" w14:textId="3459D3A2">
      <w:pPr>
        <w:pStyle w:val="DHHSbody"/>
        <w:rPr>
          <w:rFonts w:cs="Arial"/>
        </w:rPr>
      </w:pPr>
      <w:r w:rsidRPr="00D00AD7">
        <w:rPr>
          <w:rFonts w:cs="Arial"/>
        </w:rPr>
        <w:t xml:space="preserve">Performance assessments may draw on both quarterly reporting and available live operational data, where appropriate, to support timely oversight of health service performance. This is particularly relevant for financial performance discussions, where </w:t>
      </w:r>
      <w:r>
        <w:rPr>
          <w:rFonts w:cs="Arial"/>
        </w:rPr>
        <w:t>most current</w:t>
      </w:r>
      <w:r w:rsidRPr="00D00AD7">
        <w:rPr>
          <w:rFonts w:cs="Arial"/>
        </w:rPr>
        <w:t xml:space="preserve"> financial data may be used to assess emerging risks, trends and financial sustainability.</w:t>
      </w:r>
    </w:p>
    <w:p w:rsidR="003B7C0D" w:rsidP="00276113" w:rsidRDefault="000E2757" w14:paraId="00C0407C" w14:textId="13BE9742">
      <w:pPr>
        <w:pStyle w:val="Heading2"/>
        <w:rPr>
          <w:rFonts w:cs="Arial"/>
          <w:color w:val="000000" w:themeColor="text1"/>
        </w:rPr>
      </w:pPr>
      <w:bookmarkStart w:name="_Toc229486139" w:id="25"/>
      <w:bookmarkStart w:name="_Toc235628544" w:id="26"/>
      <w:r w:rsidRPr="00E70B3A">
        <w:rPr>
          <w:rFonts w:cs="Arial"/>
        </w:rPr>
        <w:t>5.</w:t>
      </w:r>
      <w:r w:rsidR="000A462E">
        <w:rPr>
          <w:rFonts w:cs="Arial"/>
        </w:rPr>
        <w:t>1</w:t>
      </w:r>
      <w:r w:rsidRPr="00E70B3A">
        <w:rPr>
          <w:rFonts w:cs="Arial"/>
        </w:rPr>
        <w:t xml:space="preserve"> </w:t>
      </w:r>
      <w:bookmarkEnd w:id="25"/>
      <w:r w:rsidRPr="00E70B3A" w:rsidR="000C22AA">
        <w:rPr>
          <w:rFonts w:cs="Arial"/>
          <w:color w:val="000000" w:themeColor="text1"/>
        </w:rPr>
        <w:t>Formal Quarterly Performance Meeting</w:t>
      </w:r>
      <w:r w:rsidR="00745608">
        <w:rPr>
          <w:rFonts w:cs="Arial"/>
          <w:color w:val="000000" w:themeColor="text1"/>
        </w:rPr>
        <w:t xml:space="preserve"> (QPM)</w:t>
      </w:r>
      <w:bookmarkEnd w:id="26"/>
    </w:p>
    <w:p w:rsidRPr="00A11F81" w:rsidR="00911DC8" w:rsidP="00A11F81" w:rsidRDefault="005E03DC" w14:paraId="6983158F" w14:textId="14C98F5E">
      <w:pPr>
        <w:pStyle w:val="Body"/>
      </w:pPr>
      <w:r w:rsidRPr="00E70B3A">
        <w:rPr>
          <w:rFonts w:cs="Arial"/>
          <w:b/>
          <w:bCs/>
          <w:color w:val="000000" w:themeColor="text1"/>
        </w:rPr>
        <w:t>Formal Quarterly Performance Meeting</w:t>
      </w:r>
      <w:r w:rsidR="00745608">
        <w:rPr>
          <w:rFonts w:cs="Arial"/>
          <w:b/>
          <w:bCs/>
          <w:color w:val="000000" w:themeColor="text1"/>
        </w:rPr>
        <w:t xml:space="preserve"> (QPM)</w:t>
      </w:r>
      <w:r w:rsidRPr="00E70B3A">
        <w:rPr>
          <w:rFonts w:cs="Arial"/>
          <w:b/>
          <w:bCs/>
          <w:color w:val="000000" w:themeColor="text1"/>
        </w:rPr>
        <w:t xml:space="preserve"> </w:t>
      </w:r>
      <w:r w:rsidRPr="00E70B3A">
        <w:rPr>
          <w:rFonts w:cs="Arial"/>
          <w:color w:val="000000" w:themeColor="text1"/>
        </w:rPr>
        <w:t>is a structured meeting with health service to discuss emerging risks and performance concerns outlined in the Exit Criteria.</w:t>
      </w:r>
      <w:r w:rsidRPr="00E70B3A">
        <w:rPr>
          <w:rFonts w:cs="Arial"/>
        </w:rPr>
        <w:t xml:space="preserve"> </w:t>
      </w:r>
      <w:r w:rsidRPr="00E70B3A">
        <w:rPr>
          <w:rFonts w:cs="Arial"/>
          <w:color w:val="000000" w:themeColor="text1"/>
        </w:rPr>
        <w:t>This ensures performance risks are actively managed, progress is transparent, and improvement efforts remain focused and outcome oriented.</w:t>
      </w:r>
    </w:p>
    <w:p w:rsidRPr="00E70B3A" w:rsidR="007F7E8C" w:rsidP="00240DC5" w:rsidRDefault="007F7E8C" w14:paraId="28586B66" w14:textId="65BFCDCE">
      <w:pPr>
        <w:pStyle w:val="DHHSbody"/>
        <w:rPr>
          <w:rFonts w:cs="Arial"/>
          <w:b/>
          <w:bCs/>
        </w:rPr>
      </w:pPr>
      <w:r w:rsidRPr="00E70B3A">
        <w:rPr>
          <w:rFonts w:cs="Arial"/>
          <w:b/>
          <w:bCs/>
        </w:rPr>
        <w:t xml:space="preserve">Key aims: </w:t>
      </w:r>
    </w:p>
    <w:p w:rsidRPr="00E70B3A" w:rsidR="006A2B84" w:rsidP="00891C03" w:rsidRDefault="00B112B5" w14:paraId="3A92C0F6" w14:textId="66AEAE10">
      <w:pPr>
        <w:pStyle w:val="DHHSbody"/>
        <w:numPr>
          <w:ilvl w:val="0"/>
          <w:numId w:val="23"/>
        </w:numPr>
        <w:rPr>
          <w:rFonts w:cs="Arial"/>
        </w:rPr>
      </w:pPr>
      <w:r w:rsidRPr="00E70B3A">
        <w:rPr>
          <w:rFonts w:cs="Arial"/>
        </w:rPr>
        <w:t>F</w:t>
      </w:r>
      <w:r w:rsidRPr="00E70B3A" w:rsidR="00240DC5">
        <w:rPr>
          <w:rFonts w:cs="Arial"/>
        </w:rPr>
        <w:t xml:space="preserve">ormal </w:t>
      </w:r>
      <w:r w:rsidR="00A11F81">
        <w:rPr>
          <w:rFonts w:cs="Arial"/>
        </w:rPr>
        <w:t>QPMs</w:t>
      </w:r>
      <w:r w:rsidRPr="00E70B3A" w:rsidR="00240DC5">
        <w:rPr>
          <w:rFonts w:cs="Arial"/>
        </w:rPr>
        <w:t xml:space="preserve"> support timely intervention ensure sustained focus on performance concerns.</w:t>
      </w:r>
    </w:p>
    <w:p w:rsidRPr="00E70B3A" w:rsidR="006A2B84" w:rsidP="00891C03" w:rsidRDefault="006A2B84" w14:paraId="1B521DE0" w14:textId="65C5A959">
      <w:pPr>
        <w:pStyle w:val="DHHSbody"/>
        <w:numPr>
          <w:ilvl w:val="0"/>
          <w:numId w:val="23"/>
        </w:numPr>
        <w:rPr>
          <w:rFonts w:cs="Arial"/>
        </w:rPr>
      </w:pPr>
      <w:r w:rsidRPr="00E70B3A">
        <w:rPr>
          <w:rFonts w:cs="Arial"/>
        </w:rPr>
        <w:t xml:space="preserve">Establish </w:t>
      </w:r>
      <w:r w:rsidRPr="00E70B3A" w:rsidR="00240DC5">
        <w:rPr>
          <w:rFonts w:cs="Arial"/>
        </w:rPr>
        <w:t>clear accountability for performance outcomes and monitor progress against agreed actions, including delivery of Performance Improvement Plans (P</w:t>
      </w:r>
      <w:r w:rsidR="007304B6">
        <w:rPr>
          <w:rFonts w:cs="Arial"/>
        </w:rPr>
        <w:t>i</w:t>
      </w:r>
      <w:r w:rsidRPr="00E70B3A" w:rsidR="00240DC5">
        <w:rPr>
          <w:rFonts w:cs="Arial"/>
        </w:rPr>
        <w:t xml:space="preserve">Ps) and Exit Criteria where applicable. </w:t>
      </w:r>
    </w:p>
    <w:p w:rsidRPr="00E70B3A" w:rsidR="00240DC5" w:rsidP="00891C03" w:rsidRDefault="00453F50" w14:paraId="70BC313C" w14:textId="192C8660">
      <w:pPr>
        <w:pStyle w:val="DHHSbody"/>
        <w:numPr>
          <w:ilvl w:val="0"/>
          <w:numId w:val="23"/>
        </w:numPr>
        <w:rPr>
          <w:rFonts w:cs="Arial"/>
        </w:rPr>
      </w:pPr>
      <w:r w:rsidRPr="00E70B3A">
        <w:rPr>
          <w:rFonts w:cs="Arial"/>
        </w:rPr>
        <w:t xml:space="preserve">Drive </w:t>
      </w:r>
      <w:r w:rsidRPr="00E70B3A" w:rsidR="00AC1837">
        <w:rPr>
          <w:rFonts w:cs="Arial"/>
        </w:rPr>
        <w:t>s</w:t>
      </w:r>
      <w:r w:rsidRPr="00E70B3A" w:rsidR="00240DC5">
        <w:rPr>
          <w:rFonts w:cs="Arial"/>
        </w:rPr>
        <w:t xml:space="preserve">hared understanding of </w:t>
      </w:r>
      <w:r w:rsidRPr="00E70B3A">
        <w:rPr>
          <w:rFonts w:cs="Arial"/>
        </w:rPr>
        <w:t xml:space="preserve">performance </w:t>
      </w:r>
      <w:r w:rsidRPr="00E70B3A" w:rsidR="00240DC5">
        <w:rPr>
          <w:rFonts w:cs="Arial"/>
        </w:rPr>
        <w:t>issues, expectations and priorities between the department and the health service.</w:t>
      </w:r>
    </w:p>
    <w:p w:rsidRPr="00E70B3A" w:rsidR="001E563C" w:rsidP="00891C03" w:rsidRDefault="00453F50" w14:paraId="69FCFA54" w14:textId="64C43BA4">
      <w:pPr>
        <w:pStyle w:val="DHHSbody"/>
        <w:numPr>
          <w:ilvl w:val="0"/>
          <w:numId w:val="23"/>
        </w:numPr>
        <w:rPr>
          <w:rFonts w:cs="Arial"/>
        </w:rPr>
      </w:pPr>
      <w:r w:rsidRPr="00E70B3A">
        <w:rPr>
          <w:rFonts w:cs="Arial"/>
        </w:rPr>
        <w:t xml:space="preserve">Drive </w:t>
      </w:r>
      <w:r w:rsidRPr="00E70B3A" w:rsidR="00240DC5">
        <w:rPr>
          <w:rFonts w:cs="Arial"/>
        </w:rPr>
        <w:t xml:space="preserve">disciplined follow through by agreeing clear, measurable actions with defined responsibilities and timeframes. </w:t>
      </w:r>
    </w:p>
    <w:p w:rsidR="004B6DD1" w:rsidP="00AE19BB" w:rsidRDefault="004B6DD1" w14:paraId="40BAFCD3" w14:textId="0D95C77B">
      <w:pPr>
        <w:pStyle w:val="DHHSbody"/>
        <w:rPr>
          <w:rFonts w:cs="Arial"/>
        </w:rPr>
      </w:pPr>
      <w:r w:rsidRPr="004B6DD1">
        <w:rPr>
          <w:rFonts w:cs="Arial"/>
        </w:rPr>
        <w:t xml:space="preserve">Formal </w:t>
      </w:r>
      <w:r w:rsidR="00305D5C">
        <w:rPr>
          <w:rFonts w:cs="Arial"/>
        </w:rPr>
        <w:t>QPMs</w:t>
      </w:r>
      <w:r w:rsidRPr="004B6DD1">
        <w:rPr>
          <w:rFonts w:cs="Arial"/>
        </w:rPr>
        <w:t xml:space="preserve"> are required for services in Performance Support or Mandated Intensive Support. They may also be used for a service in Standard Oversight if the department considers that formal discussion is needed for an emerging issue.</w:t>
      </w:r>
    </w:p>
    <w:p w:rsidRPr="00E70B3A" w:rsidR="00AE19BB" w:rsidP="00AE19BB" w:rsidRDefault="00AE19BB" w14:paraId="125B754C" w14:textId="7FECF68A">
      <w:pPr>
        <w:pStyle w:val="DHHSbody"/>
        <w:rPr>
          <w:rFonts w:cs="Arial"/>
        </w:rPr>
      </w:pPr>
      <w:r w:rsidRPr="00E70B3A">
        <w:rPr>
          <w:rFonts w:cs="Arial"/>
        </w:rPr>
        <w:t xml:space="preserve">Where a decision is made to change a health service’s performance tier from Standard Oversight to an escalated performance tier, the Exit Criteria process will be initiated in accordance with the </w:t>
      </w:r>
      <w:r w:rsidR="004B6DD1">
        <w:rPr>
          <w:rFonts w:cs="Arial"/>
        </w:rPr>
        <w:t>f</w:t>
      </w:r>
      <w:r w:rsidRPr="00E70B3A">
        <w:rPr>
          <w:rFonts w:cs="Arial"/>
        </w:rPr>
        <w:t>ramework.</w:t>
      </w:r>
    </w:p>
    <w:p w:rsidRPr="00E70B3A" w:rsidR="00AE19BB" w:rsidP="00AE19BB" w:rsidRDefault="00AE19BB" w14:paraId="59AFACFD" w14:textId="4C5A18CA">
      <w:pPr>
        <w:pStyle w:val="DHHSbody"/>
        <w:rPr>
          <w:rFonts w:cs="Arial"/>
        </w:rPr>
      </w:pPr>
      <w:r w:rsidRPr="00E70B3A">
        <w:rPr>
          <w:rFonts w:cs="Arial"/>
        </w:rPr>
        <w:t xml:space="preserve">To maximise the impact of formal </w:t>
      </w:r>
      <w:r w:rsidR="00305D5C">
        <w:rPr>
          <w:rFonts w:cs="Arial"/>
        </w:rPr>
        <w:t>QPMs</w:t>
      </w:r>
      <w:r w:rsidRPr="00E70B3A">
        <w:rPr>
          <w:rFonts w:cs="Arial"/>
        </w:rPr>
        <w:t>:</w:t>
      </w:r>
    </w:p>
    <w:p w:rsidRPr="00E70B3A" w:rsidR="00AE19BB" w:rsidP="00891C03" w:rsidRDefault="00AE19BB" w14:paraId="438C5195" w14:textId="757D09F5">
      <w:pPr>
        <w:pStyle w:val="DHHSbody"/>
        <w:numPr>
          <w:ilvl w:val="0"/>
          <w:numId w:val="15"/>
        </w:numPr>
        <w:rPr>
          <w:rFonts w:cs="Arial"/>
        </w:rPr>
      </w:pPr>
      <w:r w:rsidRPr="00E70B3A">
        <w:rPr>
          <w:rFonts w:cs="Arial"/>
        </w:rPr>
        <w:t xml:space="preserve">Agendas focus on an overarching view of the highest-priority </w:t>
      </w:r>
      <w:r w:rsidRPr="00E70B3A" w:rsidR="000A58BD">
        <w:rPr>
          <w:rFonts w:cs="Arial"/>
        </w:rPr>
        <w:t>performance</w:t>
      </w:r>
      <w:r w:rsidRPr="00E70B3A">
        <w:rPr>
          <w:rFonts w:cs="Arial"/>
        </w:rPr>
        <w:t xml:space="preserve"> issues for the service</w:t>
      </w:r>
      <w:r w:rsidRPr="00E70B3A" w:rsidR="000A58BD">
        <w:rPr>
          <w:rFonts w:cs="Arial"/>
        </w:rPr>
        <w:t xml:space="preserve"> </w:t>
      </w:r>
      <w:r w:rsidRPr="00E70B3A" w:rsidR="00247771">
        <w:rPr>
          <w:rFonts w:cs="Arial"/>
        </w:rPr>
        <w:t xml:space="preserve">as per the exit criteria. </w:t>
      </w:r>
    </w:p>
    <w:p w:rsidRPr="00E70B3A" w:rsidR="00AE19BB" w:rsidP="00891C03" w:rsidRDefault="00AE19BB" w14:paraId="79229BA4" w14:textId="58E254B0">
      <w:pPr>
        <w:pStyle w:val="DHHSbody"/>
        <w:numPr>
          <w:ilvl w:val="0"/>
          <w:numId w:val="15"/>
        </w:numPr>
        <w:rPr>
          <w:rFonts w:cs="Arial"/>
        </w:rPr>
      </w:pPr>
      <w:r w:rsidRPr="00E70B3A">
        <w:rPr>
          <w:rFonts w:cs="Arial"/>
        </w:rPr>
        <w:t>Performance issues are not generally raised for the first time at the meeting (</w:t>
      </w:r>
      <w:r w:rsidR="001656FD">
        <w:rPr>
          <w:rFonts w:cs="Arial"/>
        </w:rPr>
        <w:t xml:space="preserve">raised prior </w:t>
      </w:r>
      <w:r w:rsidR="00AB0D5A">
        <w:rPr>
          <w:rFonts w:cs="Arial"/>
        </w:rPr>
        <w:t>to formal QPMs)</w:t>
      </w:r>
    </w:p>
    <w:p w:rsidRPr="00E70B3A" w:rsidR="00AE19BB" w:rsidP="00891C03" w:rsidRDefault="00AE19BB" w14:paraId="1086B3BF" w14:textId="517FA032">
      <w:pPr>
        <w:pStyle w:val="DHHSbody"/>
        <w:numPr>
          <w:ilvl w:val="0"/>
          <w:numId w:val="15"/>
        </w:numPr>
        <w:rPr>
          <w:rFonts w:cs="Arial"/>
          <w:b/>
          <w:bCs/>
        </w:rPr>
      </w:pPr>
      <w:r w:rsidRPr="00E70B3A">
        <w:rPr>
          <w:rFonts w:cs="Arial"/>
        </w:rPr>
        <w:t>Consistent participation of relevant departmental representatives, at a seniority level appropriate to authorise actions arising from discussion.</w:t>
      </w:r>
    </w:p>
    <w:p w:rsidR="008827C4" w:rsidP="008827C4" w:rsidRDefault="008827C4" w14:paraId="4C0BE959" w14:textId="0FD3983D">
      <w:pPr>
        <w:pStyle w:val="Heading2"/>
        <w:rPr>
          <w:rFonts w:cs="Arial"/>
        </w:rPr>
      </w:pPr>
      <w:bookmarkStart w:name="_Toc235628545" w:id="27"/>
      <w:r w:rsidRPr="00E70B3A">
        <w:rPr>
          <w:rFonts w:cs="Arial"/>
        </w:rPr>
        <w:t>5.</w:t>
      </w:r>
      <w:r w:rsidR="000A462E">
        <w:rPr>
          <w:rFonts w:cs="Arial"/>
        </w:rPr>
        <w:t>2</w:t>
      </w:r>
      <w:r w:rsidRPr="00E70B3A">
        <w:rPr>
          <w:rFonts w:cs="Arial"/>
        </w:rPr>
        <w:t xml:space="preserve"> </w:t>
      </w:r>
      <w:r w:rsidR="006619E4">
        <w:rPr>
          <w:rFonts w:cs="Arial"/>
        </w:rPr>
        <w:t>In-cycle meeting</w:t>
      </w:r>
      <w:bookmarkEnd w:id="27"/>
      <w:r w:rsidRPr="00E70B3A">
        <w:rPr>
          <w:rFonts w:cs="Arial"/>
        </w:rPr>
        <w:t xml:space="preserve"> </w:t>
      </w:r>
    </w:p>
    <w:p w:rsidRPr="005E03DC" w:rsidR="003F18E4" w:rsidP="005E03DC" w:rsidRDefault="005E03DC" w14:paraId="4CEE8DF9" w14:textId="39450030">
      <w:pPr>
        <w:pStyle w:val="Body"/>
      </w:pPr>
      <w:r>
        <w:rPr>
          <w:rFonts w:cs="Arial"/>
          <w:color w:val="000000" w:themeColor="text1"/>
        </w:rPr>
        <w:t>In-cycle meeting</w:t>
      </w:r>
      <w:r w:rsidRPr="00A15A36">
        <w:rPr>
          <w:rFonts w:cs="Arial"/>
          <w:color w:val="000000" w:themeColor="text1"/>
        </w:rPr>
        <w:t xml:space="preserve"> is the structured work that happens between</w:t>
      </w:r>
      <w:r>
        <w:rPr>
          <w:rFonts w:cs="Arial"/>
          <w:color w:val="000000" w:themeColor="text1"/>
        </w:rPr>
        <w:t xml:space="preserve"> formal</w:t>
      </w:r>
      <w:r w:rsidRPr="00A15A36">
        <w:rPr>
          <w:rFonts w:cs="Arial"/>
          <w:color w:val="000000" w:themeColor="text1"/>
        </w:rPr>
        <w:t xml:space="preserve"> </w:t>
      </w:r>
      <w:r w:rsidR="00305D5C">
        <w:rPr>
          <w:rFonts w:cs="Arial"/>
          <w:color w:val="000000" w:themeColor="text1"/>
        </w:rPr>
        <w:t>QPMs</w:t>
      </w:r>
      <w:r w:rsidRPr="00A15A36">
        <w:rPr>
          <w:rFonts w:cs="Arial"/>
          <w:color w:val="000000" w:themeColor="text1"/>
        </w:rPr>
        <w:t xml:space="preserve"> for services in escalated tiers</w:t>
      </w:r>
      <w:r>
        <w:rPr>
          <w:rFonts w:cs="Arial"/>
          <w:color w:val="000000" w:themeColor="text1"/>
        </w:rPr>
        <w:t xml:space="preserve"> to support progress </w:t>
      </w:r>
      <w:r w:rsidRPr="00A15A36">
        <w:rPr>
          <w:rFonts w:cs="Arial"/>
          <w:color w:val="000000" w:themeColor="text1"/>
        </w:rPr>
        <w:t>momentum on agreed actions.</w:t>
      </w:r>
    </w:p>
    <w:p w:rsidRPr="00E70B3A" w:rsidR="008827C4" w:rsidP="008827C4" w:rsidRDefault="008827C4" w14:paraId="7D3852DA" w14:textId="6ED71932">
      <w:pPr>
        <w:pStyle w:val="DHHSbody"/>
        <w:rPr>
          <w:rFonts w:cs="Arial"/>
          <w:b/>
          <w:bCs/>
        </w:rPr>
      </w:pPr>
      <w:r w:rsidRPr="00E70B3A">
        <w:rPr>
          <w:rFonts w:cs="Arial"/>
          <w:b/>
          <w:bCs/>
        </w:rPr>
        <w:t xml:space="preserve">Key aims: </w:t>
      </w:r>
    </w:p>
    <w:p w:rsidRPr="00E70B3A" w:rsidR="008827C4" w:rsidP="00891C03" w:rsidRDefault="008827C4" w14:paraId="74CF5FF7" w14:textId="77777777">
      <w:pPr>
        <w:pStyle w:val="DHHSbody"/>
        <w:numPr>
          <w:ilvl w:val="0"/>
          <w:numId w:val="22"/>
        </w:numPr>
        <w:rPr>
          <w:rFonts w:cs="Arial"/>
        </w:rPr>
      </w:pPr>
      <w:r w:rsidRPr="00E70B3A">
        <w:rPr>
          <w:rFonts w:cs="Arial"/>
        </w:rPr>
        <w:t xml:space="preserve">Provide structured support against the specific performance concerns outlined in the exit criteria. </w:t>
      </w:r>
    </w:p>
    <w:p w:rsidRPr="00E70B3A" w:rsidR="008827C4" w:rsidP="00891C03" w:rsidRDefault="008827C4" w14:paraId="52A180CA" w14:textId="2AEEDC5E">
      <w:pPr>
        <w:pStyle w:val="DHHSbody"/>
        <w:numPr>
          <w:ilvl w:val="0"/>
          <w:numId w:val="22"/>
        </w:numPr>
        <w:rPr>
          <w:rFonts w:cs="Arial"/>
        </w:rPr>
      </w:pPr>
      <w:r w:rsidRPr="00E70B3A">
        <w:rPr>
          <w:rFonts w:cs="Arial"/>
        </w:rPr>
        <w:t xml:space="preserve">Track progress against the agreed </w:t>
      </w:r>
      <w:r w:rsidR="00847502">
        <w:rPr>
          <w:rFonts w:cs="Arial"/>
        </w:rPr>
        <w:t>PiP</w:t>
      </w:r>
    </w:p>
    <w:p w:rsidRPr="008B35A9" w:rsidR="008B35A9" w:rsidP="00891C03" w:rsidRDefault="008827C4" w14:paraId="153755AF" w14:textId="1D61F7F9">
      <w:pPr>
        <w:pStyle w:val="DHHSbody"/>
        <w:numPr>
          <w:ilvl w:val="0"/>
          <w:numId w:val="22"/>
        </w:numPr>
        <w:sectPr w:rsidRPr="008B35A9" w:rsidR="008B35A9" w:rsidSect="007B0ECF">
          <w:pgSz w:w="11906" w:h="16838" w:orient="portrait" w:code="9"/>
          <w:pgMar w:top="1418" w:right="1418" w:bottom="1418" w:left="1418" w:header="680" w:footer="851" w:gutter="0"/>
          <w:cols w:space="340"/>
          <w:titlePg/>
          <w:docGrid w:linePitch="360"/>
        </w:sectPr>
      </w:pPr>
      <w:r w:rsidRPr="00E70B3A">
        <w:rPr>
          <w:rFonts w:cs="Arial"/>
        </w:rPr>
        <w:t xml:space="preserve">Surface emerging risks early so they can be addressed </w:t>
      </w:r>
      <w:r w:rsidR="00AF6DC6">
        <w:rPr>
          <w:rFonts w:cs="Arial"/>
        </w:rPr>
        <w:t xml:space="preserve">  </w:t>
      </w:r>
    </w:p>
    <w:p w:rsidRPr="00E70B3A" w:rsidR="00C543F6" w:rsidP="007A72A8" w:rsidRDefault="009924DC" w14:paraId="40CA8D3F" w14:textId="71A6E35C">
      <w:pPr>
        <w:pStyle w:val="Heading2"/>
        <w:rPr>
          <w:rFonts w:cs="Arial"/>
        </w:rPr>
      </w:pPr>
      <w:bookmarkStart w:name="_Toc235628546" w:id="28"/>
      <w:r w:rsidRPr="00E70B3A">
        <w:rPr>
          <w:rFonts w:cs="Arial"/>
        </w:rPr>
        <w:t>5.</w:t>
      </w:r>
      <w:r w:rsidR="00395F5A">
        <w:rPr>
          <w:rFonts w:cs="Arial"/>
        </w:rPr>
        <w:t>3</w:t>
      </w:r>
      <w:r w:rsidRPr="00E70B3A">
        <w:rPr>
          <w:rFonts w:cs="Arial"/>
        </w:rPr>
        <w:t xml:space="preserve"> </w:t>
      </w:r>
      <w:r w:rsidR="00DE5DDD">
        <w:rPr>
          <w:rFonts w:cs="Arial"/>
        </w:rPr>
        <w:t>Tailored a</w:t>
      </w:r>
      <w:r w:rsidR="00395F5A">
        <w:rPr>
          <w:rFonts w:cs="Arial"/>
        </w:rPr>
        <w:t xml:space="preserve">ccountability </w:t>
      </w:r>
      <w:r w:rsidRPr="00E70B3A" w:rsidR="00266874">
        <w:rPr>
          <w:rFonts w:cs="Arial"/>
        </w:rPr>
        <w:t>approach</w:t>
      </w:r>
      <w:r w:rsidRPr="00E70B3A" w:rsidR="00C543F6">
        <w:rPr>
          <w:rFonts w:cs="Arial"/>
        </w:rPr>
        <w:t xml:space="preserve"> for </w:t>
      </w:r>
      <w:r w:rsidRPr="00E70B3A" w:rsidR="008F7EBD">
        <w:rPr>
          <w:rFonts w:cs="Arial"/>
        </w:rPr>
        <w:t>e</w:t>
      </w:r>
      <w:r w:rsidRPr="00E70B3A" w:rsidR="00C543F6">
        <w:rPr>
          <w:rFonts w:cs="Arial"/>
        </w:rPr>
        <w:t xml:space="preserve">ffective </w:t>
      </w:r>
      <w:r w:rsidRPr="00E70B3A" w:rsidR="008F7EBD">
        <w:rPr>
          <w:rFonts w:cs="Arial"/>
        </w:rPr>
        <w:t>o</w:t>
      </w:r>
      <w:r w:rsidRPr="00E70B3A" w:rsidR="00C543F6">
        <w:rPr>
          <w:rFonts w:cs="Arial"/>
        </w:rPr>
        <w:t>versight</w:t>
      </w:r>
      <w:bookmarkEnd w:id="28"/>
    </w:p>
    <w:p w:rsidRPr="00E70B3A" w:rsidR="00B91533" w:rsidP="00552165" w:rsidRDefault="00CB73B0" w14:paraId="5E1682CB" w14:textId="054B1FBF">
      <w:pPr>
        <w:pStyle w:val="DHHSbody"/>
        <w:rPr>
          <w:rFonts w:cs="Arial"/>
        </w:rPr>
      </w:pPr>
      <w:r>
        <w:rPr>
          <w:rFonts w:cs="Arial"/>
        </w:rPr>
        <w:t xml:space="preserve">There are two types of performance meetings for health services </w:t>
      </w:r>
      <w:r w:rsidR="001C2C08">
        <w:rPr>
          <w:rFonts w:cs="Arial"/>
        </w:rPr>
        <w:t>requiring focused oversight -</w:t>
      </w:r>
      <w:r w:rsidRPr="00CB73B0">
        <w:rPr>
          <w:rFonts w:cs="Arial"/>
        </w:rPr>
        <w:t xml:space="preserve"> formal </w:t>
      </w:r>
      <w:r w:rsidR="00816D5C">
        <w:rPr>
          <w:rFonts w:cs="Arial"/>
        </w:rPr>
        <w:t>QPM</w:t>
      </w:r>
      <w:r w:rsidRPr="00CB73B0">
        <w:rPr>
          <w:rFonts w:cs="Arial"/>
        </w:rPr>
        <w:t xml:space="preserve"> and </w:t>
      </w:r>
      <w:r w:rsidR="006619E4">
        <w:rPr>
          <w:rFonts w:cs="Arial"/>
        </w:rPr>
        <w:t>in-cycle meeting</w:t>
      </w:r>
      <w:r w:rsidRPr="00CB73B0">
        <w:rPr>
          <w:rFonts w:cs="Arial"/>
        </w:rPr>
        <w:t xml:space="preserve">s. </w:t>
      </w:r>
      <w:r w:rsidR="001C2C08">
        <w:rPr>
          <w:rFonts w:cs="Arial"/>
        </w:rPr>
        <w:t>The table below</w:t>
      </w:r>
      <w:r w:rsidRPr="00CB73B0">
        <w:rPr>
          <w:rFonts w:cs="Arial"/>
        </w:rPr>
        <w:t xml:space="preserve"> outlines each approach, the applicable performance tier, meeting format, frequency, purpose, lead responsibility, and health service participants.</w:t>
      </w:r>
    </w:p>
    <w:tbl>
      <w:tblPr>
        <w:tblW w:w="14593" w:type="dxa"/>
        <w:tblCellMar>
          <w:left w:w="0" w:type="dxa"/>
          <w:right w:w="0" w:type="dxa"/>
        </w:tblCellMar>
        <w:tblLook w:val="0420" w:firstRow="1" w:lastRow="0" w:firstColumn="0" w:lastColumn="0" w:noHBand="0" w:noVBand="1"/>
      </w:tblPr>
      <w:tblGrid>
        <w:gridCol w:w="1774"/>
        <w:gridCol w:w="1891"/>
        <w:gridCol w:w="2268"/>
        <w:gridCol w:w="2146"/>
        <w:gridCol w:w="2973"/>
        <w:gridCol w:w="1877"/>
        <w:gridCol w:w="1664"/>
      </w:tblGrid>
      <w:tr w:rsidRPr="00F972BB" w:rsidR="00C64132" w:rsidTr="002C1E4D" w14:paraId="0035D94F" w14:textId="77777777">
        <w:trPr>
          <w:trHeight w:val="690"/>
          <w:tblHeader/>
        </w:trPr>
        <w:tc>
          <w:tcPr>
            <w:tcW w:w="1774" w:type="dxa"/>
            <w:tcBorders>
              <w:top w:val="single" w:color="FFFFFF" w:sz="8" w:space="0"/>
              <w:left w:val="single" w:color="FFFFFF" w:sz="8" w:space="0"/>
              <w:bottom w:val="single" w:color="FFFFFF" w:sz="24" w:space="0"/>
              <w:right w:val="single" w:color="FFFFFF" w:sz="8" w:space="0"/>
            </w:tcBorders>
            <w:shd w:val="clear" w:color="auto" w:fill="30356D"/>
            <w:tcMar>
              <w:top w:w="72" w:type="dxa"/>
              <w:left w:w="144" w:type="dxa"/>
              <w:bottom w:w="72" w:type="dxa"/>
              <w:right w:w="144" w:type="dxa"/>
            </w:tcMar>
            <w:hideMark/>
          </w:tcPr>
          <w:p w:rsidRPr="005B5412" w:rsidR="00C64132" w:rsidP="00F972BB" w:rsidRDefault="007312D8" w14:paraId="135EE112" w14:textId="48E2BDC4">
            <w:pPr>
              <w:pStyle w:val="Body"/>
              <w:spacing w:after="0" w:line="240" w:lineRule="auto"/>
              <w:rPr>
                <w:b/>
                <w:bCs/>
              </w:rPr>
            </w:pPr>
            <w:r>
              <w:rPr>
                <w:b/>
                <w:bCs/>
              </w:rPr>
              <w:t>Meeting Type</w:t>
            </w:r>
          </w:p>
        </w:tc>
        <w:tc>
          <w:tcPr>
            <w:tcW w:w="1891" w:type="dxa"/>
            <w:tcBorders>
              <w:top w:val="single" w:color="FFFFFF" w:sz="8" w:space="0"/>
              <w:left w:val="single" w:color="FFFFFF" w:sz="8" w:space="0"/>
              <w:bottom w:val="single" w:color="FFFFFF" w:sz="24" w:space="0"/>
              <w:right w:val="single" w:color="FFFFFF" w:sz="8" w:space="0"/>
            </w:tcBorders>
            <w:shd w:val="clear" w:color="auto" w:fill="30356D"/>
            <w:tcMar>
              <w:top w:w="72" w:type="dxa"/>
              <w:left w:w="144" w:type="dxa"/>
              <w:bottom w:w="72" w:type="dxa"/>
              <w:right w:w="144" w:type="dxa"/>
            </w:tcMar>
            <w:hideMark/>
          </w:tcPr>
          <w:p w:rsidRPr="005B5412" w:rsidR="00C64132" w:rsidP="00F972BB" w:rsidRDefault="00C64132" w14:paraId="39ED3CB7" w14:textId="77777777">
            <w:pPr>
              <w:pStyle w:val="Body"/>
              <w:spacing w:after="0" w:line="240" w:lineRule="auto"/>
              <w:rPr>
                <w:b/>
                <w:bCs/>
              </w:rPr>
            </w:pPr>
            <w:r w:rsidRPr="005B5412">
              <w:rPr>
                <w:b/>
                <w:bCs/>
              </w:rPr>
              <w:t xml:space="preserve">Performance tier </w:t>
            </w:r>
          </w:p>
        </w:tc>
        <w:tc>
          <w:tcPr>
            <w:tcW w:w="2268" w:type="dxa"/>
            <w:tcBorders>
              <w:top w:val="single" w:color="FFFFFF" w:sz="8" w:space="0"/>
              <w:left w:val="single" w:color="FFFFFF" w:sz="8" w:space="0"/>
              <w:bottom w:val="single" w:color="FFFFFF" w:sz="24" w:space="0"/>
              <w:right w:val="single" w:color="FFFFFF" w:sz="8" w:space="0"/>
            </w:tcBorders>
            <w:shd w:val="clear" w:color="auto" w:fill="30356D"/>
            <w:tcMar>
              <w:top w:w="72" w:type="dxa"/>
              <w:left w:w="144" w:type="dxa"/>
              <w:bottom w:w="72" w:type="dxa"/>
              <w:right w:w="144" w:type="dxa"/>
            </w:tcMar>
            <w:hideMark/>
          </w:tcPr>
          <w:p w:rsidRPr="005B5412" w:rsidR="00C64132" w:rsidP="00F972BB" w:rsidRDefault="00C64132" w14:paraId="5D3F15C4" w14:textId="77777777">
            <w:pPr>
              <w:pStyle w:val="Body"/>
              <w:spacing w:after="0" w:line="240" w:lineRule="auto"/>
              <w:rPr>
                <w:b/>
                <w:bCs/>
              </w:rPr>
            </w:pPr>
            <w:r w:rsidRPr="005B5412">
              <w:rPr>
                <w:b/>
                <w:bCs/>
              </w:rPr>
              <w:t xml:space="preserve">Format and Agenda </w:t>
            </w:r>
          </w:p>
        </w:tc>
        <w:tc>
          <w:tcPr>
            <w:tcW w:w="2146" w:type="dxa"/>
            <w:tcBorders>
              <w:top w:val="single" w:color="FFFFFF" w:sz="8" w:space="0"/>
              <w:left w:val="single" w:color="FFFFFF" w:sz="8" w:space="0"/>
              <w:bottom w:val="single" w:color="FFFFFF" w:sz="24" w:space="0"/>
              <w:right w:val="single" w:color="FFFFFF" w:sz="8" w:space="0"/>
            </w:tcBorders>
            <w:shd w:val="clear" w:color="auto" w:fill="30356D"/>
            <w:tcMar>
              <w:top w:w="72" w:type="dxa"/>
              <w:left w:w="144" w:type="dxa"/>
              <w:bottom w:w="72" w:type="dxa"/>
              <w:right w:w="144" w:type="dxa"/>
            </w:tcMar>
            <w:hideMark/>
          </w:tcPr>
          <w:p w:rsidRPr="005B5412" w:rsidR="00C64132" w:rsidP="00F972BB" w:rsidRDefault="00C64132" w14:paraId="5832DF83" w14:textId="77777777">
            <w:pPr>
              <w:pStyle w:val="Body"/>
              <w:spacing w:after="0" w:line="240" w:lineRule="auto"/>
              <w:rPr>
                <w:b/>
                <w:bCs/>
              </w:rPr>
            </w:pPr>
            <w:r w:rsidRPr="005B5412">
              <w:rPr>
                <w:b/>
                <w:bCs/>
              </w:rPr>
              <w:t xml:space="preserve">Cadence </w:t>
            </w:r>
          </w:p>
        </w:tc>
        <w:tc>
          <w:tcPr>
            <w:tcW w:w="2973" w:type="dxa"/>
            <w:tcBorders>
              <w:top w:val="single" w:color="FFFFFF" w:sz="8" w:space="0"/>
              <w:left w:val="single" w:color="FFFFFF" w:sz="8" w:space="0"/>
              <w:bottom w:val="single" w:color="FFFFFF" w:sz="24" w:space="0"/>
              <w:right w:val="single" w:color="FFFFFF" w:sz="8" w:space="0"/>
            </w:tcBorders>
            <w:shd w:val="clear" w:color="auto" w:fill="30356D"/>
            <w:tcMar>
              <w:top w:w="72" w:type="dxa"/>
              <w:left w:w="144" w:type="dxa"/>
              <w:bottom w:w="72" w:type="dxa"/>
              <w:right w:w="144" w:type="dxa"/>
            </w:tcMar>
            <w:hideMark/>
          </w:tcPr>
          <w:p w:rsidRPr="005B5412" w:rsidR="00C64132" w:rsidP="00F972BB" w:rsidRDefault="00C64132" w14:paraId="32B5803A" w14:textId="4A6696B6">
            <w:pPr>
              <w:pStyle w:val="Body"/>
              <w:spacing w:after="0" w:line="240" w:lineRule="auto"/>
              <w:rPr>
                <w:b/>
                <w:bCs/>
              </w:rPr>
            </w:pPr>
            <w:r w:rsidRPr="005B5412">
              <w:rPr>
                <w:b/>
                <w:bCs/>
              </w:rPr>
              <w:t xml:space="preserve">Focus  </w:t>
            </w:r>
          </w:p>
        </w:tc>
        <w:tc>
          <w:tcPr>
            <w:tcW w:w="1877" w:type="dxa"/>
            <w:tcBorders>
              <w:top w:val="single" w:color="FFFFFF" w:sz="8" w:space="0"/>
              <w:left w:val="single" w:color="FFFFFF" w:sz="8" w:space="0"/>
              <w:bottom w:val="single" w:color="FFFFFF" w:sz="24" w:space="0"/>
              <w:right w:val="single" w:color="FFFFFF" w:sz="8" w:space="0"/>
            </w:tcBorders>
            <w:shd w:val="clear" w:color="auto" w:fill="30356D"/>
            <w:tcMar>
              <w:top w:w="72" w:type="dxa"/>
              <w:left w:w="144" w:type="dxa"/>
              <w:bottom w:w="72" w:type="dxa"/>
              <w:right w:w="144" w:type="dxa"/>
            </w:tcMar>
            <w:hideMark/>
          </w:tcPr>
          <w:p w:rsidRPr="005B5412" w:rsidR="00C64132" w:rsidP="00F972BB" w:rsidRDefault="00C64132" w14:paraId="7557F49D" w14:textId="77777777">
            <w:pPr>
              <w:pStyle w:val="Body"/>
              <w:spacing w:after="0" w:line="240" w:lineRule="auto"/>
              <w:rPr>
                <w:b/>
                <w:bCs/>
              </w:rPr>
            </w:pPr>
            <w:r w:rsidRPr="005B5412">
              <w:rPr>
                <w:b/>
                <w:bCs/>
              </w:rPr>
              <w:t xml:space="preserve">Lead </w:t>
            </w:r>
          </w:p>
        </w:tc>
        <w:tc>
          <w:tcPr>
            <w:tcW w:w="1664" w:type="dxa"/>
            <w:tcBorders>
              <w:top w:val="single" w:color="FFFFFF" w:sz="8" w:space="0"/>
              <w:left w:val="single" w:color="FFFFFF" w:sz="8" w:space="0"/>
              <w:bottom w:val="single" w:color="FFFFFF" w:sz="24" w:space="0"/>
              <w:right w:val="single" w:color="FFFFFF" w:sz="8" w:space="0"/>
            </w:tcBorders>
            <w:shd w:val="clear" w:color="auto" w:fill="30356D"/>
            <w:tcMar>
              <w:top w:w="72" w:type="dxa"/>
              <w:left w:w="144" w:type="dxa"/>
              <w:bottom w:w="72" w:type="dxa"/>
              <w:right w:w="144" w:type="dxa"/>
            </w:tcMar>
            <w:hideMark/>
          </w:tcPr>
          <w:p w:rsidRPr="005B5412" w:rsidR="00C64132" w:rsidP="00F972BB" w:rsidRDefault="00C64132" w14:paraId="4A5028B1" w14:textId="77777777">
            <w:pPr>
              <w:pStyle w:val="Body"/>
              <w:spacing w:after="0" w:line="240" w:lineRule="auto"/>
              <w:rPr>
                <w:b/>
                <w:bCs/>
              </w:rPr>
            </w:pPr>
            <w:r w:rsidRPr="005B5412">
              <w:rPr>
                <w:b/>
                <w:bCs/>
              </w:rPr>
              <w:t xml:space="preserve">Health Service Participants </w:t>
            </w:r>
          </w:p>
        </w:tc>
      </w:tr>
      <w:tr w:rsidRPr="00F972BB" w:rsidR="00C64132" w:rsidTr="005B5412" w14:paraId="41AFA36D" w14:textId="77777777">
        <w:trPr>
          <w:trHeight w:val="1721"/>
        </w:trPr>
        <w:tc>
          <w:tcPr>
            <w:tcW w:w="1774" w:type="dxa"/>
            <w:tcBorders>
              <w:top w:val="single" w:color="FFFFFF" w:sz="8" w:space="0"/>
              <w:left w:val="single" w:color="FFFFFF" w:sz="8" w:space="0"/>
              <w:bottom w:val="single" w:color="FFFFFF" w:sz="8" w:space="0"/>
              <w:right w:val="single" w:color="FFFFFF" w:sz="8" w:space="0"/>
            </w:tcBorders>
            <w:shd w:val="clear" w:color="auto" w:fill="DBE5F1" w:themeFill="accent1" w:themeFillTint="33"/>
            <w:tcMar>
              <w:top w:w="72" w:type="dxa"/>
              <w:left w:w="144" w:type="dxa"/>
              <w:bottom w:w="72" w:type="dxa"/>
              <w:right w:w="144" w:type="dxa"/>
            </w:tcMar>
            <w:hideMark/>
          </w:tcPr>
          <w:p w:rsidRPr="00F972BB" w:rsidR="00C64132" w:rsidP="00F972BB" w:rsidRDefault="00C64132" w14:paraId="6733EEB7" w14:textId="656DC756">
            <w:pPr>
              <w:pStyle w:val="Body"/>
              <w:spacing w:after="0" w:line="240" w:lineRule="auto"/>
            </w:pPr>
            <w:r w:rsidRPr="00F972BB">
              <w:t>Formal Quarterly Performance Meetings</w:t>
            </w:r>
            <w:r>
              <w:t xml:space="preserve"> (QPM)</w:t>
            </w:r>
          </w:p>
        </w:tc>
        <w:tc>
          <w:tcPr>
            <w:tcW w:w="1891" w:type="dxa"/>
            <w:tcBorders>
              <w:top w:val="single" w:color="FFFFFF" w:sz="8" w:space="0"/>
              <w:left w:val="single" w:color="FFFFFF" w:sz="8" w:space="0"/>
              <w:bottom w:val="single" w:color="FFFFFF" w:sz="8" w:space="0"/>
              <w:right w:val="single" w:color="FFFFFF" w:sz="8" w:space="0"/>
            </w:tcBorders>
            <w:shd w:val="clear" w:color="auto" w:fill="DBE5F1" w:themeFill="accent1" w:themeFillTint="33"/>
            <w:tcMar>
              <w:top w:w="72" w:type="dxa"/>
              <w:left w:w="144" w:type="dxa"/>
              <w:bottom w:w="72" w:type="dxa"/>
              <w:right w:w="144" w:type="dxa"/>
            </w:tcMar>
            <w:hideMark/>
          </w:tcPr>
          <w:p w:rsidRPr="00EA560D" w:rsidR="00C64132" w:rsidP="00EA560D" w:rsidRDefault="00C64132" w14:paraId="2A3A7F08" w14:textId="7E5EB471">
            <w:pPr>
              <w:pStyle w:val="Body"/>
              <w:spacing w:line="240" w:lineRule="auto"/>
            </w:pPr>
            <w:r w:rsidRPr="00C71F36">
              <w:t>Services on escalated tiers</w:t>
            </w:r>
            <w:r>
              <w:t xml:space="preserve">. </w:t>
            </w:r>
            <w:r w:rsidRPr="00EA560D">
              <w:rPr>
                <w:i/>
                <w:iCs/>
              </w:rPr>
              <w:t xml:space="preserve">For Standard Oversight, </w:t>
            </w:r>
            <w:r w:rsidRPr="00C752BA" w:rsidR="00C752BA">
              <w:rPr>
                <w:i/>
                <w:iCs/>
              </w:rPr>
              <w:t>where emerging issues are not resolved through ongoing health service engagement.</w:t>
            </w:r>
          </w:p>
          <w:p w:rsidRPr="00F972BB" w:rsidR="00C64132" w:rsidP="00F972BB" w:rsidRDefault="00C64132" w14:paraId="4E59DF16" w14:textId="21282854">
            <w:pPr>
              <w:pStyle w:val="Body"/>
              <w:spacing w:after="0" w:line="240" w:lineRule="auto"/>
            </w:pPr>
          </w:p>
        </w:tc>
        <w:tc>
          <w:tcPr>
            <w:tcW w:w="2268" w:type="dxa"/>
            <w:tcBorders>
              <w:top w:val="single" w:color="FFFFFF" w:sz="8" w:space="0"/>
              <w:left w:val="single" w:color="FFFFFF" w:sz="8" w:space="0"/>
              <w:bottom w:val="single" w:color="FFFFFF" w:sz="8" w:space="0"/>
              <w:right w:val="single" w:color="FFFFFF" w:sz="8" w:space="0"/>
            </w:tcBorders>
            <w:shd w:val="clear" w:color="auto" w:fill="DBE5F1" w:themeFill="accent1" w:themeFillTint="33"/>
            <w:tcMar>
              <w:top w:w="72" w:type="dxa"/>
              <w:left w:w="144" w:type="dxa"/>
              <w:bottom w:w="72" w:type="dxa"/>
              <w:right w:w="144" w:type="dxa"/>
            </w:tcMar>
            <w:hideMark/>
          </w:tcPr>
          <w:p w:rsidRPr="00F972BB" w:rsidR="00C64132" w:rsidP="00F972BB" w:rsidRDefault="00C64132" w14:paraId="68D02B74" w14:textId="02BC023C">
            <w:pPr>
              <w:pStyle w:val="Body"/>
              <w:spacing w:after="0" w:line="240" w:lineRule="auto"/>
            </w:pPr>
            <w:r w:rsidRPr="00116043">
              <w:t>Formal meeting led by HSPO</w:t>
            </w:r>
          </w:p>
        </w:tc>
        <w:tc>
          <w:tcPr>
            <w:tcW w:w="2146" w:type="dxa"/>
            <w:tcBorders>
              <w:top w:val="single" w:color="FFFFFF" w:sz="8" w:space="0"/>
              <w:left w:val="single" w:color="FFFFFF" w:sz="8" w:space="0"/>
              <w:bottom w:val="single" w:color="FFFFFF" w:sz="8" w:space="0"/>
              <w:right w:val="single" w:color="FFFFFF" w:sz="8" w:space="0"/>
            </w:tcBorders>
            <w:shd w:val="clear" w:color="auto" w:fill="DBE5F1" w:themeFill="accent1" w:themeFillTint="33"/>
            <w:tcMar>
              <w:top w:w="72" w:type="dxa"/>
              <w:left w:w="144" w:type="dxa"/>
              <w:bottom w:w="72" w:type="dxa"/>
              <w:right w:w="144" w:type="dxa"/>
            </w:tcMar>
            <w:hideMark/>
          </w:tcPr>
          <w:p w:rsidRPr="00F972BB" w:rsidR="00C64132" w:rsidP="00F972BB" w:rsidRDefault="00C64132" w14:paraId="151FE087" w14:textId="726267F6">
            <w:pPr>
              <w:pStyle w:val="Body"/>
              <w:spacing w:after="0" w:line="240" w:lineRule="auto"/>
            </w:pPr>
            <w:r w:rsidRPr="00116043">
              <w:t>Quarterly (ongoing until issues are resolved; time</w:t>
            </w:r>
            <w:r w:rsidRPr="00116043">
              <w:rPr>
                <w:rFonts w:ascii="Cambria Math" w:hAnsi="Cambria Math" w:cs="Cambria Math"/>
              </w:rPr>
              <w:t>‑</w:t>
            </w:r>
            <w:r w:rsidRPr="00116043">
              <w:t>limited for Standard Oversight)</w:t>
            </w:r>
          </w:p>
        </w:tc>
        <w:tc>
          <w:tcPr>
            <w:tcW w:w="2973" w:type="dxa"/>
            <w:tcBorders>
              <w:top w:val="single" w:color="FFFFFF" w:sz="8" w:space="0"/>
              <w:left w:val="single" w:color="FFFFFF" w:sz="8" w:space="0"/>
              <w:bottom w:val="single" w:color="FFFFFF" w:sz="8" w:space="0"/>
              <w:right w:val="single" w:color="FFFFFF" w:sz="8" w:space="0"/>
            </w:tcBorders>
            <w:shd w:val="clear" w:color="auto" w:fill="DBE5F1" w:themeFill="accent1" w:themeFillTint="33"/>
            <w:tcMar>
              <w:top w:w="72" w:type="dxa"/>
              <w:left w:w="144" w:type="dxa"/>
              <w:bottom w:w="72" w:type="dxa"/>
              <w:right w:w="144" w:type="dxa"/>
            </w:tcMar>
            <w:hideMark/>
          </w:tcPr>
          <w:p w:rsidR="00C64132" w:rsidP="00C64132" w:rsidRDefault="00C64132" w14:paraId="2EDFD6F1" w14:textId="77777777">
            <w:pPr>
              <w:pStyle w:val="Body"/>
              <w:spacing w:after="0" w:line="240" w:lineRule="auto"/>
            </w:pPr>
            <w:r>
              <w:t>Address key performance issues</w:t>
            </w:r>
          </w:p>
          <w:p w:rsidR="00C64132" w:rsidP="00C64132" w:rsidRDefault="00C64132" w14:paraId="5C459CD0" w14:textId="77777777">
            <w:pPr>
              <w:pStyle w:val="Body"/>
              <w:spacing w:after="0" w:line="240" w:lineRule="auto"/>
            </w:pPr>
            <w:r>
              <w:t>Track progress against Exit Criteria and PiP</w:t>
            </w:r>
          </w:p>
          <w:p w:rsidRPr="00F972BB" w:rsidR="00C64132" w:rsidP="00C64132" w:rsidRDefault="00C64132" w14:paraId="02F5574A" w14:textId="759DB96A">
            <w:pPr>
              <w:pStyle w:val="Body"/>
              <w:spacing w:after="0" w:line="240" w:lineRule="auto"/>
            </w:pPr>
            <w:r>
              <w:t>Agree actions and clarify accountability</w:t>
            </w:r>
          </w:p>
        </w:tc>
        <w:tc>
          <w:tcPr>
            <w:tcW w:w="1877" w:type="dxa"/>
            <w:tcBorders>
              <w:top w:val="single" w:color="FFFFFF" w:sz="8" w:space="0"/>
              <w:left w:val="single" w:color="FFFFFF" w:sz="8" w:space="0"/>
              <w:bottom w:val="single" w:color="FFFFFF" w:sz="8" w:space="0"/>
              <w:right w:val="single" w:color="FFFFFF" w:sz="8" w:space="0"/>
            </w:tcBorders>
            <w:shd w:val="clear" w:color="auto" w:fill="DBE5F1" w:themeFill="accent1" w:themeFillTint="33"/>
            <w:tcMar>
              <w:top w:w="72" w:type="dxa"/>
              <w:left w:w="144" w:type="dxa"/>
              <w:bottom w:w="72" w:type="dxa"/>
              <w:right w:w="144" w:type="dxa"/>
            </w:tcMar>
            <w:hideMark/>
          </w:tcPr>
          <w:p w:rsidRPr="005F0B4D" w:rsidR="005F0B4D" w:rsidP="005F0B4D" w:rsidRDefault="005F0B4D" w14:paraId="5E77D22A" w14:textId="77777777">
            <w:pPr>
              <w:pStyle w:val="Body"/>
              <w:spacing w:line="240" w:lineRule="auto"/>
            </w:pPr>
            <w:r w:rsidRPr="005F0B4D">
              <w:t>HSPO, with support from relevant sub</w:t>
            </w:r>
            <w:r w:rsidRPr="005F0B4D">
              <w:noBreakHyphen/>
            </w:r>
            <w:r w:rsidRPr="005F0B4D">
              <w:t>domains</w:t>
            </w:r>
          </w:p>
          <w:p w:rsidRPr="00F972BB" w:rsidR="00C64132" w:rsidP="00F972BB" w:rsidRDefault="00C64132" w14:paraId="5345D2C0" w14:textId="61A3A82E">
            <w:pPr>
              <w:pStyle w:val="Body"/>
              <w:spacing w:after="0" w:line="240" w:lineRule="auto"/>
            </w:pPr>
          </w:p>
        </w:tc>
        <w:tc>
          <w:tcPr>
            <w:tcW w:w="1664" w:type="dxa"/>
            <w:tcBorders>
              <w:top w:val="single" w:color="FFFFFF" w:sz="8" w:space="0"/>
              <w:left w:val="single" w:color="FFFFFF" w:sz="8" w:space="0"/>
              <w:bottom w:val="single" w:color="FFFFFF" w:sz="8" w:space="0"/>
              <w:right w:val="single" w:color="FFFFFF" w:sz="8" w:space="0"/>
            </w:tcBorders>
            <w:shd w:val="clear" w:color="auto" w:fill="DBE5F1" w:themeFill="accent1" w:themeFillTint="33"/>
            <w:tcMar>
              <w:top w:w="72" w:type="dxa"/>
              <w:left w:w="144" w:type="dxa"/>
              <w:bottom w:w="72" w:type="dxa"/>
              <w:right w:w="144" w:type="dxa"/>
            </w:tcMar>
            <w:hideMark/>
          </w:tcPr>
          <w:p w:rsidRPr="00F972BB" w:rsidR="00C64132" w:rsidP="00F972BB" w:rsidRDefault="00C64132" w14:paraId="38B2E2B2" w14:textId="77777777">
            <w:pPr>
              <w:pStyle w:val="Body"/>
              <w:spacing w:after="0" w:line="240" w:lineRule="auto"/>
            </w:pPr>
            <w:r w:rsidRPr="00F972BB">
              <w:t xml:space="preserve">Health Service Executives </w:t>
            </w:r>
          </w:p>
        </w:tc>
      </w:tr>
      <w:tr w:rsidRPr="00F972BB" w:rsidR="00C64132" w:rsidTr="005B5412" w14:paraId="5736E1CF" w14:textId="77777777">
        <w:trPr>
          <w:trHeight w:val="1307"/>
        </w:trPr>
        <w:tc>
          <w:tcPr>
            <w:tcW w:w="1774" w:type="dxa"/>
            <w:tcBorders>
              <w:top w:val="single" w:color="FFFFFF" w:sz="8" w:space="0"/>
              <w:left w:val="single" w:color="FFFFFF" w:sz="8" w:space="0"/>
              <w:bottom w:val="single" w:color="FFFFFF" w:sz="8" w:space="0"/>
              <w:right w:val="single" w:color="FFFFFF" w:sz="8" w:space="0"/>
            </w:tcBorders>
            <w:shd w:val="clear" w:color="auto" w:fill="DBE5F1" w:themeFill="accent1" w:themeFillTint="33"/>
            <w:tcMar>
              <w:top w:w="72" w:type="dxa"/>
              <w:left w:w="144" w:type="dxa"/>
              <w:bottom w:w="72" w:type="dxa"/>
              <w:right w:w="144" w:type="dxa"/>
            </w:tcMar>
            <w:hideMark/>
          </w:tcPr>
          <w:p w:rsidRPr="00F972BB" w:rsidR="00C64132" w:rsidP="00F972BB" w:rsidRDefault="006619E4" w14:paraId="3231AC5F" w14:textId="4F9C0B41">
            <w:pPr>
              <w:pStyle w:val="Body"/>
              <w:spacing w:after="0" w:line="240" w:lineRule="auto"/>
            </w:pPr>
            <w:r>
              <w:t>In-cycle meeting</w:t>
            </w:r>
            <w:r w:rsidRPr="00F972BB" w:rsidR="00C64132">
              <w:t xml:space="preserve">s </w:t>
            </w:r>
          </w:p>
        </w:tc>
        <w:tc>
          <w:tcPr>
            <w:tcW w:w="1891" w:type="dxa"/>
            <w:tcBorders>
              <w:top w:val="single" w:color="FFFFFF" w:sz="8" w:space="0"/>
              <w:left w:val="single" w:color="FFFFFF" w:sz="8" w:space="0"/>
              <w:bottom w:val="single" w:color="FFFFFF" w:sz="8" w:space="0"/>
              <w:right w:val="single" w:color="FFFFFF" w:sz="8" w:space="0"/>
            </w:tcBorders>
            <w:shd w:val="clear" w:color="auto" w:fill="DBE5F1" w:themeFill="accent1" w:themeFillTint="33"/>
            <w:tcMar>
              <w:top w:w="72" w:type="dxa"/>
              <w:left w:w="144" w:type="dxa"/>
              <w:bottom w:w="72" w:type="dxa"/>
              <w:right w:w="144" w:type="dxa"/>
            </w:tcMar>
            <w:hideMark/>
          </w:tcPr>
          <w:p w:rsidRPr="00F972BB" w:rsidR="00C64132" w:rsidP="00F972BB" w:rsidRDefault="00942D7A" w14:paraId="36AE7AAD" w14:textId="54D288F9">
            <w:pPr>
              <w:pStyle w:val="Body"/>
              <w:spacing w:after="0" w:line="240" w:lineRule="auto"/>
            </w:pPr>
            <w:r w:rsidRPr="00942D7A">
              <w:t>Services on escalated tiers</w:t>
            </w:r>
          </w:p>
        </w:tc>
        <w:tc>
          <w:tcPr>
            <w:tcW w:w="2268" w:type="dxa"/>
            <w:tcBorders>
              <w:top w:val="single" w:color="FFFFFF" w:sz="8" w:space="0"/>
              <w:left w:val="single" w:color="FFFFFF" w:sz="8" w:space="0"/>
              <w:bottom w:val="single" w:color="FFFFFF" w:sz="8" w:space="0"/>
              <w:right w:val="single" w:color="FFFFFF" w:sz="8" w:space="0"/>
            </w:tcBorders>
            <w:shd w:val="clear" w:color="auto" w:fill="DBE5F1" w:themeFill="accent1" w:themeFillTint="33"/>
            <w:tcMar>
              <w:top w:w="72" w:type="dxa"/>
              <w:left w:w="144" w:type="dxa"/>
              <w:bottom w:w="72" w:type="dxa"/>
              <w:right w:w="144" w:type="dxa"/>
            </w:tcMar>
            <w:hideMark/>
          </w:tcPr>
          <w:p w:rsidRPr="00F972BB" w:rsidR="00C64132" w:rsidP="00F972BB" w:rsidRDefault="00C64132" w14:paraId="5EA5013C" w14:textId="77777777">
            <w:pPr>
              <w:pStyle w:val="Body"/>
              <w:spacing w:after="0" w:line="240" w:lineRule="auto"/>
            </w:pPr>
            <w:r w:rsidRPr="00F972BB">
              <w:t xml:space="preserve">Formal Meeting chaired by sub-domain lead. </w:t>
            </w:r>
          </w:p>
          <w:p w:rsidRPr="00F972BB" w:rsidR="00C64132" w:rsidP="00F972BB" w:rsidRDefault="00C64132" w14:paraId="7B2D3216" w14:textId="2BDD8C3A">
            <w:pPr>
              <w:pStyle w:val="Body"/>
              <w:spacing w:after="0" w:line="240" w:lineRule="auto"/>
            </w:pPr>
            <w:r w:rsidRPr="00F972BB">
              <w:t xml:space="preserve">Where performance concerns are significant may be led by HSPO team. </w:t>
            </w:r>
          </w:p>
        </w:tc>
        <w:tc>
          <w:tcPr>
            <w:tcW w:w="2146" w:type="dxa"/>
            <w:tcBorders>
              <w:top w:val="single" w:color="FFFFFF" w:sz="8" w:space="0"/>
              <w:left w:val="single" w:color="FFFFFF" w:sz="8" w:space="0"/>
              <w:bottom w:val="single" w:color="FFFFFF" w:sz="8" w:space="0"/>
              <w:right w:val="single" w:color="FFFFFF" w:sz="8" w:space="0"/>
            </w:tcBorders>
            <w:shd w:val="clear" w:color="auto" w:fill="DBE5F1" w:themeFill="accent1" w:themeFillTint="33"/>
            <w:tcMar>
              <w:top w:w="72" w:type="dxa"/>
              <w:left w:w="144" w:type="dxa"/>
              <w:bottom w:w="72" w:type="dxa"/>
              <w:right w:w="144" w:type="dxa"/>
            </w:tcMar>
            <w:hideMark/>
          </w:tcPr>
          <w:p w:rsidRPr="00F972BB" w:rsidR="00C64132" w:rsidP="00F972BB" w:rsidRDefault="00942D7A" w14:paraId="0FE76749" w14:textId="3896B48E">
            <w:pPr>
              <w:pStyle w:val="Body"/>
              <w:spacing w:after="0" w:line="240" w:lineRule="auto"/>
            </w:pPr>
            <w:r w:rsidRPr="00942D7A">
              <w:t>Monthly or every 6 weeks between QPMs</w:t>
            </w:r>
          </w:p>
        </w:tc>
        <w:tc>
          <w:tcPr>
            <w:tcW w:w="2973" w:type="dxa"/>
            <w:tcBorders>
              <w:top w:val="single" w:color="FFFFFF" w:sz="8" w:space="0"/>
              <w:left w:val="single" w:color="FFFFFF" w:sz="8" w:space="0"/>
              <w:bottom w:val="single" w:color="FFFFFF" w:sz="8" w:space="0"/>
              <w:right w:val="single" w:color="FFFFFF" w:sz="8" w:space="0"/>
            </w:tcBorders>
            <w:shd w:val="clear" w:color="auto" w:fill="DBE5F1" w:themeFill="accent1" w:themeFillTint="33"/>
            <w:tcMar>
              <w:top w:w="72" w:type="dxa"/>
              <w:left w:w="144" w:type="dxa"/>
              <w:bottom w:w="72" w:type="dxa"/>
              <w:right w:w="144" w:type="dxa"/>
            </w:tcMar>
            <w:hideMark/>
          </w:tcPr>
          <w:p w:rsidR="005362F9" w:rsidP="005362F9" w:rsidRDefault="005362F9" w14:paraId="152C6A4B" w14:textId="77777777">
            <w:pPr>
              <w:pStyle w:val="Body"/>
              <w:spacing w:after="0" w:line="240" w:lineRule="auto"/>
            </w:pPr>
            <w:r>
              <w:t>Track progress against PiP and Exit Criteria</w:t>
            </w:r>
          </w:p>
          <w:p w:rsidR="005362F9" w:rsidP="005362F9" w:rsidRDefault="005362F9" w14:paraId="63F68334" w14:textId="77777777">
            <w:pPr>
              <w:pStyle w:val="Body"/>
              <w:spacing w:after="0" w:line="240" w:lineRule="auto"/>
            </w:pPr>
            <w:r>
              <w:t>Provide active support on key issues</w:t>
            </w:r>
          </w:p>
          <w:p w:rsidRPr="00F972BB" w:rsidR="00C64132" w:rsidP="005362F9" w:rsidRDefault="005362F9" w14:paraId="3B722793" w14:textId="0314586E">
            <w:pPr>
              <w:pStyle w:val="Body"/>
              <w:spacing w:after="0" w:line="240" w:lineRule="auto"/>
            </w:pPr>
            <w:r>
              <w:t>Identify new or emerging risks</w:t>
            </w:r>
          </w:p>
        </w:tc>
        <w:tc>
          <w:tcPr>
            <w:tcW w:w="1877" w:type="dxa"/>
            <w:tcBorders>
              <w:top w:val="single" w:color="FFFFFF" w:sz="8" w:space="0"/>
              <w:left w:val="single" w:color="FFFFFF" w:sz="8" w:space="0"/>
              <w:bottom w:val="single" w:color="FFFFFF" w:sz="8" w:space="0"/>
              <w:right w:val="single" w:color="FFFFFF" w:sz="8" w:space="0"/>
            </w:tcBorders>
            <w:shd w:val="clear" w:color="auto" w:fill="DBE5F1" w:themeFill="accent1" w:themeFillTint="33"/>
            <w:tcMar>
              <w:top w:w="72" w:type="dxa"/>
              <w:left w:w="144" w:type="dxa"/>
              <w:bottom w:w="72" w:type="dxa"/>
              <w:right w:w="144" w:type="dxa"/>
            </w:tcMar>
            <w:hideMark/>
          </w:tcPr>
          <w:p w:rsidRPr="00F972BB" w:rsidR="00C64132" w:rsidP="00F972BB" w:rsidRDefault="005362F9" w14:paraId="51EF16E9" w14:textId="338922BD">
            <w:pPr>
              <w:pStyle w:val="Body"/>
              <w:spacing w:after="0" w:line="240" w:lineRule="auto"/>
            </w:pPr>
            <w:r w:rsidRPr="005362F9">
              <w:t>Sub</w:t>
            </w:r>
            <w:r w:rsidRPr="005362F9">
              <w:rPr>
                <w:rFonts w:ascii="Cambria Math" w:hAnsi="Cambria Math" w:cs="Cambria Math"/>
              </w:rPr>
              <w:t>‑</w:t>
            </w:r>
            <w:r w:rsidRPr="005362F9">
              <w:t>domain</w:t>
            </w:r>
            <w:r w:rsidR="00CF6C0B">
              <w:t xml:space="preserve"> or </w:t>
            </w:r>
            <w:r w:rsidRPr="00CF6C0B" w:rsidR="00CF6C0B">
              <w:t>HSPO has assumed primary oversight responsibility (as outlined in the Exit Criteria)</w:t>
            </w:r>
          </w:p>
        </w:tc>
        <w:tc>
          <w:tcPr>
            <w:tcW w:w="1664" w:type="dxa"/>
            <w:tcBorders>
              <w:top w:val="single" w:color="FFFFFF" w:sz="8" w:space="0"/>
              <w:left w:val="single" w:color="FFFFFF" w:sz="8" w:space="0"/>
              <w:bottom w:val="single" w:color="FFFFFF" w:sz="8" w:space="0"/>
              <w:right w:val="single" w:color="FFFFFF" w:sz="8" w:space="0"/>
            </w:tcBorders>
            <w:shd w:val="clear" w:color="auto" w:fill="DBE5F1" w:themeFill="accent1" w:themeFillTint="33"/>
            <w:tcMar>
              <w:top w:w="72" w:type="dxa"/>
              <w:left w:w="144" w:type="dxa"/>
              <w:bottom w:w="72" w:type="dxa"/>
              <w:right w:w="144" w:type="dxa"/>
            </w:tcMar>
            <w:hideMark/>
          </w:tcPr>
          <w:p w:rsidRPr="00F972BB" w:rsidR="00C64132" w:rsidP="00F972BB" w:rsidRDefault="00C64132" w14:paraId="5C4ED464" w14:textId="77777777">
            <w:pPr>
              <w:pStyle w:val="Body"/>
              <w:spacing w:after="0" w:line="240" w:lineRule="auto"/>
            </w:pPr>
            <w:r w:rsidRPr="00F972BB">
              <w:t xml:space="preserve">Health Service Executives </w:t>
            </w:r>
          </w:p>
        </w:tc>
      </w:tr>
    </w:tbl>
    <w:p w:rsidRPr="00D13958" w:rsidR="00B91533" w:rsidP="00C543F6" w:rsidRDefault="002C1E4D" w14:paraId="02329EFD" w14:textId="1836393B">
      <w:pPr>
        <w:pStyle w:val="Body"/>
        <w:rPr>
          <w:rFonts w:cs="Arial"/>
          <w:i/>
          <w:iCs/>
          <w:color w:val="1F497D" w:themeColor="text2"/>
          <w:sz w:val="20"/>
        </w:rPr>
      </w:pPr>
      <w:r w:rsidRPr="00D13958">
        <w:rPr>
          <w:rFonts w:cs="Arial"/>
          <w:i/>
          <w:iCs/>
          <w:color w:val="1F497D" w:themeColor="text2"/>
          <w:sz w:val="20"/>
        </w:rPr>
        <w:t xml:space="preserve">Table 3: </w:t>
      </w:r>
      <w:r w:rsidRPr="00D13958" w:rsidR="001C2C08">
        <w:rPr>
          <w:rFonts w:cs="Arial"/>
          <w:i/>
          <w:iCs/>
          <w:color w:val="1F497D" w:themeColor="text2"/>
          <w:sz w:val="20"/>
        </w:rPr>
        <w:t>Two types of performance meetings for health services requiring focused oversight</w:t>
      </w:r>
    </w:p>
    <w:p w:rsidRPr="00E70B3A" w:rsidR="00B91533" w:rsidP="00C543F6" w:rsidRDefault="00B91533" w14:paraId="7C86A3BC" w14:textId="77777777">
      <w:pPr>
        <w:pStyle w:val="Body"/>
        <w:rPr>
          <w:rFonts w:cs="Arial"/>
          <w:b/>
          <w:bCs/>
          <w:i/>
          <w:iCs/>
        </w:rPr>
      </w:pPr>
    </w:p>
    <w:p w:rsidRPr="00E70B3A" w:rsidR="00911DC8" w:rsidP="00C543F6" w:rsidRDefault="00911DC8" w14:paraId="6635D209" w14:textId="77777777">
      <w:pPr>
        <w:pStyle w:val="Body"/>
        <w:rPr>
          <w:rFonts w:cs="Arial"/>
          <w:b/>
          <w:bCs/>
          <w:i/>
          <w:iCs/>
        </w:rPr>
      </w:pPr>
    </w:p>
    <w:p w:rsidRPr="00E70B3A" w:rsidR="008031FB" w:rsidRDefault="008031FB" w14:paraId="42F02A83" w14:textId="1F4FB719">
      <w:pPr>
        <w:spacing w:after="0" w:line="240" w:lineRule="auto"/>
        <w:rPr>
          <w:rFonts w:eastAsia="MS Gothic" w:cs="Arial"/>
          <w:bCs/>
          <w:color w:val="201547"/>
          <w:kern w:val="32"/>
          <w:sz w:val="44"/>
          <w:szCs w:val="44"/>
        </w:rPr>
      </w:pPr>
    </w:p>
    <w:p w:rsidRPr="00E70B3A" w:rsidR="004D34C4" w:rsidP="000F6D85" w:rsidRDefault="004D34C4" w14:paraId="13E57CAB" w14:textId="77777777">
      <w:pPr>
        <w:pStyle w:val="Heading1"/>
        <w:sectPr w:rsidRPr="00E70B3A" w:rsidR="004D34C4" w:rsidSect="000E2757">
          <w:pgSz w:w="16838" w:h="11906" w:orient="landscape" w:code="9"/>
          <w:pgMar w:top="1418" w:right="1418" w:bottom="1418" w:left="1418" w:header="680" w:footer="851" w:gutter="0"/>
          <w:cols w:space="340"/>
          <w:titlePg/>
          <w:docGrid w:linePitch="360"/>
        </w:sectPr>
      </w:pPr>
    </w:p>
    <w:p w:rsidRPr="00E70B3A" w:rsidR="00911DC8" w:rsidP="000F6D85" w:rsidRDefault="000F6D85" w14:paraId="0C1B36BC" w14:textId="3642FCFC">
      <w:pPr>
        <w:pStyle w:val="Heading1"/>
      </w:pPr>
      <w:bookmarkStart w:name="_Toc235628547" w:id="29"/>
      <w:r w:rsidRPr="00E70B3A">
        <w:t xml:space="preserve">6. </w:t>
      </w:r>
      <w:r w:rsidRPr="00E70B3A" w:rsidR="00E84340">
        <w:t xml:space="preserve">Multi-Purpose Services (MPS) and </w:t>
      </w:r>
      <w:r w:rsidRPr="00E70B3A" w:rsidR="00123328">
        <w:t>D</w:t>
      </w:r>
      <w:r w:rsidRPr="00E70B3A" w:rsidR="00E84340">
        <w:t xml:space="preserve">enominational </w:t>
      </w:r>
      <w:r w:rsidRPr="00E70B3A" w:rsidR="00704500">
        <w:t>s</w:t>
      </w:r>
      <w:r w:rsidRPr="00E70B3A" w:rsidR="00E84340">
        <w:t>ervices</w:t>
      </w:r>
      <w:bookmarkEnd w:id="29"/>
      <w:r w:rsidRPr="00E70B3A" w:rsidR="00E84340">
        <w:t xml:space="preserve"> </w:t>
      </w:r>
    </w:p>
    <w:p w:rsidRPr="00E70B3A" w:rsidR="00873BEE" w:rsidP="00873BEE" w:rsidRDefault="00873BEE" w14:paraId="2376D0E4" w14:textId="2B00F16B">
      <w:pPr>
        <w:pStyle w:val="Heading2"/>
        <w:rPr>
          <w:rFonts w:cs="Arial"/>
        </w:rPr>
      </w:pPr>
      <w:bookmarkStart w:name="_Toc235628548" w:id="30"/>
      <w:r w:rsidRPr="00E70B3A">
        <w:rPr>
          <w:rFonts w:cs="Arial"/>
        </w:rPr>
        <w:t>6.1 Multi-Purpose Services (MPS)</w:t>
      </w:r>
      <w:bookmarkEnd w:id="30"/>
    </w:p>
    <w:p w:rsidRPr="00E70B3A" w:rsidR="00E277A7" w:rsidP="00E277A7" w:rsidRDefault="00873BEE" w14:paraId="0F7E4DB0" w14:textId="14EBBF68">
      <w:pPr>
        <w:spacing w:before="80" w:after="80" w:line="300" w:lineRule="auto"/>
        <w:rPr>
          <w:rFonts w:cs="Arial"/>
        </w:rPr>
      </w:pPr>
      <w:r w:rsidRPr="00E70B3A">
        <w:rPr>
          <w:rFonts w:cs="Arial"/>
        </w:rPr>
        <w:t xml:space="preserve">MPS are small rural services that deliver integrated acute, primary and aged care, typically in communities where standalone services would not be viable. MPS are established under Part 4A of the </w:t>
      </w:r>
      <w:r w:rsidRPr="00025BC2" w:rsidR="00025BC2">
        <w:rPr>
          <w:rFonts w:cs="Arial"/>
        </w:rPr>
        <w:t xml:space="preserve">Health Services Act </w:t>
      </w:r>
      <w:r w:rsidRPr="00025BC2" w:rsidR="00300BF2">
        <w:rPr>
          <w:rFonts w:cs="Arial"/>
        </w:rPr>
        <w:t xml:space="preserve">1988 </w:t>
      </w:r>
      <w:r w:rsidRPr="00E70B3A" w:rsidR="00300BF2">
        <w:rPr>
          <w:rFonts w:cs="Arial"/>
        </w:rPr>
        <w:t>and</w:t>
      </w:r>
      <w:r w:rsidRPr="00E70B3A">
        <w:rPr>
          <w:rFonts w:cs="Arial"/>
        </w:rPr>
        <w:t xml:space="preserve"> operate under joint Commonwealth-State funding arrangements. They are subject to similar governance and performance policies as public </w:t>
      </w:r>
      <w:r w:rsidRPr="00E70B3A" w:rsidR="0021649B">
        <w:rPr>
          <w:rFonts w:cs="Arial"/>
        </w:rPr>
        <w:t>hospitals but</w:t>
      </w:r>
      <w:r w:rsidRPr="00E70B3A">
        <w:rPr>
          <w:rFonts w:cs="Arial"/>
        </w:rPr>
        <w:t xml:space="preserve"> are not required to sign a SoP. </w:t>
      </w:r>
    </w:p>
    <w:p w:rsidRPr="00E70B3A" w:rsidR="00E277A7" w:rsidP="00E277A7" w:rsidRDefault="00E277A7" w14:paraId="4249648C" w14:textId="1D4C0E21">
      <w:pPr>
        <w:spacing w:before="80" w:after="80" w:line="300" w:lineRule="auto"/>
        <w:rPr>
          <w:rFonts w:cs="Arial"/>
        </w:rPr>
      </w:pPr>
      <w:r w:rsidRPr="00E70B3A">
        <w:rPr>
          <w:rFonts w:cs="Arial"/>
        </w:rPr>
        <w:t>For Multi</w:t>
      </w:r>
      <w:r w:rsidRPr="00E70B3A">
        <w:rPr>
          <w:rFonts w:ascii="Cambria Math" w:hAnsi="Cambria Math" w:cs="Cambria Math"/>
        </w:rPr>
        <w:t>‑</w:t>
      </w:r>
      <w:r w:rsidRPr="00E70B3A">
        <w:rPr>
          <w:rFonts w:cs="Arial"/>
        </w:rPr>
        <w:t>Purpose Services (MPS), performance expectations are articulated across a suite of interconnected instruments, including Tripartite Agreements, MPS Service Plans, strengthened aged care regulatory requirements under the Aged Care Act 2024, and the Policy and Funding Guidelines (PFG).</w:t>
      </w:r>
    </w:p>
    <w:p w:rsidRPr="00E70B3A" w:rsidR="00F2237F" w:rsidP="00E277A7" w:rsidRDefault="00E277A7" w14:paraId="2E87D1BF" w14:textId="4A490D93">
      <w:pPr>
        <w:spacing w:before="80" w:after="80" w:line="300" w:lineRule="auto"/>
        <w:rPr>
          <w:rFonts w:cs="Arial"/>
        </w:rPr>
      </w:pPr>
      <w:r w:rsidRPr="00E70B3A">
        <w:rPr>
          <w:rFonts w:cs="Arial"/>
        </w:rPr>
        <w:t xml:space="preserve">Performance oversight for MPS is undertaken through the </w:t>
      </w:r>
      <w:r w:rsidR="00487E12">
        <w:rPr>
          <w:rFonts w:cs="Arial"/>
        </w:rPr>
        <w:t xml:space="preserve">framework </w:t>
      </w:r>
      <w:r w:rsidRPr="00E70B3A">
        <w:rPr>
          <w:rFonts w:cs="Arial"/>
        </w:rPr>
        <w:t>using a tailored, risk</w:t>
      </w:r>
      <w:r w:rsidRPr="00E70B3A">
        <w:rPr>
          <w:rFonts w:ascii="Cambria Math" w:hAnsi="Cambria Math" w:cs="Cambria Math"/>
        </w:rPr>
        <w:t>‑</w:t>
      </w:r>
      <w:r w:rsidRPr="00E70B3A">
        <w:rPr>
          <w:rFonts w:cs="Arial"/>
        </w:rPr>
        <w:t>based approach, comparable to that applied to small rural health services. This approach draws on the available contractual, funding, and regulatory levers to support proportionate risk assessment, monitoring, assurance and, where required, escalation.</w:t>
      </w:r>
    </w:p>
    <w:p w:rsidRPr="00E70B3A" w:rsidR="00B93D55" w:rsidP="005C35FE" w:rsidRDefault="007C24E7" w14:paraId="4E908F21" w14:textId="22BB3CDD">
      <w:pPr>
        <w:pStyle w:val="Heading2"/>
        <w:rPr>
          <w:rFonts w:cs="Arial"/>
        </w:rPr>
      </w:pPr>
      <w:bookmarkStart w:name="_Toc235628549" w:id="31"/>
      <w:r w:rsidRPr="00E70B3A">
        <w:rPr>
          <w:rFonts w:cs="Arial"/>
        </w:rPr>
        <w:t xml:space="preserve">6.2 </w:t>
      </w:r>
      <w:r w:rsidRPr="00E70B3A" w:rsidR="00D12AA2">
        <w:rPr>
          <w:rFonts w:cs="Arial"/>
        </w:rPr>
        <w:t>Denominational Services</w:t>
      </w:r>
      <w:bookmarkEnd w:id="31"/>
      <w:r w:rsidRPr="00E70B3A">
        <w:rPr>
          <w:rFonts w:cs="Arial"/>
        </w:rPr>
        <w:t xml:space="preserve"> </w:t>
      </w:r>
    </w:p>
    <w:p w:rsidRPr="00E70B3A" w:rsidR="000A2A93" w:rsidP="000A2A93" w:rsidRDefault="000A2A93" w14:paraId="0E2B68E5" w14:textId="77777777">
      <w:pPr>
        <w:pStyle w:val="DHHSbody"/>
        <w:rPr>
          <w:rFonts w:cs="Arial"/>
        </w:rPr>
      </w:pPr>
      <w:r w:rsidRPr="00E70B3A">
        <w:rPr>
          <w:rFonts w:cs="Arial"/>
        </w:rPr>
        <w:t>Denominational health services are an integral part of the Victorian public hospital system and receive state funding to deliver public hospital services to Victorian patients and communities.</w:t>
      </w:r>
    </w:p>
    <w:p w:rsidRPr="00E70B3A" w:rsidR="0030112A" w:rsidP="0030112A" w:rsidRDefault="00177FC3" w14:paraId="5A10E662" w14:textId="30D96000">
      <w:pPr>
        <w:pStyle w:val="DHHSbody"/>
        <w:rPr>
          <w:rFonts w:cs="Arial"/>
        </w:rPr>
      </w:pPr>
      <w:r w:rsidRPr="00177FC3">
        <w:rPr>
          <w:rFonts w:cs="Arial"/>
        </w:rPr>
        <w:t xml:space="preserve">Denominational services have a Statement of Priorities (SoP) and are subject to performance oversight on the same basis as other public health services. Performance oversight is supported by the SoP, </w:t>
      </w:r>
      <w:r w:rsidR="0006429B">
        <w:rPr>
          <w:rFonts w:cs="Arial"/>
        </w:rPr>
        <w:t>Health Services Act (1988)</w:t>
      </w:r>
      <w:r w:rsidR="00534F18">
        <w:rPr>
          <w:rFonts w:cs="Arial"/>
        </w:rPr>
        <w:t xml:space="preserve">, </w:t>
      </w:r>
      <w:r w:rsidRPr="00177FC3">
        <w:rPr>
          <w:rFonts w:cs="Arial"/>
        </w:rPr>
        <w:t>Policy and Funding Guidelines, and modelled budget.</w:t>
      </w:r>
      <w:r w:rsidRPr="00E70B3A" w:rsidR="0030112A">
        <w:rPr>
          <w:rFonts w:cs="Arial"/>
        </w:rPr>
        <w:t xml:space="preserve"> These instruments set out:</w:t>
      </w:r>
    </w:p>
    <w:p w:rsidRPr="00E70B3A" w:rsidR="000A2A93" w:rsidP="00891C03" w:rsidRDefault="000A2A93" w14:paraId="1705B3AB" w14:textId="77777777">
      <w:pPr>
        <w:pStyle w:val="DHHSbody"/>
        <w:numPr>
          <w:ilvl w:val="0"/>
          <w:numId w:val="26"/>
        </w:numPr>
        <w:rPr>
          <w:rFonts w:cs="Arial"/>
        </w:rPr>
      </w:pPr>
      <w:r w:rsidRPr="00E70B3A">
        <w:rPr>
          <w:rFonts w:cs="Arial"/>
        </w:rPr>
        <w:t>the scope of public hospital activity to be delivered;</w:t>
      </w:r>
    </w:p>
    <w:p w:rsidRPr="00E70B3A" w:rsidR="000A2A93" w:rsidP="00891C03" w:rsidRDefault="000A2A93" w14:paraId="50CA701A" w14:textId="77777777">
      <w:pPr>
        <w:pStyle w:val="DHHSbody"/>
        <w:numPr>
          <w:ilvl w:val="0"/>
          <w:numId w:val="26"/>
        </w:numPr>
        <w:rPr>
          <w:rFonts w:cs="Arial"/>
        </w:rPr>
      </w:pPr>
      <w:r w:rsidRPr="00E70B3A">
        <w:rPr>
          <w:rFonts w:cs="Arial"/>
        </w:rPr>
        <w:t>funding parameters and conditions;</w:t>
      </w:r>
    </w:p>
    <w:p w:rsidRPr="00E70B3A" w:rsidR="000A2A93" w:rsidP="00891C03" w:rsidRDefault="000A2A93" w14:paraId="013B6C24" w14:textId="77777777">
      <w:pPr>
        <w:pStyle w:val="DHHSbody"/>
        <w:numPr>
          <w:ilvl w:val="0"/>
          <w:numId w:val="26"/>
        </w:numPr>
        <w:rPr>
          <w:rFonts w:cs="Arial"/>
        </w:rPr>
      </w:pPr>
      <w:r w:rsidRPr="00E70B3A">
        <w:rPr>
          <w:rFonts w:cs="Arial"/>
        </w:rPr>
        <w:t>reporting and accountability obligations; and</w:t>
      </w:r>
    </w:p>
    <w:p w:rsidRPr="00E70B3A" w:rsidR="000A2A93" w:rsidP="00891C03" w:rsidRDefault="000A2A93" w14:paraId="0B9172C9" w14:textId="39A5D027">
      <w:pPr>
        <w:pStyle w:val="DHHSbody"/>
        <w:numPr>
          <w:ilvl w:val="0"/>
          <w:numId w:val="26"/>
        </w:numPr>
        <w:rPr>
          <w:rFonts w:cs="Arial"/>
        </w:rPr>
      </w:pPr>
      <w:r w:rsidRPr="00E70B3A">
        <w:rPr>
          <w:rFonts w:cs="Arial"/>
        </w:rPr>
        <w:t>performance expectations aligned with the broader public hospital system.</w:t>
      </w:r>
    </w:p>
    <w:p w:rsidRPr="00E70B3A" w:rsidR="00FC46E3" w:rsidP="00FC46E3" w:rsidRDefault="000A2A93" w14:paraId="61CEB308" w14:textId="76C8AAED">
      <w:pPr>
        <w:pStyle w:val="DHHSbody"/>
        <w:rPr>
          <w:rFonts w:cs="Arial"/>
        </w:rPr>
      </w:pPr>
      <w:r w:rsidRPr="00E70B3A">
        <w:rPr>
          <w:rFonts w:cs="Arial"/>
        </w:rPr>
        <w:t xml:space="preserve">Where the Department requires increased assurance under the </w:t>
      </w:r>
      <w:r w:rsidR="00717D70">
        <w:rPr>
          <w:rFonts w:cs="Arial"/>
        </w:rPr>
        <w:t>framework</w:t>
      </w:r>
      <w:r w:rsidRPr="00E70B3A">
        <w:rPr>
          <w:rFonts w:cs="Arial"/>
        </w:rPr>
        <w:t>—including in cases of sustained or elevated performance risk, or where confidence in a service’s capacity to meet its SoP commitments is reduced</w:t>
      </w:r>
      <w:r w:rsidRPr="00E70B3A" w:rsidR="00E03DA3">
        <w:rPr>
          <w:rFonts w:cs="Arial"/>
        </w:rPr>
        <w:t xml:space="preserve"> </w:t>
      </w:r>
      <w:r w:rsidRPr="00E70B3A" w:rsidR="00FC46E3">
        <w:rPr>
          <w:rFonts w:cs="Arial"/>
        </w:rPr>
        <w:t xml:space="preserve">an escalated performance approach </w:t>
      </w:r>
      <w:r w:rsidRPr="00E70B3A" w:rsidR="001C3AF3">
        <w:rPr>
          <w:rFonts w:cs="Arial"/>
        </w:rPr>
        <w:t>can</w:t>
      </w:r>
      <w:r w:rsidRPr="00E70B3A" w:rsidR="00FC46E3">
        <w:rPr>
          <w:rFonts w:cs="Arial"/>
        </w:rPr>
        <w:t xml:space="preserve"> be applied</w:t>
      </w:r>
      <w:r w:rsidRPr="00E70B3A" w:rsidR="00B50F20">
        <w:rPr>
          <w:rFonts w:cs="Arial"/>
        </w:rPr>
        <w:t xml:space="preserve">. </w:t>
      </w:r>
    </w:p>
    <w:p w:rsidRPr="00E70B3A" w:rsidR="00AD3820" w:rsidP="00FC46E3" w:rsidRDefault="000A2A93" w14:paraId="520503F9" w14:textId="7242CAE7">
      <w:pPr>
        <w:pStyle w:val="DHHSbody"/>
        <w:rPr>
          <w:rFonts w:cs="Arial"/>
        </w:rPr>
      </w:pPr>
      <w:r w:rsidRPr="00E70B3A">
        <w:rPr>
          <w:rFonts w:cs="Arial"/>
        </w:rPr>
        <w:t xml:space="preserve">Escalation under the Health Services Act 1988 and other statutory powers applies where the legislation extends to the service. Where statutory powers do not directly apply, equivalent contractual levers </w:t>
      </w:r>
      <w:r w:rsidRPr="00E70B3A" w:rsidR="00214680">
        <w:rPr>
          <w:rFonts w:cs="Arial"/>
        </w:rPr>
        <w:t xml:space="preserve">will be </w:t>
      </w:r>
      <w:r w:rsidRPr="00E70B3A" w:rsidR="007573BE">
        <w:rPr>
          <w:rFonts w:cs="Arial"/>
        </w:rPr>
        <w:t xml:space="preserve">exercised. </w:t>
      </w:r>
    </w:p>
    <w:p w:rsidRPr="00E70B3A" w:rsidR="009B67AC" w:rsidRDefault="009B67AC" w14:paraId="3F2D805C" w14:textId="77777777">
      <w:pPr>
        <w:spacing w:after="0" w:line="240" w:lineRule="auto"/>
        <w:rPr>
          <w:rFonts w:eastAsia="MS Gothic" w:cs="Arial"/>
          <w:bCs/>
          <w:color w:val="201547"/>
          <w:kern w:val="32"/>
          <w:sz w:val="44"/>
          <w:szCs w:val="44"/>
        </w:rPr>
      </w:pPr>
      <w:r w:rsidRPr="00E70B3A">
        <w:rPr>
          <w:rFonts w:cs="Arial"/>
        </w:rPr>
        <w:br w:type="page"/>
      </w:r>
    </w:p>
    <w:p w:rsidRPr="00E70B3A" w:rsidR="00AD3820" w:rsidP="009B67AC" w:rsidRDefault="00AD3820" w14:paraId="1133365D" w14:textId="77777777">
      <w:pPr>
        <w:pStyle w:val="Heading1"/>
      </w:pPr>
      <w:bookmarkStart w:name="_Toc235628550" w:id="32"/>
      <w:r w:rsidRPr="00E70B3A">
        <w:t xml:space="preserve">7. </w:t>
      </w:r>
      <w:r w:rsidRPr="00E70B3A" w:rsidR="009B67AC">
        <w:t xml:space="preserve"> Roles and Responsibilities</w:t>
      </w:r>
      <w:bookmarkEnd w:id="32"/>
      <w:r w:rsidRPr="00E70B3A" w:rsidR="009B67AC">
        <w:t xml:space="preserve"> </w:t>
      </w:r>
    </w:p>
    <w:p w:rsidRPr="00E70B3A" w:rsidR="002F514C" w:rsidP="00A8582E" w:rsidRDefault="00792C7A" w14:paraId="01FDF988" w14:textId="3CF29632">
      <w:pPr>
        <w:pStyle w:val="DHHSbody"/>
        <w:rPr>
          <w:rFonts w:cs="Arial"/>
        </w:rPr>
      </w:pPr>
      <w:r w:rsidRPr="00E70B3A">
        <w:rPr>
          <w:rFonts w:cs="Arial"/>
        </w:rPr>
        <w:t xml:space="preserve">This section sets out the responsibilities of health services (Section 7.1) and the different parts of the department </w:t>
      </w:r>
      <w:r w:rsidR="006277F8">
        <w:rPr>
          <w:rFonts w:cs="Arial"/>
        </w:rPr>
        <w:t>(</w:t>
      </w:r>
      <w:r w:rsidRPr="00E70B3A">
        <w:rPr>
          <w:rFonts w:cs="Arial"/>
        </w:rPr>
        <w:t>Section 7.2</w:t>
      </w:r>
      <w:r w:rsidR="006277F8">
        <w:rPr>
          <w:rFonts w:cs="Arial"/>
        </w:rPr>
        <w:t>.2</w:t>
      </w:r>
      <w:r w:rsidRPr="00E70B3A">
        <w:rPr>
          <w:rFonts w:cs="Arial"/>
        </w:rPr>
        <w:t xml:space="preserve">) in implementing the </w:t>
      </w:r>
      <w:r w:rsidR="006277F8">
        <w:rPr>
          <w:rFonts w:cs="Arial"/>
        </w:rPr>
        <w:t>f</w:t>
      </w:r>
      <w:r w:rsidRPr="00E70B3A">
        <w:rPr>
          <w:rFonts w:cs="Arial"/>
        </w:rPr>
        <w:t>ramework.</w:t>
      </w:r>
      <w:r w:rsidRPr="000C7B07" w:rsidR="000C7B07">
        <w:t xml:space="preserve"> </w:t>
      </w:r>
      <w:r w:rsidRPr="000C7B07" w:rsidR="000C7B07">
        <w:rPr>
          <w:rFonts w:cs="Arial"/>
        </w:rPr>
        <w:t xml:space="preserve">These roles collectively support coordinated, system-wide performance oversight under the </w:t>
      </w:r>
      <w:r w:rsidR="000C7B07">
        <w:rPr>
          <w:rFonts w:cs="Arial"/>
        </w:rPr>
        <w:t>f</w:t>
      </w:r>
      <w:r w:rsidRPr="000C7B07" w:rsidR="000C7B07">
        <w:rPr>
          <w:rFonts w:cs="Arial"/>
        </w:rPr>
        <w:t>ramework.</w:t>
      </w:r>
    </w:p>
    <w:p w:rsidRPr="00E70B3A" w:rsidR="00A8582E" w:rsidP="00A8582E" w:rsidRDefault="00A8582E" w14:paraId="01D13D88" w14:textId="77777777">
      <w:pPr>
        <w:pStyle w:val="Heading2"/>
        <w:rPr>
          <w:rFonts w:cs="Arial"/>
        </w:rPr>
      </w:pPr>
      <w:bookmarkStart w:name="_Toc235628551" w:id="33"/>
      <w:r w:rsidRPr="00E70B3A">
        <w:rPr>
          <w:rFonts w:cs="Arial"/>
        </w:rPr>
        <w:t>7.1 Health services</w:t>
      </w:r>
      <w:bookmarkEnd w:id="33"/>
    </w:p>
    <w:p w:rsidRPr="00E70B3A" w:rsidR="00A8582E" w:rsidP="00A8582E" w:rsidRDefault="00A8582E" w14:paraId="53322BAC" w14:textId="77777777">
      <w:pPr>
        <w:pStyle w:val="DHHSbody"/>
        <w:rPr>
          <w:rFonts w:cs="Arial"/>
        </w:rPr>
      </w:pPr>
      <w:r w:rsidRPr="00E70B3A">
        <w:rPr>
          <w:rFonts w:cs="Arial"/>
        </w:rPr>
        <w:t>Health services are responsible and accountable for:</w:t>
      </w:r>
    </w:p>
    <w:p w:rsidRPr="00D37BE0" w:rsidR="00D37BE0" w:rsidP="00891C03" w:rsidRDefault="00D37BE0" w14:paraId="331A8F02" w14:textId="77777777">
      <w:pPr>
        <w:pStyle w:val="ListParagraph"/>
        <w:numPr>
          <w:ilvl w:val="0"/>
          <w:numId w:val="24"/>
        </w:numPr>
        <w:rPr>
          <w:rFonts w:eastAsia="Times" w:cs="Arial"/>
          <w:color w:val="000000" w:themeColor="text1"/>
        </w:rPr>
      </w:pPr>
      <w:r w:rsidRPr="00D37BE0">
        <w:rPr>
          <w:rFonts w:eastAsia="Times" w:cs="Arial"/>
          <w:color w:val="000000" w:themeColor="text1"/>
        </w:rPr>
        <w:t>meeting expectations set through the Statement of Priorities or equivalent instruments</w:t>
      </w:r>
    </w:p>
    <w:p w:rsidRPr="00D37BE0" w:rsidR="00D37BE0" w:rsidP="00891C03" w:rsidRDefault="00D37BE0" w14:paraId="1CED0B2F" w14:textId="77777777">
      <w:pPr>
        <w:pStyle w:val="ListParagraph"/>
        <w:numPr>
          <w:ilvl w:val="0"/>
          <w:numId w:val="24"/>
        </w:numPr>
        <w:rPr>
          <w:rFonts w:eastAsia="Times" w:cs="Arial"/>
          <w:color w:val="000000" w:themeColor="text1"/>
        </w:rPr>
      </w:pPr>
      <w:r w:rsidRPr="00D37BE0">
        <w:rPr>
          <w:rFonts w:eastAsia="Times" w:cs="Arial"/>
          <w:color w:val="000000" w:themeColor="text1"/>
        </w:rPr>
        <w:t>maintaining a culture of improvement and delivering required performance improvements</w:t>
      </w:r>
    </w:p>
    <w:p w:rsidRPr="00D37BE0" w:rsidR="00D37BE0" w:rsidP="00891C03" w:rsidRDefault="00D37BE0" w14:paraId="4CD2BA2D" w14:textId="77777777">
      <w:pPr>
        <w:pStyle w:val="ListParagraph"/>
        <w:numPr>
          <w:ilvl w:val="0"/>
          <w:numId w:val="24"/>
        </w:numPr>
        <w:rPr>
          <w:rFonts w:eastAsia="Times" w:cs="Arial"/>
          <w:color w:val="000000" w:themeColor="text1"/>
        </w:rPr>
      </w:pPr>
      <w:r w:rsidRPr="00D37BE0">
        <w:rPr>
          <w:rFonts w:eastAsia="Times" w:cs="Arial"/>
          <w:color w:val="000000" w:themeColor="text1"/>
        </w:rPr>
        <w:t>engaging constructively with the department’s oversight processes</w:t>
      </w:r>
    </w:p>
    <w:p w:rsidRPr="00D37BE0" w:rsidR="00D37BE0" w:rsidP="00891C03" w:rsidRDefault="00D37BE0" w14:paraId="4B3D41B7" w14:textId="77777777">
      <w:pPr>
        <w:pStyle w:val="ListParagraph"/>
        <w:numPr>
          <w:ilvl w:val="0"/>
          <w:numId w:val="24"/>
        </w:numPr>
        <w:rPr>
          <w:rFonts w:eastAsia="Times" w:cs="Arial"/>
          <w:color w:val="000000" w:themeColor="text1"/>
        </w:rPr>
      </w:pPr>
      <w:r w:rsidRPr="00D37BE0">
        <w:rPr>
          <w:rFonts w:eastAsia="Times" w:cs="Arial"/>
          <w:color w:val="000000" w:themeColor="text1"/>
        </w:rPr>
        <w:t>reporting significant emerging risks or performance issues promptly</w:t>
      </w:r>
    </w:p>
    <w:p w:rsidRPr="007055F6" w:rsidR="007055F6" w:rsidP="00891C03" w:rsidRDefault="007055F6" w14:paraId="16904ED9" w14:textId="77777777">
      <w:pPr>
        <w:pStyle w:val="ListParagraph"/>
        <w:numPr>
          <w:ilvl w:val="0"/>
          <w:numId w:val="24"/>
        </w:numPr>
        <w:rPr>
          <w:rFonts w:eastAsia="Times" w:cs="Arial"/>
          <w:color w:val="000000" w:themeColor="text1"/>
        </w:rPr>
      </w:pPr>
      <w:r w:rsidRPr="007055F6">
        <w:rPr>
          <w:rFonts w:eastAsia="Times" w:cs="Arial"/>
          <w:color w:val="000000" w:themeColor="text1"/>
        </w:rPr>
        <w:t xml:space="preserve">work collaboratively with the department through engagement between formal performance meetings. </w:t>
      </w:r>
    </w:p>
    <w:p w:rsidRPr="00D37BE0" w:rsidR="00D37BE0" w:rsidP="00891C03" w:rsidRDefault="00D37BE0" w14:paraId="3D2DFE3B" w14:textId="77777777">
      <w:pPr>
        <w:pStyle w:val="ListParagraph"/>
        <w:numPr>
          <w:ilvl w:val="0"/>
          <w:numId w:val="24"/>
        </w:numPr>
        <w:rPr>
          <w:rFonts w:eastAsia="Times" w:cs="Arial"/>
          <w:color w:val="000000" w:themeColor="text1"/>
        </w:rPr>
      </w:pPr>
      <w:r w:rsidRPr="00D37BE0">
        <w:rPr>
          <w:rFonts w:eastAsia="Times" w:cs="Arial"/>
          <w:color w:val="000000" w:themeColor="text1"/>
        </w:rPr>
        <w:t>submitting accurate and timely data and other information</w:t>
      </w:r>
    </w:p>
    <w:p w:rsidRPr="007055F6" w:rsidR="007055F6" w:rsidP="00891C03" w:rsidRDefault="007055F6" w14:paraId="3BB4EAC3" w14:textId="5FD53C31">
      <w:pPr>
        <w:pStyle w:val="ListParagraph"/>
        <w:numPr>
          <w:ilvl w:val="0"/>
          <w:numId w:val="24"/>
        </w:numPr>
        <w:rPr>
          <w:rFonts w:eastAsia="Times" w:cs="Arial"/>
          <w:color w:val="000000" w:themeColor="text1"/>
        </w:rPr>
      </w:pPr>
      <w:r w:rsidRPr="007055F6">
        <w:rPr>
          <w:rFonts w:eastAsia="Times" w:cs="Arial"/>
          <w:color w:val="000000" w:themeColor="text1"/>
        </w:rPr>
        <w:t>collaborating with other health services and system partners to share knowledge, align effort and improve system-wide performance; and</w:t>
      </w:r>
    </w:p>
    <w:p w:rsidRPr="00D37BE0" w:rsidR="00D37BE0" w:rsidP="00891C03" w:rsidRDefault="00D37BE0" w14:paraId="288539C0" w14:textId="1DB6350F">
      <w:pPr>
        <w:pStyle w:val="ListParagraph"/>
        <w:numPr>
          <w:ilvl w:val="0"/>
          <w:numId w:val="24"/>
        </w:numPr>
        <w:rPr>
          <w:rFonts w:eastAsia="Times" w:cs="Arial"/>
          <w:color w:val="000000" w:themeColor="text1"/>
        </w:rPr>
      </w:pPr>
      <w:r w:rsidRPr="00D37BE0">
        <w:rPr>
          <w:rFonts w:eastAsia="Times" w:cs="Arial"/>
          <w:color w:val="000000" w:themeColor="text1"/>
        </w:rPr>
        <w:t>ensuring board and executive leadership respond appropriately to</w:t>
      </w:r>
      <w:r w:rsidR="007055F6">
        <w:rPr>
          <w:rFonts w:eastAsia="Times" w:cs="Arial"/>
          <w:color w:val="000000" w:themeColor="text1"/>
        </w:rPr>
        <w:t xml:space="preserve"> performance</w:t>
      </w:r>
      <w:r w:rsidRPr="00D37BE0">
        <w:rPr>
          <w:rFonts w:eastAsia="Times" w:cs="Arial"/>
          <w:color w:val="000000" w:themeColor="text1"/>
        </w:rPr>
        <w:t xml:space="preserve"> tier changes and exit criteria</w:t>
      </w:r>
    </w:p>
    <w:p w:rsidRPr="00E70B3A" w:rsidR="00F87DDB" w:rsidP="00F87DDB" w:rsidRDefault="00F87DDB" w14:paraId="4F5495A7" w14:textId="77777777">
      <w:pPr>
        <w:pStyle w:val="Heading2"/>
        <w:rPr>
          <w:rFonts w:cs="Arial"/>
        </w:rPr>
      </w:pPr>
      <w:bookmarkStart w:name="_Toc227761760" w:id="34"/>
      <w:bookmarkStart w:name="_Toc235628552" w:id="35"/>
      <w:r w:rsidRPr="00E70B3A">
        <w:rPr>
          <w:rFonts w:cs="Arial"/>
        </w:rPr>
        <w:t>7.2 Department of Health</w:t>
      </w:r>
      <w:bookmarkEnd w:id="34"/>
      <w:bookmarkEnd w:id="35"/>
    </w:p>
    <w:p w:rsidRPr="00E70B3A" w:rsidR="00F87DDB" w:rsidP="00F87DDB" w:rsidRDefault="00F87DDB" w14:paraId="7AFE0673" w14:textId="77777777">
      <w:pPr>
        <w:spacing w:before="80" w:after="80" w:line="300" w:lineRule="auto"/>
        <w:rPr>
          <w:rFonts w:cs="Arial"/>
        </w:rPr>
      </w:pPr>
      <w:r w:rsidRPr="00E70B3A">
        <w:rPr>
          <w:rFonts w:cs="Arial"/>
        </w:rPr>
        <w:t>The department is the steward of the Victorian health care system. It advises Government on health strategy, policy, planning, funding allocation and performance oversight of health services.</w:t>
      </w:r>
    </w:p>
    <w:p w:rsidRPr="00E70B3A" w:rsidR="00C31036" w:rsidP="00C31036" w:rsidRDefault="00C31036" w14:paraId="1E07B770" w14:textId="77777777">
      <w:pPr>
        <w:pStyle w:val="Heading3"/>
        <w:rPr>
          <w:rFonts w:cs="Arial"/>
        </w:rPr>
      </w:pPr>
      <w:bookmarkStart w:name="_Toc227761761" w:id="36"/>
      <w:r w:rsidRPr="00E70B3A">
        <w:rPr>
          <w:rFonts w:cs="Arial"/>
        </w:rPr>
        <w:t>7.2.1 Overarching departmental responsibilities</w:t>
      </w:r>
      <w:bookmarkEnd w:id="36"/>
    </w:p>
    <w:p w:rsidRPr="00E70B3A" w:rsidR="00C31036" w:rsidP="00C31036" w:rsidRDefault="00C31036" w14:paraId="29151031" w14:textId="77777777">
      <w:pPr>
        <w:spacing w:before="80" w:after="80" w:line="300" w:lineRule="auto"/>
        <w:rPr>
          <w:rFonts w:cs="Arial"/>
        </w:rPr>
      </w:pPr>
      <w:r w:rsidRPr="00E70B3A">
        <w:rPr>
          <w:rFonts w:cs="Arial"/>
        </w:rPr>
        <w:t>The department carries out its performance oversight role by:</w:t>
      </w:r>
    </w:p>
    <w:p w:rsidRPr="00E70B3A" w:rsidR="00C31036" w:rsidP="00891C03" w:rsidRDefault="00C31036" w14:paraId="281AECBD" w14:textId="77777777">
      <w:pPr>
        <w:pStyle w:val="ListParagraph"/>
        <w:numPr>
          <w:ilvl w:val="0"/>
          <w:numId w:val="25"/>
        </w:numPr>
        <w:spacing w:before="40" w:after="40" w:line="280" w:lineRule="auto"/>
        <w:contextualSpacing w:val="0"/>
        <w:rPr>
          <w:rFonts w:cs="Arial"/>
        </w:rPr>
      </w:pPr>
      <w:r w:rsidRPr="00E70B3A">
        <w:rPr>
          <w:rFonts w:cs="Arial"/>
        </w:rPr>
        <w:t>setting strategic priorities and operating parameters (translating government priorities into health service targets, providing timely budgets and financial and policy parameters, and engaging with health services to drive improvement);</w:t>
      </w:r>
    </w:p>
    <w:p w:rsidRPr="00E70B3A" w:rsidR="00C31036" w:rsidP="00891C03" w:rsidRDefault="00C31036" w14:paraId="2BF8C655" w14:textId="77777777">
      <w:pPr>
        <w:pStyle w:val="ListParagraph"/>
        <w:numPr>
          <w:ilvl w:val="0"/>
          <w:numId w:val="25"/>
        </w:numPr>
        <w:spacing w:before="40" w:after="40" w:line="280" w:lineRule="auto"/>
        <w:contextualSpacing w:val="0"/>
        <w:rPr>
          <w:rFonts w:cs="Arial"/>
        </w:rPr>
      </w:pPr>
      <w:r w:rsidRPr="00E70B3A">
        <w:rPr>
          <w:rFonts w:cs="Arial"/>
        </w:rPr>
        <w:t>supporting continuous improvement (facilitating sharing of knowledge and expertise, enhancing Board skills and capabilities, and ensuring departmental staff have effective performance monitoring and quality improvement capabilities);</w:t>
      </w:r>
    </w:p>
    <w:p w:rsidRPr="00E70B3A" w:rsidR="00C31036" w:rsidP="00891C03" w:rsidRDefault="00C31036" w14:paraId="01DD8326" w14:textId="174C310C">
      <w:pPr>
        <w:pStyle w:val="ListParagraph"/>
        <w:numPr>
          <w:ilvl w:val="0"/>
          <w:numId w:val="25"/>
        </w:numPr>
        <w:spacing w:before="40" w:after="40" w:line="280" w:lineRule="auto"/>
        <w:contextualSpacing w:val="0"/>
        <w:rPr>
          <w:rFonts w:cs="Arial"/>
        </w:rPr>
      </w:pPr>
      <w:r w:rsidRPr="00E70B3A">
        <w:rPr>
          <w:rFonts w:cs="Arial"/>
        </w:rPr>
        <w:t xml:space="preserve">continuous monitoring of performance and risk (implementing the </w:t>
      </w:r>
      <w:r w:rsidR="00015915">
        <w:rPr>
          <w:rFonts w:cs="Arial"/>
        </w:rPr>
        <w:t>f</w:t>
      </w:r>
      <w:r w:rsidRPr="00E70B3A">
        <w:rPr>
          <w:rFonts w:cs="Arial"/>
        </w:rPr>
        <w:t>ramework and associated tools transparently and consistently, using available data and third-party intelligence, and maximising input from across the department and from clinical leaders);</w:t>
      </w:r>
    </w:p>
    <w:p w:rsidRPr="00E70B3A" w:rsidR="00C31036" w:rsidP="00891C03" w:rsidRDefault="00C31036" w14:paraId="29FCFB3C" w14:textId="77777777">
      <w:pPr>
        <w:pStyle w:val="ListParagraph"/>
        <w:numPr>
          <w:ilvl w:val="0"/>
          <w:numId w:val="25"/>
        </w:numPr>
        <w:spacing w:before="40" w:after="40" w:line="280" w:lineRule="auto"/>
        <w:contextualSpacing w:val="0"/>
        <w:rPr>
          <w:rFonts w:cs="Arial"/>
        </w:rPr>
      </w:pPr>
      <w:r w:rsidRPr="00E70B3A">
        <w:rPr>
          <w:rFonts w:cs="Arial"/>
        </w:rPr>
        <w:t>formally assessing performance and assigning tiers (consistently applying tier assessment and monitoring approaches, and advising the Minister on escalation mechanisms as appropriate); and</w:t>
      </w:r>
    </w:p>
    <w:p w:rsidRPr="00E70B3A" w:rsidR="008F1A37" w:rsidP="00891C03" w:rsidRDefault="00C31036" w14:paraId="78CD4D55" w14:textId="77777777">
      <w:pPr>
        <w:pStyle w:val="ListParagraph"/>
        <w:numPr>
          <w:ilvl w:val="0"/>
          <w:numId w:val="25"/>
        </w:numPr>
        <w:spacing w:before="40" w:after="40" w:line="280" w:lineRule="auto"/>
        <w:contextualSpacing w:val="0"/>
        <w:rPr>
          <w:rFonts w:cs="Arial"/>
        </w:rPr>
      </w:pPr>
      <w:r w:rsidRPr="00E70B3A">
        <w:rPr>
          <w:rFonts w:cs="Arial"/>
        </w:rPr>
        <w:t>coordinating performance meetings and responses (ensuring appropriate, relevant and consistent representation, and working across teams to ensure a cohesive approach).</w:t>
      </w:r>
    </w:p>
    <w:p w:rsidRPr="00E70B3A" w:rsidR="008F1A37" w:rsidP="008F1A37" w:rsidRDefault="008F1A37" w14:paraId="4E6DE974" w14:textId="77777777">
      <w:pPr>
        <w:spacing w:before="40" w:after="40" w:line="280" w:lineRule="auto"/>
        <w:rPr>
          <w:rFonts w:cs="Arial"/>
        </w:rPr>
      </w:pPr>
    </w:p>
    <w:p w:rsidRPr="00E70B3A" w:rsidR="007B21F7" w:rsidP="00D12AA2" w:rsidRDefault="004136DE" w14:paraId="5827AA96" w14:textId="47B587B0">
      <w:pPr>
        <w:pStyle w:val="Heading3"/>
        <w:rPr>
          <w:rFonts w:cs="Arial"/>
        </w:rPr>
      </w:pPr>
      <w:r w:rsidRPr="00E70B3A">
        <w:rPr>
          <w:rFonts w:cs="Arial"/>
        </w:rPr>
        <w:t>7.2.2 Roles and responsibilities across areas of the department</w:t>
      </w:r>
      <w:r w:rsidR="008C63FE">
        <w:rPr>
          <w:rFonts w:cs="Arial"/>
        </w:rPr>
        <w:t xml:space="preserve"> (sub-domain) </w:t>
      </w:r>
    </w:p>
    <w:p w:rsidRPr="00E70B3A" w:rsidR="008F1A37" w:rsidP="00DA51CB" w:rsidRDefault="008F1A37" w14:paraId="0FB7918E" w14:textId="53E350CE">
      <w:pPr>
        <w:pStyle w:val="Heading4"/>
      </w:pPr>
      <w:r w:rsidRPr="00E70B3A">
        <w:t>Hospitals Victoria</w:t>
      </w:r>
      <w:r w:rsidRPr="00E70B3A" w:rsidR="0040461B">
        <w:t xml:space="preserve"> division</w:t>
      </w:r>
    </w:p>
    <w:p w:rsidRPr="00E70B3A" w:rsidR="00D12AA2" w:rsidP="00D12AA2" w:rsidRDefault="008F1A37" w14:paraId="3F0B7706" w14:textId="138B0933">
      <w:pPr>
        <w:pStyle w:val="DHHSbody"/>
        <w:rPr>
          <w:rFonts w:cs="Arial"/>
        </w:rPr>
      </w:pPr>
      <w:r w:rsidRPr="00E70B3A">
        <w:rPr>
          <w:rFonts w:cs="Arial"/>
        </w:rPr>
        <w:t xml:space="preserve">Hospitals Victoria </w:t>
      </w:r>
      <w:r w:rsidRPr="00E70B3A" w:rsidR="00286A56">
        <w:rPr>
          <w:rFonts w:cs="Arial"/>
        </w:rPr>
        <w:t>stewards’</w:t>
      </w:r>
      <w:r w:rsidRPr="00E70B3A">
        <w:rPr>
          <w:rFonts w:cs="Arial"/>
        </w:rPr>
        <w:t xml:space="preserve"> health service financial sustainability and performance through system-level commissioning, funding, and accountability. The division leads systemwide strategy, planning and performance oversight for Victorian health services, with a focus on driving efficiency, financial sustainability and service performance. The division leads and coordinates savings and efficiency initiatives, provides oversight, quality assurance and risk management, and delivers insights and analytics to monitor progress across the system. It oversees health service performance assessment, funding policy, costing and pricing arrangements, and systemwide financial governance, supporting health services to implement improvement programs and informing executive decision making to ensure sustainable, high quality hospital services.</w:t>
      </w:r>
    </w:p>
    <w:p w:rsidRPr="00E70B3A" w:rsidR="008F1A37" w:rsidP="00D12AA2" w:rsidRDefault="00D12AA2" w14:paraId="416C7963" w14:textId="3D3CA9A8">
      <w:pPr>
        <w:pStyle w:val="Heading4"/>
        <w:rPr>
          <w:rFonts w:cs="Arial"/>
        </w:rPr>
      </w:pPr>
      <w:r w:rsidRPr="00E70B3A">
        <w:rPr>
          <w:rFonts w:cs="Arial"/>
        </w:rPr>
        <w:t>H</w:t>
      </w:r>
      <w:r w:rsidRPr="00E70B3A" w:rsidR="008F1A37">
        <w:rPr>
          <w:rFonts w:cs="Arial"/>
        </w:rPr>
        <w:t>ealth Service Performance Oversight</w:t>
      </w:r>
    </w:p>
    <w:p w:rsidRPr="00E70B3A" w:rsidR="008F1A37" w:rsidP="0040461B" w:rsidRDefault="008F1A37" w14:paraId="7979AAB8" w14:textId="13DD01BC">
      <w:pPr>
        <w:pStyle w:val="DHHSbody"/>
        <w:rPr>
          <w:rFonts w:cs="Arial"/>
        </w:rPr>
      </w:pPr>
      <w:r w:rsidRPr="00E70B3A">
        <w:rPr>
          <w:rFonts w:cs="Arial"/>
        </w:rPr>
        <w:t xml:space="preserve">Leads end-to-end performance oversight for hospitals and health services through the Performance Monitoring </w:t>
      </w:r>
      <w:r w:rsidRPr="00E70B3A" w:rsidR="001A4F37">
        <w:rPr>
          <w:rFonts w:cs="Arial"/>
        </w:rPr>
        <w:t>Framework and</w:t>
      </w:r>
      <w:r w:rsidRPr="00E70B3A">
        <w:rPr>
          <w:rFonts w:cs="Arial"/>
        </w:rPr>
        <w:t xml:space="preserve"> drives performance improvement through targeted deep dives and data analysis</w:t>
      </w:r>
      <w:r w:rsidR="001A4F37">
        <w:rPr>
          <w:rFonts w:cs="Arial"/>
        </w:rPr>
        <w:t xml:space="preserve">. </w:t>
      </w:r>
    </w:p>
    <w:p w:rsidRPr="00E70B3A" w:rsidR="008F1A37" w:rsidP="0040461B" w:rsidRDefault="008F1A37" w14:paraId="40A80383" w14:textId="46F4966B">
      <w:pPr>
        <w:pStyle w:val="Heading4"/>
        <w:rPr>
          <w:rFonts w:cs="Arial"/>
        </w:rPr>
      </w:pPr>
      <w:r w:rsidRPr="00E70B3A">
        <w:rPr>
          <w:rFonts w:cs="Arial"/>
        </w:rPr>
        <w:t>Health Service Financial Performance and Capability</w:t>
      </w:r>
      <w:r w:rsidR="001A4F37">
        <w:rPr>
          <w:rFonts w:cs="Arial"/>
        </w:rPr>
        <w:t xml:space="preserve"> (sub-domain) </w:t>
      </w:r>
    </w:p>
    <w:p w:rsidRPr="00E70B3A" w:rsidR="008F1A37" w:rsidP="0040461B" w:rsidRDefault="008F1A37" w14:paraId="2FBF20CA" w14:textId="089B9CEC">
      <w:pPr>
        <w:pStyle w:val="DHHSbody"/>
        <w:rPr>
          <w:rFonts w:cs="Arial"/>
        </w:rPr>
      </w:pPr>
      <w:r w:rsidRPr="00E70B3A">
        <w:rPr>
          <w:rFonts w:cs="Arial"/>
        </w:rPr>
        <w:t>Leads system-wide financial oversight, including financial policy advice and financial performance frameworks to support sustainable health service operations. Supports health services to implement efficiency and productivity initiatives, including overseeing improvement programs and providing advice to support executive decision-making. Leads programs to strengthen financial capability, data quality, productivity and revenue optimisation across the sector.</w:t>
      </w:r>
    </w:p>
    <w:p w:rsidRPr="00E70B3A" w:rsidR="00E87CC4" w:rsidP="00193812" w:rsidRDefault="00E87CC4" w14:paraId="1864A7B4" w14:textId="2ACDAEFE">
      <w:pPr>
        <w:pStyle w:val="Heading4"/>
      </w:pPr>
      <w:r w:rsidRPr="00E70B3A">
        <w:t xml:space="preserve">Health System Reform and Partnerships division </w:t>
      </w:r>
    </w:p>
    <w:p w:rsidRPr="00E70B3A" w:rsidR="008471D7" w:rsidP="008471D7" w:rsidRDefault="008471D7" w14:paraId="3289B5EA" w14:textId="77777777">
      <w:pPr>
        <w:pStyle w:val="DHHSbody"/>
        <w:rPr>
          <w:rFonts w:cs="Arial"/>
        </w:rPr>
      </w:pPr>
      <w:r w:rsidRPr="00E70B3A">
        <w:rPr>
          <w:rFonts w:cs="Arial"/>
        </w:rPr>
        <w:t>The Health System Reform and Partnerships Division leads the commissioning, stewardship and oversight of Victoria’s hospitals and health services.</w:t>
      </w:r>
    </w:p>
    <w:p w:rsidRPr="00E70B3A" w:rsidR="008471D7" w:rsidP="008471D7" w:rsidRDefault="008471D7" w14:paraId="6814A6E6" w14:textId="77777777">
      <w:pPr>
        <w:pStyle w:val="DHHSbody"/>
        <w:rPr>
          <w:rFonts w:cs="Arial"/>
        </w:rPr>
      </w:pPr>
      <w:r w:rsidRPr="00E70B3A">
        <w:rPr>
          <w:rFonts w:cs="Arial"/>
        </w:rPr>
        <w:t>The division leads system reform, policy and program design and implementation, issues management, system improvement and cross sector collaboration across ambulance and emergency, planned care, system access, aged care services, end of life care, cancer and specialist services, specialist programs, health workforce capability and strategy, and whole of system planning with a focus on improving integration, equity and outcomes for priority communities.</w:t>
      </w:r>
    </w:p>
    <w:p w:rsidRPr="00E70B3A" w:rsidR="008471D7" w:rsidP="008471D7" w:rsidRDefault="008471D7" w14:paraId="7B53BE09" w14:textId="77777777">
      <w:pPr>
        <w:pStyle w:val="DHHSbody"/>
        <w:rPr>
          <w:rFonts w:cs="Arial"/>
        </w:rPr>
      </w:pPr>
      <w:r w:rsidRPr="00E70B3A">
        <w:rPr>
          <w:rFonts w:cs="Arial"/>
        </w:rPr>
        <w:t>The division is the department’s primary liaison and engagement partner for health services and works collaboratively with them to inform policy and program design and implementation, commissioning and funding decisions, and supports continuous improvement in service delivery and system performance.</w:t>
      </w:r>
    </w:p>
    <w:p w:rsidRPr="00E70B3A" w:rsidR="00E87CC4" w:rsidP="008471D7" w:rsidRDefault="008471D7" w14:paraId="6F430559" w14:textId="56AE6278">
      <w:pPr>
        <w:pStyle w:val="DHHSbody"/>
        <w:rPr>
          <w:rFonts w:cs="Arial"/>
        </w:rPr>
      </w:pPr>
      <w:r w:rsidRPr="00E70B3A">
        <w:rPr>
          <w:rFonts w:cs="Arial"/>
        </w:rPr>
        <w:t>The division also leads health service governance and accountability and leads the delivery of the Local Health Service Network reforms to strengthen collaboration between hospitals and improve how care is delivered to local communities.</w:t>
      </w:r>
    </w:p>
    <w:p w:rsidR="00C37130" w:rsidP="00E87CC4" w:rsidRDefault="00C37130" w14:paraId="63056C57" w14:textId="77777777">
      <w:pPr>
        <w:pStyle w:val="DHHSbody"/>
        <w:rPr>
          <w:rFonts w:cs="Arial"/>
          <w:b/>
          <w:bCs/>
        </w:rPr>
      </w:pPr>
    </w:p>
    <w:p w:rsidR="00C37130" w:rsidP="00E87CC4" w:rsidRDefault="00C37130" w14:paraId="2262A57D" w14:textId="77777777">
      <w:pPr>
        <w:pStyle w:val="DHHSbody"/>
        <w:rPr>
          <w:rFonts w:cs="Arial"/>
          <w:b/>
          <w:bCs/>
        </w:rPr>
      </w:pPr>
    </w:p>
    <w:p w:rsidR="00193812" w:rsidP="00E87CC4" w:rsidRDefault="00193812" w14:paraId="203AC154" w14:textId="77777777">
      <w:pPr>
        <w:pStyle w:val="DHHSbody"/>
        <w:rPr>
          <w:rFonts w:cs="Arial"/>
          <w:b/>
          <w:bCs/>
        </w:rPr>
      </w:pPr>
    </w:p>
    <w:p w:rsidRPr="00E70B3A" w:rsidR="00E87CC4" w:rsidP="00E87CC4" w:rsidRDefault="00E87CC4" w14:paraId="79311300" w14:textId="2304A9BB">
      <w:pPr>
        <w:pStyle w:val="DHHSbody"/>
        <w:rPr>
          <w:rFonts w:cs="Arial"/>
        </w:rPr>
      </w:pPr>
      <w:r w:rsidRPr="00E70B3A">
        <w:rPr>
          <w:rFonts w:cs="Arial"/>
          <w:b/>
          <w:bCs/>
        </w:rPr>
        <w:t xml:space="preserve">Health Service Interface and Collaboration </w:t>
      </w:r>
      <w:r w:rsidR="001A4F37">
        <w:rPr>
          <w:rFonts w:cs="Arial"/>
          <w:b/>
          <w:bCs/>
        </w:rPr>
        <w:t xml:space="preserve">(sub-domain) </w:t>
      </w:r>
    </w:p>
    <w:p w:rsidRPr="00E70B3A" w:rsidR="00E87CC4" w:rsidP="00E87CC4" w:rsidRDefault="00E87CC4" w14:paraId="6AB2E7F3" w14:textId="77777777">
      <w:pPr>
        <w:pStyle w:val="DHHSbody"/>
        <w:rPr>
          <w:rFonts w:cs="Arial"/>
        </w:rPr>
      </w:pPr>
      <w:r w:rsidRPr="00E70B3A">
        <w:rPr>
          <w:rFonts w:cs="Arial"/>
        </w:rPr>
        <w:t xml:space="preserve">The department’s primary point of engagement with public hospitals and health service leaders to understand local needs to strengthen collaboration, inform commissioning, service and funding decisions, and drive integrated, high quality system outcomes. </w:t>
      </w:r>
    </w:p>
    <w:p w:rsidRPr="00E70B3A" w:rsidR="00E87CC4" w:rsidP="00E87CC4" w:rsidRDefault="00E87CC4" w14:paraId="6C794657" w14:textId="77777777">
      <w:pPr>
        <w:pStyle w:val="DHHSbody"/>
        <w:rPr>
          <w:rFonts w:cs="Arial"/>
        </w:rPr>
      </w:pPr>
      <w:r w:rsidRPr="00E70B3A">
        <w:rPr>
          <w:rFonts w:cs="Arial"/>
        </w:rPr>
        <w:t xml:space="preserve">The branch leads policy, targeted improvement and partnerships across maternity and newborn services and operational commissioning. It also plays a critical role in governance and health system reform by overseeing voluntary amalgamations and leading performance monitoring of the Local Health Service Networks. </w:t>
      </w:r>
    </w:p>
    <w:p w:rsidRPr="00E70B3A" w:rsidR="00E87CC4" w:rsidP="00E87CC4" w:rsidRDefault="00E87CC4" w14:paraId="038C7B7C" w14:textId="2C9F86A2">
      <w:pPr>
        <w:pStyle w:val="DHHSbody"/>
        <w:rPr>
          <w:rFonts w:cs="Arial"/>
        </w:rPr>
      </w:pPr>
      <w:r w:rsidRPr="00E70B3A">
        <w:rPr>
          <w:rFonts w:cs="Arial"/>
          <w:b/>
          <w:bCs/>
        </w:rPr>
        <w:t xml:space="preserve">System Access and Reform </w:t>
      </w:r>
      <w:r w:rsidR="001A4F37">
        <w:rPr>
          <w:rFonts w:cs="Arial"/>
          <w:b/>
          <w:bCs/>
        </w:rPr>
        <w:t>(sub-domain)</w:t>
      </w:r>
    </w:p>
    <w:p w:rsidRPr="00E70B3A" w:rsidR="00E87CC4" w:rsidP="00E87CC4" w:rsidRDefault="00E87CC4" w14:paraId="3F69EB89" w14:textId="77777777">
      <w:pPr>
        <w:pStyle w:val="DHHSbody"/>
        <w:rPr>
          <w:rFonts w:cs="Arial"/>
        </w:rPr>
      </w:pPr>
      <w:r w:rsidRPr="00E70B3A">
        <w:rPr>
          <w:rFonts w:cs="Arial"/>
        </w:rPr>
        <w:t xml:space="preserve">The branch is responsible for driving best practice across the emergency and planned care patient journey. This includes co-design and delivery of system reform as well as system governance and accountability, underpinned by a focus on equity and priority populations to ensure timely and equitable access to ambulance services and emergency care, as well as planned care for all Victorians. </w:t>
      </w:r>
    </w:p>
    <w:p w:rsidRPr="00E70B3A" w:rsidR="00E87CC4" w:rsidP="00E87CC4" w:rsidRDefault="00E87CC4" w14:paraId="5D7DB60B" w14:textId="3E19B5D3">
      <w:pPr>
        <w:pStyle w:val="DHHSbody"/>
        <w:rPr>
          <w:rFonts w:cs="Arial"/>
        </w:rPr>
      </w:pPr>
      <w:r w:rsidRPr="00E70B3A">
        <w:rPr>
          <w:rFonts w:cs="Arial"/>
          <w:b/>
          <w:bCs/>
        </w:rPr>
        <w:t xml:space="preserve">Aged Care and System Priorities </w:t>
      </w:r>
      <w:r w:rsidR="009F3ADA">
        <w:rPr>
          <w:rFonts w:cs="Arial"/>
          <w:b/>
          <w:bCs/>
        </w:rPr>
        <w:t>(sub-domain)</w:t>
      </w:r>
    </w:p>
    <w:p w:rsidRPr="00E70B3A" w:rsidR="00E87CC4" w:rsidP="00E87CC4" w:rsidRDefault="00E87CC4" w14:paraId="3ABDA494" w14:textId="77777777">
      <w:pPr>
        <w:pStyle w:val="DHHSbody"/>
        <w:rPr>
          <w:rFonts w:cs="Arial"/>
        </w:rPr>
      </w:pPr>
      <w:r w:rsidRPr="00E70B3A">
        <w:rPr>
          <w:rFonts w:cs="Arial"/>
        </w:rPr>
        <w:t>The branch leads the delivery of key health system priorities within the Health System Reform &amp; Partnerships Division, overseeing policy, reform initiatives and specialist programs across aged care, disability health interface, voluntary assisted dying, end of life care, and cancer and specialist therapies. It manages a specialised portfolio and works with sector partners and clinical experts to translate system priorities into targeted policy and program responses that improve integration, access, performance and outcomes across Victoria’s health system.</w:t>
      </w:r>
    </w:p>
    <w:p w:rsidRPr="00E70B3A" w:rsidR="00E87CC4" w:rsidP="00E87CC4" w:rsidRDefault="00E87CC4" w14:paraId="185FA0C7" w14:textId="77777777">
      <w:pPr>
        <w:pStyle w:val="DHHSbody"/>
        <w:rPr>
          <w:rFonts w:cs="Arial"/>
          <w:b/>
          <w:bCs/>
        </w:rPr>
      </w:pPr>
      <w:r w:rsidRPr="00E70B3A">
        <w:rPr>
          <w:rFonts w:cs="Arial"/>
          <w:b/>
          <w:bCs/>
        </w:rPr>
        <w:t xml:space="preserve">Other branches </w:t>
      </w:r>
    </w:p>
    <w:p w:rsidRPr="00E70B3A" w:rsidR="00E87CC4" w:rsidP="00E87CC4" w:rsidRDefault="00E87CC4" w14:paraId="27A7B20F" w14:textId="77777777">
      <w:pPr>
        <w:pStyle w:val="DHHSbody"/>
        <w:rPr>
          <w:rFonts w:cs="Arial"/>
          <w:b/>
          <w:bCs/>
        </w:rPr>
      </w:pPr>
      <w:r w:rsidRPr="00E70B3A">
        <w:rPr>
          <w:rFonts w:cs="Arial"/>
          <w:b/>
          <w:bCs/>
        </w:rPr>
        <w:t xml:space="preserve">System Planning, Reform and Priority Communities </w:t>
      </w:r>
    </w:p>
    <w:p w:rsidRPr="00E70B3A" w:rsidR="00E87CC4" w:rsidP="00E87CC4" w:rsidRDefault="00E87CC4" w14:paraId="6766B307" w14:textId="77777777">
      <w:pPr>
        <w:pStyle w:val="DHHSbody"/>
        <w:rPr>
          <w:rFonts w:cs="Arial"/>
        </w:rPr>
      </w:pPr>
      <w:r w:rsidRPr="00E70B3A">
        <w:rPr>
          <w:rFonts w:cs="Arial"/>
        </w:rPr>
        <w:t>Provides strategic leadership and oversight of the health service system planning and reform agenda, ensuring the Victorian health system is planned, designed and improved in a coordinated, evidence-based and equity-led manner. The branch is accountable for shaping system-wide planning priorities, strengthening system performance, and ensuring priority communities are consistently embedded into policy, planning and service design decisions.</w:t>
      </w:r>
    </w:p>
    <w:p w:rsidRPr="00E70B3A" w:rsidR="00E87CC4" w:rsidP="00EF67E1" w:rsidRDefault="00E87CC4" w14:paraId="69EEFB9E" w14:textId="77777777">
      <w:pPr>
        <w:pStyle w:val="Heading4"/>
        <w:rPr>
          <w:rFonts w:cs="Arial"/>
        </w:rPr>
      </w:pPr>
      <w:r w:rsidRPr="00E70B3A">
        <w:rPr>
          <w:rFonts w:cs="Arial"/>
        </w:rPr>
        <w:t xml:space="preserve">Workforce Strategy, Planning and Leadership </w:t>
      </w:r>
    </w:p>
    <w:p w:rsidRPr="00E70B3A" w:rsidR="00E87CC4" w:rsidP="00E87CC4" w:rsidRDefault="00E87CC4" w14:paraId="19958BE7" w14:textId="77777777">
      <w:pPr>
        <w:pStyle w:val="DHHSbody"/>
        <w:rPr>
          <w:rFonts w:cs="Arial"/>
        </w:rPr>
      </w:pPr>
      <w:r w:rsidRPr="00E70B3A">
        <w:rPr>
          <w:rStyle w:val="DHHSbodyChar"/>
          <w:rFonts w:cs="Arial"/>
        </w:rPr>
        <w:t>Provides strategic workforce policy leadership, analysis, planning and system support across the health portfolio. The branch leads workforce strategy and reform across key professional streams, including mental health, medical, nursing and midwifery, and allied health. The branch also leads and coordinates Victoria’s input into national workforce reform and workforce regulation and hosts the Commonwealth funded NRAS Policy function, which provides policy and regulatory advice to support the administration of the National Registration and Accreditation Scheme</w:t>
      </w:r>
      <w:r w:rsidRPr="00E70B3A">
        <w:rPr>
          <w:rFonts w:cs="Arial"/>
        </w:rPr>
        <w:t>.</w:t>
      </w:r>
    </w:p>
    <w:p w:rsidRPr="00E70B3A" w:rsidR="00460C6D" w:rsidP="00193812" w:rsidRDefault="00460C6D" w14:paraId="7DAF675B" w14:textId="7B614600">
      <w:pPr>
        <w:pStyle w:val="Heading4"/>
      </w:pPr>
      <w:r w:rsidRPr="00E70B3A">
        <w:t xml:space="preserve">Safer Care Victoria (SCV) </w:t>
      </w:r>
      <w:r w:rsidRPr="009F3ADA" w:rsidR="009F3ADA">
        <w:rPr>
          <w:rStyle w:val="Heading4Char"/>
          <w:b/>
          <w:bCs/>
        </w:rPr>
        <w:t>(sub-domain)</w:t>
      </w:r>
    </w:p>
    <w:p w:rsidRPr="00E70B3A" w:rsidR="00460C6D" w:rsidP="00460C6D" w:rsidRDefault="00460C6D" w14:paraId="4D1D0040" w14:textId="361AC9AD">
      <w:pPr>
        <w:pStyle w:val="DHHSbody"/>
        <w:rPr>
          <w:rFonts w:cs="Arial"/>
        </w:rPr>
      </w:pPr>
      <w:r w:rsidRPr="00E70B3A">
        <w:rPr>
          <w:rFonts w:cs="Arial"/>
        </w:rPr>
        <w:t>SCV is the state authority for supporting Victorian health services to provide safe, high-quality care and is a key partner in quality and safety-focused performance conversations with health services in this domain. SCV supports implementation of the </w:t>
      </w:r>
      <w:r w:rsidR="00717D70">
        <w:rPr>
          <w:rFonts w:cs="Arial"/>
        </w:rPr>
        <w:t>framework</w:t>
      </w:r>
      <w:r w:rsidRPr="00E70B3A">
        <w:rPr>
          <w:rFonts w:cs="Arial"/>
        </w:rPr>
        <w:t xml:space="preserve"> by monitoring and analysing key quality and safety indicators to understand system</w:t>
      </w:r>
      <w:r w:rsidR="00DF363A">
        <w:rPr>
          <w:rFonts w:cs="Arial"/>
        </w:rPr>
        <w:t>-</w:t>
      </w:r>
      <w:r w:rsidRPr="00E70B3A">
        <w:rPr>
          <w:rFonts w:cs="Arial"/>
        </w:rPr>
        <w:t xml:space="preserve">level safety risks and emerging issues, and by providing expert advice, tools, resources, education and targeted programs to support service and system improvement. </w:t>
      </w:r>
    </w:p>
    <w:p w:rsidRPr="00E70B3A" w:rsidR="00ED36B8" w:rsidP="00460C6D" w:rsidRDefault="00460C6D" w14:paraId="105C561F" w14:textId="7A878266">
      <w:pPr>
        <w:pStyle w:val="DHHSbody"/>
        <w:rPr>
          <w:rFonts w:cs="Arial"/>
        </w:rPr>
      </w:pPr>
      <w:r w:rsidRPr="00E70B3A">
        <w:rPr>
          <w:rFonts w:cs="Arial"/>
        </w:rPr>
        <w:t>SCV plays a central role in assuring and supporting learning from adverse events, including Sentinel Events and Serious Adverse Patient Safety Events, in line with the Policy and Funding Guidelines. SCV works with boards, executives and clinicians to strengthen clinical governance, workforce safety, wellbeing and capability, and to drive continuous improvement in quality and safety outcomes across the system.</w:t>
      </w:r>
    </w:p>
    <w:p w:rsidRPr="00E70B3A" w:rsidR="00552EB9" w:rsidP="00193812" w:rsidRDefault="00552EB9" w14:paraId="085A5BAA" w14:textId="44581F08">
      <w:pPr>
        <w:pStyle w:val="Heading4"/>
      </w:pPr>
      <w:r w:rsidRPr="00E70B3A">
        <w:t>Mental Health and Wellbeing division</w:t>
      </w:r>
      <w:r w:rsidR="009F3ADA">
        <w:t xml:space="preserve"> </w:t>
      </w:r>
      <w:r w:rsidRPr="00F61566" w:rsidR="009F3ADA">
        <w:rPr>
          <w:szCs w:val="21"/>
        </w:rPr>
        <w:t>(sub-domain)</w:t>
      </w:r>
    </w:p>
    <w:p w:rsidRPr="00E70B3A" w:rsidR="00034C05" w:rsidP="00034C05" w:rsidRDefault="00034C05" w14:paraId="382EE498" w14:textId="218E4838">
      <w:pPr>
        <w:pStyle w:val="DHHSbody"/>
        <w:rPr>
          <w:rFonts w:cs="Arial"/>
        </w:rPr>
      </w:pPr>
      <w:r w:rsidRPr="00E70B3A">
        <w:rPr>
          <w:rFonts w:cs="Arial"/>
        </w:rPr>
        <w:t xml:space="preserve">The Mental Health and Wellbeing Division (MHWD) leads the delivery of Victoria’s mental health and wellbeing reform agenda, as set out by the Final report of the Royal Commission into Victoria’s Mental Health System (2021). It is responsible for the performance oversight, stewardship and commissioning of mental health and alcohol, and other drug (AOD) services to create a mental health and wellbeing system that delivers inclusive, personalised, compassionate, and integrated care. </w:t>
      </w:r>
    </w:p>
    <w:p w:rsidRPr="00E70B3A" w:rsidR="00034C05" w:rsidP="00034C05" w:rsidRDefault="00034C05" w14:paraId="7A0477FA" w14:textId="4494CC1B">
      <w:pPr>
        <w:pStyle w:val="DHHSbody"/>
        <w:rPr>
          <w:rFonts w:cs="Arial"/>
        </w:rPr>
      </w:pPr>
      <w:r w:rsidRPr="00E70B3A">
        <w:rPr>
          <w:rFonts w:cs="Arial"/>
        </w:rPr>
        <w:t xml:space="preserve">The division </w:t>
      </w:r>
      <w:r w:rsidRPr="00E70B3A" w:rsidR="00286A56">
        <w:rPr>
          <w:rFonts w:cs="Arial"/>
        </w:rPr>
        <w:t>steward’s</w:t>
      </w:r>
      <w:r w:rsidRPr="00E70B3A">
        <w:rPr>
          <w:rFonts w:cs="Arial"/>
        </w:rPr>
        <w:t xml:space="preserve"> mental health reform governance, service planning and system design, leads prevention and promotion initiatives including mental health prevention, suicide prevention and gambling harm, embeds lived and living experience, and supports culturally informed approaches to improve equity and outcomes across the mental health and wellbeing system.</w:t>
      </w:r>
    </w:p>
    <w:p w:rsidRPr="00E70B3A" w:rsidR="00034C05" w:rsidP="00034C05" w:rsidRDefault="00034C05" w14:paraId="1319CA7D" w14:textId="77777777">
      <w:pPr>
        <w:pStyle w:val="DHHSbody"/>
        <w:rPr>
          <w:rFonts w:cs="Arial"/>
          <w:b/>
          <w:bCs/>
        </w:rPr>
      </w:pPr>
      <w:r w:rsidRPr="00E70B3A">
        <w:rPr>
          <w:rFonts w:cs="Arial"/>
        </w:rPr>
        <w:t>MHWD supports implementation of the Framework through monitoring and driving performance improvement at health services designated under the Mental Health and Wellbeing Act 2022.  The Mental health performance report is used as a companion document to the Framework and provides a structure for tracking service and system performance in Victorian state-funded clinical mental health services.</w:t>
      </w:r>
    </w:p>
    <w:p w:rsidRPr="00E70B3A" w:rsidR="00276275" w:rsidP="00193812" w:rsidRDefault="00276275" w14:paraId="4E4B622E" w14:textId="727F2776">
      <w:pPr>
        <w:pStyle w:val="Heading4"/>
        <w:rPr>
          <w:rStyle w:val="Strong"/>
          <w:rFonts w:cs="Arial"/>
          <w:b/>
          <w:bCs/>
        </w:rPr>
      </w:pPr>
      <w:r w:rsidRPr="00E70B3A">
        <w:rPr>
          <w:rStyle w:val="Strong"/>
          <w:rFonts w:cs="Arial"/>
          <w:b/>
          <w:bCs/>
        </w:rPr>
        <w:t>Office of the Chief Psychiatrist</w:t>
      </w:r>
    </w:p>
    <w:p w:rsidRPr="00E70B3A" w:rsidR="00276275" w:rsidP="00276275" w:rsidRDefault="00276275" w14:paraId="3D026E34" w14:textId="4C33C8EC">
      <w:pPr>
        <w:pStyle w:val="DHHSbody"/>
        <w:rPr>
          <w:rFonts w:cs="Arial"/>
        </w:rPr>
      </w:pPr>
      <w:r w:rsidRPr="00E70B3A">
        <w:rPr>
          <w:rFonts w:cs="Arial"/>
        </w:rPr>
        <w:t>Within MHW</w:t>
      </w:r>
      <w:r w:rsidRPr="00E70B3A" w:rsidR="001020D7">
        <w:rPr>
          <w:rFonts w:cs="Arial"/>
        </w:rPr>
        <w:t>D</w:t>
      </w:r>
      <w:r w:rsidRPr="00E70B3A">
        <w:rPr>
          <w:rFonts w:cs="Arial"/>
        </w:rPr>
        <w:t>, the Chief Psychiatrist provides system-wide oversight of Victoria’s public mental health services. Supported by the Office of the Chief Psychiatrist (OCP), the role supports quality and safety in services provided to some of Victoria’s most vulnerable people. The role and functions of the Chief Psychiatrist are set out under the Mental Health and Wellbeing Act 2022 (MHWA)</w:t>
      </w:r>
      <w:r w:rsidRPr="00E70B3A">
        <w:rPr>
          <w:rStyle w:val="FootnoteReference"/>
          <w:rFonts w:cs="Arial"/>
          <w:vertAlign w:val="baseline"/>
        </w:rPr>
        <w:footnoteReference w:id="1"/>
      </w:r>
      <w:r w:rsidRPr="00E70B3A">
        <w:rPr>
          <w:rFonts w:cs="Arial"/>
        </w:rPr>
        <w:t>.</w:t>
      </w:r>
    </w:p>
    <w:p w:rsidRPr="00E70B3A" w:rsidR="00276275" w:rsidP="00276275" w:rsidRDefault="00276275" w14:paraId="7AD1FB7C" w14:textId="4959BC4B">
      <w:pPr>
        <w:pStyle w:val="DHHSbody"/>
        <w:rPr>
          <w:rFonts w:cs="Arial"/>
        </w:rPr>
      </w:pPr>
      <w:r w:rsidRPr="00E70B3A">
        <w:rPr>
          <w:rFonts w:cs="Arial"/>
        </w:rPr>
        <w:t xml:space="preserve">Responsibilities under the MHWA and which support implementation of the Framework include clinical leadership and quality and safety oversight across Victoria’s public mental health system and mental health and wellbeing services in custodial settings. The activities undertaken by the OCP include assisting services in developing and implementing clinical best practice approaches, undertaking reviews, audits and investigations as required, providing expert clinical advice and promoting the rights of people receiving a mental health and wellbeing service. </w:t>
      </w:r>
    </w:p>
    <w:p w:rsidRPr="00E70B3A" w:rsidR="005B27E6" w:rsidP="00193812" w:rsidRDefault="005B27E6" w14:paraId="3CC92411" w14:textId="77777777">
      <w:pPr>
        <w:pStyle w:val="Heading4"/>
      </w:pPr>
      <w:r w:rsidRPr="00E70B3A">
        <w:t>eHealth division</w:t>
      </w:r>
    </w:p>
    <w:p w:rsidRPr="00E70B3A" w:rsidR="005B27E6" w:rsidP="005B27E6" w:rsidRDefault="005B27E6" w14:paraId="0B797021" w14:textId="77777777">
      <w:pPr>
        <w:pStyle w:val="DHHSbody"/>
        <w:rPr>
          <w:rFonts w:cs="Arial"/>
        </w:rPr>
      </w:pPr>
      <w:r w:rsidRPr="00E70B3A">
        <w:rPr>
          <w:rFonts w:cs="Arial"/>
        </w:rPr>
        <w:t>The eHealth division is responsible for stewardship of digital health, data and information systems across Victoria’s public health system. It supports implementation of the Framework by enabling high-quality performance monitoring and system insight and by managing digital and information-related risks.</w:t>
      </w:r>
    </w:p>
    <w:p w:rsidRPr="00E70B3A" w:rsidR="005B27E6" w:rsidP="005B27E6" w:rsidRDefault="005B27E6" w14:paraId="4CCF4E32" w14:textId="77777777">
      <w:pPr>
        <w:pStyle w:val="DHHSbody"/>
        <w:rPr>
          <w:rFonts w:cs="Arial"/>
        </w:rPr>
      </w:pPr>
      <w:r w:rsidRPr="00E70B3A">
        <w:rPr>
          <w:rFonts w:cs="Arial"/>
        </w:rPr>
        <w:t xml:space="preserve">eHealth relies on obtaining timely, accurate and high-quality data from health services and is responsible for data management, standards and integrity. It plays a vital role in implementing the Framework by providing performance data and supporting relevant areas across the department to develop relevant and meaningful performance measures. </w:t>
      </w:r>
    </w:p>
    <w:p w:rsidRPr="00E70B3A" w:rsidR="005B27E6" w:rsidP="005B27E6" w:rsidRDefault="005B27E6" w14:paraId="47F7B472" w14:textId="405174DC">
      <w:pPr>
        <w:pStyle w:val="DHHSbody"/>
        <w:rPr>
          <w:rFonts w:cs="Arial"/>
        </w:rPr>
      </w:pPr>
      <w:r w:rsidRPr="00E70B3A">
        <w:rPr>
          <w:rFonts w:cs="Arial"/>
        </w:rPr>
        <w:t xml:space="preserve">eHealth is the departmental lead for digital health, information technology and cyber security. In this role, it supports health services to strengthen the security, resilience and reliability of digital systems and infrastructure, including preparedness for cyber threats and unplanned ICT disruptions. Where cyber incidents or significant ICT outages occur, eHealth works closely with health services and relevant </w:t>
      </w:r>
      <w:r w:rsidR="008C63FE">
        <w:rPr>
          <w:rFonts w:cs="Arial"/>
        </w:rPr>
        <w:t>sub-domain</w:t>
      </w:r>
      <w:r w:rsidRPr="00E70B3A">
        <w:rPr>
          <w:rFonts w:cs="Arial"/>
        </w:rPr>
        <w:t xml:space="preserve"> to support system coordination, incident management and recovery, with the objective of minimising impacts on patient care and service delivery. ​​​​​​​ ​​​​​​​</w:t>
      </w:r>
    </w:p>
    <w:p w:rsidRPr="00E70B3A" w:rsidR="000477AB" w:rsidP="00193812" w:rsidRDefault="000477AB" w14:paraId="191D15D2" w14:textId="4A646776">
      <w:pPr>
        <w:pStyle w:val="Heading4"/>
      </w:pPr>
      <w:r w:rsidRPr="00E70B3A">
        <w:t>Aboriginal Health and Wellbeing division</w:t>
      </w:r>
      <w:r w:rsidR="00F61566">
        <w:t xml:space="preserve"> </w:t>
      </w:r>
      <w:r w:rsidRPr="00F61566" w:rsidR="00F61566">
        <w:t>(sub-domain)</w:t>
      </w:r>
    </w:p>
    <w:p w:rsidRPr="00E70B3A" w:rsidR="001F6750" w:rsidP="001F6750" w:rsidRDefault="001F6750" w14:paraId="1E21534A" w14:textId="5A9FE480">
      <w:pPr>
        <w:pStyle w:val="DHHSbody"/>
        <w:rPr>
          <w:rFonts w:cs="Arial"/>
        </w:rPr>
      </w:pPr>
      <w:r w:rsidRPr="00E70B3A">
        <w:rPr>
          <w:rFonts w:cs="Arial"/>
        </w:rPr>
        <w:t xml:space="preserve">Aboriginal Health and Wellbeing </w:t>
      </w:r>
      <w:r w:rsidRPr="00E70B3A" w:rsidR="00286A56">
        <w:rPr>
          <w:rFonts w:cs="Arial"/>
        </w:rPr>
        <w:t>lead</w:t>
      </w:r>
      <w:r w:rsidRPr="00E70B3A">
        <w:rPr>
          <w:rFonts w:cs="Arial"/>
        </w:rPr>
        <w:t xml:space="preserve"> the development of Aboriginal health and wellbeing policy, embeds cultural safety and Aboriginal data sovereignty, and supports sector sustainability, Aboriginal workforce and governance across the department.</w:t>
      </w:r>
    </w:p>
    <w:p w:rsidRPr="00E70B3A" w:rsidR="001F6750" w:rsidP="001F6750" w:rsidRDefault="001F6750" w14:paraId="7F850151" w14:textId="77777777">
      <w:pPr>
        <w:pStyle w:val="DHHSbody"/>
        <w:rPr>
          <w:rFonts w:cs="Arial"/>
        </w:rPr>
      </w:pPr>
      <w:r w:rsidRPr="00E70B3A">
        <w:rPr>
          <w:rFonts w:cs="Arial"/>
        </w:rPr>
        <w:t>It delivers strategic initiatives and reforms, including funding and legislative reform, Aboriginal budget strategy, and Treaty preparedness and implementation. In addition, the division engages in whole of government approaches to improving outcomes for First Peoples in Victoria.</w:t>
      </w:r>
    </w:p>
    <w:p w:rsidRPr="00E70B3A" w:rsidR="001F6750" w:rsidP="001F6750" w:rsidRDefault="001F6750" w14:paraId="655A445E" w14:textId="77777777">
      <w:pPr>
        <w:pStyle w:val="DHHSbody"/>
        <w:rPr>
          <w:rFonts w:cs="Arial"/>
        </w:rPr>
      </w:pPr>
      <w:r w:rsidRPr="00E70B3A">
        <w:rPr>
          <w:rFonts w:cs="Arial"/>
        </w:rPr>
        <w:t>The division demonstrates leadership through close collaboration with Aboriginal communities and organisations, driving improvements in health outcomes and equity for Aboriginal Victorians through culturally informed policies, programs, and system reform.</w:t>
      </w:r>
    </w:p>
    <w:p w:rsidRPr="00E70B3A" w:rsidR="00ED0137" w:rsidP="00193812" w:rsidRDefault="00ED0137" w14:paraId="5DC829F0" w14:textId="52FDC3AE">
      <w:pPr>
        <w:pStyle w:val="Heading4"/>
      </w:pPr>
      <w:r w:rsidRPr="00E70B3A">
        <w:t>Community and Public Health division</w:t>
      </w:r>
    </w:p>
    <w:p w:rsidRPr="00E70B3A" w:rsidR="00B43BAF" w:rsidP="00570148" w:rsidRDefault="00570148" w14:paraId="694727AE" w14:textId="77777777">
      <w:pPr>
        <w:pStyle w:val="DHHSbody"/>
        <w:rPr>
          <w:rFonts w:cs="Arial"/>
          <w:szCs w:val="21"/>
        </w:rPr>
      </w:pPr>
      <w:r w:rsidRPr="00E70B3A">
        <w:rPr>
          <w:rFonts w:cs="Arial"/>
          <w:szCs w:val="21"/>
        </w:rPr>
        <w:t xml:space="preserve">The Community and Public Health division provides system wide leadership on public and community health policy, protection, prevention and promotion to improve population health and reduce preventable illness. The division provides statewide public health expertise and responses to communicable diseases and environmental health risks, delivers regulatory policy and public health programs, and provides advice, performance oversight and governance for public health activities and programs. </w:t>
      </w:r>
    </w:p>
    <w:p w:rsidRPr="00E70B3A" w:rsidR="002832E8" w:rsidP="00570148" w:rsidRDefault="00570148" w14:paraId="6CF86614" w14:textId="440E0EEB">
      <w:pPr>
        <w:pStyle w:val="DHHSbody"/>
        <w:rPr>
          <w:rFonts w:cs="Arial"/>
          <w:szCs w:val="21"/>
        </w:rPr>
      </w:pPr>
      <w:r w:rsidRPr="00E70B3A">
        <w:rPr>
          <w:rFonts w:cs="Arial"/>
          <w:szCs w:val="21"/>
        </w:rPr>
        <w:t>The division drives</w:t>
      </w:r>
      <w:r w:rsidRPr="00E70B3A" w:rsidR="00B43BAF">
        <w:rPr>
          <w:rFonts w:cs="Arial"/>
          <w:szCs w:val="21"/>
        </w:rPr>
        <w:t xml:space="preserve"> </w:t>
      </w:r>
      <w:r w:rsidRPr="00E70B3A">
        <w:rPr>
          <w:rFonts w:cs="Arial"/>
          <w:szCs w:val="21"/>
        </w:rPr>
        <w:t>prevention strategy and health promotion initiatives, oversees community and women’s health programs including maternal and child health, leads emergency management preparedness and response, and supports population health outcomes through coordinated, evidence informed policy and system improvement.</w:t>
      </w:r>
    </w:p>
    <w:p w:rsidRPr="00E70B3A" w:rsidR="002832E8" w:rsidP="00ED0137" w:rsidRDefault="002832E8" w14:paraId="5C6C22EC" w14:textId="77777777">
      <w:pPr>
        <w:pStyle w:val="DHHSbody"/>
        <w:rPr>
          <w:rFonts w:cs="Arial"/>
          <w:szCs w:val="21"/>
        </w:rPr>
      </w:pPr>
    </w:p>
    <w:p w:rsidRPr="00E70B3A" w:rsidR="002832E8" w:rsidP="00ED0137" w:rsidRDefault="002832E8" w14:paraId="6A698833" w14:textId="77777777">
      <w:pPr>
        <w:pStyle w:val="DHHSbody"/>
        <w:rPr>
          <w:rFonts w:cs="Arial"/>
          <w:szCs w:val="21"/>
        </w:rPr>
      </w:pPr>
    </w:p>
    <w:p w:rsidRPr="00E70B3A" w:rsidR="002832E8" w:rsidP="00ED0137" w:rsidRDefault="002832E8" w14:paraId="6B844A4F" w14:textId="77777777">
      <w:pPr>
        <w:pStyle w:val="DHHSbody"/>
        <w:rPr>
          <w:rFonts w:cs="Arial"/>
          <w:szCs w:val="21"/>
        </w:rPr>
      </w:pPr>
    </w:p>
    <w:p w:rsidRPr="00E70B3A" w:rsidR="002832E8" w:rsidP="00ED0137" w:rsidRDefault="002832E8" w14:paraId="6B31ED6D" w14:textId="77777777">
      <w:pPr>
        <w:pStyle w:val="DHHSbody"/>
        <w:rPr>
          <w:rFonts w:cs="Arial"/>
          <w:szCs w:val="21"/>
        </w:rPr>
      </w:pPr>
    </w:p>
    <w:p w:rsidRPr="00E70B3A" w:rsidR="002832E8" w:rsidP="00ED0137" w:rsidRDefault="002832E8" w14:paraId="25F43EF2" w14:textId="77777777">
      <w:pPr>
        <w:pStyle w:val="DHHSbody"/>
        <w:rPr>
          <w:rFonts w:cs="Arial"/>
          <w:szCs w:val="21"/>
        </w:rPr>
      </w:pPr>
    </w:p>
    <w:p w:rsidRPr="00E70B3A" w:rsidR="00115B97" w:rsidRDefault="00115B97" w14:paraId="201047C7" w14:textId="77777777">
      <w:pPr>
        <w:spacing w:after="0" w:line="240" w:lineRule="auto"/>
        <w:rPr>
          <w:rFonts w:cs="Arial"/>
          <w:sz w:val="32"/>
          <w:szCs w:val="28"/>
        </w:rPr>
      </w:pPr>
      <w:bookmarkStart w:name="_Toc211343297" w:id="37"/>
      <w:r w:rsidRPr="00E70B3A">
        <w:rPr>
          <w:rFonts w:cs="Arial"/>
        </w:rPr>
        <w:br w:type="page"/>
      </w:r>
    </w:p>
    <w:p w:rsidRPr="00CC6DA0" w:rsidR="00194F68" w:rsidP="00194F68" w:rsidRDefault="00194F68" w14:paraId="7890D1C1" w14:textId="77777777">
      <w:pPr>
        <w:pStyle w:val="Heading1"/>
      </w:pPr>
      <w:bookmarkStart w:name="_Toc235628553" w:id="38"/>
      <w:bookmarkEnd w:id="37"/>
      <w:r w:rsidRPr="00766238">
        <w:t>8</w:t>
      </w:r>
      <w:r w:rsidRPr="00CC6DA0">
        <w:t>. Reporting Requirements</w:t>
      </w:r>
      <w:bookmarkEnd w:id="38"/>
      <w:r w:rsidRPr="00CC6DA0">
        <w:t xml:space="preserve"> </w:t>
      </w:r>
    </w:p>
    <w:p w:rsidRPr="00CC6DA0" w:rsidR="00194F68" w:rsidP="00194F68" w:rsidRDefault="00194F68" w14:paraId="66CBE334" w14:textId="77777777">
      <w:pPr>
        <w:pStyle w:val="Heading2"/>
      </w:pPr>
      <w:bookmarkStart w:name="_Toc235628554" w:id="39"/>
      <w:r w:rsidRPr="00CC6DA0">
        <w:t>8.1 Specific events – Breaches</w:t>
      </w:r>
      <w:bookmarkEnd w:id="39"/>
    </w:p>
    <w:p w:rsidRPr="00CC6DA0" w:rsidR="00CA75AC" w:rsidP="00CA75AC" w:rsidRDefault="00194F68" w14:paraId="54696499" w14:textId="77777777">
      <w:pPr>
        <w:pStyle w:val="DHHSbody"/>
      </w:pPr>
      <w:r w:rsidRPr="00CC6DA0">
        <w:t>The following events must be recorded as a breach and immediately escalated to the department. See Attachment 1: Health service notification process:</w:t>
      </w:r>
    </w:p>
    <w:tbl>
      <w:tblPr>
        <w:tblW w:w="0" w:type="auto"/>
        <w:tblBorders>
          <w:top w:val="single" w:color="CFD9DE" w:sz="6" w:space="0"/>
          <w:left w:val="single" w:color="CFD9DE" w:sz="6" w:space="0"/>
          <w:bottom w:val="single" w:color="CFD9DE" w:sz="6" w:space="0"/>
          <w:right w:val="single" w:color="CFD9DE" w:sz="6" w:space="0"/>
        </w:tblBorders>
        <w:tblLayout w:type="fixed"/>
        <w:tblCellMar>
          <w:top w:w="15" w:type="dxa"/>
          <w:left w:w="15" w:type="dxa"/>
          <w:bottom w:w="15" w:type="dxa"/>
          <w:right w:w="15" w:type="dxa"/>
        </w:tblCellMar>
        <w:tblLook w:val="04A0" w:firstRow="1" w:lastRow="0" w:firstColumn="1" w:lastColumn="0" w:noHBand="0" w:noVBand="1"/>
      </w:tblPr>
      <w:tblGrid>
        <w:gridCol w:w="2236"/>
        <w:gridCol w:w="4324"/>
        <w:gridCol w:w="3657"/>
      </w:tblGrid>
      <w:tr w:rsidRPr="00CC6DA0" w:rsidR="00CA75AC" w14:paraId="6DD3513C" w14:textId="77777777">
        <w:tc>
          <w:tcPr>
            <w:tcW w:w="2236" w:type="dxa"/>
            <w:tcBorders>
              <w:top w:val="single" w:color="CFD9DE" w:sz="6" w:space="0"/>
              <w:left w:val="single" w:color="CFD9DE" w:sz="6" w:space="0"/>
              <w:bottom w:val="single" w:color="CFD9DE" w:sz="6" w:space="0"/>
              <w:right w:val="single" w:color="CFD9DE" w:sz="6" w:space="0"/>
            </w:tcBorders>
            <w:vAlign w:val="center"/>
            <w:hideMark/>
          </w:tcPr>
          <w:p w:rsidRPr="00CC6DA0" w:rsidR="00CA75AC" w:rsidRDefault="00CA75AC" w14:paraId="1B79EA37" w14:textId="77777777">
            <w:pPr>
              <w:spacing w:line="259" w:lineRule="auto"/>
              <w:rPr>
                <w:b/>
                <w:bCs/>
                <w:szCs w:val="21"/>
              </w:rPr>
            </w:pPr>
            <w:r w:rsidRPr="00CC6DA0">
              <w:rPr>
                <w:b/>
                <w:bCs/>
                <w:szCs w:val="21"/>
              </w:rPr>
              <w:t>Breach Type</w:t>
            </w:r>
          </w:p>
        </w:tc>
        <w:tc>
          <w:tcPr>
            <w:tcW w:w="4324" w:type="dxa"/>
            <w:tcBorders>
              <w:top w:val="single" w:color="CFD9DE" w:sz="6" w:space="0"/>
              <w:left w:val="single" w:color="CFD9DE" w:sz="6" w:space="0"/>
              <w:bottom w:val="single" w:color="CFD9DE" w:sz="6" w:space="0"/>
              <w:right w:val="single" w:color="CFD9DE" w:sz="6" w:space="0"/>
            </w:tcBorders>
            <w:vAlign w:val="center"/>
            <w:hideMark/>
          </w:tcPr>
          <w:p w:rsidRPr="00CC6DA0" w:rsidR="00CA75AC" w:rsidRDefault="00CA75AC" w14:paraId="2F1AF5DB" w14:textId="77777777">
            <w:pPr>
              <w:spacing w:line="259" w:lineRule="auto"/>
              <w:rPr>
                <w:b/>
                <w:bCs/>
                <w:szCs w:val="21"/>
              </w:rPr>
            </w:pPr>
            <w:r w:rsidRPr="00CC6DA0">
              <w:rPr>
                <w:b/>
                <w:bCs/>
                <w:szCs w:val="21"/>
              </w:rPr>
              <w:t>Reporting Requirements</w:t>
            </w:r>
          </w:p>
        </w:tc>
        <w:tc>
          <w:tcPr>
            <w:tcW w:w="3657" w:type="dxa"/>
            <w:tcBorders>
              <w:top w:val="single" w:color="CFD9DE" w:sz="6" w:space="0"/>
              <w:left w:val="single" w:color="CFD9DE" w:sz="6" w:space="0"/>
              <w:bottom w:val="single" w:color="CFD9DE" w:sz="6" w:space="0"/>
              <w:right w:val="single" w:color="CFD9DE" w:sz="6" w:space="0"/>
            </w:tcBorders>
            <w:vAlign w:val="center"/>
            <w:hideMark/>
          </w:tcPr>
          <w:p w:rsidRPr="00CC6DA0" w:rsidR="00CA75AC" w:rsidRDefault="00CA75AC" w14:paraId="38569D0A" w14:textId="77777777">
            <w:pPr>
              <w:spacing w:line="259" w:lineRule="auto"/>
              <w:rPr>
                <w:b/>
                <w:bCs/>
                <w:szCs w:val="21"/>
              </w:rPr>
            </w:pPr>
            <w:r w:rsidRPr="00CC6DA0">
              <w:rPr>
                <w:b/>
                <w:bCs/>
                <w:szCs w:val="21"/>
              </w:rPr>
              <w:t>Key Contact</w:t>
            </w:r>
          </w:p>
        </w:tc>
      </w:tr>
      <w:tr w:rsidRPr="00CC6DA0" w:rsidR="00CA75AC" w14:paraId="61BCDE9E" w14:textId="77777777">
        <w:tc>
          <w:tcPr>
            <w:tcW w:w="2236" w:type="dxa"/>
            <w:tcBorders>
              <w:top w:val="single" w:color="CFD9DE" w:sz="6" w:space="0"/>
              <w:left w:val="single" w:color="CFD9DE" w:sz="6" w:space="0"/>
              <w:bottom w:val="single" w:color="CFD9DE" w:sz="6" w:space="0"/>
              <w:right w:val="single" w:color="CFD9DE" w:sz="6" w:space="0"/>
            </w:tcBorders>
            <w:vAlign w:val="center"/>
            <w:hideMark/>
          </w:tcPr>
          <w:p w:rsidRPr="00CC6DA0" w:rsidR="00CA75AC" w:rsidRDefault="00CA75AC" w14:paraId="5EE06B5F" w14:textId="77777777">
            <w:pPr>
              <w:spacing w:line="259" w:lineRule="auto"/>
              <w:rPr>
                <w:b/>
                <w:bCs/>
                <w:szCs w:val="21"/>
              </w:rPr>
            </w:pPr>
            <w:r w:rsidRPr="00CC6DA0">
              <w:rPr>
                <w:b/>
                <w:bCs/>
                <w:szCs w:val="21"/>
              </w:rPr>
              <w:t>Emergency Care Triage Category 1 Failure</w:t>
            </w:r>
          </w:p>
        </w:tc>
        <w:tc>
          <w:tcPr>
            <w:tcW w:w="4324" w:type="dxa"/>
            <w:vMerge w:val="restart"/>
            <w:tcBorders>
              <w:top w:val="single" w:color="CFD9DE" w:sz="6" w:space="0"/>
              <w:left w:val="single" w:color="CFD9DE" w:sz="6" w:space="0"/>
              <w:right w:val="single" w:color="CFD9DE" w:sz="6" w:space="0"/>
            </w:tcBorders>
            <w:vAlign w:val="center"/>
            <w:hideMark/>
          </w:tcPr>
          <w:p w:rsidRPr="00CC6DA0" w:rsidR="00CA75AC" w:rsidRDefault="00CA75AC" w14:paraId="62841006" w14:textId="77777777">
            <w:pPr>
              <w:spacing w:line="259" w:lineRule="auto"/>
              <w:rPr>
                <w:szCs w:val="21"/>
              </w:rPr>
            </w:pPr>
            <w:r w:rsidRPr="00CC6DA0">
              <w:rPr>
                <w:szCs w:val="21"/>
              </w:rPr>
              <w:t>Report via standard VEMD process within 24 hours of a breach or becoming aware of one.</w:t>
            </w:r>
          </w:p>
          <w:p w:rsidRPr="00CC6DA0" w:rsidR="00CA75AC" w:rsidRDefault="00CA75AC" w14:paraId="7F67A153" w14:textId="77777777">
            <w:pPr>
              <w:spacing w:line="259" w:lineRule="auto"/>
              <w:rPr>
                <w:szCs w:val="21"/>
              </w:rPr>
            </w:pPr>
          </w:p>
        </w:tc>
        <w:tc>
          <w:tcPr>
            <w:tcW w:w="3657" w:type="dxa"/>
            <w:vMerge w:val="restart"/>
            <w:tcBorders>
              <w:top w:val="single" w:color="CFD9DE" w:sz="6" w:space="0"/>
              <w:left w:val="single" w:color="CFD9DE" w:sz="6" w:space="0"/>
              <w:right w:val="single" w:color="CFD9DE" w:sz="6" w:space="0"/>
            </w:tcBorders>
            <w:vAlign w:val="center"/>
            <w:hideMark/>
          </w:tcPr>
          <w:p w:rsidRPr="00CC6DA0" w:rsidR="00E214FB" w:rsidP="00E214FB" w:rsidRDefault="00E214FB" w14:paraId="3C45A563" w14:textId="476B52EB">
            <w:pPr>
              <w:spacing w:line="259" w:lineRule="auto"/>
              <w:rPr>
                <w:szCs w:val="21"/>
              </w:rPr>
            </w:pPr>
            <w:r w:rsidRPr="00CC6DA0">
              <w:rPr>
                <w:szCs w:val="21"/>
              </w:rPr>
              <w:t xml:space="preserve">Health Service Interface and Collaboration </w:t>
            </w:r>
            <w:r>
              <w:rPr>
                <w:szCs w:val="21"/>
              </w:rPr>
              <w:t xml:space="preserve">contact </w:t>
            </w:r>
          </w:p>
          <w:p w:rsidRPr="00CC6DA0" w:rsidR="00CA75AC" w:rsidRDefault="00E214FB" w14:paraId="45A4E39D" w14:textId="188E52EF">
            <w:pPr>
              <w:spacing w:line="259" w:lineRule="auto"/>
              <w:rPr>
                <w:szCs w:val="21"/>
              </w:rPr>
            </w:pPr>
            <w:hyperlink w:history="1" r:id="rId48">
              <w:r w:rsidRPr="00CC6DA0">
                <w:rPr>
                  <w:rStyle w:val="Hyperlink"/>
                </w:rPr>
                <w:t>hsic@health.vic.gov.au</w:t>
              </w:r>
            </w:hyperlink>
            <w:r w:rsidRPr="00CC6DA0">
              <w:t xml:space="preserve"> </w:t>
            </w:r>
            <w:r w:rsidRPr="00CC6DA0">
              <w:rPr>
                <w:szCs w:val="21"/>
              </w:rPr>
              <w:t xml:space="preserve"> </w:t>
            </w:r>
          </w:p>
        </w:tc>
      </w:tr>
      <w:tr w:rsidRPr="00CC6DA0" w:rsidR="00CA75AC" w14:paraId="26E763C9" w14:textId="77777777">
        <w:tc>
          <w:tcPr>
            <w:tcW w:w="2236" w:type="dxa"/>
            <w:tcBorders>
              <w:top w:val="single" w:color="CFD9DE" w:sz="6" w:space="0"/>
              <w:left w:val="single" w:color="CFD9DE" w:sz="6" w:space="0"/>
              <w:bottom w:val="single" w:color="CFD9DE" w:sz="6" w:space="0"/>
              <w:right w:val="single" w:color="CFD9DE" w:sz="6" w:space="0"/>
            </w:tcBorders>
            <w:vAlign w:val="center"/>
            <w:hideMark/>
          </w:tcPr>
          <w:p w:rsidRPr="00CC6DA0" w:rsidR="00CA75AC" w:rsidRDefault="00CA75AC" w14:paraId="25B53269" w14:textId="77777777">
            <w:pPr>
              <w:spacing w:line="259" w:lineRule="auto"/>
              <w:rPr>
                <w:b/>
                <w:bCs/>
                <w:szCs w:val="21"/>
              </w:rPr>
            </w:pPr>
            <w:r w:rsidRPr="00CC6DA0">
              <w:rPr>
                <w:b/>
                <w:bCs/>
                <w:szCs w:val="21"/>
              </w:rPr>
              <w:t>Emergency Department 24 Hours Waiting Time Failure</w:t>
            </w:r>
          </w:p>
        </w:tc>
        <w:tc>
          <w:tcPr>
            <w:tcW w:w="4324" w:type="dxa"/>
            <w:vMerge/>
            <w:tcBorders>
              <w:left w:val="single" w:color="CFD9DE" w:sz="6" w:space="0"/>
              <w:bottom w:val="single" w:color="CFD9DE" w:sz="6" w:space="0"/>
              <w:right w:val="single" w:color="CFD9DE" w:sz="6" w:space="0"/>
            </w:tcBorders>
            <w:vAlign w:val="center"/>
            <w:hideMark/>
          </w:tcPr>
          <w:p w:rsidRPr="00CC6DA0" w:rsidR="00CA75AC" w:rsidRDefault="00CA75AC" w14:paraId="335BA5E9" w14:textId="77777777">
            <w:pPr>
              <w:spacing w:line="259" w:lineRule="auto"/>
              <w:rPr>
                <w:szCs w:val="21"/>
              </w:rPr>
            </w:pPr>
          </w:p>
        </w:tc>
        <w:tc>
          <w:tcPr>
            <w:tcW w:w="3657" w:type="dxa"/>
            <w:vMerge/>
            <w:tcBorders>
              <w:left w:val="single" w:color="CFD9DE" w:sz="6" w:space="0"/>
              <w:bottom w:val="single" w:color="CFD9DE" w:sz="6" w:space="0"/>
              <w:right w:val="single" w:color="CFD9DE" w:sz="6" w:space="0"/>
            </w:tcBorders>
            <w:vAlign w:val="center"/>
            <w:hideMark/>
          </w:tcPr>
          <w:p w:rsidRPr="00CC6DA0" w:rsidR="00CA75AC" w:rsidRDefault="00CA75AC" w14:paraId="5DF8A539" w14:textId="77777777">
            <w:pPr>
              <w:spacing w:line="259" w:lineRule="auto"/>
              <w:rPr>
                <w:szCs w:val="21"/>
              </w:rPr>
            </w:pPr>
          </w:p>
        </w:tc>
      </w:tr>
      <w:tr w:rsidRPr="00CC6DA0" w:rsidR="00CA75AC" w14:paraId="5C543F0F" w14:textId="77777777">
        <w:tc>
          <w:tcPr>
            <w:tcW w:w="2236" w:type="dxa"/>
            <w:tcBorders>
              <w:top w:val="single" w:color="CFD9DE" w:sz="6" w:space="0"/>
              <w:left w:val="single" w:color="CFD9DE" w:sz="6" w:space="0"/>
              <w:bottom w:val="single" w:color="CFD9DE" w:sz="6" w:space="0"/>
              <w:right w:val="single" w:color="CFD9DE" w:sz="6" w:space="0"/>
            </w:tcBorders>
            <w:vAlign w:val="center"/>
            <w:hideMark/>
          </w:tcPr>
          <w:p w:rsidRPr="00CC6DA0" w:rsidR="00CA75AC" w:rsidRDefault="00CA75AC" w14:paraId="15EBD4F6" w14:textId="77777777">
            <w:pPr>
              <w:spacing w:line="259" w:lineRule="auto"/>
              <w:rPr>
                <w:b/>
                <w:szCs w:val="21"/>
              </w:rPr>
            </w:pPr>
            <w:r w:rsidRPr="00CC6DA0">
              <w:rPr>
                <w:b/>
                <w:bCs/>
                <w:szCs w:val="21"/>
              </w:rPr>
              <w:t>Planned surgery category 1 not</w:t>
            </w:r>
            <w:r w:rsidRPr="00CC6DA0">
              <w:rPr>
                <w:b/>
                <w:szCs w:val="21"/>
              </w:rPr>
              <w:t xml:space="preserve"> treated within recommended time</w:t>
            </w:r>
          </w:p>
          <w:p w:rsidRPr="00CC6DA0" w:rsidR="00CA75AC" w:rsidRDefault="00CA75AC" w14:paraId="1355AB06" w14:textId="77777777">
            <w:pPr>
              <w:spacing w:line="259" w:lineRule="auto"/>
              <w:rPr>
                <w:b/>
                <w:bCs/>
                <w:szCs w:val="21"/>
              </w:rPr>
            </w:pPr>
          </w:p>
          <w:p w:rsidRPr="00CC6DA0" w:rsidR="00CA75AC" w:rsidRDefault="00CA75AC" w14:paraId="588ECDDC" w14:textId="77777777">
            <w:pPr>
              <w:spacing w:line="259" w:lineRule="auto"/>
              <w:rPr>
                <w:b/>
                <w:bCs/>
                <w:szCs w:val="21"/>
              </w:rPr>
            </w:pPr>
          </w:p>
        </w:tc>
        <w:tc>
          <w:tcPr>
            <w:tcW w:w="4324" w:type="dxa"/>
            <w:vMerge w:val="restart"/>
            <w:tcBorders>
              <w:top w:val="single" w:color="CFD9DE" w:sz="6" w:space="0"/>
              <w:left w:val="single" w:color="CFD9DE" w:sz="6" w:space="0"/>
              <w:right w:val="single" w:color="CFD9DE" w:sz="6" w:space="0"/>
            </w:tcBorders>
            <w:vAlign w:val="center"/>
            <w:hideMark/>
          </w:tcPr>
          <w:p w:rsidRPr="00CC6DA0" w:rsidR="00CA75AC" w:rsidRDefault="00CA75AC" w14:paraId="797C521A" w14:textId="77777777">
            <w:pPr>
              <w:spacing w:line="259" w:lineRule="auto"/>
              <w:rPr>
                <w:szCs w:val="21"/>
              </w:rPr>
            </w:pPr>
            <w:r w:rsidRPr="00CC6DA0">
              <w:rPr>
                <w:szCs w:val="21"/>
              </w:rPr>
              <w:t>Notify the department within 24 hours of a breach or becoming aware of a breach.</w:t>
            </w:r>
          </w:p>
          <w:p w:rsidRPr="00CC6DA0" w:rsidR="00CA75AC" w:rsidRDefault="00CA75AC" w14:paraId="31669FD7" w14:textId="77777777">
            <w:pPr>
              <w:spacing w:line="259" w:lineRule="auto"/>
              <w:rPr>
                <w:szCs w:val="21"/>
              </w:rPr>
            </w:pPr>
            <w:r w:rsidRPr="00CC6DA0">
              <w:rPr>
                <w:szCs w:val="21"/>
              </w:rPr>
              <w:t>Health services are required to include in the notification the circumstances and response to the breach, including whether patient safety has been compromised. If a health service experiences high volumes of these breaches, the department may implement an alternative interim breach notification process.</w:t>
            </w:r>
          </w:p>
        </w:tc>
        <w:tc>
          <w:tcPr>
            <w:tcW w:w="3657" w:type="dxa"/>
            <w:vMerge w:val="restart"/>
            <w:tcBorders>
              <w:top w:val="single" w:color="CFD9DE" w:sz="6" w:space="0"/>
              <w:left w:val="single" w:color="CFD9DE" w:sz="6" w:space="0"/>
              <w:right w:val="single" w:color="CFD9DE" w:sz="6" w:space="0"/>
            </w:tcBorders>
            <w:vAlign w:val="center"/>
            <w:hideMark/>
          </w:tcPr>
          <w:p w:rsidRPr="00CC6DA0" w:rsidR="00DA12FE" w:rsidP="00DA12FE" w:rsidRDefault="00DA12FE" w14:paraId="05A6B6B6" w14:textId="77777777">
            <w:pPr>
              <w:spacing w:line="259" w:lineRule="auto"/>
              <w:rPr>
                <w:szCs w:val="21"/>
              </w:rPr>
            </w:pPr>
            <w:r w:rsidRPr="00CC6DA0">
              <w:rPr>
                <w:szCs w:val="21"/>
              </w:rPr>
              <w:t>Access, Insight and Accountability, System Access and Reform</w:t>
            </w:r>
          </w:p>
          <w:p w:rsidRPr="00CC6DA0" w:rsidR="00CA75AC" w:rsidP="00DA12FE" w:rsidRDefault="00DA12FE" w14:paraId="55F2BD47" w14:textId="67BC14AB">
            <w:pPr>
              <w:spacing w:line="259" w:lineRule="auto"/>
              <w:rPr>
                <w:rFonts w:eastAsia="Arial"/>
                <w:szCs w:val="21"/>
              </w:rPr>
            </w:pPr>
            <w:hyperlink r:id="rId49">
              <w:r w:rsidRPr="00CC6DA0">
                <w:rPr>
                  <w:rStyle w:val="Hyperlink"/>
                  <w:rFonts w:eastAsia="Calibri"/>
                  <w:color w:val="0000FF"/>
                  <w:szCs w:val="21"/>
                  <w:u w:val="single"/>
                </w:rPr>
                <w:t>plannedcare@health.vic.gov.au</w:t>
              </w:r>
            </w:hyperlink>
          </w:p>
        </w:tc>
      </w:tr>
      <w:tr w:rsidRPr="00CC6DA0" w:rsidR="00CA75AC" w14:paraId="22A54940" w14:textId="77777777">
        <w:tc>
          <w:tcPr>
            <w:tcW w:w="2236" w:type="dxa"/>
            <w:tcBorders>
              <w:top w:val="single" w:color="CFD9DE" w:sz="6" w:space="0"/>
              <w:left w:val="single" w:color="CFD9DE" w:sz="6" w:space="0"/>
              <w:bottom w:val="single" w:color="CFD9DE" w:sz="6" w:space="0"/>
              <w:right w:val="single" w:color="CFD9DE" w:sz="6" w:space="0"/>
            </w:tcBorders>
            <w:vAlign w:val="center"/>
            <w:hideMark/>
          </w:tcPr>
          <w:p w:rsidRPr="00CC6DA0" w:rsidR="00CA75AC" w:rsidRDefault="00CA75AC" w14:paraId="2703FC5D" w14:textId="77777777">
            <w:pPr>
              <w:spacing w:line="259" w:lineRule="auto"/>
              <w:rPr>
                <w:b/>
                <w:bCs/>
                <w:szCs w:val="21"/>
              </w:rPr>
            </w:pPr>
            <w:r w:rsidRPr="00CC6DA0">
              <w:rPr>
                <w:b/>
                <w:bCs/>
                <w:szCs w:val="21"/>
              </w:rPr>
              <w:t>Colonoscopy category 1 not treated within recommended time</w:t>
            </w:r>
          </w:p>
        </w:tc>
        <w:tc>
          <w:tcPr>
            <w:tcW w:w="4324" w:type="dxa"/>
            <w:vMerge/>
            <w:tcBorders>
              <w:left w:val="single" w:color="CFD9DE" w:sz="6" w:space="0"/>
              <w:bottom w:val="single" w:color="CFD9DE" w:sz="6" w:space="0"/>
              <w:right w:val="single" w:color="CFD9DE" w:sz="6" w:space="0"/>
            </w:tcBorders>
            <w:vAlign w:val="center"/>
            <w:hideMark/>
          </w:tcPr>
          <w:p w:rsidRPr="00CC6DA0" w:rsidR="00CA75AC" w:rsidRDefault="00CA75AC" w14:paraId="5EF5546C" w14:textId="77777777">
            <w:pPr>
              <w:spacing w:line="259" w:lineRule="auto"/>
              <w:rPr>
                <w:szCs w:val="21"/>
              </w:rPr>
            </w:pPr>
          </w:p>
        </w:tc>
        <w:tc>
          <w:tcPr>
            <w:tcW w:w="3657" w:type="dxa"/>
            <w:vMerge/>
            <w:tcBorders>
              <w:left w:val="single" w:color="CFD9DE" w:sz="6" w:space="0"/>
              <w:bottom w:val="single" w:color="CFD9DE" w:sz="6" w:space="0"/>
              <w:right w:val="single" w:color="CFD9DE" w:sz="6" w:space="0"/>
            </w:tcBorders>
            <w:vAlign w:val="center"/>
            <w:hideMark/>
          </w:tcPr>
          <w:p w:rsidRPr="00CC6DA0" w:rsidR="00CA75AC" w:rsidRDefault="00CA75AC" w14:paraId="04B4AEDF" w14:textId="77777777">
            <w:pPr>
              <w:spacing w:line="259" w:lineRule="auto"/>
              <w:rPr>
                <w:rFonts w:eastAsia="Arial"/>
                <w:szCs w:val="21"/>
              </w:rPr>
            </w:pPr>
          </w:p>
        </w:tc>
      </w:tr>
      <w:tr w:rsidRPr="00CC6DA0" w:rsidR="00CA75AC" w14:paraId="21F31511" w14:textId="77777777">
        <w:tc>
          <w:tcPr>
            <w:tcW w:w="2236" w:type="dxa"/>
            <w:tcBorders>
              <w:top w:val="single" w:color="CFD9DE" w:sz="6" w:space="0"/>
              <w:left w:val="single" w:color="CFD9DE" w:sz="6" w:space="0"/>
              <w:bottom w:val="single" w:color="CFD9DE" w:sz="6" w:space="0"/>
              <w:right w:val="single" w:color="CFD9DE" w:sz="6" w:space="0"/>
            </w:tcBorders>
            <w:vAlign w:val="center"/>
            <w:hideMark/>
          </w:tcPr>
          <w:p w:rsidRPr="00CC6DA0" w:rsidR="00CA75AC" w:rsidRDefault="00CA75AC" w14:paraId="39F7E47B" w14:textId="77777777">
            <w:pPr>
              <w:spacing w:line="259" w:lineRule="auto"/>
              <w:rPr>
                <w:b/>
                <w:bCs/>
                <w:szCs w:val="21"/>
              </w:rPr>
            </w:pPr>
            <w:r w:rsidRPr="00CC6DA0">
              <w:rPr>
                <w:b/>
                <w:bCs/>
                <w:szCs w:val="21"/>
              </w:rPr>
              <w:t>Non-compliance with National Safety and Quality Health Service Standards</w:t>
            </w:r>
          </w:p>
        </w:tc>
        <w:tc>
          <w:tcPr>
            <w:tcW w:w="4324" w:type="dxa"/>
            <w:tcBorders>
              <w:top w:val="single" w:color="CFD9DE" w:sz="6" w:space="0"/>
              <w:left w:val="single" w:color="CFD9DE" w:sz="6" w:space="0"/>
              <w:bottom w:val="single" w:color="CFD9DE" w:sz="6" w:space="0"/>
              <w:right w:val="single" w:color="CFD9DE" w:sz="6" w:space="0"/>
            </w:tcBorders>
            <w:vAlign w:val="center"/>
            <w:hideMark/>
          </w:tcPr>
          <w:p w:rsidRPr="00CC6DA0" w:rsidR="00CA75AC" w:rsidRDefault="00CA75AC" w14:paraId="7605206A" w14:textId="3FEC41C2">
            <w:pPr>
              <w:rPr>
                <w:szCs w:val="21"/>
              </w:rPr>
            </w:pPr>
            <w:r w:rsidRPr="00CC6DA0">
              <w:rPr>
                <w:szCs w:val="21"/>
              </w:rPr>
              <w:t xml:space="preserve">Notify the Department of </w:t>
            </w:r>
            <w:r w:rsidRPr="00CC6DA0" w:rsidR="007205B0">
              <w:rPr>
                <w:szCs w:val="21"/>
              </w:rPr>
              <w:t>Health within</w:t>
            </w:r>
            <w:r w:rsidRPr="00CC6DA0">
              <w:rPr>
                <w:szCs w:val="21"/>
              </w:rPr>
              <w:t xml:space="preserve"> 24 hours or becoming aware of one.  </w:t>
            </w:r>
          </w:p>
          <w:p w:rsidRPr="00CC6DA0" w:rsidR="00CA75AC" w:rsidRDefault="00CA75AC" w14:paraId="3DB98BA1" w14:textId="4A820082">
            <w:pPr>
              <w:rPr>
                <w:szCs w:val="21"/>
              </w:rPr>
            </w:pPr>
            <w:r w:rsidRPr="00CC6DA0">
              <w:rPr>
                <w:szCs w:val="21"/>
              </w:rPr>
              <w:t xml:space="preserve">Health Service Interface and </w:t>
            </w:r>
            <w:r w:rsidRPr="00CC6DA0" w:rsidR="007205B0">
              <w:rPr>
                <w:szCs w:val="21"/>
              </w:rPr>
              <w:t>Collaboration contact</w:t>
            </w:r>
            <w:r w:rsidRPr="00CC6DA0">
              <w:rPr>
                <w:szCs w:val="21"/>
              </w:rPr>
              <w:t xml:space="preserve"> will coordinate with the Safer Care Victoria to provide support and assistance in responding to and addressing non-compliance.</w:t>
            </w:r>
          </w:p>
        </w:tc>
        <w:tc>
          <w:tcPr>
            <w:tcW w:w="3657" w:type="dxa"/>
            <w:tcBorders>
              <w:top w:val="single" w:color="CFD9DE" w:sz="6" w:space="0"/>
              <w:left w:val="single" w:color="CFD9DE" w:sz="6" w:space="0"/>
              <w:bottom w:val="single" w:color="CFD9DE" w:sz="6" w:space="0"/>
              <w:right w:val="single" w:color="CFD9DE" w:sz="6" w:space="0"/>
            </w:tcBorders>
            <w:vAlign w:val="center"/>
            <w:hideMark/>
          </w:tcPr>
          <w:p w:rsidRPr="00CC6DA0" w:rsidR="00CA75AC" w:rsidRDefault="00CA75AC" w14:paraId="122E628D" w14:textId="074BC27F">
            <w:pPr>
              <w:spacing w:line="259" w:lineRule="auto"/>
              <w:rPr>
                <w:szCs w:val="21"/>
              </w:rPr>
            </w:pPr>
            <w:r w:rsidRPr="00CC6DA0">
              <w:rPr>
                <w:szCs w:val="21"/>
              </w:rPr>
              <w:t xml:space="preserve">Health Service Interface and Collaboration </w:t>
            </w:r>
          </w:p>
          <w:p w:rsidRPr="00CC6DA0" w:rsidR="00CA75AC" w:rsidRDefault="00CA75AC" w14:paraId="18878481" w14:textId="77777777">
            <w:pPr>
              <w:spacing w:line="259" w:lineRule="auto"/>
              <w:rPr>
                <w:szCs w:val="21"/>
              </w:rPr>
            </w:pPr>
            <w:r w:rsidRPr="00CC6DA0">
              <w:rPr>
                <w:szCs w:val="21"/>
              </w:rPr>
              <w:t>accreditation@health.vic.gov.au</w:t>
            </w:r>
          </w:p>
        </w:tc>
      </w:tr>
      <w:tr w:rsidRPr="00CC6DA0" w:rsidR="00CA75AC" w14:paraId="04F0F280" w14:textId="77777777">
        <w:tc>
          <w:tcPr>
            <w:tcW w:w="2236" w:type="dxa"/>
            <w:tcBorders>
              <w:top w:val="single" w:color="CFD9DE" w:sz="6" w:space="0"/>
              <w:left w:val="single" w:color="CFD9DE" w:sz="6" w:space="0"/>
              <w:bottom w:val="single" w:color="CFD9DE" w:sz="6" w:space="0"/>
              <w:right w:val="single" w:color="CFD9DE" w:sz="6" w:space="0"/>
            </w:tcBorders>
            <w:vAlign w:val="center"/>
            <w:hideMark/>
          </w:tcPr>
          <w:p w:rsidRPr="00CC6DA0" w:rsidR="00CA75AC" w:rsidRDefault="00CA75AC" w14:paraId="057BFC9B" w14:textId="77777777">
            <w:pPr>
              <w:spacing w:line="259" w:lineRule="auto"/>
              <w:rPr>
                <w:b/>
                <w:bCs/>
                <w:szCs w:val="21"/>
              </w:rPr>
            </w:pPr>
            <w:r w:rsidRPr="00CC6DA0">
              <w:rPr>
                <w:b/>
                <w:bCs/>
                <w:szCs w:val="21"/>
              </w:rPr>
              <w:t>Non-compliance with Aged Care Standards</w:t>
            </w:r>
          </w:p>
        </w:tc>
        <w:tc>
          <w:tcPr>
            <w:tcW w:w="4324" w:type="dxa"/>
            <w:tcBorders>
              <w:top w:val="single" w:color="CFD9DE" w:sz="6" w:space="0"/>
              <w:left w:val="single" w:color="CFD9DE" w:sz="6" w:space="0"/>
              <w:bottom w:val="single" w:color="CFD9DE" w:sz="6" w:space="0"/>
              <w:right w:val="single" w:color="CFD9DE" w:sz="6" w:space="0"/>
            </w:tcBorders>
            <w:vAlign w:val="center"/>
            <w:hideMark/>
          </w:tcPr>
          <w:p w:rsidRPr="00CC6DA0" w:rsidR="00CA75AC" w:rsidRDefault="00CA75AC" w14:paraId="0096681B" w14:textId="67906155">
            <w:pPr>
              <w:spacing w:line="259" w:lineRule="auto"/>
              <w:rPr>
                <w:szCs w:val="21"/>
              </w:rPr>
            </w:pPr>
            <w:r w:rsidRPr="00CC6DA0">
              <w:rPr>
                <w:szCs w:val="21"/>
              </w:rPr>
              <w:t xml:space="preserve">Notify the Aged </w:t>
            </w:r>
            <w:r w:rsidRPr="00CC6DA0" w:rsidR="00327F85">
              <w:rPr>
                <w:szCs w:val="21"/>
              </w:rPr>
              <w:t>Care contact</w:t>
            </w:r>
            <w:r w:rsidRPr="00CC6DA0">
              <w:rPr>
                <w:szCs w:val="21"/>
              </w:rPr>
              <w:t xml:space="preserve"> as soon as practicable. The Aged Care Team will provide support and assistance in responding to and addressing non-compliance. </w:t>
            </w:r>
          </w:p>
        </w:tc>
        <w:tc>
          <w:tcPr>
            <w:tcW w:w="3657" w:type="dxa"/>
            <w:tcBorders>
              <w:top w:val="single" w:color="CFD9DE" w:sz="6" w:space="0"/>
              <w:left w:val="single" w:color="CFD9DE" w:sz="6" w:space="0"/>
              <w:bottom w:val="single" w:color="CFD9DE" w:sz="6" w:space="0"/>
              <w:right w:val="single" w:color="CFD9DE" w:sz="6" w:space="0"/>
            </w:tcBorders>
            <w:vAlign w:val="center"/>
            <w:hideMark/>
          </w:tcPr>
          <w:p w:rsidRPr="00CC6DA0" w:rsidR="00CA75AC" w:rsidRDefault="00CC6DA0" w14:paraId="25248437" w14:textId="0ABB00BD">
            <w:pPr>
              <w:spacing w:line="259" w:lineRule="auto"/>
              <w:rPr>
                <w:szCs w:val="21"/>
              </w:rPr>
            </w:pPr>
            <w:hyperlink w:history="1" r:id="rId50">
              <w:r w:rsidRPr="00CC6DA0">
                <w:rPr>
                  <w:rStyle w:val="Hyperlink"/>
                  <w:szCs w:val="21"/>
                </w:rPr>
                <w:t>VICPSRACS@health.vic.gov.au</w:t>
              </w:r>
            </w:hyperlink>
          </w:p>
        </w:tc>
      </w:tr>
    </w:tbl>
    <w:p w:rsidRPr="00CC6DA0" w:rsidR="00CA75AC" w:rsidP="00CA75AC" w:rsidRDefault="00CA75AC" w14:paraId="402D8C76" w14:textId="77777777">
      <w:pPr>
        <w:pStyle w:val="DHHSbody"/>
      </w:pPr>
    </w:p>
    <w:p w:rsidRPr="00CC6DA0" w:rsidR="001C0867" w:rsidP="001C0867" w:rsidRDefault="001C0867" w14:paraId="46005BFF" w14:textId="77777777">
      <w:pPr>
        <w:pStyle w:val="Heading2"/>
      </w:pPr>
      <w:bookmarkStart w:name="_Toc235628555" w:id="40"/>
      <w:r w:rsidRPr="00CC6DA0">
        <w:t>8.2 Reporting of temporary change to capability level, including Code Yellow</w:t>
      </w:r>
      <w:bookmarkEnd w:id="40"/>
      <w:r w:rsidRPr="00CC6DA0">
        <w:t xml:space="preserve"> </w:t>
      </w:r>
    </w:p>
    <w:p w:rsidRPr="00CC6DA0" w:rsidR="00E50974" w:rsidP="00DE5DC8" w:rsidRDefault="00943193" w14:paraId="7B972716" w14:textId="332783FE">
      <w:pPr>
        <w:pStyle w:val="Bullet1"/>
        <w:numPr>
          <w:ilvl w:val="0"/>
          <w:numId w:val="0"/>
        </w:numPr>
        <w:rPr>
          <w:rFonts w:cs="Arial"/>
        </w:rPr>
      </w:pPr>
      <w:r w:rsidRPr="00CC6DA0">
        <w:rPr>
          <w:rFonts w:cs="Arial"/>
        </w:rPr>
        <w:t>T</w:t>
      </w:r>
      <w:r w:rsidRPr="00CC6DA0" w:rsidR="00E50974">
        <w:rPr>
          <w:rFonts w:cs="Arial"/>
        </w:rPr>
        <w:t>he Health Services Act</w:t>
      </w:r>
      <w:r w:rsidR="00957A48">
        <w:rPr>
          <w:rFonts w:cs="Arial"/>
        </w:rPr>
        <w:t xml:space="preserve"> 1988</w:t>
      </w:r>
      <w:r w:rsidRPr="00CC6DA0" w:rsidR="00E50974">
        <w:rPr>
          <w:rFonts w:cs="Arial"/>
        </w:rPr>
        <w:t xml:space="preserve"> </w:t>
      </w:r>
      <w:r w:rsidRPr="00CC6DA0">
        <w:rPr>
          <w:rFonts w:cs="Arial"/>
        </w:rPr>
        <w:t>outlines that h</w:t>
      </w:r>
      <w:r w:rsidRPr="00CC6DA0" w:rsidR="00E50974">
        <w:rPr>
          <w:rFonts w:cs="Arial"/>
        </w:rPr>
        <w:t xml:space="preserve">ealth </w:t>
      </w:r>
      <w:r w:rsidRPr="00CC6DA0">
        <w:rPr>
          <w:rFonts w:cs="Arial"/>
        </w:rPr>
        <w:t>s</w:t>
      </w:r>
      <w:r w:rsidRPr="00CC6DA0" w:rsidR="00E50974">
        <w:rPr>
          <w:rFonts w:cs="Arial"/>
        </w:rPr>
        <w:t xml:space="preserve">ervices are required to notify the </w:t>
      </w:r>
      <w:r w:rsidRPr="00CC6DA0" w:rsidR="00CE2FBA">
        <w:rPr>
          <w:rFonts w:cs="Arial"/>
        </w:rPr>
        <w:t>department</w:t>
      </w:r>
      <w:r w:rsidRPr="00CC6DA0" w:rsidR="00E50974">
        <w:rPr>
          <w:rFonts w:cs="Arial"/>
        </w:rPr>
        <w:t xml:space="preserve"> about any issues of public concern or risks that affect or may affect the health service</w:t>
      </w:r>
      <w:r w:rsidR="000563AD">
        <w:rPr>
          <w:rFonts w:cs="Arial"/>
        </w:rPr>
        <w:t xml:space="preserve">. </w:t>
      </w:r>
    </w:p>
    <w:p w:rsidRPr="00CC6DA0" w:rsidR="00E90802" w:rsidP="001C0867" w:rsidRDefault="00E90802" w14:paraId="0463E4F8" w14:textId="066D20C3">
      <w:pPr>
        <w:spacing w:line="259" w:lineRule="auto"/>
        <w:rPr>
          <w:szCs w:val="21"/>
        </w:rPr>
      </w:pPr>
    </w:p>
    <w:p w:rsidRPr="00CC6DA0" w:rsidR="001C0867" w:rsidP="001C0867" w:rsidRDefault="00CE2FBA" w14:paraId="16D61510" w14:textId="4F4FFAF6">
      <w:pPr>
        <w:spacing w:line="259" w:lineRule="auto"/>
        <w:rPr>
          <w:szCs w:val="21"/>
        </w:rPr>
      </w:pPr>
      <w:r w:rsidRPr="00CC6DA0">
        <w:rPr>
          <w:szCs w:val="21"/>
        </w:rPr>
        <w:t xml:space="preserve">This includes </w:t>
      </w:r>
      <w:r w:rsidRPr="00CC6DA0" w:rsidR="001C0867">
        <w:rPr>
          <w:szCs w:val="21"/>
        </w:rPr>
        <w:t>changes to capability levels</w:t>
      </w:r>
      <w:r w:rsidRPr="00CC6DA0" w:rsidR="0035404C">
        <w:rPr>
          <w:szCs w:val="21"/>
        </w:rPr>
        <w:t xml:space="preserve"> (diversion or bypass)</w:t>
      </w:r>
      <w:r w:rsidRPr="00CC6DA0" w:rsidR="001C0867">
        <w:rPr>
          <w:szCs w:val="21"/>
        </w:rPr>
        <w:t>,</w:t>
      </w:r>
      <w:r w:rsidRPr="00CC6DA0" w:rsidR="000A3F5F">
        <w:rPr>
          <w:szCs w:val="21"/>
        </w:rPr>
        <w:t xml:space="preserve"> and</w:t>
      </w:r>
      <w:r w:rsidRPr="00CC6DA0" w:rsidR="0035404C">
        <w:rPr>
          <w:szCs w:val="21"/>
        </w:rPr>
        <w:t>/</w:t>
      </w:r>
      <w:r w:rsidRPr="00CC6DA0" w:rsidR="000A3F5F">
        <w:rPr>
          <w:szCs w:val="21"/>
        </w:rPr>
        <w:t xml:space="preserve">or </w:t>
      </w:r>
      <w:r w:rsidRPr="00CC6DA0">
        <w:rPr>
          <w:szCs w:val="21"/>
        </w:rPr>
        <w:t xml:space="preserve">code yellows that impact upon the </w:t>
      </w:r>
      <w:r w:rsidRPr="00CC6DA0" w:rsidR="000A3F5F">
        <w:rPr>
          <w:szCs w:val="21"/>
        </w:rPr>
        <w:t xml:space="preserve">ability to provide </w:t>
      </w:r>
      <w:r w:rsidRPr="00CC6DA0" w:rsidR="00EC636D">
        <w:rPr>
          <w:szCs w:val="21"/>
        </w:rPr>
        <w:t xml:space="preserve">safe delivery of </w:t>
      </w:r>
      <w:r w:rsidRPr="00CC6DA0" w:rsidR="00E72973">
        <w:rPr>
          <w:szCs w:val="21"/>
        </w:rPr>
        <w:t>health service</w:t>
      </w:r>
      <w:r w:rsidRPr="00CC6DA0" w:rsidR="000A3F5F">
        <w:rPr>
          <w:szCs w:val="21"/>
        </w:rPr>
        <w:t>s</w:t>
      </w:r>
      <w:r w:rsidRPr="00CC6DA0" w:rsidR="003C6B1F">
        <w:rPr>
          <w:szCs w:val="21"/>
        </w:rPr>
        <w:t xml:space="preserve"> to communities</w:t>
      </w:r>
      <w:r w:rsidRPr="00CC6DA0">
        <w:rPr>
          <w:szCs w:val="21"/>
        </w:rPr>
        <w:t xml:space="preserve">. </w:t>
      </w:r>
    </w:p>
    <w:p w:rsidRPr="00CC6DA0" w:rsidR="001C0867" w:rsidP="001C0867" w:rsidRDefault="001C0867" w14:paraId="2DF2CEF8" w14:textId="0709E6D8">
      <w:pPr>
        <w:spacing w:line="259" w:lineRule="auto"/>
        <w:rPr>
          <w:szCs w:val="21"/>
        </w:rPr>
      </w:pPr>
      <w:r w:rsidRPr="00CC6DA0">
        <w:rPr>
          <w:szCs w:val="21"/>
        </w:rPr>
        <w:br/>
      </w:r>
      <w:r w:rsidRPr="00CC6DA0">
        <w:rPr>
          <w:szCs w:val="21"/>
        </w:rPr>
        <w:t xml:space="preserve">Health services must notify the department upon becoming aware of the need for such a change by completing </w:t>
      </w:r>
      <w:r w:rsidRPr="0058259E">
        <w:rPr>
          <w:b/>
          <w:bCs/>
          <w:i/>
          <w:szCs w:val="21"/>
        </w:rPr>
        <w:t>Attachment 3: Temporary Capability Change Notification Template</w:t>
      </w:r>
      <w:r w:rsidRPr="00CC6DA0">
        <w:rPr>
          <w:szCs w:val="21"/>
        </w:rPr>
        <w:t xml:space="preserve"> to document details of the </w:t>
      </w:r>
      <w:r w:rsidRPr="00CC6DA0" w:rsidR="00175D24">
        <w:rPr>
          <w:szCs w:val="21"/>
        </w:rPr>
        <w:t xml:space="preserve">code, </w:t>
      </w:r>
      <w:r w:rsidRPr="00CC6DA0">
        <w:rPr>
          <w:szCs w:val="21"/>
        </w:rPr>
        <w:t xml:space="preserve">diversion or bypass. Submit the completed template to the designated </w:t>
      </w:r>
      <w:r w:rsidRPr="00CC6DA0" w:rsidR="00175D24">
        <w:t xml:space="preserve">HSIC lead manager </w:t>
      </w:r>
      <w:r w:rsidRPr="00CC6DA0" w:rsidR="00C4419B">
        <w:t xml:space="preserve">or executive </w:t>
      </w:r>
      <w:r w:rsidRPr="00CC6DA0" w:rsidR="002E253C">
        <w:t xml:space="preserve">via </w:t>
      </w:r>
      <w:hyperlink w:history="1" r:id="rId51">
        <w:r w:rsidRPr="00CC6DA0" w:rsidR="002E253C">
          <w:rPr>
            <w:rStyle w:val="Hyperlink"/>
          </w:rPr>
          <w:t>hsic@health.vic.gov.au</w:t>
        </w:r>
      </w:hyperlink>
      <w:r w:rsidRPr="00CC6DA0" w:rsidR="002E253C">
        <w:t xml:space="preserve"> </w:t>
      </w:r>
      <w:r w:rsidRPr="00CC6DA0">
        <w:rPr>
          <w:szCs w:val="21"/>
        </w:rPr>
        <w:t xml:space="preserve"> for your health service</w:t>
      </w:r>
      <w:r w:rsidRPr="00CC6DA0" w:rsidR="00175D24">
        <w:rPr>
          <w:szCs w:val="21"/>
        </w:rPr>
        <w:t xml:space="preserve"> and include </w:t>
      </w:r>
      <w:hyperlink w:tgtFrame="_blank" w:tooltip="mailto:hsim@health.vic.gov.au" w:history="1" r:id="rId52">
        <w:r w:rsidRPr="00CC6DA0" w:rsidR="00175D24">
          <w:rPr>
            <w:rStyle w:val="Hyperlink"/>
            <w:szCs w:val="21"/>
          </w:rPr>
          <w:t>hsim@health.vic.gov.au</w:t>
        </w:r>
      </w:hyperlink>
    </w:p>
    <w:p w:rsidRPr="00CC6DA0" w:rsidR="001C0867" w:rsidP="001C0867" w:rsidRDefault="001C0867" w14:paraId="70119CCC" w14:textId="77777777">
      <w:pPr>
        <w:spacing w:line="259" w:lineRule="auto"/>
        <w:rPr>
          <w:szCs w:val="21"/>
        </w:rPr>
      </w:pPr>
    </w:p>
    <w:p w:rsidRPr="00804137" w:rsidR="001C0867" w:rsidP="001C0867" w:rsidRDefault="001C0867" w14:paraId="6EB92702" w14:textId="77777777">
      <w:pPr>
        <w:spacing w:line="259" w:lineRule="auto"/>
        <w:rPr>
          <w:szCs w:val="21"/>
        </w:rPr>
      </w:pPr>
      <w:r w:rsidRPr="00CC6DA0">
        <w:rPr>
          <w:szCs w:val="21"/>
        </w:rPr>
        <w:t>Note: Force Majeure has been replaced by Exceptional Events in the Policy and Funding Guidelines.</w:t>
      </w:r>
    </w:p>
    <w:p w:rsidRPr="00E70B3A" w:rsidR="0031027A" w:rsidP="001B24D4" w:rsidRDefault="005205E9" w14:paraId="56A857FB" w14:textId="0576F8A5">
      <w:pPr>
        <w:pStyle w:val="Heading1"/>
      </w:pPr>
      <w:r w:rsidRPr="00E70B3A">
        <w:br w:type="page"/>
      </w:r>
      <w:bookmarkStart w:name="_Toc235628556" w:id="41"/>
      <w:r w:rsidRPr="00E70B3A" w:rsidR="00B93D55">
        <w:t>A</w:t>
      </w:r>
      <w:r w:rsidRPr="00E70B3A" w:rsidR="0031027A">
        <w:t>ppendix 1: Coverage of the Framework</w:t>
      </w:r>
      <w:bookmarkEnd w:id="41"/>
    </w:p>
    <w:p w:rsidRPr="00E70B3A" w:rsidR="0031027A" w:rsidP="0031027A" w:rsidRDefault="0031027A" w14:paraId="1344261B" w14:textId="77777777">
      <w:pPr>
        <w:pStyle w:val="DHHSbullet1"/>
        <w:ind w:left="0" w:firstLine="0"/>
        <w:rPr>
          <w:rFonts w:cs="Arial"/>
          <w:szCs w:val="21"/>
        </w:rPr>
      </w:pPr>
      <w:r w:rsidRPr="00E70B3A">
        <w:rPr>
          <w:rFonts w:cs="Arial"/>
          <w:szCs w:val="21"/>
        </w:rPr>
        <w:t>Victoria’s public hospitals and health services are independent legal entities established under the Health Services Act 1988 (HSA)</w:t>
      </w:r>
      <w:r w:rsidRPr="00E70B3A">
        <w:rPr>
          <w:rFonts w:cs="Arial"/>
          <w:i/>
          <w:iCs/>
          <w:szCs w:val="21"/>
        </w:rPr>
        <w:t xml:space="preserve">, </w:t>
      </w:r>
      <w:r w:rsidRPr="00E70B3A">
        <w:rPr>
          <w:rFonts w:cs="Arial"/>
          <w:i/>
          <w:szCs w:val="21"/>
        </w:rPr>
        <w:t>Ambulance Services Act</w:t>
      </w:r>
      <w:r w:rsidRPr="00E70B3A">
        <w:rPr>
          <w:rFonts w:cs="Arial"/>
          <w:i/>
          <w:iCs/>
          <w:szCs w:val="21"/>
        </w:rPr>
        <w:t xml:space="preserve"> 1986(ASA) </w:t>
      </w:r>
      <w:r w:rsidRPr="00E70B3A">
        <w:rPr>
          <w:rFonts w:cs="Arial"/>
          <w:szCs w:val="21"/>
        </w:rPr>
        <w:t xml:space="preserve">and </w:t>
      </w:r>
      <w:r w:rsidRPr="00E70B3A">
        <w:rPr>
          <w:rFonts w:cs="Arial"/>
          <w:i/>
          <w:iCs/>
          <w:szCs w:val="21"/>
        </w:rPr>
        <w:t>Mental Health and Wellbeing Act 2022</w:t>
      </w:r>
      <w:r w:rsidRPr="00E70B3A">
        <w:rPr>
          <w:rFonts w:cs="Arial"/>
          <w:szCs w:val="21"/>
        </w:rPr>
        <w:t xml:space="preserve"> (MHWA) where applicable. They are governed by boards of directors, who are appointed by the Governor-in-Council on recommendation of the Minister for Health and Ambulance Services. The board oversees the health service on behalf of the Minister for Health and Ambulance Services and in accordance with government policy and its legal obligations.</w:t>
      </w:r>
    </w:p>
    <w:p w:rsidRPr="00E70B3A" w:rsidR="0031027A" w:rsidP="0031027A" w:rsidRDefault="0031027A" w14:paraId="38769F31" w14:textId="77777777">
      <w:pPr>
        <w:pStyle w:val="DHHSbody"/>
        <w:rPr>
          <w:rFonts w:cs="Arial"/>
          <w:szCs w:val="21"/>
        </w:rPr>
      </w:pPr>
      <w:r w:rsidRPr="00E70B3A">
        <w:rPr>
          <w:rFonts w:cs="Arial"/>
          <w:szCs w:val="21"/>
        </w:rPr>
        <w:t>The Framework captures all publicly funded health service providers including:</w:t>
      </w:r>
    </w:p>
    <w:p w:rsidRPr="00E70B3A" w:rsidR="0031027A" w:rsidP="00891C03" w:rsidRDefault="0031027A" w14:paraId="39C5FC48" w14:textId="68C3B9ED">
      <w:pPr>
        <w:pStyle w:val="DHHSbullet1"/>
        <w:numPr>
          <w:ilvl w:val="0"/>
          <w:numId w:val="16"/>
        </w:numPr>
        <w:spacing w:after="40"/>
        <w:rPr>
          <w:rFonts w:cs="Arial"/>
          <w:szCs w:val="21"/>
        </w:rPr>
      </w:pPr>
      <w:r w:rsidRPr="00E70B3A">
        <w:rPr>
          <w:rFonts w:cs="Arial"/>
          <w:szCs w:val="21"/>
        </w:rPr>
        <w:t xml:space="preserve">metropolitan and regional health services, defined under the </w:t>
      </w:r>
      <w:r w:rsidRPr="00E70B3A" w:rsidR="001E1110">
        <w:rPr>
          <w:rFonts w:cs="Arial"/>
          <w:i/>
          <w:iCs/>
          <w:szCs w:val="21"/>
        </w:rPr>
        <w:t xml:space="preserve">Health Services Act </w:t>
      </w:r>
      <w:r w:rsidRPr="00E70B3A" w:rsidR="00A1051F">
        <w:rPr>
          <w:rFonts w:cs="Arial"/>
          <w:i/>
          <w:iCs/>
          <w:szCs w:val="21"/>
        </w:rPr>
        <w:t>1988 as</w:t>
      </w:r>
      <w:r w:rsidRPr="00E70B3A">
        <w:rPr>
          <w:rFonts w:cs="Arial"/>
          <w:szCs w:val="21"/>
        </w:rPr>
        <w:t xml:space="preserve"> ‘public health services’ Schedule 5 </w:t>
      </w:r>
    </w:p>
    <w:p w:rsidRPr="00E70B3A" w:rsidR="0031027A" w:rsidP="00891C03" w:rsidRDefault="0031027A" w14:paraId="7B6C3C0E" w14:textId="2F3F44B4">
      <w:pPr>
        <w:pStyle w:val="DHHSbullet1"/>
        <w:numPr>
          <w:ilvl w:val="0"/>
          <w:numId w:val="16"/>
        </w:numPr>
        <w:spacing w:after="40"/>
        <w:rPr>
          <w:rFonts w:cs="Arial"/>
          <w:szCs w:val="21"/>
        </w:rPr>
      </w:pPr>
      <w:r w:rsidRPr="00E70B3A">
        <w:rPr>
          <w:rFonts w:cs="Arial"/>
          <w:szCs w:val="21"/>
        </w:rPr>
        <w:t xml:space="preserve">subregional, local and small rural health services, defined under the </w:t>
      </w:r>
      <w:r w:rsidRPr="00E70B3A" w:rsidR="001E1110">
        <w:rPr>
          <w:rFonts w:cs="Arial"/>
          <w:i/>
          <w:iCs/>
          <w:szCs w:val="21"/>
        </w:rPr>
        <w:t xml:space="preserve">Health Services Act 1988  </w:t>
      </w:r>
      <w:r w:rsidRPr="00E70B3A">
        <w:rPr>
          <w:rFonts w:cs="Arial"/>
          <w:szCs w:val="21"/>
        </w:rPr>
        <w:t xml:space="preserve"> as ‘public hospitals’ Schedule 1 </w:t>
      </w:r>
      <w:r w:rsidRPr="00E70B3A">
        <w:rPr>
          <w:rFonts w:cs="Arial"/>
          <w:i/>
          <w:iCs/>
          <w:szCs w:val="21"/>
        </w:rPr>
        <w:t>(</w:t>
      </w:r>
      <w:r w:rsidRPr="00E70B3A">
        <w:rPr>
          <w:rFonts w:cs="Arial"/>
          <w:szCs w:val="21"/>
        </w:rPr>
        <w:t xml:space="preserve">with the exception of Queen Elizabeth Centre and Tweddle Child and Family Health Service Section 40G). </w:t>
      </w:r>
    </w:p>
    <w:p w:rsidRPr="00E70B3A" w:rsidR="0031027A" w:rsidP="00891C03" w:rsidRDefault="0031027A" w14:paraId="0248E67E" w14:textId="6C5AED1F">
      <w:pPr>
        <w:pStyle w:val="DHHSbullet1"/>
        <w:numPr>
          <w:ilvl w:val="0"/>
          <w:numId w:val="16"/>
        </w:numPr>
        <w:spacing w:after="40"/>
        <w:rPr>
          <w:rFonts w:cs="Arial"/>
          <w:szCs w:val="21"/>
        </w:rPr>
      </w:pPr>
      <w:r w:rsidRPr="00E70B3A">
        <w:rPr>
          <w:rFonts w:cs="Arial"/>
          <w:szCs w:val="21"/>
        </w:rPr>
        <w:t xml:space="preserve">multi-purpose services – Schedule 1A </w:t>
      </w:r>
      <w:r w:rsidRPr="00E70B3A">
        <w:rPr>
          <w:rFonts w:cs="Arial"/>
          <w:i/>
          <w:iCs/>
          <w:szCs w:val="21"/>
        </w:rPr>
        <w:t xml:space="preserve">of the </w:t>
      </w:r>
      <w:r w:rsidRPr="00E70B3A" w:rsidR="001E1110">
        <w:rPr>
          <w:rFonts w:cs="Arial"/>
          <w:i/>
          <w:iCs/>
          <w:szCs w:val="21"/>
        </w:rPr>
        <w:t xml:space="preserve">Health Services Act 1988  </w:t>
      </w:r>
    </w:p>
    <w:p w:rsidRPr="00E70B3A" w:rsidR="00792F8F" w:rsidP="00792F8F" w:rsidRDefault="00286A56" w14:paraId="0DDFA247" w14:textId="21BA961D">
      <w:pPr>
        <w:pStyle w:val="DHHSbody"/>
        <w:rPr>
          <w:rFonts w:cs="Arial"/>
        </w:rPr>
      </w:pPr>
      <w:r w:rsidRPr="00E70B3A">
        <w:rPr>
          <w:rFonts w:cs="Arial"/>
          <w:szCs w:val="21"/>
        </w:rPr>
        <w:t>See Appendix</w:t>
      </w:r>
      <w:r w:rsidRPr="00E70B3A" w:rsidR="005B01AB">
        <w:rPr>
          <w:rFonts w:cs="Arial"/>
          <w:szCs w:val="21"/>
        </w:rPr>
        <w:t xml:space="preserve"> </w:t>
      </w:r>
      <w:r w:rsidRPr="00E70B3A" w:rsidR="00792F8F">
        <w:rPr>
          <w:rFonts w:cs="Arial"/>
          <w:szCs w:val="21"/>
        </w:rPr>
        <w:t>1</w:t>
      </w:r>
      <w:r w:rsidRPr="00E70B3A" w:rsidR="005B01AB">
        <w:rPr>
          <w:rFonts w:cs="Arial"/>
          <w:szCs w:val="21"/>
        </w:rPr>
        <w:t>a</w:t>
      </w:r>
      <w:r w:rsidRPr="00E70B3A" w:rsidR="00792F8F">
        <w:rPr>
          <w:rFonts w:cs="Arial"/>
          <w:szCs w:val="21"/>
        </w:rPr>
        <w:t xml:space="preserve"> for a </w:t>
      </w:r>
      <w:r w:rsidRPr="00E70B3A" w:rsidR="00792F8F">
        <w:rPr>
          <w:rFonts w:cs="Arial"/>
        </w:rPr>
        <w:t>detailed list of publicly funded health services</w:t>
      </w:r>
    </w:p>
    <w:p w:rsidRPr="00E70B3A" w:rsidR="0031027A" w:rsidP="0031027A" w:rsidRDefault="0031027A" w14:paraId="41BF1790" w14:textId="59BCE155">
      <w:pPr>
        <w:pStyle w:val="DHHSbodyafterbullets"/>
        <w:rPr>
          <w:rFonts w:ascii="Arial" w:hAnsi="Arial" w:cs="Arial"/>
          <w:sz w:val="21"/>
          <w:szCs w:val="21"/>
        </w:rPr>
      </w:pPr>
      <w:r w:rsidRPr="00E70B3A">
        <w:rPr>
          <w:rFonts w:ascii="Arial" w:hAnsi="Arial" w:cs="Arial"/>
          <w:sz w:val="21"/>
          <w:szCs w:val="21"/>
        </w:rPr>
        <w:t xml:space="preserve">Public health services (including Oral Health Victoria) are governed by boards of directors under s 65S of the </w:t>
      </w:r>
      <w:r w:rsidRPr="00E70B3A" w:rsidR="001E1110">
        <w:rPr>
          <w:rFonts w:cs="Arial"/>
          <w:i/>
          <w:iCs/>
          <w:szCs w:val="21"/>
        </w:rPr>
        <w:t>Health Services Act 1988</w:t>
      </w:r>
      <w:r w:rsidRPr="00E70B3A">
        <w:rPr>
          <w:rFonts w:ascii="Arial" w:hAnsi="Arial" w:cs="Arial"/>
          <w:sz w:val="21"/>
          <w:szCs w:val="21"/>
        </w:rPr>
        <w:t>, and public hospitals are governed by boards under s 33.</w:t>
      </w:r>
      <w:r w:rsidRPr="00E70B3A">
        <w:rPr>
          <w:rStyle w:val="FootnoteReference"/>
          <w:rFonts w:ascii="Arial" w:hAnsi="Arial" w:cs="Arial"/>
          <w:sz w:val="21"/>
          <w:szCs w:val="21"/>
        </w:rPr>
        <w:footnoteReference w:id="2"/>
      </w:r>
      <w:r w:rsidRPr="00E70B3A">
        <w:rPr>
          <w:rFonts w:ascii="Arial" w:hAnsi="Arial" w:cs="Arial"/>
          <w:sz w:val="21"/>
          <w:szCs w:val="21"/>
        </w:rPr>
        <w:t xml:space="preserve"> </w:t>
      </w:r>
    </w:p>
    <w:p w:rsidRPr="00E70B3A" w:rsidR="0031027A" w:rsidP="0031027A" w:rsidRDefault="0031027A" w14:paraId="5AF7B419" w14:textId="7D1FEDCF">
      <w:pPr>
        <w:pStyle w:val="DHHSbodyafterbullets"/>
        <w:rPr>
          <w:rFonts w:ascii="Arial" w:hAnsi="Arial" w:cs="Arial"/>
          <w:sz w:val="21"/>
          <w:szCs w:val="21"/>
        </w:rPr>
      </w:pPr>
      <w:r w:rsidRPr="00E70B3A">
        <w:rPr>
          <w:rFonts w:ascii="Arial" w:hAnsi="Arial" w:cs="Arial"/>
          <w:sz w:val="21"/>
          <w:szCs w:val="21"/>
        </w:rPr>
        <w:t>Multi</w:t>
      </w:r>
      <w:r w:rsidRPr="00E70B3A">
        <w:rPr>
          <w:rFonts w:ascii="Cambria Math" w:hAnsi="Cambria Math" w:cs="Cambria Math"/>
          <w:sz w:val="21"/>
          <w:szCs w:val="21"/>
        </w:rPr>
        <w:t>‑</w:t>
      </w:r>
      <w:r w:rsidRPr="00E70B3A">
        <w:rPr>
          <w:rFonts w:ascii="Arial" w:hAnsi="Arial" w:cs="Arial"/>
          <w:sz w:val="21"/>
          <w:szCs w:val="21"/>
        </w:rPr>
        <w:t xml:space="preserve">purpose services are established under Part 4A of the </w:t>
      </w:r>
      <w:r w:rsidRPr="00E70B3A" w:rsidR="001E1110">
        <w:rPr>
          <w:rFonts w:cs="Arial"/>
          <w:i/>
          <w:iCs/>
          <w:szCs w:val="21"/>
        </w:rPr>
        <w:t xml:space="preserve">Health Services Act </w:t>
      </w:r>
      <w:r w:rsidRPr="00E70B3A" w:rsidR="00A1051F">
        <w:rPr>
          <w:rFonts w:cs="Arial"/>
          <w:i/>
          <w:iCs/>
          <w:szCs w:val="21"/>
        </w:rPr>
        <w:t xml:space="preserve">1988 </w:t>
      </w:r>
      <w:r w:rsidRPr="00E70B3A" w:rsidR="00A1051F">
        <w:rPr>
          <w:rFonts w:ascii="Arial" w:hAnsi="Arial" w:cs="Arial"/>
          <w:sz w:val="21"/>
          <w:szCs w:val="21"/>
        </w:rPr>
        <w:t>and</w:t>
      </w:r>
      <w:r w:rsidRPr="00E70B3A">
        <w:rPr>
          <w:rFonts w:ascii="Arial" w:hAnsi="Arial" w:cs="Arial"/>
          <w:sz w:val="21"/>
          <w:szCs w:val="21"/>
        </w:rPr>
        <w:t xml:space="preserve"> governed by boards under s 115E. They are subject to similar governance and performance expectations but not required to sign a Statement of Priorities in the same way as public hospitals.</w:t>
      </w:r>
    </w:p>
    <w:p w:rsidRPr="00E70B3A" w:rsidR="0031027A" w:rsidP="0031027A" w:rsidRDefault="0031027A" w14:paraId="6BC50A2E" w14:textId="69D435FF">
      <w:pPr>
        <w:pStyle w:val="DHHSbody"/>
        <w:rPr>
          <w:rFonts w:cs="Arial"/>
          <w:szCs w:val="21"/>
        </w:rPr>
      </w:pPr>
      <w:r w:rsidRPr="00E70B3A">
        <w:rPr>
          <w:rFonts w:cs="Arial"/>
          <w:szCs w:val="21"/>
        </w:rPr>
        <w:t xml:space="preserve">Three denominational hospitals listed in Schedule 2 of the </w:t>
      </w:r>
      <w:r w:rsidRPr="00E70B3A" w:rsidR="001E1110">
        <w:rPr>
          <w:rFonts w:cs="Arial"/>
          <w:i/>
          <w:iCs/>
          <w:szCs w:val="21"/>
        </w:rPr>
        <w:t xml:space="preserve">Health Services Act </w:t>
      </w:r>
      <w:r w:rsidRPr="00E70B3A" w:rsidR="00A1051F">
        <w:rPr>
          <w:rFonts w:cs="Arial"/>
          <w:i/>
          <w:iCs/>
          <w:szCs w:val="21"/>
        </w:rPr>
        <w:t xml:space="preserve">1988 </w:t>
      </w:r>
      <w:r w:rsidRPr="00E70B3A" w:rsidR="00A1051F">
        <w:rPr>
          <w:rFonts w:cs="Arial"/>
          <w:szCs w:val="21"/>
        </w:rPr>
        <w:t>—</w:t>
      </w:r>
      <w:r w:rsidRPr="00E70B3A">
        <w:rPr>
          <w:rFonts w:cs="Arial"/>
          <w:szCs w:val="21"/>
        </w:rPr>
        <w:t xml:space="preserve"> Calvary Health Care Bethlehem Limited, Mercy Hospitals Victoria Limited, and St Vincent’s Hospital (Melbourne) Limited — are subject to similar performance and oversight provisions as public hospitals, as set out in Part 3 and Part 3A of the </w:t>
      </w:r>
      <w:r w:rsidRPr="00E70B3A" w:rsidR="001E1110">
        <w:rPr>
          <w:rFonts w:cs="Arial"/>
          <w:i/>
          <w:iCs/>
          <w:szCs w:val="21"/>
        </w:rPr>
        <w:t>Health Services Act 1988</w:t>
      </w:r>
      <w:r w:rsidRPr="00E70B3A">
        <w:rPr>
          <w:rFonts w:cs="Arial"/>
          <w:szCs w:val="21"/>
        </w:rPr>
        <w:t xml:space="preserve">. </w:t>
      </w:r>
    </w:p>
    <w:p w:rsidRPr="00E70B3A" w:rsidR="0031027A" w:rsidP="0031027A" w:rsidRDefault="0031027A" w14:paraId="01248485" w14:textId="77777777">
      <w:pPr>
        <w:pStyle w:val="DHHSbody"/>
        <w:rPr>
          <w:rFonts w:cs="Arial"/>
          <w:szCs w:val="21"/>
        </w:rPr>
      </w:pPr>
      <w:r w:rsidRPr="00E70B3A">
        <w:rPr>
          <w:rFonts w:cs="Arial"/>
          <w:szCs w:val="21"/>
        </w:rPr>
        <w:t xml:space="preserve">Ambulance Victoria is established under section 23 of the </w:t>
      </w:r>
      <w:r w:rsidRPr="00E70B3A">
        <w:rPr>
          <w:rFonts w:cs="Arial"/>
          <w:i/>
          <w:szCs w:val="21"/>
        </w:rPr>
        <w:t>Ambulance Services Act</w:t>
      </w:r>
      <w:r w:rsidRPr="00E70B3A">
        <w:rPr>
          <w:rFonts w:cs="Arial"/>
          <w:i/>
          <w:iCs/>
          <w:szCs w:val="21"/>
        </w:rPr>
        <w:t xml:space="preserve"> 1986</w:t>
      </w:r>
      <w:r w:rsidRPr="00E70B3A">
        <w:rPr>
          <w:rFonts w:cs="Arial"/>
          <w:szCs w:val="21"/>
        </w:rPr>
        <w:t xml:space="preserve"> (ASA) and is governed by a board of directors as set out under section 17 of the ASA.</w:t>
      </w:r>
    </w:p>
    <w:p w:rsidRPr="00E70B3A" w:rsidR="00DA7AB5" w:rsidP="0031027A" w:rsidRDefault="009A0949" w14:paraId="75BB114D" w14:textId="103055E8">
      <w:pPr>
        <w:pStyle w:val="DHHSbody"/>
        <w:rPr>
          <w:rFonts w:cs="Arial"/>
          <w:szCs w:val="21"/>
        </w:rPr>
      </w:pPr>
      <w:r w:rsidRPr="00E70B3A">
        <w:rPr>
          <w:rFonts w:cs="Arial"/>
        </w:rPr>
        <w:t>Forensicare, as Victoria’s specialist forensic mental health service, operates within the legislative framework of the Mental Health and Wellbeing Act 2022</w:t>
      </w:r>
      <w:r w:rsidRPr="00E70B3A" w:rsidR="003559E2">
        <w:rPr>
          <w:rFonts w:cs="Arial"/>
        </w:rPr>
        <w:t xml:space="preserve"> </w:t>
      </w:r>
      <w:r w:rsidRPr="00E70B3A" w:rsidR="003559E2">
        <w:rPr>
          <w:rFonts w:cs="Arial"/>
          <w:szCs w:val="21"/>
        </w:rPr>
        <w:t>under section 610</w:t>
      </w:r>
      <w:r w:rsidRPr="00E70B3A" w:rsidR="003559E2">
        <w:rPr>
          <w:rFonts w:cs="Arial"/>
        </w:rPr>
        <w:t xml:space="preserve"> from 1 September 2023, replacing the Mental Health Act 2014 and establishing a new legislative framework for the delivery, regulation and oversight of mental health and wellbeing services in Victoria</w:t>
      </w:r>
      <w:r w:rsidRPr="00E70B3A" w:rsidR="0031027A">
        <w:rPr>
          <w:rFonts w:cs="Arial"/>
          <w:szCs w:val="21"/>
        </w:rPr>
        <w:t>. Forensicare is governed by a board of directors pursuant to provisions in the MHWA (Part 14.2).</w:t>
      </w:r>
    </w:p>
    <w:p w:rsidRPr="00E70B3A" w:rsidR="0031027A" w:rsidP="0031027A" w:rsidRDefault="0031027A" w14:paraId="24E8DFF9" w14:textId="77777777">
      <w:pPr>
        <w:rPr>
          <w:rFonts w:cs="Arial"/>
          <w:szCs w:val="21"/>
        </w:rPr>
      </w:pPr>
      <w:r w:rsidRPr="00E70B3A">
        <w:rPr>
          <w:rFonts w:cs="Arial"/>
          <w:szCs w:val="21"/>
        </w:rPr>
        <w:t xml:space="preserve">Parkville Youth Mental Health and Wellbeing Service is established under section 673 of the </w:t>
      </w:r>
      <w:r w:rsidRPr="00E70B3A">
        <w:rPr>
          <w:rFonts w:cs="Arial"/>
          <w:i/>
          <w:iCs/>
          <w:szCs w:val="21"/>
        </w:rPr>
        <w:t>Mental Health and Wellbeing Act 2022</w:t>
      </w:r>
      <w:r w:rsidRPr="00E70B3A">
        <w:rPr>
          <w:rFonts w:cs="Arial"/>
          <w:szCs w:val="21"/>
        </w:rPr>
        <w:t xml:space="preserve"> (MHWA) and governed by a board pursuant to provisions in the MHWA Part 16.1, Division 2).</w:t>
      </w:r>
      <w:bookmarkStart w:name="Figure1Description" w:id="42"/>
    </w:p>
    <w:bookmarkEnd w:id="42"/>
    <w:p w:rsidR="0031027A" w:rsidP="0031027A" w:rsidRDefault="0031027A" w14:paraId="14E51D1D" w14:textId="57599919">
      <w:pPr>
        <w:rPr>
          <w:rFonts w:cs="Arial"/>
          <w:szCs w:val="21"/>
        </w:rPr>
      </w:pPr>
      <w:r w:rsidRPr="00E70B3A">
        <w:rPr>
          <w:rFonts w:cs="Arial"/>
          <w:szCs w:val="21"/>
        </w:rPr>
        <w:t xml:space="preserve">The </w:t>
      </w:r>
      <w:r w:rsidRPr="00E70B3A" w:rsidR="00596D17">
        <w:rPr>
          <w:rFonts w:cs="Arial"/>
          <w:szCs w:val="21"/>
        </w:rPr>
        <w:t>Framework</w:t>
      </w:r>
      <w:r w:rsidRPr="00E70B3A">
        <w:rPr>
          <w:rFonts w:cs="Arial"/>
          <w:szCs w:val="21"/>
        </w:rPr>
        <w:t xml:space="preserve"> is designed to assess and manage the performance of health services with direct clinical service delivery responsibilities. HealthShare Victoria, as a system</w:t>
      </w:r>
      <w:r w:rsidRPr="00E70B3A">
        <w:rPr>
          <w:rFonts w:ascii="Cambria Math" w:hAnsi="Cambria Math" w:cs="Cambria Math"/>
          <w:szCs w:val="21"/>
        </w:rPr>
        <w:t>‑</w:t>
      </w:r>
      <w:r w:rsidRPr="00E70B3A">
        <w:rPr>
          <w:rFonts w:cs="Arial"/>
          <w:szCs w:val="21"/>
        </w:rPr>
        <w:t xml:space="preserve">level statutory authority with purchasing and shared services functions, falls outside the scope of the </w:t>
      </w:r>
      <w:r w:rsidRPr="00E70B3A" w:rsidR="00596D17">
        <w:rPr>
          <w:rFonts w:cs="Arial"/>
          <w:szCs w:val="21"/>
        </w:rPr>
        <w:t>Framework</w:t>
      </w:r>
      <w:r w:rsidRPr="00E70B3A">
        <w:rPr>
          <w:rFonts w:cs="Arial"/>
          <w:szCs w:val="21"/>
        </w:rPr>
        <w:t xml:space="preserve"> and its associated performance tiering and escalation mechanisms.</w:t>
      </w:r>
    </w:p>
    <w:p w:rsidR="00ED1AC0" w:rsidP="00ED1AC0" w:rsidRDefault="00ED1AC0" w14:paraId="22B3E141" w14:textId="36B90180">
      <w:pPr>
        <w:pStyle w:val="Heading2"/>
        <w:rPr>
          <w:rFonts w:cs="Arial"/>
          <w:szCs w:val="21"/>
        </w:rPr>
      </w:pPr>
      <w:bookmarkStart w:name="_Toc235628557" w:id="43"/>
      <w:r w:rsidRPr="00E70B3A">
        <w:t>Appendix 1a: Detailed List of publicly funded health service</w:t>
      </w:r>
      <w:bookmarkEnd w:id="43"/>
    </w:p>
    <w:tbl>
      <w:tblPr>
        <w:tblStyle w:val="TableGrid"/>
        <w:tblW w:w="0" w:type="auto"/>
        <w:tblLook w:val="04A0" w:firstRow="1" w:lastRow="0" w:firstColumn="1" w:lastColumn="0" w:noHBand="0" w:noVBand="1"/>
      </w:tblPr>
      <w:tblGrid>
        <w:gridCol w:w="3256"/>
        <w:gridCol w:w="5760"/>
      </w:tblGrid>
      <w:tr w:rsidRPr="00786BEC" w:rsidR="00ED1AC0" w:rsidTr="006F76D3" w14:paraId="37904B7C" w14:textId="77777777">
        <w:tc>
          <w:tcPr>
            <w:tcW w:w="3256" w:type="dxa"/>
            <w:shd w:val="clear" w:color="auto" w:fill="265898" w:themeFill="text2" w:themeFillTint="E6"/>
          </w:tcPr>
          <w:p w:rsidR="00ED1AC0" w:rsidP="00960D14" w:rsidRDefault="00ED1AC0" w14:paraId="4450A4BC" w14:textId="77777777">
            <w:pPr>
              <w:pStyle w:val="DHHSbody"/>
              <w:rPr>
                <w:b/>
                <w:bCs/>
                <w:color w:val="FFFFFF" w:themeColor="background1"/>
              </w:rPr>
            </w:pPr>
            <w:r w:rsidRPr="00960D14">
              <w:rPr>
                <w:b/>
                <w:bCs/>
                <w:color w:val="FFFFFF" w:themeColor="background1"/>
              </w:rPr>
              <w:t xml:space="preserve">Public Health Services </w:t>
            </w:r>
          </w:p>
          <w:p w:rsidRPr="00960D14" w:rsidR="00960D14" w:rsidP="00960D14" w:rsidRDefault="00960D14" w14:paraId="5F6945BE" w14:textId="0FB55422">
            <w:pPr>
              <w:pStyle w:val="DHHSbody"/>
              <w:rPr>
                <w:b/>
                <w:bCs/>
                <w:color w:val="FFFFFF" w:themeColor="background1"/>
              </w:rPr>
            </w:pPr>
          </w:p>
        </w:tc>
        <w:tc>
          <w:tcPr>
            <w:tcW w:w="5760" w:type="dxa"/>
            <w:shd w:val="clear" w:color="auto" w:fill="265898" w:themeFill="text2" w:themeFillTint="E6"/>
          </w:tcPr>
          <w:p w:rsidRPr="00960D14" w:rsidR="00ED1AC0" w:rsidP="00960D14" w:rsidRDefault="00960D14" w14:paraId="64A5613D" w14:textId="4B27F3DE">
            <w:pPr>
              <w:pStyle w:val="DHHSbody"/>
              <w:rPr>
                <w:b/>
                <w:bCs/>
                <w:color w:val="FFFFFF" w:themeColor="background1"/>
              </w:rPr>
            </w:pPr>
            <w:r>
              <w:rPr>
                <w:b/>
                <w:bCs/>
                <w:color w:val="FFFFFF" w:themeColor="background1"/>
              </w:rPr>
              <w:t xml:space="preserve">Health Service </w:t>
            </w:r>
          </w:p>
        </w:tc>
      </w:tr>
      <w:tr w:rsidRPr="00786BEC" w:rsidR="00ED1AC0" w:rsidTr="006F76D3" w14:paraId="6D1D3C0A" w14:textId="77777777">
        <w:tc>
          <w:tcPr>
            <w:tcW w:w="3256" w:type="dxa"/>
          </w:tcPr>
          <w:p w:rsidRPr="00786BEC" w:rsidR="00ED1AC0" w:rsidP="00ED1AC0" w:rsidRDefault="00ED1AC0" w14:paraId="35ACA439" w14:textId="791D4F81">
            <w:pPr>
              <w:pStyle w:val="DHHSbody"/>
            </w:pPr>
            <w:r w:rsidRPr="00786BEC">
              <w:rPr>
                <w:lang w:val="en-US"/>
              </w:rPr>
              <w:t xml:space="preserve">Metropolitan (11) </w:t>
            </w:r>
            <w:r w:rsidRPr="001E1110" w:rsidR="001E1110">
              <w:rPr>
                <w:b/>
                <w:bCs/>
                <w:color w:val="auto"/>
              </w:rPr>
              <w:t xml:space="preserve">Health Services Act </w:t>
            </w:r>
            <w:r w:rsidRPr="001E1110" w:rsidR="00A1051F">
              <w:rPr>
                <w:b/>
                <w:bCs/>
                <w:color w:val="auto"/>
              </w:rPr>
              <w:t>1988 Schedule</w:t>
            </w:r>
            <w:r w:rsidRPr="00D870A1" w:rsidR="00D870A1">
              <w:rPr>
                <w:b/>
                <w:bCs/>
                <w:color w:val="auto"/>
              </w:rPr>
              <w:t xml:space="preserve"> 5</w:t>
            </w:r>
          </w:p>
          <w:p w:rsidRPr="00786BEC" w:rsidR="00ED1AC0" w:rsidP="00ED1AC0" w:rsidRDefault="00ED1AC0" w14:paraId="3B24DFD2" w14:textId="77777777">
            <w:pPr>
              <w:pStyle w:val="DHHSbody"/>
            </w:pPr>
          </w:p>
        </w:tc>
        <w:tc>
          <w:tcPr>
            <w:tcW w:w="5760" w:type="dxa"/>
          </w:tcPr>
          <w:p w:rsidRPr="00786BEC" w:rsidR="00ED1AC0" w:rsidP="00ED1AC0" w:rsidRDefault="00ED1AC0" w14:paraId="10AB4F36" w14:textId="77777777">
            <w:pPr>
              <w:pStyle w:val="DHHSbody"/>
            </w:pPr>
            <w:r w:rsidRPr="00786BEC">
              <w:rPr>
                <w:lang w:val="en-US"/>
              </w:rPr>
              <w:t>Austin Health</w:t>
            </w:r>
          </w:p>
          <w:p w:rsidRPr="00786BEC" w:rsidR="00ED1AC0" w:rsidP="00ED1AC0" w:rsidRDefault="00ED1AC0" w14:paraId="170A8EE1" w14:textId="77777777">
            <w:pPr>
              <w:pStyle w:val="DHHSbody"/>
            </w:pPr>
            <w:r w:rsidRPr="00786BEC">
              <w:rPr>
                <w:lang w:val="en-US"/>
              </w:rPr>
              <w:t>Bayside Health</w:t>
            </w:r>
          </w:p>
          <w:p w:rsidRPr="00786BEC" w:rsidR="00ED1AC0" w:rsidP="00ED1AC0" w:rsidRDefault="00ED1AC0" w14:paraId="0B18136D" w14:textId="77777777">
            <w:pPr>
              <w:pStyle w:val="DHHSbody"/>
            </w:pPr>
            <w:r w:rsidRPr="00786BEC">
              <w:rPr>
                <w:lang w:val="en-US"/>
              </w:rPr>
              <w:t>Eastern Health</w:t>
            </w:r>
          </w:p>
          <w:p w:rsidRPr="00786BEC" w:rsidR="00ED1AC0" w:rsidP="00ED1AC0" w:rsidRDefault="00ED1AC0" w14:paraId="35ADED3A" w14:textId="77777777">
            <w:pPr>
              <w:pStyle w:val="DHHSbody"/>
            </w:pPr>
            <w:r w:rsidRPr="00786BEC">
              <w:rPr>
                <w:lang w:val="en-US"/>
              </w:rPr>
              <w:t>Melbourne Health</w:t>
            </w:r>
          </w:p>
          <w:p w:rsidRPr="00786BEC" w:rsidR="00ED1AC0" w:rsidP="00ED1AC0" w:rsidRDefault="00ED1AC0" w14:paraId="6C729F7C" w14:textId="77777777">
            <w:pPr>
              <w:pStyle w:val="DHHSbody"/>
            </w:pPr>
            <w:r w:rsidRPr="00786BEC">
              <w:rPr>
                <w:lang w:val="en-US"/>
              </w:rPr>
              <w:t>Monash Health</w:t>
            </w:r>
          </w:p>
          <w:p w:rsidRPr="00786BEC" w:rsidR="00ED1AC0" w:rsidP="00ED1AC0" w:rsidRDefault="00ED1AC0" w14:paraId="045D5AF3" w14:textId="77777777">
            <w:pPr>
              <w:pStyle w:val="DHHSbody"/>
            </w:pPr>
            <w:r w:rsidRPr="00786BEC">
              <w:rPr>
                <w:lang w:val="en-US"/>
              </w:rPr>
              <w:t>Northern Health</w:t>
            </w:r>
          </w:p>
          <w:p w:rsidRPr="00786BEC" w:rsidR="00ED1AC0" w:rsidP="00ED1AC0" w:rsidRDefault="00ED1AC0" w14:paraId="0C76DC58" w14:textId="77777777">
            <w:pPr>
              <w:pStyle w:val="DHHSbody"/>
            </w:pPr>
            <w:r w:rsidRPr="00786BEC">
              <w:rPr>
                <w:lang w:val="en-US"/>
              </w:rPr>
              <w:t>Peter MacCallum Cancer Institute</w:t>
            </w:r>
          </w:p>
          <w:p w:rsidRPr="00786BEC" w:rsidR="00ED1AC0" w:rsidP="00ED1AC0" w:rsidRDefault="00ED1AC0" w14:paraId="46EFDB0F" w14:textId="77777777">
            <w:pPr>
              <w:pStyle w:val="DHHSbody"/>
            </w:pPr>
            <w:r w:rsidRPr="00786BEC">
              <w:rPr>
                <w:lang w:val="en-US"/>
              </w:rPr>
              <w:t>The Royal Children's Hospital</w:t>
            </w:r>
          </w:p>
          <w:p w:rsidRPr="00786BEC" w:rsidR="00ED1AC0" w:rsidP="00ED1AC0" w:rsidRDefault="00ED1AC0" w14:paraId="7AB3A60A" w14:textId="77777777">
            <w:pPr>
              <w:pStyle w:val="DHHSbody"/>
            </w:pPr>
            <w:r w:rsidRPr="00786BEC">
              <w:rPr>
                <w:lang w:val="en-US"/>
              </w:rPr>
              <w:t>The Royal Victorian Eye and Ear Hospital</w:t>
            </w:r>
          </w:p>
          <w:p w:rsidRPr="00786BEC" w:rsidR="00ED1AC0" w:rsidP="00ED1AC0" w:rsidRDefault="00ED1AC0" w14:paraId="58F5B46F" w14:textId="77777777">
            <w:pPr>
              <w:pStyle w:val="DHHSbody"/>
            </w:pPr>
            <w:r w:rsidRPr="00786BEC">
              <w:rPr>
                <w:lang w:val="en-US"/>
              </w:rPr>
              <w:t>The Royal Women's Hospital</w:t>
            </w:r>
          </w:p>
          <w:p w:rsidRPr="00786BEC" w:rsidR="00ED1AC0" w:rsidP="00ED1AC0" w:rsidRDefault="00ED1AC0" w14:paraId="6135EEF6" w14:textId="4D6CCA1C">
            <w:pPr>
              <w:pStyle w:val="DHHSbody"/>
            </w:pPr>
            <w:r w:rsidRPr="00786BEC">
              <w:rPr>
                <w:lang w:val="en-US"/>
              </w:rPr>
              <w:t>Western Health</w:t>
            </w:r>
          </w:p>
        </w:tc>
      </w:tr>
      <w:tr w:rsidRPr="00786BEC" w:rsidR="00ED1AC0" w:rsidTr="006F76D3" w14:paraId="4D4895C1" w14:textId="77777777">
        <w:tc>
          <w:tcPr>
            <w:tcW w:w="3256" w:type="dxa"/>
          </w:tcPr>
          <w:p w:rsidRPr="00786BEC" w:rsidR="00ED1AC0" w:rsidP="00ED1AC0" w:rsidRDefault="00ED1AC0" w14:paraId="15954252" w14:textId="279DFF16">
            <w:pPr>
              <w:pStyle w:val="DHHSbody"/>
            </w:pPr>
            <w:r w:rsidRPr="00786BEC">
              <w:rPr>
                <w:lang w:val="en-US"/>
              </w:rPr>
              <w:t xml:space="preserve">Regional (6) </w:t>
            </w:r>
            <w:r w:rsidRPr="001E1110" w:rsidR="001E1110">
              <w:rPr>
                <w:b/>
                <w:bCs/>
                <w:color w:val="auto"/>
              </w:rPr>
              <w:t xml:space="preserve">Health Services Act 1988  </w:t>
            </w:r>
            <w:r w:rsidRPr="00D870A1" w:rsidR="00D870A1">
              <w:rPr>
                <w:b/>
                <w:bCs/>
                <w:color w:val="auto"/>
              </w:rPr>
              <w:t xml:space="preserve"> Schedule 5</w:t>
            </w:r>
          </w:p>
          <w:p w:rsidRPr="00786BEC" w:rsidR="00ED1AC0" w:rsidP="00ED1AC0" w:rsidRDefault="00ED1AC0" w14:paraId="1A1E12D7" w14:textId="77777777">
            <w:pPr>
              <w:pStyle w:val="DHHSbody"/>
              <w:rPr>
                <w:lang w:val="en-US"/>
              </w:rPr>
            </w:pPr>
          </w:p>
        </w:tc>
        <w:tc>
          <w:tcPr>
            <w:tcW w:w="5760" w:type="dxa"/>
          </w:tcPr>
          <w:p w:rsidRPr="00786BEC" w:rsidR="00ED1AC0" w:rsidP="00ED1AC0" w:rsidRDefault="00ED1AC0" w14:paraId="0EC58DC9" w14:textId="77777777">
            <w:pPr>
              <w:pStyle w:val="DHHSbody"/>
            </w:pPr>
            <w:r w:rsidRPr="00786BEC">
              <w:rPr>
                <w:lang w:val="en-US"/>
              </w:rPr>
              <w:t>Albury Wodonga Health</w:t>
            </w:r>
          </w:p>
          <w:p w:rsidRPr="00786BEC" w:rsidR="00ED1AC0" w:rsidP="00ED1AC0" w:rsidRDefault="00ED1AC0" w14:paraId="4BDD1D07" w14:textId="77777777">
            <w:pPr>
              <w:pStyle w:val="DHHSbody"/>
            </w:pPr>
            <w:r w:rsidRPr="00786BEC">
              <w:rPr>
                <w:lang w:val="en-US"/>
              </w:rPr>
              <w:t>Barwon Health</w:t>
            </w:r>
          </w:p>
          <w:p w:rsidRPr="00786BEC" w:rsidR="00ED1AC0" w:rsidP="00ED1AC0" w:rsidRDefault="00ED1AC0" w14:paraId="7CAF7A8B" w14:textId="77777777">
            <w:pPr>
              <w:pStyle w:val="DHHSbody"/>
            </w:pPr>
            <w:r w:rsidRPr="00786BEC">
              <w:rPr>
                <w:lang w:val="en-US"/>
              </w:rPr>
              <w:t>Bendigo Health</w:t>
            </w:r>
          </w:p>
          <w:p w:rsidRPr="00786BEC" w:rsidR="00ED1AC0" w:rsidP="00ED1AC0" w:rsidRDefault="00ED1AC0" w14:paraId="72FD2100" w14:textId="77777777">
            <w:pPr>
              <w:pStyle w:val="DHHSbody"/>
            </w:pPr>
            <w:r w:rsidRPr="00786BEC">
              <w:rPr>
                <w:lang w:val="en-US"/>
              </w:rPr>
              <w:t>Goulburn Valley Health</w:t>
            </w:r>
          </w:p>
          <w:p w:rsidRPr="00786BEC" w:rsidR="00ED1AC0" w:rsidP="00ED1AC0" w:rsidRDefault="00ED1AC0" w14:paraId="73E7FC9A" w14:textId="77777777">
            <w:pPr>
              <w:pStyle w:val="DHHSbody"/>
            </w:pPr>
            <w:r w:rsidRPr="00786BEC">
              <w:rPr>
                <w:lang w:val="en-US"/>
              </w:rPr>
              <w:t>Grampians Health</w:t>
            </w:r>
          </w:p>
          <w:p w:rsidRPr="00ED1AC0" w:rsidR="00ED1AC0" w:rsidP="00ED1AC0" w:rsidRDefault="00ED1AC0" w14:paraId="18854F86" w14:textId="559C3483">
            <w:pPr>
              <w:pStyle w:val="DHHSbody"/>
            </w:pPr>
            <w:r w:rsidRPr="00786BEC">
              <w:rPr>
                <w:lang w:val="en-US"/>
              </w:rPr>
              <w:t>Latrobe Regional Health</w:t>
            </w:r>
          </w:p>
        </w:tc>
      </w:tr>
      <w:tr w:rsidRPr="00786BEC" w:rsidR="00ED1AC0" w:rsidTr="006F76D3" w14:paraId="7E2D3F2B" w14:textId="77777777">
        <w:tc>
          <w:tcPr>
            <w:tcW w:w="3256" w:type="dxa"/>
          </w:tcPr>
          <w:p w:rsidRPr="003D7FE1" w:rsidR="00ED1AC0" w:rsidP="003D7FE1" w:rsidRDefault="00ED1AC0" w14:paraId="74A5F14A" w14:textId="79EBC8F0">
            <w:pPr>
              <w:pStyle w:val="DHHSbody"/>
              <w:rPr>
                <w:b/>
                <w:bCs/>
              </w:rPr>
            </w:pPr>
            <w:r w:rsidRPr="003D7FE1">
              <w:t xml:space="preserve">Denominational (3) </w:t>
            </w:r>
            <w:r w:rsidRPr="001E1110" w:rsidR="001E1110">
              <w:rPr>
                <w:b/>
                <w:bCs/>
              </w:rPr>
              <w:t xml:space="preserve">Health Services Act 1988  </w:t>
            </w:r>
            <w:r w:rsidRPr="003D7FE1" w:rsidR="003D7FE1">
              <w:rPr>
                <w:b/>
                <w:bCs/>
              </w:rPr>
              <w:t xml:space="preserve"> Schedule 3</w:t>
            </w:r>
          </w:p>
          <w:p w:rsidRPr="00786BEC" w:rsidR="00ED1AC0" w:rsidP="00ED1AC0" w:rsidRDefault="00ED1AC0" w14:paraId="1D269E78" w14:textId="77777777">
            <w:pPr>
              <w:pStyle w:val="DHHSbody"/>
              <w:rPr>
                <w:lang w:val="en-US"/>
              </w:rPr>
            </w:pPr>
          </w:p>
        </w:tc>
        <w:tc>
          <w:tcPr>
            <w:tcW w:w="5760" w:type="dxa"/>
          </w:tcPr>
          <w:p w:rsidRPr="00786BEC" w:rsidR="00ED1AC0" w:rsidP="00ED1AC0" w:rsidRDefault="00ED1AC0" w14:paraId="6D9A1B5C" w14:textId="77777777">
            <w:pPr>
              <w:pStyle w:val="DHHSbody"/>
            </w:pPr>
            <w:r w:rsidRPr="00786BEC">
              <w:rPr>
                <w:lang w:val="en-US"/>
              </w:rPr>
              <w:t>Calvary Health Care Bethlehem Limited</w:t>
            </w:r>
          </w:p>
          <w:p w:rsidRPr="00786BEC" w:rsidR="00ED1AC0" w:rsidP="00ED1AC0" w:rsidRDefault="00ED1AC0" w14:paraId="4C189A59" w14:textId="77777777">
            <w:pPr>
              <w:pStyle w:val="DHHSbody"/>
            </w:pPr>
            <w:r w:rsidRPr="00786BEC">
              <w:rPr>
                <w:lang w:val="en-US"/>
              </w:rPr>
              <w:t>St Vincent's Hospital (Melbourne) Limited</w:t>
            </w:r>
          </w:p>
          <w:p w:rsidRPr="00ED1AC0" w:rsidR="00ED1AC0" w:rsidP="00ED1AC0" w:rsidRDefault="00ED1AC0" w14:paraId="258BC5BA" w14:textId="6154E499">
            <w:pPr>
              <w:pStyle w:val="DHHSbody"/>
            </w:pPr>
            <w:r w:rsidRPr="00786BEC">
              <w:rPr>
                <w:lang w:val="en-US"/>
              </w:rPr>
              <w:t>Mercy Hospitals Victoria Limited</w:t>
            </w:r>
          </w:p>
        </w:tc>
      </w:tr>
      <w:tr w:rsidRPr="00786BEC" w:rsidR="00ED1AC0" w:rsidTr="006F76D3" w14:paraId="39A628C4" w14:textId="77777777">
        <w:tc>
          <w:tcPr>
            <w:tcW w:w="3256" w:type="dxa"/>
          </w:tcPr>
          <w:p w:rsidRPr="00786BEC" w:rsidR="00ED1AC0" w:rsidP="00ED1AC0" w:rsidRDefault="00ED1AC0" w14:paraId="28DD4338" w14:textId="5868EA21">
            <w:pPr>
              <w:pStyle w:val="DHHSbody"/>
              <w:rPr>
                <w:lang w:val="en-US"/>
              </w:rPr>
            </w:pPr>
            <w:r w:rsidRPr="00786BEC">
              <w:rPr>
                <w:lang w:val="en-US"/>
              </w:rPr>
              <w:t>Statewide</w:t>
            </w:r>
            <w:r w:rsidR="001D7601">
              <w:rPr>
                <w:lang w:val="en-US"/>
              </w:rPr>
              <w:t>/Other</w:t>
            </w:r>
            <w:r w:rsidRPr="00786BEC">
              <w:rPr>
                <w:lang w:val="en-US"/>
              </w:rPr>
              <w:t xml:space="preserve"> Entities (5) </w:t>
            </w:r>
          </w:p>
        </w:tc>
        <w:tc>
          <w:tcPr>
            <w:tcW w:w="5760" w:type="dxa"/>
          </w:tcPr>
          <w:p w:rsidRPr="00786BEC" w:rsidR="00ED1AC0" w:rsidP="00ED1AC0" w:rsidRDefault="00ED1AC0" w14:paraId="4B6872B7" w14:textId="77777777">
            <w:pPr>
              <w:pStyle w:val="DHHSbody"/>
              <w:rPr>
                <w:lang w:val="en-US"/>
              </w:rPr>
            </w:pPr>
            <w:r w:rsidRPr="00786BEC">
              <w:rPr>
                <w:lang w:val="en-US"/>
              </w:rPr>
              <w:t>Ambulance Victoria</w:t>
            </w:r>
          </w:p>
          <w:p w:rsidRPr="00786BEC" w:rsidR="00ED1AC0" w:rsidP="00ED1AC0" w:rsidRDefault="00ED1AC0" w14:paraId="0105B93D" w14:textId="3FB3596C">
            <w:pPr>
              <w:pStyle w:val="DHHSbody"/>
              <w:rPr>
                <w:lang w:val="en-US"/>
              </w:rPr>
            </w:pPr>
            <w:r w:rsidRPr="00786BEC">
              <w:rPr>
                <w:lang w:val="en-US"/>
              </w:rPr>
              <w:t>Parkville Youth Mental Health &amp; Wellbeing Service</w:t>
            </w:r>
          </w:p>
          <w:p w:rsidRPr="00786BEC" w:rsidR="00ED1AC0" w:rsidP="00ED1AC0" w:rsidRDefault="00ED1AC0" w14:paraId="53A01C12" w14:textId="77777777">
            <w:pPr>
              <w:pStyle w:val="DHHSbody"/>
              <w:rPr>
                <w:lang w:val="en-US"/>
              </w:rPr>
            </w:pPr>
            <w:r w:rsidRPr="00786BEC">
              <w:rPr>
                <w:lang w:val="en-US"/>
              </w:rPr>
              <w:t>Oral Health Victoria</w:t>
            </w:r>
          </w:p>
          <w:p w:rsidRPr="00786BEC" w:rsidR="00ED1AC0" w:rsidP="00ED1AC0" w:rsidRDefault="00ED1AC0" w14:paraId="4061C03F" w14:textId="77777777">
            <w:pPr>
              <w:pStyle w:val="DHHSbody"/>
              <w:rPr>
                <w:lang w:val="en-US"/>
              </w:rPr>
            </w:pPr>
            <w:r w:rsidRPr="00786BEC">
              <w:rPr>
                <w:lang w:val="en-US"/>
              </w:rPr>
              <w:t xml:space="preserve">Forensicare </w:t>
            </w:r>
          </w:p>
          <w:p w:rsidRPr="00786BEC" w:rsidR="00ED1AC0" w:rsidP="00ED1AC0" w:rsidRDefault="00ED1AC0" w14:paraId="011910CD" w14:textId="4D48C6C1">
            <w:pPr>
              <w:pStyle w:val="DHHSbody"/>
              <w:rPr>
                <w:lang w:val="en-US"/>
              </w:rPr>
            </w:pPr>
            <w:r w:rsidRPr="00786BEC">
              <w:rPr>
                <w:lang w:val="en-US"/>
              </w:rPr>
              <w:t>HealthShare Victoria</w:t>
            </w:r>
            <w:r w:rsidR="00497004">
              <w:rPr>
                <w:lang w:val="en-US"/>
              </w:rPr>
              <w:t>*</w:t>
            </w:r>
          </w:p>
        </w:tc>
      </w:tr>
    </w:tbl>
    <w:p w:rsidR="00960D14" w:rsidRDefault="00960D14" w14:paraId="5BF73013" w14:textId="77777777">
      <w:r>
        <w:br w:type="page"/>
      </w:r>
    </w:p>
    <w:tbl>
      <w:tblPr>
        <w:tblStyle w:val="TableGrid"/>
        <w:tblW w:w="0" w:type="auto"/>
        <w:tblLook w:val="04A0" w:firstRow="1" w:lastRow="0" w:firstColumn="1" w:lastColumn="0" w:noHBand="0" w:noVBand="1"/>
      </w:tblPr>
      <w:tblGrid>
        <w:gridCol w:w="3256"/>
        <w:gridCol w:w="5760"/>
      </w:tblGrid>
      <w:tr w:rsidRPr="00786BEC" w:rsidR="00ED1AC0" w:rsidTr="00960D14" w14:paraId="57F2D7A6" w14:textId="77777777">
        <w:trPr>
          <w:tblHeader/>
        </w:trPr>
        <w:tc>
          <w:tcPr>
            <w:tcW w:w="3256" w:type="dxa"/>
            <w:shd w:val="clear" w:color="auto" w:fill="265898" w:themeFill="text2" w:themeFillTint="E6"/>
          </w:tcPr>
          <w:p w:rsidR="00960D14" w:rsidP="00ED1AC0" w:rsidRDefault="00ED1AC0" w14:paraId="57FF752E" w14:textId="7E3F42EB">
            <w:pPr>
              <w:pStyle w:val="DHHSbody"/>
              <w:rPr>
                <w:b/>
                <w:bCs/>
                <w:color w:val="FFFFFF" w:themeColor="background1"/>
                <w:lang w:val="en-US"/>
              </w:rPr>
            </w:pPr>
            <w:r w:rsidRPr="001A4B7A">
              <w:rPr>
                <w:b/>
                <w:bCs/>
                <w:color w:val="FFFFFF" w:themeColor="background1"/>
                <w:lang w:val="en-US"/>
              </w:rPr>
              <w:t xml:space="preserve">Public Hospitals </w:t>
            </w:r>
          </w:p>
          <w:p w:rsidRPr="001A4B7A" w:rsidR="00ED1AC0" w:rsidP="00ED1AC0" w:rsidRDefault="001E1110" w14:paraId="3676CC0F" w14:textId="10F01030">
            <w:pPr>
              <w:pStyle w:val="DHHSbody"/>
              <w:rPr>
                <w:b/>
                <w:bCs/>
              </w:rPr>
            </w:pPr>
            <w:r w:rsidRPr="001E1110">
              <w:rPr>
                <w:rFonts w:cs="Arial"/>
                <w:b/>
                <w:bCs/>
                <w:color w:val="FFFFFF"/>
                <w:sz w:val="18"/>
                <w:szCs w:val="18"/>
                <w:lang w:eastAsia="en-AU"/>
              </w:rPr>
              <w:t xml:space="preserve">Health Services Act 1988  </w:t>
            </w:r>
            <w:r w:rsidRPr="00E70B3A" w:rsidR="00960D14">
              <w:rPr>
                <w:rFonts w:cs="Arial"/>
                <w:b/>
                <w:bCs/>
                <w:color w:val="FFFFFF"/>
                <w:sz w:val="18"/>
                <w:szCs w:val="18"/>
                <w:lang w:eastAsia="en-AU"/>
              </w:rPr>
              <w:t xml:space="preserve"> Schedule 1</w:t>
            </w:r>
          </w:p>
        </w:tc>
        <w:tc>
          <w:tcPr>
            <w:tcW w:w="5760" w:type="dxa"/>
            <w:shd w:val="clear" w:color="auto" w:fill="265898" w:themeFill="text2" w:themeFillTint="E6"/>
          </w:tcPr>
          <w:p w:rsidRPr="00ED1AC0" w:rsidR="00ED1AC0" w:rsidP="00ED1AC0" w:rsidRDefault="00960D14" w14:paraId="067F2D20" w14:textId="5C062B5B">
            <w:pPr>
              <w:pStyle w:val="DHHSbody"/>
              <w:rPr>
                <w:lang w:val="en-US"/>
              </w:rPr>
            </w:pPr>
            <w:r>
              <w:rPr>
                <w:b/>
                <w:bCs/>
                <w:color w:val="FFFFFF" w:themeColor="background1"/>
              </w:rPr>
              <w:t>Health Service</w:t>
            </w:r>
          </w:p>
        </w:tc>
      </w:tr>
      <w:tr w:rsidRPr="00786BEC" w:rsidR="00ED1AC0" w:rsidTr="006F76D3" w14:paraId="6D455F18" w14:textId="77777777">
        <w:tc>
          <w:tcPr>
            <w:tcW w:w="3256" w:type="dxa"/>
          </w:tcPr>
          <w:p w:rsidRPr="00786BEC" w:rsidR="00ED1AC0" w:rsidP="00ED1AC0" w:rsidRDefault="00ED1AC0" w14:paraId="1A47EFE5" w14:textId="77777777">
            <w:pPr>
              <w:pStyle w:val="DHHSbody"/>
              <w:rPr>
                <w:lang w:val="en-US"/>
              </w:rPr>
            </w:pPr>
            <w:r w:rsidRPr="00786BEC">
              <w:rPr>
                <w:lang w:val="en-US"/>
              </w:rPr>
              <w:t xml:space="preserve">Sub-Regional (9) </w:t>
            </w:r>
          </w:p>
        </w:tc>
        <w:tc>
          <w:tcPr>
            <w:tcW w:w="5760" w:type="dxa"/>
          </w:tcPr>
          <w:p w:rsidRPr="00786BEC" w:rsidR="00ED1AC0" w:rsidP="00ED1AC0" w:rsidRDefault="00ED1AC0" w14:paraId="54CAEFF1" w14:textId="77777777">
            <w:pPr>
              <w:pStyle w:val="DHHSbody"/>
            </w:pPr>
            <w:r w:rsidRPr="00786BEC">
              <w:rPr>
                <w:lang w:val="en-US"/>
              </w:rPr>
              <w:t>Central Gippsland Health Service</w:t>
            </w:r>
          </w:p>
          <w:p w:rsidRPr="00786BEC" w:rsidR="00ED1AC0" w:rsidP="00ED1AC0" w:rsidRDefault="00ED1AC0" w14:paraId="0863E2E5" w14:textId="77777777">
            <w:pPr>
              <w:pStyle w:val="DHHSbody"/>
            </w:pPr>
            <w:r w:rsidRPr="00786BEC">
              <w:rPr>
                <w:lang w:val="en-US"/>
              </w:rPr>
              <w:t xml:space="preserve">Bairnsdale Regional Health Service </w:t>
            </w:r>
          </w:p>
          <w:p w:rsidRPr="00786BEC" w:rsidR="00ED1AC0" w:rsidP="00ED1AC0" w:rsidRDefault="00ED1AC0" w14:paraId="7B0425B5" w14:textId="77777777">
            <w:pPr>
              <w:pStyle w:val="DHHSbody"/>
            </w:pPr>
            <w:r w:rsidRPr="00786BEC">
              <w:rPr>
                <w:lang w:val="en-US"/>
              </w:rPr>
              <w:t>Echuca Regional Health</w:t>
            </w:r>
          </w:p>
          <w:p w:rsidRPr="00786BEC" w:rsidR="00ED1AC0" w:rsidP="00ED1AC0" w:rsidRDefault="00ED1AC0" w14:paraId="69278BA2" w14:textId="77777777">
            <w:pPr>
              <w:pStyle w:val="DHHSbody"/>
            </w:pPr>
            <w:r w:rsidRPr="00786BEC">
              <w:rPr>
                <w:lang w:val="en-US"/>
              </w:rPr>
              <w:t>Mildura Base Public Hospital</w:t>
            </w:r>
          </w:p>
          <w:p w:rsidRPr="00786BEC" w:rsidR="00ED1AC0" w:rsidP="00ED1AC0" w:rsidRDefault="00ED1AC0" w14:paraId="2D24C1DC" w14:textId="77777777">
            <w:pPr>
              <w:pStyle w:val="DHHSbody"/>
            </w:pPr>
            <w:r w:rsidRPr="00786BEC">
              <w:rPr>
                <w:lang w:val="en-US"/>
              </w:rPr>
              <w:t>Northeast Health Wangaratta</w:t>
            </w:r>
          </w:p>
          <w:p w:rsidRPr="00786BEC" w:rsidR="00ED1AC0" w:rsidP="00ED1AC0" w:rsidRDefault="00ED1AC0" w14:paraId="762DDFFF" w14:textId="77777777">
            <w:pPr>
              <w:pStyle w:val="DHHSbody"/>
            </w:pPr>
            <w:r w:rsidRPr="00786BEC">
              <w:rPr>
                <w:lang w:val="en-US"/>
              </w:rPr>
              <w:t>South West Healthcare</w:t>
            </w:r>
          </w:p>
          <w:p w:rsidRPr="00786BEC" w:rsidR="00ED1AC0" w:rsidP="00ED1AC0" w:rsidRDefault="00ED1AC0" w14:paraId="58F739FD" w14:textId="77777777">
            <w:pPr>
              <w:pStyle w:val="DHHSbody"/>
            </w:pPr>
            <w:r w:rsidRPr="00786BEC">
              <w:rPr>
                <w:lang w:val="en-US"/>
              </w:rPr>
              <w:t>Swan Hill District Health</w:t>
            </w:r>
          </w:p>
          <w:p w:rsidRPr="00786BEC" w:rsidR="00ED1AC0" w:rsidP="00ED1AC0" w:rsidRDefault="00ED1AC0" w14:paraId="1F787E99" w14:textId="77777777">
            <w:pPr>
              <w:pStyle w:val="DHHSbody"/>
            </w:pPr>
            <w:r w:rsidRPr="00786BEC">
              <w:rPr>
                <w:lang w:val="en-US"/>
              </w:rPr>
              <w:t>West Gippsland Healthcare Group</w:t>
            </w:r>
          </w:p>
          <w:p w:rsidRPr="00786BEC" w:rsidR="00ED1AC0" w:rsidP="00ED1AC0" w:rsidRDefault="00ED1AC0" w14:paraId="6C9D6555" w14:textId="77777777">
            <w:pPr>
              <w:pStyle w:val="DHHSbody"/>
            </w:pPr>
            <w:r w:rsidRPr="00786BEC">
              <w:rPr>
                <w:lang w:val="en-US"/>
              </w:rPr>
              <w:t>Western District Health Service</w:t>
            </w:r>
          </w:p>
        </w:tc>
      </w:tr>
      <w:tr w:rsidRPr="00786BEC" w:rsidR="00ED1AC0" w:rsidTr="006F76D3" w14:paraId="112E897F" w14:textId="77777777">
        <w:tc>
          <w:tcPr>
            <w:tcW w:w="3256" w:type="dxa"/>
          </w:tcPr>
          <w:p w:rsidRPr="00786BEC" w:rsidR="00ED1AC0" w:rsidP="00ED1AC0" w:rsidRDefault="00ED1AC0" w14:paraId="195E073E" w14:textId="77777777">
            <w:pPr>
              <w:pStyle w:val="DHHSbody"/>
              <w:rPr>
                <w:lang w:val="en-US"/>
              </w:rPr>
            </w:pPr>
            <w:r w:rsidRPr="00786BEC">
              <w:rPr>
                <w:lang w:val="en-US"/>
              </w:rPr>
              <w:t xml:space="preserve">Local (7) </w:t>
            </w:r>
          </w:p>
        </w:tc>
        <w:tc>
          <w:tcPr>
            <w:tcW w:w="5760" w:type="dxa"/>
          </w:tcPr>
          <w:p w:rsidRPr="00786BEC" w:rsidR="00ED1AC0" w:rsidP="00ED1AC0" w:rsidRDefault="00ED1AC0" w14:paraId="4748A22D" w14:textId="77777777">
            <w:pPr>
              <w:pStyle w:val="DHHSbody"/>
            </w:pPr>
            <w:r w:rsidRPr="00786BEC">
              <w:rPr>
                <w:lang w:val="en-US"/>
              </w:rPr>
              <w:t>Benalla Health</w:t>
            </w:r>
          </w:p>
          <w:p w:rsidRPr="00786BEC" w:rsidR="00ED1AC0" w:rsidP="00ED1AC0" w:rsidRDefault="00ED1AC0" w14:paraId="48826B38" w14:textId="77777777">
            <w:pPr>
              <w:pStyle w:val="DHHSbody"/>
            </w:pPr>
            <w:r w:rsidRPr="00786BEC">
              <w:rPr>
                <w:lang w:val="en-US"/>
              </w:rPr>
              <w:t>Colac Area Health</w:t>
            </w:r>
          </w:p>
          <w:p w:rsidRPr="00786BEC" w:rsidR="00ED1AC0" w:rsidP="00ED1AC0" w:rsidRDefault="00ED1AC0" w14:paraId="4E581923" w14:textId="77777777">
            <w:pPr>
              <w:pStyle w:val="DHHSbody"/>
            </w:pPr>
            <w:r w:rsidRPr="00786BEC">
              <w:rPr>
                <w:lang w:val="en-US"/>
              </w:rPr>
              <w:t>Dhelkaya Health</w:t>
            </w:r>
          </w:p>
          <w:p w:rsidRPr="00786BEC" w:rsidR="00ED1AC0" w:rsidP="00ED1AC0" w:rsidRDefault="00ED1AC0" w14:paraId="24C92CBB" w14:textId="77777777">
            <w:pPr>
              <w:pStyle w:val="DHHSbody"/>
            </w:pPr>
            <w:r w:rsidRPr="00786BEC">
              <w:rPr>
                <w:lang w:val="en-US"/>
              </w:rPr>
              <w:t>East Grampians Health Service</w:t>
            </w:r>
          </w:p>
          <w:p w:rsidRPr="00786BEC" w:rsidR="00ED1AC0" w:rsidP="00ED1AC0" w:rsidRDefault="00ED1AC0" w14:paraId="54C5D3AE" w14:textId="77777777">
            <w:pPr>
              <w:pStyle w:val="DHHSbody"/>
            </w:pPr>
            <w:r w:rsidRPr="00786BEC">
              <w:rPr>
                <w:lang w:val="en-US"/>
              </w:rPr>
              <w:t>Kyabram District Health Service</w:t>
            </w:r>
          </w:p>
          <w:p w:rsidRPr="00786BEC" w:rsidR="00ED1AC0" w:rsidP="00ED1AC0" w:rsidRDefault="00ED1AC0" w14:paraId="44569A92" w14:textId="77777777">
            <w:pPr>
              <w:pStyle w:val="DHHSbody"/>
            </w:pPr>
            <w:r w:rsidRPr="00786BEC">
              <w:rPr>
                <w:lang w:val="en-US"/>
              </w:rPr>
              <w:t>Maryborough District Health Service</w:t>
            </w:r>
          </w:p>
          <w:p w:rsidRPr="00ED1AC0" w:rsidR="00ED1AC0" w:rsidP="00ED1AC0" w:rsidRDefault="00ED1AC0" w14:paraId="19BD6092" w14:textId="30560170">
            <w:pPr>
              <w:pStyle w:val="DHHSbody"/>
            </w:pPr>
            <w:r w:rsidRPr="00786BEC">
              <w:rPr>
                <w:lang w:val="en-US"/>
              </w:rPr>
              <w:t>Portland District Health</w:t>
            </w:r>
          </w:p>
        </w:tc>
      </w:tr>
      <w:tr w:rsidRPr="00786BEC" w:rsidR="00ED1AC0" w:rsidTr="006F76D3" w14:paraId="3434F0E1" w14:textId="77777777">
        <w:tc>
          <w:tcPr>
            <w:tcW w:w="3256" w:type="dxa"/>
          </w:tcPr>
          <w:p w:rsidRPr="00786BEC" w:rsidR="00ED1AC0" w:rsidP="00ED1AC0" w:rsidRDefault="00ED1AC0" w14:paraId="415D996A" w14:textId="77777777">
            <w:pPr>
              <w:pStyle w:val="DHHSbody"/>
            </w:pPr>
            <w:r w:rsidRPr="00786BEC">
              <w:rPr>
                <w:lang w:val="en-US"/>
              </w:rPr>
              <w:t xml:space="preserve">Small Rural Health Service (27) </w:t>
            </w:r>
          </w:p>
          <w:p w:rsidRPr="00786BEC" w:rsidR="00ED1AC0" w:rsidP="00ED1AC0" w:rsidRDefault="00ED1AC0" w14:paraId="3ED34DE7" w14:textId="77777777">
            <w:pPr>
              <w:pStyle w:val="DHHSbody"/>
              <w:rPr>
                <w:lang w:val="en-US"/>
              </w:rPr>
            </w:pPr>
          </w:p>
        </w:tc>
        <w:tc>
          <w:tcPr>
            <w:tcW w:w="5760" w:type="dxa"/>
          </w:tcPr>
          <w:p w:rsidRPr="00786BEC" w:rsidR="00ED1AC0" w:rsidP="00ED1AC0" w:rsidRDefault="00ED1AC0" w14:paraId="4B605AF4" w14:textId="77777777">
            <w:pPr>
              <w:pStyle w:val="DHHSbody"/>
            </w:pPr>
            <w:r w:rsidRPr="00786BEC">
              <w:rPr>
                <w:lang w:val="en-US"/>
              </w:rPr>
              <w:t>Alexandra District Health</w:t>
            </w:r>
          </w:p>
          <w:p w:rsidRPr="00786BEC" w:rsidR="00ED1AC0" w:rsidP="00ED1AC0" w:rsidRDefault="00ED1AC0" w14:paraId="4A8E19C8" w14:textId="77777777">
            <w:pPr>
              <w:pStyle w:val="DHHSbody"/>
            </w:pPr>
            <w:r w:rsidRPr="00786BEC">
              <w:rPr>
                <w:lang w:val="en-US"/>
              </w:rPr>
              <w:t>Beaufort and Skipton Health Service</w:t>
            </w:r>
          </w:p>
          <w:p w:rsidRPr="00786BEC" w:rsidR="00ED1AC0" w:rsidP="00ED1AC0" w:rsidRDefault="00ED1AC0" w14:paraId="487FF103" w14:textId="77777777">
            <w:pPr>
              <w:pStyle w:val="DHHSbody"/>
            </w:pPr>
            <w:r w:rsidRPr="00786BEC">
              <w:rPr>
                <w:lang w:val="en-US"/>
              </w:rPr>
              <w:t>Central Highlands Rural Health</w:t>
            </w:r>
          </w:p>
          <w:p w:rsidRPr="00786BEC" w:rsidR="00ED1AC0" w:rsidP="00ED1AC0" w:rsidRDefault="00ED1AC0" w14:paraId="6F4DD462" w14:textId="77777777">
            <w:pPr>
              <w:pStyle w:val="DHHSbody"/>
            </w:pPr>
            <w:r w:rsidRPr="00786BEC">
              <w:rPr>
                <w:lang w:val="en-US"/>
              </w:rPr>
              <w:t>Cohuna District Hospital</w:t>
            </w:r>
          </w:p>
          <w:p w:rsidRPr="00786BEC" w:rsidR="00ED1AC0" w:rsidP="00ED1AC0" w:rsidRDefault="00ED1AC0" w14:paraId="17D99AB5" w14:textId="77777777">
            <w:pPr>
              <w:pStyle w:val="DHHSbody"/>
            </w:pPr>
            <w:r w:rsidRPr="00786BEC">
              <w:rPr>
                <w:lang w:val="en-US"/>
              </w:rPr>
              <w:t>Beechworth Health Service</w:t>
            </w:r>
          </w:p>
          <w:p w:rsidRPr="00786BEC" w:rsidR="00ED1AC0" w:rsidP="00ED1AC0" w:rsidRDefault="00ED1AC0" w14:paraId="1210C2D6" w14:textId="77777777">
            <w:pPr>
              <w:pStyle w:val="DHHSbody"/>
            </w:pPr>
            <w:r w:rsidRPr="00786BEC">
              <w:rPr>
                <w:lang w:val="en-US"/>
              </w:rPr>
              <w:t>Boort District Health</w:t>
            </w:r>
          </w:p>
          <w:p w:rsidRPr="00786BEC" w:rsidR="00ED1AC0" w:rsidP="00ED1AC0" w:rsidRDefault="00ED1AC0" w14:paraId="280F3E3F" w14:textId="77777777">
            <w:pPr>
              <w:pStyle w:val="DHHSbody"/>
            </w:pPr>
            <w:r w:rsidRPr="00786BEC">
              <w:rPr>
                <w:lang w:val="en-US"/>
              </w:rPr>
              <w:t>East Wimmera Health Service</w:t>
            </w:r>
          </w:p>
          <w:p w:rsidRPr="00786BEC" w:rsidR="00ED1AC0" w:rsidP="00ED1AC0" w:rsidRDefault="00ED1AC0" w14:paraId="6BD3BAB2" w14:textId="77777777">
            <w:pPr>
              <w:pStyle w:val="DHHSbody"/>
            </w:pPr>
            <w:r w:rsidRPr="00786BEC">
              <w:rPr>
                <w:lang w:val="en-US"/>
              </w:rPr>
              <w:t>Great Ocean Road Health</w:t>
            </w:r>
          </w:p>
          <w:p w:rsidRPr="00786BEC" w:rsidR="00ED1AC0" w:rsidP="00ED1AC0" w:rsidRDefault="00ED1AC0" w14:paraId="34AE2744" w14:textId="77777777">
            <w:pPr>
              <w:pStyle w:val="DHHSbody"/>
            </w:pPr>
            <w:r w:rsidRPr="00786BEC">
              <w:rPr>
                <w:lang w:val="en-US"/>
              </w:rPr>
              <w:t>Heathcote Health</w:t>
            </w:r>
          </w:p>
          <w:p w:rsidRPr="00786BEC" w:rsidR="00ED1AC0" w:rsidP="00ED1AC0" w:rsidRDefault="00ED1AC0" w14:paraId="18252510" w14:textId="77777777">
            <w:pPr>
              <w:pStyle w:val="DHHSbody"/>
            </w:pPr>
            <w:r w:rsidRPr="00786BEC">
              <w:rPr>
                <w:lang w:val="en-US"/>
              </w:rPr>
              <w:t>Hesse Rural Health Service</w:t>
            </w:r>
          </w:p>
          <w:p w:rsidRPr="00786BEC" w:rsidR="00ED1AC0" w:rsidP="00ED1AC0" w:rsidRDefault="00ED1AC0" w14:paraId="640B839E" w14:textId="77777777">
            <w:pPr>
              <w:pStyle w:val="DHHSbody"/>
            </w:pPr>
            <w:r w:rsidRPr="00786BEC">
              <w:rPr>
                <w:lang w:val="en-US"/>
              </w:rPr>
              <w:t>Heywood Rural Health</w:t>
            </w:r>
          </w:p>
          <w:p w:rsidRPr="00786BEC" w:rsidR="00ED1AC0" w:rsidP="00ED1AC0" w:rsidRDefault="00ED1AC0" w14:paraId="28C53611" w14:textId="77777777">
            <w:pPr>
              <w:pStyle w:val="DHHSbody"/>
            </w:pPr>
            <w:r w:rsidRPr="00786BEC">
              <w:rPr>
                <w:lang w:val="en-US"/>
              </w:rPr>
              <w:t>Inglewood and Districts Health Service</w:t>
            </w:r>
          </w:p>
          <w:p w:rsidRPr="00786BEC" w:rsidR="00ED1AC0" w:rsidP="00ED1AC0" w:rsidRDefault="00ED1AC0" w14:paraId="30B7F2B5" w14:textId="77777777">
            <w:pPr>
              <w:pStyle w:val="DHHSbody"/>
            </w:pPr>
            <w:r w:rsidRPr="00786BEC">
              <w:rPr>
                <w:lang w:val="en-US"/>
              </w:rPr>
              <w:t>Kerang District Health</w:t>
            </w:r>
          </w:p>
          <w:p w:rsidRPr="00786BEC" w:rsidR="00ED1AC0" w:rsidP="00ED1AC0" w:rsidRDefault="00ED1AC0" w14:paraId="1BE6DD00" w14:textId="77777777">
            <w:pPr>
              <w:pStyle w:val="DHHSbody"/>
            </w:pPr>
            <w:r w:rsidRPr="00786BEC">
              <w:rPr>
                <w:lang w:val="en-US"/>
              </w:rPr>
              <w:t>Mansfield District Hospital</w:t>
            </w:r>
          </w:p>
          <w:p w:rsidRPr="00786BEC" w:rsidR="00ED1AC0" w:rsidP="00ED1AC0" w:rsidRDefault="00ED1AC0" w14:paraId="02B91B46" w14:textId="77777777">
            <w:pPr>
              <w:pStyle w:val="DHHSbody"/>
            </w:pPr>
            <w:r w:rsidRPr="00786BEC">
              <w:rPr>
                <w:lang w:val="en-US"/>
              </w:rPr>
              <w:t>Moyne Health Services</w:t>
            </w:r>
          </w:p>
          <w:p w:rsidRPr="00786BEC" w:rsidR="00ED1AC0" w:rsidP="00ED1AC0" w:rsidRDefault="00ED1AC0" w14:paraId="125810D8" w14:textId="77777777">
            <w:pPr>
              <w:pStyle w:val="DHHSbody"/>
            </w:pPr>
            <w:r w:rsidRPr="00786BEC">
              <w:rPr>
                <w:lang w:val="en-US"/>
              </w:rPr>
              <w:t>NCN Health</w:t>
            </w:r>
          </w:p>
          <w:p w:rsidRPr="00786BEC" w:rsidR="00ED1AC0" w:rsidP="00ED1AC0" w:rsidRDefault="00ED1AC0" w14:paraId="578ADBBA" w14:textId="77777777">
            <w:pPr>
              <w:pStyle w:val="DHHSbody"/>
            </w:pPr>
            <w:r w:rsidRPr="00786BEC">
              <w:rPr>
                <w:lang w:val="en-US"/>
              </w:rPr>
              <w:t>Omeo District Health</w:t>
            </w:r>
          </w:p>
          <w:p w:rsidRPr="00786BEC" w:rsidR="00ED1AC0" w:rsidP="00ED1AC0" w:rsidRDefault="00ED1AC0" w14:paraId="051C5454" w14:textId="77777777">
            <w:pPr>
              <w:pStyle w:val="DHHSbody"/>
            </w:pPr>
            <w:r w:rsidRPr="00786BEC">
              <w:rPr>
                <w:lang w:val="en-US"/>
              </w:rPr>
              <w:t>Rochester and Elmore District Health Service</w:t>
            </w:r>
          </w:p>
          <w:p w:rsidRPr="00786BEC" w:rsidR="00ED1AC0" w:rsidP="00ED1AC0" w:rsidRDefault="00ED1AC0" w14:paraId="2ADBC141" w14:textId="77777777">
            <w:pPr>
              <w:pStyle w:val="DHHSbody"/>
            </w:pPr>
            <w:r w:rsidRPr="00786BEC">
              <w:rPr>
                <w:lang w:val="en-US"/>
              </w:rPr>
              <w:t>Rural Northwest Health</w:t>
            </w:r>
          </w:p>
          <w:p w:rsidRPr="00786BEC" w:rsidR="00ED1AC0" w:rsidP="00ED1AC0" w:rsidRDefault="00ED1AC0" w14:paraId="4B91B0EE" w14:textId="77777777">
            <w:pPr>
              <w:pStyle w:val="DHHSbody"/>
            </w:pPr>
            <w:r w:rsidRPr="00786BEC">
              <w:rPr>
                <w:lang w:val="en-US"/>
              </w:rPr>
              <w:t>Seymour Health</w:t>
            </w:r>
          </w:p>
          <w:p w:rsidRPr="00786BEC" w:rsidR="00ED1AC0" w:rsidP="00ED1AC0" w:rsidRDefault="00ED1AC0" w14:paraId="2F3D7DE4" w14:textId="77777777">
            <w:pPr>
              <w:pStyle w:val="DHHSbody"/>
            </w:pPr>
            <w:r w:rsidRPr="00786BEC">
              <w:rPr>
                <w:lang w:val="en-US"/>
              </w:rPr>
              <w:t>South Gippsland Hospital</w:t>
            </w:r>
          </w:p>
          <w:p w:rsidRPr="00786BEC" w:rsidR="00ED1AC0" w:rsidP="00ED1AC0" w:rsidRDefault="00ED1AC0" w14:paraId="65136F17" w14:textId="77777777">
            <w:pPr>
              <w:pStyle w:val="DHHSbody"/>
            </w:pPr>
            <w:r w:rsidRPr="00786BEC">
              <w:rPr>
                <w:lang w:val="en-US"/>
              </w:rPr>
              <w:t>Tallangatta Health Service</w:t>
            </w:r>
          </w:p>
          <w:p w:rsidRPr="00786BEC" w:rsidR="00ED1AC0" w:rsidP="00ED1AC0" w:rsidRDefault="00ED1AC0" w14:paraId="3599A856" w14:textId="77777777">
            <w:pPr>
              <w:pStyle w:val="DHHSbody"/>
            </w:pPr>
            <w:r w:rsidRPr="00786BEC">
              <w:rPr>
                <w:lang w:val="en-US"/>
              </w:rPr>
              <w:t>Terang and Mortlake Health Service</w:t>
            </w:r>
          </w:p>
          <w:p w:rsidRPr="00786BEC" w:rsidR="00ED1AC0" w:rsidP="00ED1AC0" w:rsidRDefault="00ED1AC0" w14:paraId="62DBC30E" w14:textId="77777777">
            <w:pPr>
              <w:pStyle w:val="DHHSbody"/>
            </w:pPr>
            <w:r w:rsidRPr="00786BEC">
              <w:rPr>
                <w:lang w:val="en-US"/>
              </w:rPr>
              <w:t>West Wimmera Health Service</w:t>
            </w:r>
          </w:p>
          <w:p w:rsidRPr="00786BEC" w:rsidR="00ED1AC0" w:rsidP="00ED1AC0" w:rsidRDefault="00ED1AC0" w14:paraId="23D6EBCB" w14:textId="77777777">
            <w:pPr>
              <w:pStyle w:val="DHHSbody"/>
            </w:pPr>
            <w:r w:rsidRPr="00786BEC">
              <w:rPr>
                <w:lang w:val="en-US"/>
              </w:rPr>
              <w:t>Yarram and District Health Service</w:t>
            </w:r>
          </w:p>
          <w:p w:rsidRPr="00786BEC" w:rsidR="00ED1AC0" w:rsidP="00ED1AC0" w:rsidRDefault="00ED1AC0" w14:paraId="0720A051" w14:textId="77777777">
            <w:pPr>
              <w:pStyle w:val="DHHSbody"/>
            </w:pPr>
            <w:r w:rsidRPr="00786BEC">
              <w:rPr>
                <w:lang w:val="en-US"/>
              </w:rPr>
              <w:t>Yarrawonga Health</w:t>
            </w:r>
          </w:p>
          <w:p w:rsidRPr="00786BEC" w:rsidR="00ED1AC0" w:rsidP="00ED1AC0" w:rsidRDefault="00ED1AC0" w14:paraId="09B3078A" w14:textId="77777777">
            <w:pPr>
              <w:pStyle w:val="DHHSbody"/>
            </w:pPr>
            <w:r w:rsidRPr="00786BEC">
              <w:rPr>
                <w:lang w:val="en-US"/>
              </w:rPr>
              <w:t>Yea and District Memorial Hospital</w:t>
            </w:r>
          </w:p>
        </w:tc>
      </w:tr>
      <w:tr w:rsidRPr="00786BEC" w:rsidR="00ED1AC0" w:rsidTr="006F76D3" w14:paraId="4264FFE8" w14:textId="77777777">
        <w:tc>
          <w:tcPr>
            <w:tcW w:w="3256" w:type="dxa"/>
          </w:tcPr>
          <w:p w:rsidRPr="00786BEC" w:rsidR="00ED1AC0" w:rsidP="00ED1AC0" w:rsidRDefault="00ED1AC0" w14:paraId="6E09C6F8" w14:textId="77777777">
            <w:pPr>
              <w:pStyle w:val="DHHSbody"/>
            </w:pPr>
            <w:r w:rsidRPr="00786BEC">
              <w:rPr>
                <w:lang w:val="en-US"/>
              </w:rPr>
              <w:t xml:space="preserve">Multi- Purpose Services (6) </w:t>
            </w:r>
          </w:p>
          <w:p w:rsidRPr="00786BEC" w:rsidR="00ED1AC0" w:rsidP="00ED1AC0" w:rsidRDefault="00ED1AC0" w14:paraId="08231321" w14:textId="77777777">
            <w:pPr>
              <w:pStyle w:val="DHHSbody"/>
              <w:rPr>
                <w:lang w:val="en-US"/>
              </w:rPr>
            </w:pPr>
          </w:p>
        </w:tc>
        <w:tc>
          <w:tcPr>
            <w:tcW w:w="5760" w:type="dxa"/>
          </w:tcPr>
          <w:p w:rsidRPr="00786BEC" w:rsidR="00ED1AC0" w:rsidP="00ED1AC0" w:rsidRDefault="00ED1AC0" w14:paraId="44A1965B" w14:textId="77777777">
            <w:pPr>
              <w:pStyle w:val="DHHSbody"/>
            </w:pPr>
            <w:r w:rsidRPr="00786BEC">
              <w:rPr>
                <w:lang w:val="en-US"/>
              </w:rPr>
              <w:t xml:space="preserve">Alpine Health </w:t>
            </w:r>
          </w:p>
          <w:p w:rsidRPr="00786BEC" w:rsidR="00ED1AC0" w:rsidP="00ED1AC0" w:rsidRDefault="00ED1AC0" w14:paraId="0611F1D6" w14:textId="77777777">
            <w:pPr>
              <w:pStyle w:val="DHHSbody"/>
            </w:pPr>
            <w:r w:rsidRPr="00786BEC">
              <w:rPr>
                <w:lang w:val="en-US"/>
              </w:rPr>
              <w:t xml:space="preserve">Corryong Health </w:t>
            </w:r>
          </w:p>
          <w:p w:rsidRPr="00786BEC" w:rsidR="00ED1AC0" w:rsidP="00ED1AC0" w:rsidRDefault="00ED1AC0" w14:paraId="79774ADF" w14:textId="77777777">
            <w:pPr>
              <w:pStyle w:val="DHHSbody"/>
            </w:pPr>
            <w:r w:rsidRPr="00786BEC">
              <w:rPr>
                <w:lang w:val="en-US"/>
              </w:rPr>
              <w:t xml:space="preserve">Mallee Track Health and Community </w:t>
            </w:r>
          </w:p>
          <w:p w:rsidRPr="00786BEC" w:rsidR="00ED1AC0" w:rsidP="00ED1AC0" w:rsidRDefault="00ED1AC0" w14:paraId="70804CB0" w14:textId="77777777">
            <w:pPr>
              <w:pStyle w:val="DHHSbody"/>
            </w:pPr>
            <w:r w:rsidRPr="00786BEC">
              <w:t xml:space="preserve">Orbost Regional Health </w:t>
            </w:r>
          </w:p>
          <w:p w:rsidRPr="00786BEC" w:rsidR="00ED1AC0" w:rsidP="00ED1AC0" w:rsidRDefault="00ED1AC0" w14:paraId="050AE990" w14:textId="77777777">
            <w:pPr>
              <w:pStyle w:val="DHHSbody"/>
            </w:pPr>
            <w:r w:rsidRPr="00786BEC">
              <w:t xml:space="preserve">Robinvale District Health Service </w:t>
            </w:r>
          </w:p>
          <w:p w:rsidRPr="00ED1AC0" w:rsidR="00ED1AC0" w:rsidP="00ED1AC0" w:rsidRDefault="00ED1AC0" w14:paraId="66436420" w14:textId="44B87976">
            <w:pPr>
              <w:pStyle w:val="DHHSbody"/>
            </w:pPr>
            <w:r w:rsidRPr="00786BEC">
              <w:t xml:space="preserve">Timboon and District Healthcare Services </w:t>
            </w:r>
          </w:p>
        </w:tc>
      </w:tr>
    </w:tbl>
    <w:p w:rsidR="00C674BA" w:rsidP="00C674BA" w:rsidRDefault="00C674BA" w14:paraId="204C9DB0" w14:textId="78F216F4">
      <w:pPr>
        <w:pStyle w:val="DHHSbody"/>
        <w:rPr>
          <w:rStyle w:val="Heading1Char"/>
          <w:rFonts w:eastAsia="Times" w:cs="Times New Roman"/>
          <w:b w:val="0"/>
          <w:bCs w:val="0"/>
          <w:color w:val="000000" w:themeColor="text1"/>
          <w:kern w:val="0"/>
          <w:sz w:val="21"/>
          <w:szCs w:val="20"/>
        </w:rPr>
      </w:pPr>
    </w:p>
    <w:p w:rsidRPr="00C674BA" w:rsidR="00C674BA" w:rsidP="00C674BA" w:rsidRDefault="00C674BA" w14:paraId="6D068236" w14:textId="77777777">
      <w:pPr>
        <w:pStyle w:val="DHHSbody"/>
      </w:pPr>
      <w:r w:rsidRPr="00C674BA">
        <w:t>Note: Tweddle Child &amp; Family Health Service and The Queen Elizabeth Centre are established as Public Health Services under the Act but are not required to enter into and sign a Statement of Priorities.</w:t>
      </w:r>
    </w:p>
    <w:p w:rsidRPr="00C674BA" w:rsidR="00C674BA" w:rsidP="00C674BA" w:rsidRDefault="00C674BA" w14:paraId="47DE53A7" w14:textId="2DBE392B">
      <w:pPr>
        <w:pStyle w:val="DHHSbody"/>
        <w:sectPr w:rsidRPr="00C674BA" w:rsidR="00C674BA" w:rsidSect="000E2757">
          <w:pgSz w:w="11906" w:h="16838" w:orient="portrait" w:code="9"/>
          <w:pgMar w:top="1418" w:right="1418" w:bottom="1418" w:left="1418" w:header="680" w:footer="851" w:gutter="0"/>
          <w:cols w:space="340"/>
          <w:titlePg/>
          <w:docGrid w:linePitch="360"/>
        </w:sectPr>
      </w:pPr>
      <w:r w:rsidRPr="00C674BA">
        <w:t>**HealthShare Victoria is established as a Public Health Service under the Act however is out of scope of the PMF (see Section 1.2).</w:t>
      </w:r>
    </w:p>
    <w:p w:rsidR="00624338" w:rsidP="00624338" w:rsidRDefault="00E41E13" w14:paraId="2EEDF397" w14:textId="77777777">
      <w:pPr>
        <w:pStyle w:val="Heading1"/>
      </w:pPr>
      <w:bookmarkStart w:name="_Toc235628558" w:id="44"/>
      <w:r w:rsidRPr="00E70B3A">
        <w:t>Appendix 2</w:t>
      </w:r>
      <w:r w:rsidRPr="00E70B3A" w:rsidR="0088013C">
        <w:t xml:space="preserve">: </w:t>
      </w:r>
      <w:r w:rsidR="00717D70">
        <w:t>Performance Monitoring Framework</w:t>
      </w:r>
      <w:r w:rsidRPr="00E70B3A" w:rsidR="0088013C">
        <w:t xml:space="preserve"> Overview</w:t>
      </w:r>
      <w:bookmarkEnd w:id="44"/>
      <w:r w:rsidRPr="00E70B3A" w:rsidR="0088013C">
        <w:t xml:space="preserve"> </w:t>
      </w:r>
    </w:p>
    <w:p w:rsidR="00D13CEB" w:rsidP="00240E5C" w:rsidRDefault="00E423F2" w14:paraId="16A5C3F2" w14:textId="77777777">
      <w:pPr>
        <w:pStyle w:val="DHHSbody"/>
        <w:spacing w:after="0" w:line="240" w:lineRule="auto"/>
        <w:rPr>
          <w:b/>
          <w:bCs/>
          <w:color w:val="1F497D" w:themeColor="text2"/>
        </w:rPr>
      </w:pPr>
      <w:r w:rsidRPr="00E70B3A">
        <w:rPr>
          <w:noProof/>
        </w:rPr>
        <w:drawing>
          <wp:inline distT="0" distB="0" distL="0" distR="0" wp14:anchorId="51ECCF4F" wp14:editId="06220BA7">
            <wp:extent cx="9938161" cy="5029200"/>
            <wp:effectExtent l="0" t="0" r="6350" b="0"/>
            <wp:docPr id="1020565924" name="Picture 1" descr="Highlights the legislative and accountability instrument role of Minister and Secretary, and the central PMF as a risk-based framework. Key supporting components—Statement of Priorities, Policy and Funding Guidelines, and PMF Business Rules. Outlines how  sub-domains contribute to monitoring, data flows, escalation pathways, and accountability relationships, including that health service boards are accountable to the Mini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565924" name="Picture 1" descr="Highlights the legislative and accountability instrument role of Minister and Secretary, and the central PMF as a risk-based framework. Key supporting components—Statement of Priorities, Policy and Funding Guidelines, and PMF Business Rules. Outlines how  sub-domains contribute to monitoring, data flows, escalation pathways, and accountability relationships, including that health service boards are accountable to the Minister."/>
                    <pic:cNvPicPr/>
                  </pic:nvPicPr>
                  <pic:blipFill>
                    <a:blip r:embed="rId53"/>
                    <a:stretch>
                      <a:fillRect/>
                    </a:stretch>
                  </pic:blipFill>
                  <pic:spPr>
                    <a:xfrm>
                      <a:off x="0" y="0"/>
                      <a:ext cx="9988071" cy="5054457"/>
                    </a:xfrm>
                    <a:prstGeom prst="rect">
                      <a:avLst/>
                    </a:prstGeom>
                  </pic:spPr>
                </pic:pic>
              </a:graphicData>
            </a:graphic>
          </wp:inline>
        </w:drawing>
      </w:r>
    </w:p>
    <w:p w:rsidR="00E41E13" w:rsidP="00240E5C" w:rsidRDefault="00965FAC" w14:paraId="4AC0F0D0" w14:textId="1AFF6D25">
      <w:pPr>
        <w:pStyle w:val="DHHSbody"/>
        <w:spacing w:after="0" w:line="240" w:lineRule="auto"/>
        <w:rPr>
          <w:color w:val="1F497D" w:themeColor="text2"/>
        </w:rPr>
      </w:pPr>
      <w:r w:rsidRPr="00240E5C">
        <w:rPr>
          <w:b/>
          <w:bCs/>
          <w:color w:val="1F497D" w:themeColor="text2"/>
        </w:rPr>
        <w:t xml:space="preserve">Figure </w:t>
      </w:r>
      <w:r w:rsidRPr="00240E5C">
        <w:rPr>
          <w:b/>
          <w:bCs/>
          <w:color w:val="1F497D" w:themeColor="text2"/>
        </w:rPr>
        <w:fldChar w:fldCharType="begin"/>
      </w:r>
      <w:r w:rsidRPr="00240E5C">
        <w:rPr>
          <w:b/>
          <w:bCs/>
          <w:color w:val="1F497D" w:themeColor="text2"/>
        </w:rPr>
        <w:instrText xml:space="preserve"> SEQ Figure \* ARABIC </w:instrText>
      </w:r>
      <w:r w:rsidRPr="00240E5C">
        <w:rPr>
          <w:b/>
          <w:bCs/>
          <w:color w:val="1F497D" w:themeColor="text2"/>
        </w:rPr>
        <w:fldChar w:fldCharType="separate"/>
      </w:r>
      <w:r w:rsidRPr="00240E5C">
        <w:rPr>
          <w:b/>
          <w:bCs/>
          <w:noProof/>
          <w:color w:val="1F497D" w:themeColor="text2"/>
        </w:rPr>
        <w:t>9</w:t>
      </w:r>
      <w:r w:rsidRPr="00240E5C">
        <w:rPr>
          <w:b/>
          <w:bCs/>
          <w:color w:val="1F497D" w:themeColor="text2"/>
        </w:rPr>
        <w:fldChar w:fldCharType="end"/>
      </w:r>
      <w:r w:rsidRPr="00240E5C">
        <w:rPr>
          <w:b/>
          <w:bCs/>
          <w:color w:val="1F497D" w:themeColor="text2"/>
        </w:rPr>
        <w:t xml:space="preserve"> </w:t>
      </w:r>
      <w:r w:rsidRPr="00240E5C">
        <w:rPr>
          <w:color w:val="1F497D" w:themeColor="text2"/>
        </w:rPr>
        <w:t>High-level overview of the PMF 2026–27</w:t>
      </w:r>
      <w:r w:rsidR="00D13CEB">
        <w:rPr>
          <w:color w:val="1F497D" w:themeColor="text2"/>
        </w:rPr>
        <w:t xml:space="preserve">. </w:t>
      </w:r>
      <w:r w:rsidRPr="00240E5C">
        <w:rPr>
          <w:color w:val="1F497D" w:themeColor="text2"/>
        </w:rPr>
        <w:t xml:space="preserve"> </w:t>
      </w:r>
    </w:p>
    <w:p w:rsidR="001F3F46" w:rsidP="00240E5C" w:rsidRDefault="001F3F46" w14:paraId="4137CAF4" w14:textId="77777777">
      <w:pPr>
        <w:pStyle w:val="DHHSbody"/>
        <w:spacing w:after="0" w:line="240" w:lineRule="auto"/>
        <w:rPr>
          <w:color w:val="1F497D" w:themeColor="text2"/>
        </w:rPr>
      </w:pPr>
    </w:p>
    <w:p w:rsidRPr="00E70B3A" w:rsidR="00C543F6" w:rsidP="00896D4C" w:rsidRDefault="00017611" w14:paraId="60F00840" w14:textId="4BDBC62A">
      <w:pPr>
        <w:pStyle w:val="Heading1"/>
      </w:pPr>
      <w:bookmarkStart w:name="_Toc235628559" w:id="45"/>
      <w:r w:rsidRPr="00E70B3A">
        <w:t xml:space="preserve">Appendix 3 </w:t>
      </w:r>
      <w:r w:rsidR="00717D70">
        <w:t>Performance Monitoring Framework</w:t>
      </w:r>
      <w:r w:rsidRPr="00E70B3A" w:rsidR="00896D4C">
        <w:t xml:space="preserve"> 2026-27 Measure Mapping</w:t>
      </w:r>
      <w:bookmarkEnd w:id="45"/>
      <w:r w:rsidRPr="00E70B3A" w:rsidR="00896D4C">
        <w:t xml:space="preserve"> </w:t>
      </w:r>
    </w:p>
    <w:p w:rsidRPr="00E70B3A" w:rsidR="00C543F6" w:rsidP="00C5389F" w:rsidRDefault="00521B80" w14:paraId="12EE06ED" w14:textId="576F6F39">
      <w:pPr>
        <w:pStyle w:val="Heading4"/>
        <w:rPr>
          <w:rFonts w:cs="Arial"/>
        </w:rPr>
      </w:pPr>
      <w:r w:rsidRPr="00E70B3A">
        <w:rPr>
          <w:rFonts w:cs="Arial"/>
        </w:rPr>
        <w:t>Statement of Priorities (Part B</w:t>
      </w:r>
      <w:r w:rsidRPr="00E70B3A" w:rsidR="001B510B">
        <w:rPr>
          <w:rFonts w:cs="Arial"/>
        </w:rPr>
        <w:t>)</w:t>
      </w:r>
      <w:r w:rsidRPr="00E70B3A" w:rsidR="00685CA2">
        <w:rPr>
          <w:rFonts w:cs="Arial"/>
        </w:rPr>
        <w:t>/</w:t>
      </w:r>
      <w:r w:rsidRPr="00E70B3A" w:rsidR="001B510B">
        <w:rPr>
          <w:rFonts w:cs="Arial"/>
        </w:rPr>
        <w:t>Monitor Reports</w:t>
      </w:r>
      <w:r w:rsidRPr="00E70B3A" w:rsidR="00685CA2">
        <w:rPr>
          <w:rFonts w:cs="Arial"/>
        </w:rPr>
        <w:t xml:space="preserve"> Measures - Program Owners (sub-domain) </w:t>
      </w:r>
      <w:r w:rsidRPr="00E70B3A" w:rsidR="00C65E11">
        <w:rPr>
          <w:rFonts w:cs="Arial"/>
        </w:rPr>
        <w:t>- PMF</w:t>
      </w:r>
      <w:r w:rsidRPr="00E70B3A" w:rsidR="00685CA2">
        <w:rPr>
          <w:rFonts w:cs="Arial"/>
        </w:rPr>
        <w:t xml:space="preserve"> Business Rules </w:t>
      </w:r>
    </w:p>
    <w:tbl>
      <w:tblPr>
        <w:tblW w:w="14240" w:type="dxa"/>
        <w:tblLook w:val="04A0" w:firstRow="1" w:lastRow="0" w:firstColumn="1" w:lastColumn="0" w:noHBand="0" w:noVBand="1"/>
      </w:tblPr>
      <w:tblGrid>
        <w:gridCol w:w="7380"/>
        <w:gridCol w:w="1960"/>
        <w:gridCol w:w="1780"/>
        <w:gridCol w:w="3120"/>
      </w:tblGrid>
      <w:tr w:rsidRPr="00E70B3A" w:rsidR="009A39A5" w:rsidTr="00925DEE" w14:paraId="5CD3A477" w14:textId="77777777">
        <w:trPr>
          <w:trHeight w:val="480"/>
          <w:tblHeader/>
        </w:trPr>
        <w:tc>
          <w:tcPr>
            <w:tcW w:w="7380" w:type="dxa"/>
            <w:tcBorders>
              <w:top w:val="single" w:color="auto" w:sz="4" w:space="0"/>
              <w:left w:val="single" w:color="auto" w:sz="4" w:space="0"/>
              <w:bottom w:val="single" w:color="auto" w:sz="4" w:space="0"/>
              <w:right w:val="single" w:color="auto" w:sz="4" w:space="0"/>
            </w:tcBorders>
            <w:shd w:val="clear" w:color="auto" w:fill="153D64"/>
            <w:hideMark/>
          </w:tcPr>
          <w:p w:rsidRPr="00E70B3A" w:rsidR="009A39A5" w:rsidP="009A39A5" w:rsidRDefault="009A39A5" w14:paraId="696A90F9" w14:textId="77777777">
            <w:pPr>
              <w:spacing w:after="0" w:line="240" w:lineRule="auto"/>
              <w:rPr>
                <w:rFonts w:cs="Arial"/>
                <w:b/>
                <w:bCs/>
                <w:color w:val="FFFFFF"/>
                <w:sz w:val="18"/>
                <w:szCs w:val="18"/>
                <w:lang w:eastAsia="en-AU"/>
              </w:rPr>
            </w:pPr>
            <w:r w:rsidRPr="00E70B3A">
              <w:rPr>
                <w:rFonts w:cs="Arial"/>
                <w:b/>
                <w:bCs/>
                <w:color w:val="FFFFFF"/>
                <w:sz w:val="18"/>
                <w:szCs w:val="18"/>
                <w:lang w:eastAsia="en-AU"/>
              </w:rPr>
              <w:t>Key Performance Measure</w:t>
            </w:r>
          </w:p>
        </w:tc>
        <w:tc>
          <w:tcPr>
            <w:tcW w:w="1960" w:type="dxa"/>
            <w:tcBorders>
              <w:top w:val="single" w:color="auto" w:sz="4" w:space="0"/>
              <w:left w:val="nil"/>
              <w:bottom w:val="single" w:color="auto" w:sz="4" w:space="0"/>
              <w:right w:val="single" w:color="auto" w:sz="4" w:space="0"/>
            </w:tcBorders>
            <w:shd w:val="clear" w:color="000000" w:fill="153D64"/>
            <w:vAlign w:val="center"/>
            <w:hideMark/>
          </w:tcPr>
          <w:p w:rsidRPr="00E70B3A" w:rsidR="009A39A5" w:rsidP="009A39A5" w:rsidRDefault="009A39A5" w14:paraId="38489FC3" w14:textId="77777777">
            <w:pPr>
              <w:spacing w:after="0" w:line="240" w:lineRule="auto"/>
              <w:jc w:val="center"/>
              <w:rPr>
                <w:rFonts w:cs="Arial"/>
                <w:b/>
                <w:bCs/>
                <w:color w:val="FFFFFF"/>
                <w:sz w:val="18"/>
                <w:szCs w:val="18"/>
                <w:lang w:eastAsia="en-AU"/>
              </w:rPr>
            </w:pPr>
            <w:r w:rsidRPr="00E70B3A">
              <w:rPr>
                <w:rFonts w:cs="Arial"/>
                <w:b/>
                <w:bCs/>
                <w:color w:val="FFFFFF"/>
                <w:sz w:val="18"/>
                <w:szCs w:val="18"/>
                <w:lang w:eastAsia="en-AU"/>
              </w:rPr>
              <w:t>Target</w:t>
            </w:r>
          </w:p>
        </w:tc>
        <w:tc>
          <w:tcPr>
            <w:tcW w:w="1780" w:type="dxa"/>
            <w:tcBorders>
              <w:top w:val="single" w:color="auto" w:sz="4" w:space="0"/>
              <w:left w:val="nil"/>
              <w:bottom w:val="single" w:color="auto" w:sz="4" w:space="0"/>
              <w:right w:val="single" w:color="auto" w:sz="4" w:space="0"/>
            </w:tcBorders>
            <w:shd w:val="clear" w:color="000000" w:fill="153D64"/>
            <w:vAlign w:val="center"/>
            <w:hideMark/>
          </w:tcPr>
          <w:p w:rsidRPr="00E70B3A" w:rsidR="009A39A5" w:rsidP="009A39A5" w:rsidRDefault="009A39A5" w14:paraId="5525C69E" w14:textId="5D1EB149">
            <w:pPr>
              <w:spacing w:after="0" w:line="240" w:lineRule="auto"/>
              <w:jc w:val="center"/>
              <w:rPr>
                <w:rFonts w:cs="Arial"/>
                <w:b/>
                <w:bCs/>
                <w:color w:val="FFFFFF"/>
                <w:sz w:val="18"/>
                <w:szCs w:val="18"/>
                <w:lang w:eastAsia="en-AU"/>
              </w:rPr>
            </w:pPr>
            <w:r w:rsidRPr="00E70B3A">
              <w:rPr>
                <w:rFonts w:cs="Arial"/>
                <w:b/>
                <w:bCs/>
                <w:color w:val="FFFFFF"/>
                <w:sz w:val="18"/>
                <w:szCs w:val="18"/>
                <w:lang w:eastAsia="en-AU"/>
              </w:rPr>
              <w:t>Measure Owner (Sub-</w:t>
            </w:r>
            <w:r w:rsidRPr="00E70B3A" w:rsidR="00C65E11">
              <w:rPr>
                <w:rFonts w:cs="Arial"/>
                <w:b/>
                <w:bCs/>
                <w:color w:val="FFFFFF"/>
                <w:sz w:val="18"/>
                <w:szCs w:val="18"/>
                <w:lang w:eastAsia="en-AU"/>
              </w:rPr>
              <w:t>Domain)</w:t>
            </w:r>
            <w:r w:rsidRPr="00E70B3A">
              <w:rPr>
                <w:rFonts w:cs="Arial"/>
                <w:b/>
                <w:bCs/>
                <w:color w:val="FFFFFF"/>
                <w:sz w:val="18"/>
                <w:szCs w:val="18"/>
                <w:lang w:eastAsia="en-AU"/>
              </w:rPr>
              <w:t xml:space="preserve"> </w:t>
            </w:r>
          </w:p>
        </w:tc>
        <w:tc>
          <w:tcPr>
            <w:tcW w:w="3120" w:type="dxa"/>
            <w:tcBorders>
              <w:top w:val="single" w:color="auto" w:sz="4" w:space="0"/>
              <w:left w:val="nil"/>
              <w:bottom w:val="single" w:color="auto" w:sz="4" w:space="0"/>
              <w:right w:val="single" w:color="auto" w:sz="4" w:space="0"/>
            </w:tcBorders>
            <w:shd w:val="clear" w:color="000000" w:fill="153D64"/>
            <w:hideMark/>
          </w:tcPr>
          <w:p w:rsidRPr="00E70B3A" w:rsidR="009A39A5" w:rsidP="009A39A5" w:rsidRDefault="009A39A5" w14:paraId="25417FE1" w14:textId="77777777">
            <w:pPr>
              <w:spacing w:after="0" w:line="240" w:lineRule="auto"/>
              <w:rPr>
                <w:rFonts w:cs="Arial"/>
                <w:b/>
                <w:bCs/>
                <w:color w:val="FFFFFF"/>
                <w:sz w:val="18"/>
                <w:szCs w:val="18"/>
                <w:lang w:eastAsia="en-AU"/>
              </w:rPr>
            </w:pPr>
            <w:r w:rsidRPr="00E70B3A">
              <w:rPr>
                <w:rFonts w:cs="Arial"/>
                <w:b/>
                <w:bCs/>
                <w:color w:val="FFFFFF"/>
                <w:sz w:val="18"/>
                <w:szCs w:val="18"/>
                <w:lang w:eastAsia="en-AU"/>
              </w:rPr>
              <w:t xml:space="preserve">PMF Business Rules </w:t>
            </w:r>
            <w:r w:rsidRPr="00E70B3A">
              <w:rPr>
                <w:rFonts w:cs="Arial"/>
                <w:b/>
                <w:bCs/>
                <w:color w:val="FFFFFF"/>
                <w:sz w:val="18"/>
                <w:szCs w:val="18"/>
                <w:lang w:eastAsia="en-AU"/>
              </w:rPr>
              <w:br/>
            </w:r>
            <w:r w:rsidRPr="00E70B3A">
              <w:rPr>
                <w:rFonts w:cs="Arial"/>
                <w:b/>
                <w:bCs/>
                <w:color w:val="FFFFFF"/>
                <w:sz w:val="18"/>
                <w:szCs w:val="18"/>
                <w:lang w:eastAsia="en-AU"/>
              </w:rPr>
              <w:t xml:space="preserve">(Source; Reporting Frequency) </w:t>
            </w:r>
          </w:p>
        </w:tc>
      </w:tr>
      <w:tr w:rsidRPr="00E70B3A" w:rsidR="009A39A5" w:rsidTr="009A39A5" w14:paraId="48ACA123" w14:textId="77777777">
        <w:trPr>
          <w:trHeight w:val="300"/>
        </w:trPr>
        <w:tc>
          <w:tcPr>
            <w:tcW w:w="7380" w:type="dxa"/>
            <w:tcBorders>
              <w:top w:val="nil"/>
              <w:left w:val="single" w:color="auto" w:sz="4" w:space="0"/>
              <w:bottom w:val="single" w:color="auto" w:sz="4" w:space="0"/>
              <w:right w:val="single" w:color="auto" w:sz="4" w:space="0"/>
            </w:tcBorders>
            <w:shd w:val="clear" w:color="000000" w:fill="215C98"/>
            <w:hideMark/>
          </w:tcPr>
          <w:p w:rsidRPr="00E70B3A" w:rsidR="009A39A5" w:rsidP="009A39A5" w:rsidRDefault="009A39A5" w14:paraId="3E595F3E" w14:textId="77777777">
            <w:pPr>
              <w:spacing w:after="0" w:line="240" w:lineRule="auto"/>
              <w:rPr>
                <w:rFonts w:cs="Arial"/>
                <w:b/>
                <w:bCs/>
                <w:color w:val="FFFFFF"/>
                <w:sz w:val="18"/>
                <w:szCs w:val="18"/>
                <w:lang w:eastAsia="en-AU"/>
              </w:rPr>
            </w:pPr>
            <w:r w:rsidRPr="00E70B3A">
              <w:rPr>
                <w:rFonts w:cs="Arial"/>
                <w:b/>
                <w:bCs/>
                <w:color w:val="FFFFFF"/>
                <w:sz w:val="18"/>
                <w:szCs w:val="18"/>
                <w:lang w:eastAsia="en-AU"/>
              </w:rPr>
              <w:t xml:space="preserve">High Quality and Safe Care </w:t>
            </w:r>
          </w:p>
        </w:tc>
        <w:tc>
          <w:tcPr>
            <w:tcW w:w="1960" w:type="dxa"/>
            <w:tcBorders>
              <w:top w:val="nil"/>
              <w:left w:val="nil"/>
              <w:bottom w:val="single" w:color="auto" w:sz="4" w:space="0"/>
              <w:right w:val="single" w:color="auto" w:sz="4" w:space="0"/>
            </w:tcBorders>
            <w:shd w:val="clear" w:color="000000" w:fill="215C98"/>
            <w:vAlign w:val="center"/>
            <w:hideMark/>
          </w:tcPr>
          <w:p w:rsidRPr="00E70B3A" w:rsidR="009A39A5" w:rsidP="009A39A5" w:rsidRDefault="009A39A5" w14:paraId="05A7AA97" w14:textId="77777777">
            <w:pPr>
              <w:spacing w:after="0" w:line="240" w:lineRule="auto"/>
              <w:jc w:val="center"/>
              <w:rPr>
                <w:rFonts w:cs="Arial"/>
                <w:b/>
                <w:bCs/>
                <w:color w:val="FFFFFF"/>
                <w:sz w:val="18"/>
                <w:szCs w:val="18"/>
                <w:lang w:eastAsia="en-AU"/>
              </w:rPr>
            </w:pPr>
            <w:r w:rsidRPr="00E70B3A">
              <w:rPr>
                <w:rFonts w:cs="Arial"/>
                <w:b/>
                <w:bCs/>
                <w:color w:val="FFFFFF"/>
                <w:sz w:val="18"/>
                <w:szCs w:val="18"/>
                <w:lang w:eastAsia="en-AU"/>
              </w:rPr>
              <w:t> </w:t>
            </w:r>
          </w:p>
        </w:tc>
        <w:tc>
          <w:tcPr>
            <w:tcW w:w="1780" w:type="dxa"/>
            <w:tcBorders>
              <w:top w:val="nil"/>
              <w:left w:val="nil"/>
              <w:bottom w:val="single" w:color="auto" w:sz="4" w:space="0"/>
              <w:right w:val="single" w:color="auto" w:sz="4" w:space="0"/>
            </w:tcBorders>
            <w:shd w:val="clear" w:color="000000" w:fill="215C98"/>
            <w:vAlign w:val="center"/>
            <w:hideMark/>
          </w:tcPr>
          <w:p w:rsidRPr="00E70B3A" w:rsidR="009A39A5" w:rsidP="009A39A5" w:rsidRDefault="009A39A5" w14:paraId="0C4806E6" w14:textId="77777777">
            <w:pPr>
              <w:spacing w:after="0" w:line="240" w:lineRule="auto"/>
              <w:jc w:val="center"/>
              <w:rPr>
                <w:rFonts w:cs="Arial"/>
                <w:b/>
                <w:bCs/>
                <w:color w:val="FFFFFF"/>
                <w:sz w:val="18"/>
                <w:szCs w:val="18"/>
                <w:lang w:eastAsia="en-AU"/>
              </w:rPr>
            </w:pPr>
            <w:r w:rsidRPr="00E70B3A">
              <w:rPr>
                <w:rFonts w:cs="Arial"/>
                <w:b/>
                <w:bCs/>
                <w:color w:val="FFFFFF"/>
                <w:sz w:val="18"/>
                <w:szCs w:val="18"/>
                <w:lang w:eastAsia="en-AU"/>
              </w:rPr>
              <w:t> </w:t>
            </w:r>
          </w:p>
        </w:tc>
        <w:tc>
          <w:tcPr>
            <w:tcW w:w="3120" w:type="dxa"/>
            <w:tcBorders>
              <w:top w:val="nil"/>
              <w:left w:val="nil"/>
              <w:bottom w:val="single" w:color="auto" w:sz="4" w:space="0"/>
              <w:right w:val="single" w:color="auto" w:sz="4" w:space="0"/>
            </w:tcBorders>
            <w:shd w:val="clear" w:color="000000" w:fill="215C98"/>
            <w:hideMark/>
          </w:tcPr>
          <w:p w:rsidRPr="00E70B3A" w:rsidR="009A39A5" w:rsidP="009A39A5" w:rsidRDefault="009A39A5" w14:paraId="423D6731" w14:textId="77777777">
            <w:pPr>
              <w:spacing w:after="0" w:line="240" w:lineRule="auto"/>
              <w:rPr>
                <w:rFonts w:cs="Arial"/>
                <w:b/>
                <w:bCs/>
                <w:color w:val="FFFFFF"/>
                <w:sz w:val="18"/>
                <w:szCs w:val="18"/>
                <w:lang w:eastAsia="en-AU"/>
              </w:rPr>
            </w:pPr>
            <w:r w:rsidRPr="00E70B3A">
              <w:rPr>
                <w:rFonts w:cs="Arial"/>
                <w:b/>
                <w:bCs/>
                <w:color w:val="FFFFFF"/>
                <w:sz w:val="18"/>
                <w:szCs w:val="18"/>
                <w:lang w:eastAsia="en-AU"/>
              </w:rPr>
              <w:t> </w:t>
            </w:r>
          </w:p>
        </w:tc>
      </w:tr>
      <w:tr w:rsidRPr="00E70B3A" w:rsidR="009A39A5" w:rsidTr="009A39A5" w14:paraId="3FDD6F14" w14:textId="77777777">
        <w:trPr>
          <w:trHeight w:val="360"/>
        </w:trPr>
        <w:tc>
          <w:tcPr>
            <w:tcW w:w="14240" w:type="dxa"/>
            <w:gridSpan w:val="4"/>
            <w:tcBorders>
              <w:top w:val="single" w:color="auto" w:sz="4" w:space="0"/>
              <w:left w:val="single" w:color="auto" w:sz="4" w:space="0"/>
              <w:bottom w:val="single" w:color="auto" w:sz="4" w:space="0"/>
              <w:right w:val="single" w:color="auto" w:sz="4" w:space="0"/>
            </w:tcBorders>
            <w:shd w:val="clear" w:color="000000" w:fill="D9D9D9"/>
            <w:hideMark/>
          </w:tcPr>
          <w:p w:rsidRPr="00E70B3A" w:rsidR="009A39A5" w:rsidP="009A39A5" w:rsidRDefault="009A39A5" w14:paraId="21AE897E" w14:textId="77777777">
            <w:pPr>
              <w:spacing w:after="0" w:line="240" w:lineRule="auto"/>
              <w:rPr>
                <w:rFonts w:cs="Arial"/>
                <w:b/>
                <w:bCs/>
                <w:color w:val="000000"/>
                <w:sz w:val="18"/>
                <w:szCs w:val="18"/>
                <w:lang w:eastAsia="en-AU"/>
              </w:rPr>
            </w:pPr>
            <w:r w:rsidRPr="00E70B3A">
              <w:rPr>
                <w:rFonts w:cs="Arial"/>
                <w:b/>
                <w:bCs/>
                <w:color w:val="000000"/>
                <w:sz w:val="18"/>
                <w:szCs w:val="18"/>
                <w:lang w:eastAsia="en-AU"/>
              </w:rPr>
              <w:t>Infection prevention and control</w:t>
            </w:r>
          </w:p>
        </w:tc>
      </w:tr>
      <w:tr w:rsidRPr="00E70B3A" w:rsidR="009A39A5" w:rsidTr="009A39A5" w14:paraId="421C2A52" w14:textId="77777777">
        <w:trPr>
          <w:trHeight w:val="780"/>
        </w:trPr>
        <w:tc>
          <w:tcPr>
            <w:tcW w:w="7380" w:type="dxa"/>
            <w:tcBorders>
              <w:top w:val="nil"/>
              <w:left w:val="single" w:color="auto" w:sz="4" w:space="0"/>
              <w:bottom w:val="single" w:color="auto" w:sz="4" w:space="0"/>
              <w:right w:val="single" w:color="auto" w:sz="4" w:space="0"/>
            </w:tcBorders>
            <w:hideMark/>
          </w:tcPr>
          <w:p w:rsidR="009A39A5" w:rsidP="009A39A5" w:rsidRDefault="009A39A5" w14:paraId="4FC71A21" w14:textId="77777777">
            <w:pPr>
              <w:spacing w:after="0" w:line="240" w:lineRule="auto"/>
              <w:rPr>
                <w:rFonts w:cs="Arial"/>
                <w:color w:val="000000"/>
                <w:sz w:val="18"/>
                <w:szCs w:val="18"/>
                <w:lang w:eastAsia="en-AU"/>
              </w:rPr>
            </w:pPr>
            <w:r w:rsidRPr="00E70B3A">
              <w:rPr>
                <w:rFonts w:cs="Arial"/>
                <w:color w:val="000000"/>
                <w:sz w:val="18"/>
                <w:szCs w:val="18"/>
                <w:lang w:eastAsia="en-AU"/>
              </w:rPr>
              <w:t>Percentage of healthcare workers immunised for influenza</w:t>
            </w:r>
          </w:p>
          <w:p w:rsidR="003F6FB0" w:rsidP="003F6FB0" w:rsidRDefault="003F6FB0" w14:paraId="1ACF50C3" w14:textId="1E5A02C3">
            <w:pPr>
              <w:tabs>
                <w:tab w:val="left" w:pos="5430"/>
              </w:tabs>
              <w:rPr>
                <w:rFonts w:cs="Arial"/>
                <w:color w:val="000000"/>
                <w:sz w:val="18"/>
                <w:szCs w:val="18"/>
                <w:lang w:eastAsia="en-AU"/>
              </w:rPr>
            </w:pPr>
            <w:r>
              <w:rPr>
                <w:rFonts w:cs="Arial"/>
                <w:color w:val="000000"/>
                <w:sz w:val="18"/>
                <w:szCs w:val="18"/>
                <w:lang w:eastAsia="en-AU"/>
              </w:rPr>
              <w:tab/>
            </w:r>
          </w:p>
          <w:p w:rsidRPr="003F6FB0" w:rsidR="003F6FB0" w:rsidP="003F6FB0" w:rsidRDefault="003F6FB0" w14:paraId="2CFB36F9" w14:textId="77777777">
            <w:pPr>
              <w:rPr>
                <w:rFonts w:cs="Arial"/>
                <w:sz w:val="18"/>
                <w:szCs w:val="18"/>
                <w:lang w:eastAsia="en-AU"/>
              </w:rPr>
            </w:pP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3C78A6BB"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94%</w:t>
            </w:r>
          </w:p>
        </w:tc>
        <w:tc>
          <w:tcPr>
            <w:tcW w:w="1780" w:type="dxa"/>
            <w:tcBorders>
              <w:top w:val="nil"/>
              <w:left w:val="nil"/>
              <w:bottom w:val="nil"/>
              <w:right w:val="nil"/>
            </w:tcBorders>
            <w:vAlign w:val="center"/>
            <w:hideMark/>
          </w:tcPr>
          <w:p w:rsidRPr="00E70B3A" w:rsidR="009A39A5" w:rsidP="009A39A5" w:rsidRDefault="009A39A5" w14:paraId="7BA11737"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Safer Care Victoria</w:t>
            </w:r>
          </w:p>
        </w:tc>
        <w:tc>
          <w:tcPr>
            <w:tcW w:w="3120" w:type="dxa"/>
            <w:tcBorders>
              <w:top w:val="nil"/>
              <w:left w:val="single" w:color="auto" w:sz="4" w:space="0"/>
              <w:bottom w:val="single" w:color="auto" w:sz="4" w:space="0"/>
              <w:right w:val="single" w:color="auto" w:sz="4" w:space="0"/>
            </w:tcBorders>
            <w:hideMark/>
          </w:tcPr>
          <w:p w:rsidRPr="00E70B3A" w:rsidR="009A39A5" w:rsidP="009A39A5" w:rsidRDefault="009A39A5" w14:paraId="6E049D87" w14:textId="77777777">
            <w:pPr>
              <w:spacing w:after="0" w:line="240" w:lineRule="auto"/>
              <w:rPr>
                <w:rFonts w:cs="Arial"/>
                <w:color w:val="000000"/>
                <w:sz w:val="18"/>
                <w:szCs w:val="18"/>
                <w:lang w:eastAsia="en-AU"/>
              </w:rPr>
            </w:pPr>
            <w:r w:rsidRPr="00E70B3A">
              <w:rPr>
                <w:rFonts w:cs="Arial"/>
                <w:color w:val="000000"/>
                <w:sz w:val="18"/>
                <w:szCs w:val="18"/>
                <w:lang w:eastAsia="en-AU"/>
              </w:rPr>
              <w:t>Victorian Nosocomial Infection Surveillance System (VICNISS); reported in Q1</w:t>
            </w:r>
          </w:p>
        </w:tc>
      </w:tr>
      <w:tr w:rsidRPr="00E70B3A" w:rsidR="009A39A5" w:rsidTr="009A39A5" w14:paraId="3741670A" w14:textId="77777777">
        <w:trPr>
          <w:trHeight w:val="300"/>
        </w:trPr>
        <w:tc>
          <w:tcPr>
            <w:tcW w:w="14240" w:type="dxa"/>
            <w:gridSpan w:val="4"/>
            <w:tcBorders>
              <w:top w:val="single" w:color="auto" w:sz="4" w:space="0"/>
              <w:left w:val="single" w:color="auto" w:sz="4" w:space="0"/>
              <w:bottom w:val="single" w:color="auto" w:sz="4" w:space="0"/>
              <w:right w:val="single" w:color="auto" w:sz="4" w:space="0"/>
            </w:tcBorders>
            <w:shd w:val="clear" w:color="000000" w:fill="D9D9D9"/>
            <w:hideMark/>
          </w:tcPr>
          <w:p w:rsidRPr="00E70B3A" w:rsidR="009A39A5" w:rsidP="009A39A5" w:rsidRDefault="009A39A5" w14:paraId="4D906361" w14:textId="77777777">
            <w:pPr>
              <w:spacing w:after="0" w:line="240" w:lineRule="auto"/>
              <w:rPr>
                <w:rFonts w:cs="Arial"/>
                <w:b/>
                <w:bCs/>
                <w:color w:val="000000"/>
                <w:sz w:val="18"/>
                <w:szCs w:val="18"/>
                <w:lang w:eastAsia="en-AU"/>
              </w:rPr>
            </w:pPr>
            <w:r w:rsidRPr="00E70B3A">
              <w:rPr>
                <w:rFonts w:cs="Arial"/>
                <w:b/>
                <w:bCs/>
                <w:color w:val="000000"/>
                <w:sz w:val="18"/>
                <w:szCs w:val="18"/>
                <w:lang w:eastAsia="en-AU"/>
              </w:rPr>
              <w:t>Adverse events</w:t>
            </w:r>
          </w:p>
        </w:tc>
      </w:tr>
      <w:tr w:rsidRPr="00E70B3A" w:rsidR="009A39A5" w:rsidTr="009A39A5" w14:paraId="3DB64056" w14:textId="77777777">
        <w:trPr>
          <w:trHeight w:val="540"/>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631ACC90" w14:textId="77777777">
            <w:pPr>
              <w:spacing w:after="0" w:line="240" w:lineRule="auto"/>
              <w:rPr>
                <w:rFonts w:cs="Arial"/>
                <w:color w:val="000000"/>
                <w:sz w:val="18"/>
                <w:szCs w:val="18"/>
                <w:lang w:eastAsia="en-AU"/>
              </w:rPr>
            </w:pPr>
            <w:r w:rsidRPr="00E70B3A">
              <w:rPr>
                <w:rFonts w:cs="Arial"/>
                <w:color w:val="000000"/>
                <w:sz w:val="18"/>
                <w:szCs w:val="18"/>
                <w:lang w:eastAsia="en-AU"/>
              </w:rPr>
              <w:t>Percentage of reported sentinel events for which a root cause analysis report (RCA) or similar approved methodology, was submitted within 30 business days from notification of the event</w:t>
            </w: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162699AA"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100%</w:t>
            </w:r>
          </w:p>
        </w:tc>
        <w:tc>
          <w:tcPr>
            <w:tcW w:w="1780" w:type="dxa"/>
            <w:tcBorders>
              <w:top w:val="nil"/>
              <w:left w:val="nil"/>
              <w:bottom w:val="nil"/>
              <w:right w:val="nil"/>
            </w:tcBorders>
            <w:vAlign w:val="center"/>
            <w:hideMark/>
          </w:tcPr>
          <w:p w:rsidRPr="00E70B3A" w:rsidR="009A39A5" w:rsidP="009A39A5" w:rsidRDefault="009A39A5" w14:paraId="61E1D111"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Safer Care Victoria</w:t>
            </w:r>
          </w:p>
        </w:tc>
        <w:tc>
          <w:tcPr>
            <w:tcW w:w="3120" w:type="dxa"/>
            <w:tcBorders>
              <w:top w:val="nil"/>
              <w:left w:val="single" w:color="auto" w:sz="4" w:space="0"/>
              <w:bottom w:val="single" w:color="auto" w:sz="4" w:space="0"/>
              <w:right w:val="single" w:color="auto" w:sz="4" w:space="0"/>
            </w:tcBorders>
            <w:hideMark/>
          </w:tcPr>
          <w:p w:rsidRPr="00E70B3A" w:rsidR="009A39A5" w:rsidP="009A39A5" w:rsidRDefault="009A39A5" w14:paraId="2F1E6FDD" w14:textId="77777777">
            <w:pPr>
              <w:spacing w:after="0" w:line="240" w:lineRule="auto"/>
              <w:rPr>
                <w:rFonts w:cs="Arial"/>
                <w:color w:val="000000"/>
                <w:sz w:val="18"/>
                <w:szCs w:val="18"/>
                <w:lang w:eastAsia="en-AU"/>
              </w:rPr>
            </w:pPr>
            <w:r w:rsidRPr="00E70B3A">
              <w:rPr>
                <w:rFonts w:cs="Arial"/>
                <w:color w:val="000000"/>
                <w:sz w:val="18"/>
                <w:szCs w:val="18"/>
                <w:lang w:eastAsia="en-AU"/>
              </w:rPr>
              <w:t xml:space="preserve">SCV Sentinel event data collection; quarterly and annually </w:t>
            </w:r>
          </w:p>
        </w:tc>
      </w:tr>
      <w:tr w:rsidRPr="00E70B3A" w:rsidR="009A39A5" w:rsidTr="009A39A5" w14:paraId="04B098BF" w14:textId="77777777">
        <w:trPr>
          <w:trHeight w:val="300"/>
        </w:trPr>
        <w:tc>
          <w:tcPr>
            <w:tcW w:w="14240" w:type="dxa"/>
            <w:gridSpan w:val="4"/>
            <w:tcBorders>
              <w:top w:val="single" w:color="auto" w:sz="4" w:space="0"/>
              <w:left w:val="single" w:color="auto" w:sz="4" w:space="0"/>
              <w:bottom w:val="single" w:color="auto" w:sz="4" w:space="0"/>
              <w:right w:val="single" w:color="auto" w:sz="4" w:space="0"/>
            </w:tcBorders>
            <w:shd w:val="clear" w:color="000000" w:fill="D9D9D9"/>
            <w:hideMark/>
          </w:tcPr>
          <w:p w:rsidRPr="00E70B3A" w:rsidR="009A39A5" w:rsidP="009A39A5" w:rsidRDefault="009A39A5" w14:paraId="13CEEEEC" w14:textId="77777777">
            <w:pPr>
              <w:spacing w:after="0" w:line="240" w:lineRule="auto"/>
              <w:rPr>
                <w:rFonts w:cs="Arial"/>
                <w:b/>
                <w:bCs/>
                <w:color w:val="000000"/>
                <w:sz w:val="18"/>
                <w:szCs w:val="18"/>
                <w:lang w:eastAsia="en-AU"/>
              </w:rPr>
            </w:pPr>
            <w:r w:rsidRPr="00E70B3A">
              <w:rPr>
                <w:rFonts w:cs="Arial"/>
                <w:b/>
                <w:bCs/>
                <w:color w:val="000000"/>
                <w:sz w:val="18"/>
                <w:szCs w:val="18"/>
                <w:lang w:eastAsia="en-AU"/>
              </w:rPr>
              <w:t>Aged care</w:t>
            </w:r>
          </w:p>
        </w:tc>
      </w:tr>
      <w:tr w:rsidRPr="00E70B3A" w:rsidR="009A39A5" w:rsidTr="009A39A5" w14:paraId="2241F21B" w14:textId="77777777">
        <w:trPr>
          <w:trHeight w:val="720"/>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05E09608" w14:textId="77777777">
            <w:pPr>
              <w:spacing w:after="0" w:line="240" w:lineRule="auto"/>
              <w:rPr>
                <w:rFonts w:cs="Arial"/>
                <w:color w:val="000000"/>
                <w:sz w:val="18"/>
                <w:szCs w:val="18"/>
                <w:lang w:eastAsia="en-AU"/>
              </w:rPr>
            </w:pPr>
            <w:r w:rsidRPr="00E70B3A">
              <w:rPr>
                <w:rFonts w:cs="Arial"/>
                <w:color w:val="000000"/>
                <w:sz w:val="18"/>
                <w:szCs w:val="18"/>
                <w:lang w:eastAsia="en-AU"/>
              </w:rPr>
              <w:t>Public Sector Residential Aged Care Services (PSRACS) overall star rating (≥ 3 stars)</w:t>
            </w: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13E85EB1"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100%</w:t>
            </w:r>
          </w:p>
        </w:tc>
        <w:tc>
          <w:tcPr>
            <w:tcW w:w="1780" w:type="dxa"/>
            <w:tcBorders>
              <w:top w:val="nil"/>
              <w:left w:val="nil"/>
              <w:bottom w:val="single" w:color="auto" w:sz="4" w:space="0"/>
              <w:right w:val="single" w:color="auto" w:sz="4" w:space="0"/>
            </w:tcBorders>
            <w:vAlign w:val="center"/>
            <w:hideMark/>
          </w:tcPr>
          <w:p w:rsidRPr="00E70B3A" w:rsidR="009A39A5" w:rsidP="009A39A5" w:rsidRDefault="009A39A5" w14:paraId="54855F1A"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HSRP, Aged Care &amp; System Priorities</w:t>
            </w:r>
          </w:p>
        </w:tc>
        <w:tc>
          <w:tcPr>
            <w:tcW w:w="3120" w:type="dxa"/>
            <w:tcBorders>
              <w:top w:val="nil"/>
              <w:left w:val="nil"/>
              <w:bottom w:val="single" w:color="auto" w:sz="4" w:space="0"/>
              <w:right w:val="single" w:color="auto" w:sz="4" w:space="0"/>
            </w:tcBorders>
            <w:hideMark/>
          </w:tcPr>
          <w:p w:rsidRPr="00E70B3A" w:rsidR="009A39A5" w:rsidP="009A39A5" w:rsidRDefault="009A39A5" w14:paraId="1B9E4822" w14:textId="77777777">
            <w:pPr>
              <w:spacing w:after="0" w:line="240" w:lineRule="auto"/>
              <w:rPr>
                <w:rFonts w:cs="Arial"/>
                <w:color w:val="000000"/>
                <w:sz w:val="18"/>
                <w:szCs w:val="18"/>
                <w:lang w:eastAsia="en-AU"/>
              </w:rPr>
            </w:pPr>
            <w:r w:rsidRPr="00E70B3A">
              <w:rPr>
                <w:rFonts w:cs="Arial"/>
                <w:color w:val="000000"/>
                <w:sz w:val="18"/>
                <w:szCs w:val="18"/>
                <w:lang w:eastAsia="en-AU"/>
              </w:rPr>
              <w:t xml:space="preserve">Australian Institute of Health and Welfare – GEN Aged care Star Ratings; quarterly </w:t>
            </w:r>
          </w:p>
        </w:tc>
      </w:tr>
      <w:tr w:rsidRPr="00E70B3A" w:rsidR="009A39A5" w:rsidTr="009A39A5" w14:paraId="1378FED8" w14:textId="77777777">
        <w:trPr>
          <w:trHeight w:val="300"/>
        </w:trPr>
        <w:tc>
          <w:tcPr>
            <w:tcW w:w="14240" w:type="dxa"/>
            <w:gridSpan w:val="4"/>
            <w:tcBorders>
              <w:top w:val="single" w:color="auto" w:sz="4" w:space="0"/>
              <w:left w:val="single" w:color="auto" w:sz="4" w:space="0"/>
              <w:bottom w:val="single" w:color="auto" w:sz="4" w:space="0"/>
              <w:right w:val="single" w:color="auto" w:sz="4" w:space="0"/>
            </w:tcBorders>
            <w:shd w:val="clear" w:color="000000" w:fill="D9D9D9"/>
            <w:hideMark/>
          </w:tcPr>
          <w:p w:rsidRPr="00E70B3A" w:rsidR="009A39A5" w:rsidP="009A39A5" w:rsidRDefault="009A39A5" w14:paraId="56F1C0A9" w14:textId="77777777">
            <w:pPr>
              <w:spacing w:after="0" w:line="240" w:lineRule="auto"/>
              <w:rPr>
                <w:rFonts w:cs="Arial"/>
                <w:b/>
                <w:bCs/>
                <w:color w:val="000000"/>
                <w:sz w:val="18"/>
                <w:szCs w:val="18"/>
                <w:lang w:eastAsia="en-AU"/>
              </w:rPr>
            </w:pPr>
            <w:r w:rsidRPr="00E70B3A">
              <w:rPr>
                <w:rFonts w:cs="Arial"/>
                <w:b/>
                <w:bCs/>
                <w:color w:val="000000"/>
                <w:sz w:val="18"/>
                <w:szCs w:val="18"/>
                <w:lang w:eastAsia="en-AU"/>
              </w:rPr>
              <w:t>Patient experience</w:t>
            </w:r>
          </w:p>
        </w:tc>
      </w:tr>
      <w:tr w:rsidRPr="00E70B3A" w:rsidR="009A39A5" w:rsidTr="009A39A5" w14:paraId="232F1091" w14:textId="77777777">
        <w:trPr>
          <w:trHeight w:val="555"/>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23D56A14" w14:textId="77777777">
            <w:pPr>
              <w:spacing w:after="0" w:line="240" w:lineRule="auto"/>
              <w:rPr>
                <w:rFonts w:cs="Arial"/>
                <w:color w:val="000000"/>
                <w:sz w:val="18"/>
                <w:szCs w:val="18"/>
                <w:lang w:eastAsia="en-AU"/>
              </w:rPr>
            </w:pPr>
            <w:r w:rsidRPr="00E70B3A">
              <w:rPr>
                <w:rFonts w:cs="Arial"/>
                <w:color w:val="000000"/>
                <w:sz w:val="18"/>
                <w:szCs w:val="18"/>
                <w:lang w:eastAsia="en-AU"/>
              </w:rPr>
              <w:t>Percentage of patients who reported positive experiences of their hospital stay</w:t>
            </w: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4D53514A"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95%</w:t>
            </w:r>
          </w:p>
        </w:tc>
        <w:tc>
          <w:tcPr>
            <w:tcW w:w="1780" w:type="dxa"/>
            <w:tcBorders>
              <w:top w:val="nil"/>
              <w:left w:val="nil"/>
              <w:bottom w:val="single" w:color="auto" w:sz="4" w:space="0"/>
              <w:right w:val="single" w:color="auto" w:sz="4" w:space="0"/>
            </w:tcBorders>
            <w:vAlign w:val="center"/>
            <w:hideMark/>
          </w:tcPr>
          <w:p w:rsidRPr="00E70B3A" w:rsidR="009A39A5" w:rsidP="009A39A5" w:rsidRDefault="009A39A5" w14:paraId="10625D6D"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Safer Care Victoria</w:t>
            </w:r>
          </w:p>
        </w:tc>
        <w:tc>
          <w:tcPr>
            <w:tcW w:w="3120" w:type="dxa"/>
            <w:tcBorders>
              <w:top w:val="nil"/>
              <w:left w:val="nil"/>
              <w:bottom w:val="single" w:color="auto" w:sz="4" w:space="0"/>
              <w:right w:val="single" w:color="auto" w:sz="4" w:space="0"/>
            </w:tcBorders>
            <w:hideMark/>
          </w:tcPr>
          <w:p w:rsidRPr="00E70B3A" w:rsidR="009A39A5" w:rsidP="009A39A5" w:rsidRDefault="009A39A5" w14:paraId="28A6D466" w14:textId="77777777">
            <w:pPr>
              <w:spacing w:after="0" w:line="240" w:lineRule="auto"/>
              <w:rPr>
                <w:rFonts w:cs="Arial"/>
                <w:color w:val="000000"/>
                <w:sz w:val="18"/>
                <w:szCs w:val="18"/>
                <w:lang w:eastAsia="en-AU"/>
              </w:rPr>
            </w:pPr>
            <w:r w:rsidRPr="00E70B3A">
              <w:rPr>
                <w:rFonts w:cs="Arial"/>
                <w:color w:val="000000"/>
                <w:sz w:val="18"/>
                <w:szCs w:val="18"/>
                <w:lang w:eastAsia="en-AU"/>
              </w:rPr>
              <w:t>Victorian Healthcare Experience Survey (VHES); quarterly</w:t>
            </w:r>
          </w:p>
        </w:tc>
      </w:tr>
      <w:tr w:rsidRPr="00E70B3A" w:rsidR="009A39A5" w:rsidTr="009A39A5" w14:paraId="6574E441" w14:textId="77777777">
        <w:trPr>
          <w:trHeight w:val="300"/>
        </w:trPr>
        <w:tc>
          <w:tcPr>
            <w:tcW w:w="14240" w:type="dxa"/>
            <w:gridSpan w:val="4"/>
            <w:tcBorders>
              <w:top w:val="single" w:color="auto" w:sz="4" w:space="0"/>
              <w:left w:val="single" w:color="auto" w:sz="4" w:space="0"/>
              <w:bottom w:val="single" w:color="auto" w:sz="4" w:space="0"/>
              <w:right w:val="single" w:color="auto" w:sz="4" w:space="0"/>
            </w:tcBorders>
            <w:shd w:val="clear" w:color="000000" w:fill="D9D9D9"/>
            <w:hideMark/>
          </w:tcPr>
          <w:p w:rsidRPr="00E70B3A" w:rsidR="009A39A5" w:rsidP="009A39A5" w:rsidRDefault="009A39A5" w14:paraId="5F9B5767" w14:textId="77777777">
            <w:pPr>
              <w:spacing w:after="0" w:line="240" w:lineRule="auto"/>
              <w:rPr>
                <w:rFonts w:cs="Arial"/>
                <w:b/>
                <w:bCs/>
                <w:color w:val="000000"/>
                <w:sz w:val="18"/>
                <w:szCs w:val="18"/>
                <w:lang w:eastAsia="en-AU"/>
              </w:rPr>
            </w:pPr>
            <w:r w:rsidRPr="00E70B3A">
              <w:rPr>
                <w:rFonts w:cs="Arial"/>
                <w:b/>
                <w:bCs/>
                <w:color w:val="000000"/>
                <w:sz w:val="18"/>
                <w:szCs w:val="18"/>
                <w:lang w:eastAsia="en-AU"/>
              </w:rPr>
              <w:t>Aboriginal Health</w:t>
            </w:r>
          </w:p>
        </w:tc>
      </w:tr>
      <w:tr w:rsidRPr="00E70B3A" w:rsidR="009A39A5" w:rsidTr="009A39A5" w14:paraId="090FBE1C" w14:textId="77777777">
        <w:trPr>
          <w:trHeight w:val="720"/>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506589A6" w14:textId="77777777">
            <w:pPr>
              <w:spacing w:after="0" w:line="240" w:lineRule="auto"/>
              <w:rPr>
                <w:rFonts w:cs="Arial"/>
                <w:color w:val="000000"/>
                <w:sz w:val="18"/>
                <w:szCs w:val="18"/>
                <w:lang w:eastAsia="en-AU"/>
              </w:rPr>
            </w:pPr>
            <w:r w:rsidRPr="00E70B3A">
              <w:rPr>
                <w:rFonts w:cs="Arial"/>
                <w:color w:val="000000"/>
                <w:sz w:val="18"/>
                <w:szCs w:val="18"/>
                <w:lang w:eastAsia="en-AU"/>
              </w:rPr>
              <w:t>Difference between the percentage of patients who left against medical advice between Aboriginal and Torres Strait Islander people compared with non-Aboriginal and Torres Strait Islander people</w:t>
            </w: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625E7EB1"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0%</w:t>
            </w:r>
          </w:p>
        </w:tc>
        <w:tc>
          <w:tcPr>
            <w:tcW w:w="1780" w:type="dxa"/>
            <w:vMerge w:val="restart"/>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5E2F40E3"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 xml:space="preserve">Aboriginal Health </w:t>
            </w:r>
          </w:p>
        </w:tc>
        <w:tc>
          <w:tcPr>
            <w:tcW w:w="3120" w:type="dxa"/>
            <w:tcBorders>
              <w:top w:val="nil"/>
              <w:left w:val="nil"/>
              <w:bottom w:val="single" w:color="auto" w:sz="4" w:space="0"/>
              <w:right w:val="single" w:color="auto" w:sz="4" w:space="0"/>
            </w:tcBorders>
            <w:vAlign w:val="center"/>
            <w:hideMark/>
          </w:tcPr>
          <w:p w:rsidRPr="00E70B3A" w:rsidR="009A39A5" w:rsidP="009A39A5" w:rsidRDefault="009A39A5" w14:paraId="55D93694" w14:textId="77777777">
            <w:pPr>
              <w:spacing w:after="0" w:line="240" w:lineRule="auto"/>
              <w:rPr>
                <w:rFonts w:cs="Arial"/>
                <w:color w:val="000000"/>
                <w:sz w:val="18"/>
                <w:szCs w:val="18"/>
                <w:lang w:eastAsia="en-AU"/>
              </w:rPr>
            </w:pPr>
            <w:r w:rsidRPr="00E70B3A">
              <w:rPr>
                <w:rFonts w:cs="Arial"/>
                <w:color w:val="000000"/>
                <w:sz w:val="18"/>
                <w:szCs w:val="18"/>
                <w:lang w:eastAsia="en-AU"/>
              </w:rPr>
              <w:t xml:space="preserve">Victorian Admitted Episodes Dataset (VAED); quarterly </w:t>
            </w:r>
          </w:p>
        </w:tc>
      </w:tr>
      <w:tr w:rsidRPr="00E70B3A" w:rsidR="009A39A5" w:rsidTr="009A39A5" w14:paraId="23726FC8" w14:textId="77777777">
        <w:trPr>
          <w:trHeight w:val="810"/>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3BFCF2B1" w14:textId="77777777">
            <w:pPr>
              <w:spacing w:after="0" w:line="240" w:lineRule="auto"/>
              <w:rPr>
                <w:rFonts w:cs="Arial"/>
                <w:color w:val="000000"/>
                <w:sz w:val="18"/>
                <w:szCs w:val="18"/>
                <w:lang w:eastAsia="en-AU"/>
              </w:rPr>
            </w:pPr>
            <w:r w:rsidRPr="00E70B3A">
              <w:rPr>
                <w:rFonts w:cs="Arial"/>
                <w:color w:val="000000"/>
                <w:sz w:val="18"/>
                <w:szCs w:val="18"/>
                <w:lang w:eastAsia="en-AU"/>
              </w:rPr>
              <w:t>Difference between the percentage of Aboriginal or Torres Strait Islander patients and non-Aboriginal or Torres Strait Islander patients presenting to ED who did not wait to be treated</w:t>
            </w: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71F744D1"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0%</w:t>
            </w:r>
          </w:p>
        </w:tc>
        <w:tc>
          <w:tcPr>
            <w:tcW w:w="1780" w:type="dxa"/>
            <w:vMerge/>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361801EF" w14:textId="77777777">
            <w:pPr>
              <w:spacing w:after="0" w:line="240" w:lineRule="auto"/>
              <w:rPr>
                <w:rFonts w:cs="Arial"/>
                <w:color w:val="000000"/>
                <w:sz w:val="18"/>
                <w:szCs w:val="18"/>
                <w:lang w:eastAsia="en-AU"/>
              </w:rPr>
            </w:pPr>
          </w:p>
        </w:tc>
        <w:tc>
          <w:tcPr>
            <w:tcW w:w="3120" w:type="dxa"/>
            <w:tcBorders>
              <w:top w:val="nil"/>
              <w:left w:val="nil"/>
              <w:bottom w:val="single" w:color="auto" w:sz="4" w:space="0"/>
              <w:right w:val="single" w:color="auto" w:sz="4" w:space="0"/>
            </w:tcBorders>
            <w:vAlign w:val="center"/>
            <w:hideMark/>
          </w:tcPr>
          <w:p w:rsidRPr="00E70B3A" w:rsidR="009A39A5" w:rsidP="009A39A5" w:rsidRDefault="009A39A5" w14:paraId="51FBE7E8" w14:textId="77777777">
            <w:pPr>
              <w:spacing w:after="0" w:line="240" w:lineRule="auto"/>
              <w:rPr>
                <w:rFonts w:cs="Arial"/>
                <w:color w:val="000000"/>
                <w:sz w:val="18"/>
                <w:szCs w:val="18"/>
                <w:lang w:eastAsia="en-AU"/>
              </w:rPr>
            </w:pPr>
            <w:r w:rsidRPr="00E70B3A">
              <w:rPr>
                <w:rFonts w:cs="Arial"/>
                <w:color w:val="000000"/>
                <w:sz w:val="18"/>
                <w:szCs w:val="18"/>
                <w:lang w:eastAsia="en-AU"/>
              </w:rPr>
              <w:t xml:space="preserve">Victorian Emergency Minimum Dataset (VEMD); quarterly </w:t>
            </w:r>
          </w:p>
          <w:p w:rsidRPr="00E70B3A" w:rsidR="00F3031A" w:rsidP="009A39A5" w:rsidRDefault="00F3031A" w14:paraId="3E44DA83" w14:textId="77777777">
            <w:pPr>
              <w:spacing w:after="0" w:line="240" w:lineRule="auto"/>
              <w:rPr>
                <w:rFonts w:cs="Arial"/>
                <w:color w:val="000000"/>
                <w:sz w:val="18"/>
                <w:szCs w:val="18"/>
                <w:lang w:eastAsia="en-AU"/>
              </w:rPr>
            </w:pPr>
          </w:p>
          <w:p w:rsidRPr="00E70B3A" w:rsidR="00F3031A" w:rsidP="009A39A5" w:rsidRDefault="00F3031A" w14:paraId="26109370" w14:textId="77777777">
            <w:pPr>
              <w:spacing w:after="0" w:line="240" w:lineRule="auto"/>
              <w:rPr>
                <w:rFonts w:cs="Arial"/>
                <w:color w:val="000000"/>
                <w:sz w:val="18"/>
                <w:szCs w:val="18"/>
                <w:lang w:eastAsia="en-AU"/>
              </w:rPr>
            </w:pPr>
          </w:p>
          <w:p w:rsidRPr="00E70B3A" w:rsidR="00F3031A" w:rsidP="009A39A5" w:rsidRDefault="00F3031A" w14:paraId="25536A8C" w14:textId="77777777">
            <w:pPr>
              <w:spacing w:after="0" w:line="240" w:lineRule="auto"/>
              <w:rPr>
                <w:rFonts w:cs="Arial"/>
                <w:color w:val="000000"/>
                <w:sz w:val="18"/>
                <w:szCs w:val="18"/>
                <w:lang w:eastAsia="en-AU"/>
              </w:rPr>
            </w:pPr>
          </w:p>
          <w:p w:rsidRPr="00E70B3A" w:rsidR="00F3031A" w:rsidP="009A39A5" w:rsidRDefault="00F3031A" w14:paraId="520EF8FA" w14:textId="77777777">
            <w:pPr>
              <w:spacing w:after="0" w:line="240" w:lineRule="auto"/>
              <w:rPr>
                <w:rFonts w:cs="Arial"/>
                <w:color w:val="000000"/>
                <w:sz w:val="18"/>
                <w:szCs w:val="18"/>
                <w:lang w:eastAsia="en-AU"/>
              </w:rPr>
            </w:pPr>
          </w:p>
        </w:tc>
      </w:tr>
      <w:tr w:rsidRPr="00E70B3A" w:rsidR="009A39A5" w:rsidTr="009A39A5" w14:paraId="7125CA2D" w14:textId="77777777">
        <w:trPr>
          <w:trHeight w:val="330"/>
        </w:trPr>
        <w:tc>
          <w:tcPr>
            <w:tcW w:w="14240" w:type="dxa"/>
            <w:gridSpan w:val="4"/>
            <w:tcBorders>
              <w:top w:val="single" w:color="auto" w:sz="4" w:space="0"/>
              <w:left w:val="single" w:color="auto" w:sz="4" w:space="0"/>
              <w:bottom w:val="single" w:color="auto" w:sz="4" w:space="0"/>
              <w:right w:val="single" w:color="auto" w:sz="4" w:space="0"/>
            </w:tcBorders>
            <w:shd w:val="clear" w:color="000000" w:fill="D9D9D9"/>
            <w:hideMark/>
          </w:tcPr>
          <w:p w:rsidRPr="00E70B3A" w:rsidR="009A39A5" w:rsidP="009A39A5" w:rsidRDefault="009A39A5" w14:paraId="783700C7" w14:textId="77777777">
            <w:pPr>
              <w:spacing w:after="0" w:line="240" w:lineRule="auto"/>
              <w:rPr>
                <w:rFonts w:cs="Arial"/>
                <w:b/>
                <w:bCs/>
                <w:color w:val="000000"/>
                <w:sz w:val="18"/>
                <w:szCs w:val="18"/>
                <w:lang w:eastAsia="en-AU"/>
              </w:rPr>
            </w:pPr>
            <w:r w:rsidRPr="00E70B3A">
              <w:rPr>
                <w:rFonts w:cs="Arial"/>
                <w:b/>
                <w:bCs/>
                <w:color w:val="000000"/>
                <w:sz w:val="18"/>
                <w:szCs w:val="18"/>
                <w:lang w:eastAsia="en-AU"/>
              </w:rPr>
              <w:t>Mental Health Patient Experience</w:t>
            </w:r>
          </w:p>
        </w:tc>
      </w:tr>
      <w:tr w:rsidRPr="00E70B3A" w:rsidR="009A39A5" w:rsidTr="009A39A5" w14:paraId="543C662A" w14:textId="77777777">
        <w:trPr>
          <w:trHeight w:val="480"/>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51CA122A" w14:textId="77777777">
            <w:pPr>
              <w:spacing w:after="0" w:line="240" w:lineRule="auto"/>
              <w:rPr>
                <w:rFonts w:cs="Arial"/>
                <w:color w:val="000000"/>
                <w:sz w:val="18"/>
                <w:szCs w:val="18"/>
                <w:lang w:eastAsia="en-AU"/>
              </w:rPr>
            </w:pPr>
            <w:r w:rsidRPr="00E70B3A">
              <w:rPr>
                <w:rFonts w:cs="Arial"/>
                <w:color w:val="000000"/>
                <w:sz w:val="18"/>
                <w:szCs w:val="18"/>
                <w:lang w:eastAsia="en-AU"/>
              </w:rPr>
              <w:t>Percentage of consumers who rated their overall experience with a service in the last three months as positive</w:t>
            </w: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5027ABCD"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80%</w:t>
            </w:r>
          </w:p>
        </w:tc>
        <w:tc>
          <w:tcPr>
            <w:tcW w:w="1780" w:type="dxa"/>
            <w:vMerge w:val="restart"/>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1CF6A972"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MHW Performance &amp; Commissioning</w:t>
            </w:r>
          </w:p>
        </w:tc>
        <w:tc>
          <w:tcPr>
            <w:tcW w:w="3120" w:type="dxa"/>
            <w:tcBorders>
              <w:top w:val="nil"/>
              <w:left w:val="nil"/>
              <w:bottom w:val="single" w:color="auto" w:sz="4" w:space="0"/>
              <w:right w:val="single" w:color="auto" w:sz="4" w:space="0"/>
            </w:tcBorders>
            <w:vAlign w:val="center"/>
            <w:hideMark/>
          </w:tcPr>
          <w:p w:rsidRPr="00E70B3A" w:rsidR="009A39A5" w:rsidP="009A39A5" w:rsidRDefault="009A39A5" w14:paraId="3DCF4950" w14:textId="77777777">
            <w:pPr>
              <w:spacing w:after="0" w:line="240" w:lineRule="auto"/>
              <w:rPr>
                <w:rFonts w:cs="Arial"/>
                <w:color w:val="000000"/>
                <w:sz w:val="18"/>
                <w:szCs w:val="18"/>
                <w:lang w:eastAsia="en-AU"/>
              </w:rPr>
            </w:pPr>
            <w:r w:rsidRPr="00E70B3A">
              <w:rPr>
                <w:rFonts w:cs="Arial"/>
                <w:color w:val="000000"/>
                <w:sz w:val="18"/>
                <w:szCs w:val="18"/>
                <w:lang w:eastAsia="en-AU"/>
              </w:rPr>
              <w:t xml:space="preserve">YES survey (clinical services); annually  </w:t>
            </w:r>
          </w:p>
        </w:tc>
      </w:tr>
      <w:tr w:rsidRPr="00E70B3A" w:rsidR="009A39A5" w:rsidTr="009A39A5" w14:paraId="09767C0C" w14:textId="77777777">
        <w:trPr>
          <w:trHeight w:val="480"/>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2C284CE0" w14:textId="77777777">
            <w:pPr>
              <w:spacing w:after="0" w:line="240" w:lineRule="auto"/>
              <w:rPr>
                <w:rFonts w:cs="Arial"/>
                <w:color w:val="000000"/>
                <w:sz w:val="18"/>
                <w:szCs w:val="18"/>
                <w:lang w:eastAsia="en-AU"/>
              </w:rPr>
            </w:pPr>
            <w:r w:rsidRPr="00E70B3A">
              <w:rPr>
                <w:rFonts w:cs="Arial"/>
                <w:color w:val="000000"/>
                <w:sz w:val="18"/>
                <w:szCs w:val="18"/>
                <w:lang w:eastAsia="en-AU"/>
              </w:rPr>
              <w:t>Percentage of families/carers reporting a ‘very good’ or ‘excellent’ overall experience of the service</w:t>
            </w: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2119EB45"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80%</w:t>
            </w:r>
          </w:p>
        </w:tc>
        <w:tc>
          <w:tcPr>
            <w:tcW w:w="1780" w:type="dxa"/>
            <w:vMerge/>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7A636AE3" w14:textId="77777777">
            <w:pPr>
              <w:spacing w:after="0" w:line="240" w:lineRule="auto"/>
              <w:rPr>
                <w:rFonts w:cs="Arial"/>
                <w:color w:val="000000"/>
                <w:sz w:val="18"/>
                <w:szCs w:val="18"/>
                <w:lang w:eastAsia="en-AU"/>
              </w:rPr>
            </w:pPr>
          </w:p>
        </w:tc>
        <w:tc>
          <w:tcPr>
            <w:tcW w:w="3120" w:type="dxa"/>
            <w:tcBorders>
              <w:top w:val="nil"/>
              <w:left w:val="nil"/>
              <w:bottom w:val="single" w:color="auto" w:sz="4" w:space="0"/>
              <w:right w:val="single" w:color="auto" w:sz="4" w:space="0"/>
            </w:tcBorders>
            <w:vAlign w:val="center"/>
            <w:hideMark/>
          </w:tcPr>
          <w:p w:rsidRPr="00E70B3A" w:rsidR="009A39A5" w:rsidP="009A39A5" w:rsidRDefault="009A39A5" w14:paraId="530888D7" w14:textId="77777777">
            <w:pPr>
              <w:spacing w:after="0" w:line="240" w:lineRule="auto"/>
              <w:rPr>
                <w:rFonts w:cs="Arial"/>
                <w:color w:val="000000"/>
                <w:sz w:val="18"/>
                <w:szCs w:val="18"/>
                <w:lang w:eastAsia="en-AU"/>
              </w:rPr>
            </w:pPr>
            <w:r w:rsidRPr="00E70B3A">
              <w:rPr>
                <w:rFonts w:cs="Arial"/>
                <w:color w:val="000000"/>
                <w:sz w:val="18"/>
                <w:szCs w:val="18"/>
                <w:lang w:eastAsia="en-AU"/>
              </w:rPr>
              <w:t xml:space="preserve">Carer Experience of Service (CES); annually </w:t>
            </w:r>
          </w:p>
        </w:tc>
      </w:tr>
      <w:tr w:rsidRPr="00E70B3A" w:rsidR="009A39A5" w:rsidTr="009A39A5" w14:paraId="6143EEE3" w14:textId="77777777">
        <w:trPr>
          <w:trHeight w:val="480"/>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218186F8" w14:textId="77777777">
            <w:pPr>
              <w:spacing w:after="0" w:line="240" w:lineRule="auto"/>
              <w:rPr>
                <w:rFonts w:cs="Arial"/>
                <w:color w:val="000000"/>
                <w:sz w:val="18"/>
                <w:szCs w:val="18"/>
                <w:lang w:eastAsia="en-AU"/>
              </w:rPr>
            </w:pPr>
            <w:r w:rsidRPr="00E70B3A">
              <w:rPr>
                <w:rFonts w:cs="Arial"/>
                <w:color w:val="000000"/>
                <w:sz w:val="18"/>
                <w:szCs w:val="18"/>
                <w:lang w:eastAsia="en-AU"/>
              </w:rPr>
              <w:t>Percentage of families/carers who report they ‘always’ or ‘usually’ felt their opinions as a carer were respected</w:t>
            </w: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01238AD3"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90%</w:t>
            </w:r>
          </w:p>
        </w:tc>
        <w:tc>
          <w:tcPr>
            <w:tcW w:w="1780" w:type="dxa"/>
            <w:vMerge/>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4B917301" w14:textId="77777777">
            <w:pPr>
              <w:spacing w:after="0" w:line="240" w:lineRule="auto"/>
              <w:rPr>
                <w:rFonts w:cs="Arial"/>
                <w:color w:val="000000"/>
                <w:sz w:val="18"/>
                <w:szCs w:val="18"/>
                <w:lang w:eastAsia="en-AU"/>
              </w:rPr>
            </w:pPr>
          </w:p>
        </w:tc>
        <w:tc>
          <w:tcPr>
            <w:tcW w:w="3120" w:type="dxa"/>
            <w:tcBorders>
              <w:top w:val="nil"/>
              <w:left w:val="nil"/>
              <w:bottom w:val="single" w:color="auto" w:sz="4" w:space="0"/>
              <w:right w:val="single" w:color="auto" w:sz="4" w:space="0"/>
            </w:tcBorders>
            <w:vAlign w:val="center"/>
            <w:hideMark/>
          </w:tcPr>
          <w:p w:rsidRPr="00E70B3A" w:rsidR="009A39A5" w:rsidP="009A39A5" w:rsidRDefault="009A39A5" w14:paraId="25F5C99A" w14:textId="77777777">
            <w:pPr>
              <w:spacing w:after="0" w:line="240" w:lineRule="auto"/>
              <w:rPr>
                <w:rFonts w:cs="Arial"/>
                <w:color w:val="000000"/>
                <w:sz w:val="18"/>
                <w:szCs w:val="18"/>
                <w:lang w:eastAsia="en-AU"/>
              </w:rPr>
            </w:pPr>
            <w:r w:rsidRPr="00E70B3A">
              <w:rPr>
                <w:rFonts w:cs="Arial"/>
                <w:color w:val="000000"/>
                <w:sz w:val="18"/>
                <w:szCs w:val="18"/>
                <w:lang w:eastAsia="en-AU"/>
              </w:rPr>
              <w:t xml:space="preserve">Carer Experience of Service (CES); annually </w:t>
            </w:r>
          </w:p>
        </w:tc>
      </w:tr>
      <w:tr w:rsidRPr="00E70B3A" w:rsidR="009A39A5" w:rsidTr="009A39A5" w14:paraId="2867BDF4" w14:textId="77777777">
        <w:trPr>
          <w:trHeight w:val="480"/>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0630616C" w14:textId="77777777">
            <w:pPr>
              <w:spacing w:after="0" w:line="240" w:lineRule="auto"/>
              <w:rPr>
                <w:rFonts w:cs="Arial"/>
                <w:color w:val="000000"/>
                <w:sz w:val="18"/>
                <w:szCs w:val="18"/>
                <w:lang w:eastAsia="en-AU"/>
              </w:rPr>
            </w:pPr>
            <w:r w:rsidRPr="00E70B3A">
              <w:rPr>
                <w:rFonts w:cs="Arial"/>
                <w:color w:val="000000"/>
                <w:sz w:val="18"/>
                <w:szCs w:val="18"/>
                <w:lang w:eastAsia="en-AU"/>
              </w:rPr>
              <w:t>Percentage of mental health consumers reporting they ‘usually’ or ‘always’ felt safe using this service </w:t>
            </w: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09160F61"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90%</w:t>
            </w:r>
          </w:p>
        </w:tc>
        <w:tc>
          <w:tcPr>
            <w:tcW w:w="1780" w:type="dxa"/>
            <w:vMerge/>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2E58B6FC" w14:textId="77777777">
            <w:pPr>
              <w:spacing w:after="0" w:line="240" w:lineRule="auto"/>
              <w:rPr>
                <w:rFonts w:cs="Arial"/>
                <w:color w:val="000000"/>
                <w:sz w:val="18"/>
                <w:szCs w:val="18"/>
                <w:lang w:eastAsia="en-AU"/>
              </w:rPr>
            </w:pPr>
          </w:p>
        </w:tc>
        <w:tc>
          <w:tcPr>
            <w:tcW w:w="3120" w:type="dxa"/>
            <w:tcBorders>
              <w:top w:val="nil"/>
              <w:left w:val="nil"/>
              <w:bottom w:val="single" w:color="auto" w:sz="4" w:space="0"/>
              <w:right w:val="single" w:color="auto" w:sz="4" w:space="0"/>
            </w:tcBorders>
            <w:vAlign w:val="center"/>
            <w:hideMark/>
          </w:tcPr>
          <w:p w:rsidRPr="00E70B3A" w:rsidR="009A39A5" w:rsidP="009A39A5" w:rsidRDefault="009A39A5" w14:paraId="1C70A49C" w14:textId="77777777">
            <w:pPr>
              <w:spacing w:after="0" w:line="240" w:lineRule="auto"/>
              <w:rPr>
                <w:rFonts w:cs="Arial"/>
                <w:color w:val="000000"/>
                <w:sz w:val="18"/>
                <w:szCs w:val="18"/>
                <w:lang w:eastAsia="en-AU"/>
              </w:rPr>
            </w:pPr>
            <w:r w:rsidRPr="00E70B3A">
              <w:rPr>
                <w:rFonts w:cs="Arial"/>
                <w:color w:val="000000"/>
                <w:sz w:val="18"/>
                <w:szCs w:val="18"/>
                <w:lang w:eastAsia="en-AU"/>
              </w:rPr>
              <w:t xml:space="preserve">YES survey (clinical services); annually  </w:t>
            </w:r>
          </w:p>
        </w:tc>
      </w:tr>
      <w:tr w:rsidRPr="00E70B3A" w:rsidR="009A39A5" w:rsidTr="009A39A5" w14:paraId="22BFFEE5" w14:textId="77777777">
        <w:trPr>
          <w:trHeight w:val="300"/>
        </w:trPr>
        <w:tc>
          <w:tcPr>
            <w:tcW w:w="14240" w:type="dxa"/>
            <w:gridSpan w:val="4"/>
            <w:tcBorders>
              <w:top w:val="single" w:color="auto" w:sz="4" w:space="0"/>
              <w:left w:val="single" w:color="auto" w:sz="4" w:space="0"/>
              <w:bottom w:val="single" w:color="auto" w:sz="4" w:space="0"/>
              <w:right w:val="single" w:color="000000" w:sz="4" w:space="0"/>
            </w:tcBorders>
            <w:shd w:val="clear" w:color="000000" w:fill="D9D9D9"/>
            <w:hideMark/>
          </w:tcPr>
          <w:p w:rsidRPr="00E70B3A" w:rsidR="009A39A5" w:rsidP="009A39A5" w:rsidRDefault="009A39A5" w14:paraId="2EEF05D8" w14:textId="77777777">
            <w:pPr>
              <w:spacing w:after="0" w:line="240" w:lineRule="auto"/>
              <w:rPr>
                <w:rFonts w:cs="Arial"/>
                <w:b/>
                <w:bCs/>
                <w:color w:val="000000"/>
                <w:sz w:val="18"/>
                <w:szCs w:val="18"/>
                <w:lang w:eastAsia="en-AU"/>
              </w:rPr>
            </w:pPr>
            <w:r w:rsidRPr="00E70B3A">
              <w:rPr>
                <w:rFonts w:cs="Arial"/>
                <w:b/>
                <w:bCs/>
                <w:color w:val="000000"/>
                <w:sz w:val="18"/>
                <w:szCs w:val="18"/>
                <w:lang w:eastAsia="en-AU"/>
              </w:rPr>
              <w:t>Mental Health follow-ups, readmissions, and seclusions</w:t>
            </w:r>
          </w:p>
        </w:tc>
      </w:tr>
      <w:tr w:rsidRPr="00E70B3A" w:rsidR="009A39A5" w:rsidTr="009A39A5" w14:paraId="23265A27" w14:textId="77777777">
        <w:trPr>
          <w:trHeight w:val="540"/>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3AA25F59" w14:textId="77777777">
            <w:pPr>
              <w:spacing w:after="0" w:line="240" w:lineRule="auto"/>
              <w:rPr>
                <w:rFonts w:cs="Arial"/>
                <w:color w:val="000000"/>
                <w:sz w:val="18"/>
                <w:szCs w:val="18"/>
                <w:lang w:eastAsia="en-AU"/>
              </w:rPr>
            </w:pPr>
            <w:r w:rsidRPr="00E70B3A">
              <w:rPr>
                <w:rFonts w:cs="Arial"/>
                <w:color w:val="000000"/>
                <w:sz w:val="18"/>
                <w:szCs w:val="18"/>
                <w:lang w:eastAsia="en-AU"/>
              </w:rPr>
              <w:t>Percentage of consumers followed up within 7 days of separation – Inpatient</w:t>
            </w: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0230B01A"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88%</w:t>
            </w:r>
          </w:p>
        </w:tc>
        <w:tc>
          <w:tcPr>
            <w:tcW w:w="1780" w:type="dxa"/>
            <w:vMerge w:val="restart"/>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20E095F6"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MHW Performance &amp; Commissioning</w:t>
            </w:r>
          </w:p>
        </w:tc>
        <w:tc>
          <w:tcPr>
            <w:tcW w:w="3120" w:type="dxa"/>
            <w:vMerge w:val="restart"/>
            <w:tcBorders>
              <w:top w:val="nil"/>
              <w:left w:val="single" w:color="auto" w:sz="4" w:space="0"/>
              <w:bottom w:val="single" w:color="000000" w:sz="4" w:space="0"/>
              <w:right w:val="single" w:color="auto" w:sz="4" w:space="0"/>
            </w:tcBorders>
            <w:hideMark/>
          </w:tcPr>
          <w:p w:rsidRPr="00E70B3A" w:rsidR="009A39A5" w:rsidP="009A39A5" w:rsidRDefault="009A39A5" w14:paraId="62E5C0E7" w14:textId="77777777">
            <w:pPr>
              <w:spacing w:after="0" w:line="240" w:lineRule="auto"/>
              <w:rPr>
                <w:rFonts w:cs="Arial"/>
                <w:color w:val="000000"/>
                <w:sz w:val="18"/>
                <w:szCs w:val="18"/>
                <w:lang w:eastAsia="en-AU"/>
              </w:rPr>
            </w:pPr>
            <w:r w:rsidRPr="00E70B3A">
              <w:rPr>
                <w:rFonts w:cs="Arial"/>
                <w:color w:val="000000"/>
                <w:sz w:val="18"/>
                <w:szCs w:val="18"/>
                <w:lang w:eastAsia="en-AU"/>
              </w:rPr>
              <w:t xml:space="preserve">Client Management Interface (CMI) / Operational Data Store (ODS); quarterly and annually </w:t>
            </w:r>
          </w:p>
        </w:tc>
      </w:tr>
      <w:tr w:rsidRPr="00E70B3A" w:rsidR="009A39A5" w:rsidTr="009A39A5" w14:paraId="6FE601A9" w14:textId="77777777">
        <w:trPr>
          <w:trHeight w:val="300"/>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115D43CA" w14:textId="77777777">
            <w:pPr>
              <w:spacing w:after="0" w:line="240" w:lineRule="auto"/>
              <w:rPr>
                <w:rFonts w:cs="Arial"/>
                <w:color w:val="000000"/>
                <w:sz w:val="18"/>
                <w:szCs w:val="18"/>
                <w:lang w:eastAsia="en-AU"/>
              </w:rPr>
            </w:pPr>
            <w:r w:rsidRPr="00E70B3A">
              <w:rPr>
                <w:rFonts w:cs="Arial"/>
                <w:color w:val="000000"/>
                <w:sz w:val="18"/>
                <w:szCs w:val="18"/>
                <w:lang w:eastAsia="en-AU"/>
              </w:rPr>
              <w:t>Percentage of consumers re-admitted within 28 days of separation - inpatient</w:t>
            </w: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41FE6A02"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&lt; 14%</w:t>
            </w:r>
          </w:p>
        </w:tc>
        <w:tc>
          <w:tcPr>
            <w:tcW w:w="1780" w:type="dxa"/>
            <w:vMerge/>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5835AF75" w14:textId="77777777">
            <w:pPr>
              <w:spacing w:after="0" w:line="240" w:lineRule="auto"/>
              <w:rPr>
                <w:rFonts w:cs="Arial"/>
                <w:color w:val="000000"/>
                <w:sz w:val="18"/>
                <w:szCs w:val="18"/>
                <w:lang w:eastAsia="en-AU"/>
              </w:rPr>
            </w:pPr>
          </w:p>
        </w:tc>
        <w:tc>
          <w:tcPr>
            <w:tcW w:w="3120" w:type="dxa"/>
            <w:vMerge/>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1E990874" w14:textId="77777777">
            <w:pPr>
              <w:spacing w:after="0" w:line="240" w:lineRule="auto"/>
              <w:rPr>
                <w:rFonts w:cs="Arial"/>
                <w:color w:val="000000"/>
                <w:sz w:val="18"/>
                <w:szCs w:val="18"/>
                <w:lang w:eastAsia="en-AU"/>
              </w:rPr>
            </w:pPr>
          </w:p>
        </w:tc>
      </w:tr>
      <w:tr w:rsidRPr="00E70B3A" w:rsidR="009A39A5" w:rsidTr="00540D3C" w14:paraId="207DE53A" w14:textId="77777777">
        <w:trPr>
          <w:trHeight w:val="758"/>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65DAA116" w14:textId="77777777">
            <w:pPr>
              <w:spacing w:after="0" w:line="240" w:lineRule="auto"/>
              <w:rPr>
                <w:rFonts w:cs="Arial"/>
                <w:color w:val="000000"/>
                <w:sz w:val="18"/>
                <w:szCs w:val="18"/>
                <w:lang w:eastAsia="en-AU"/>
              </w:rPr>
            </w:pPr>
            <w:r w:rsidRPr="00E70B3A">
              <w:rPr>
                <w:rFonts w:cs="Arial"/>
                <w:color w:val="000000"/>
                <w:sz w:val="18"/>
                <w:szCs w:val="18"/>
                <w:lang w:eastAsia="en-AU"/>
              </w:rPr>
              <w:t>Rate of seclusion episodes per 1,000 occupied bed days - inpatient</w:t>
            </w: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0F62AA07"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 6 seclusion episodes per 1,000 bed days</w:t>
            </w:r>
          </w:p>
        </w:tc>
        <w:tc>
          <w:tcPr>
            <w:tcW w:w="1780" w:type="dxa"/>
            <w:vMerge/>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57218AA2" w14:textId="77777777">
            <w:pPr>
              <w:spacing w:after="0" w:line="240" w:lineRule="auto"/>
              <w:rPr>
                <w:rFonts w:cs="Arial"/>
                <w:color w:val="000000"/>
                <w:sz w:val="18"/>
                <w:szCs w:val="18"/>
                <w:lang w:eastAsia="en-AU"/>
              </w:rPr>
            </w:pPr>
          </w:p>
        </w:tc>
        <w:tc>
          <w:tcPr>
            <w:tcW w:w="3120" w:type="dxa"/>
            <w:vMerge/>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3CD05C9E" w14:textId="77777777">
            <w:pPr>
              <w:spacing w:after="0" w:line="240" w:lineRule="auto"/>
              <w:rPr>
                <w:rFonts w:cs="Arial"/>
                <w:color w:val="000000"/>
                <w:sz w:val="18"/>
                <w:szCs w:val="18"/>
                <w:lang w:eastAsia="en-AU"/>
              </w:rPr>
            </w:pPr>
          </w:p>
        </w:tc>
      </w:tr>
      <w:tr w:rsidRPr="00E70B3A" w:rsidR="009A39A5" w:rsidTr="009A39A5" w14:paraId="5E5CF0D8" w14:textId="77777777">
        <w:trPr>
          <w:trHeight w:val="300"/>
        </w:trPr>
        <w:tc>
          <w:tcPr>
            <w:tcW w:w="7380" w:type="dxa"/>
            <w:tcBorders>
              <w:top w:val="nil"/>
              <w:left w:val="single" w:color="auto" w:sz="4" w:space="0"/>
              <w:bottom w:val="single" w:color="auto" w:sz="4" w:space="0"/>
              <w:right w:val="single" w:color="auto" w:sz="4" w:space="0"/>
            </w:tcBorders>
            <w:shd w:val="clear" w:color="000000" w:fill="215C98"/>
            <w:hideMark/>
          </w:tcPr>
          <w:p w:rsidRPr="00E70B3A" w:rsidR="009A39A5" w:rsidP="009A39A5" w:rsidRDefault="009A39A5" w14:paraId="18CFB505" w14:textId="77777777">
            <w:pPr>
              <w:spacing w:after="0" w:line="240" w:lineRule="auto"/>
              <w:rPr>
                <w:rFonts w:cs="Arial"/>
                <w:b/>
                <w:bCs/>
                <w:color w:val="FFFFFF"/>
                <w:sz w:val="18"/>
                <w:szCs w:val="18"/>
                <w:lang w:eastAsia="en-AU"/>
              </w:rPr>
            </w:pPr>
            <w:r w:rsidRPr="00E70B3A">
              <w:rPr>
                <w:rFonts w:cs="Arial"/>
                <w:b/>
                <w:bCs/>
                <w:color w:val="FFFFFF"/>
                <w:sz w:val="18"/>
                <w:szCs w:val="18"/>
                <w:lang w:eastAsia="en-AU"/>
              </w:rPr>
              <w:t>Strong governance, leadership, and culture</w:t>
            </w:r>
          </w:p>
        </w:tc>
        <w:tc>
          <w:tcPr>
            <w:tcW w:w="1960" w:type="dxa"/>
            <w:tcBorders>
              <w:top w:val="nil"/>
              <w:left w:val="nil"/>
              <w:bottom w:val="single" w:color="auto" w:sz="4" w:space="0"/>
              <w:right w:val="single" w:color="auto" w:sz="4" w:space="0"/>
            </w:tcBorders>
            <w:shd w:val="clear" w:color="000000" w:fill="215C98"/>
            <w:vAlign w:val="center"/>
            <w:hideMark/>
          </w:tcPr>
          <w:p w:rsidRPr="00E70B3A" w:rsidR="009A39A5" w:rsidP="009A39A5" w:rsidRDefault="009A39A5" w14:paraId="73603736"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 </w:t>
            </w:r>
          </w:p>
        </w:tc>
        <w:tc>
          <w:tcPr>
            <w:tcW w:w="1780" w:type="dxa"/>
            <w:tcBorders>
              <w:top w:val="nil"/>
              <w:left w:val="nil"/>
              <w:bottom w:val="single" w:color="auto" w:sz="4" w:space="0"/>
              <w:right w:val="single" w:color="auto" w:sz="4" w:space="0"/>
            </w:tcBorders>
            <w:shd w:val="clear" w:color="000000" w:fill="215C98"/>
            <w:vAlign w:val="center"/>
            <w:hideMark/>
          </w:tcPr>
          <w:p w:rsidRPr="00E70B3A" w:rsidR="009A39A5" w:rsidP="009A39A5" w:rsidRDefault="009A39A5" w14:paraId="4D330DE0"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 </w:t>
            </w:r>
          </w:p>
        </w:tc>
        <w:tc>
          <w:tcPr>
            <w:tcW w:w="3120" w:type="dxa"/>
            <w:tcBorders>
              <w:top w:val="nil"/>
              <w:left w:val="nil"/>
              <w:bottom w:val="single" w:color="auto" w:sz="4" w:space="0"/>
              <w:right w:val="single" w:color="auto" w:sz="4" w:space="0"/>
            </w:tcBorders>
            <w:shd w:val="clear" w:color="000000" w:fill="215C98"/>
            <w:hideMark/>
          </w:tcPr>
          <w:p w:rsidRPr="00E70B3A" w:rsidR="009A39A5" w:rsidP="009A39A5" w:rsidRDefault="009A39A5" w14:paraId="3AA81C92" w14:textId="77777777">
            <w:pPr>
              <w:spacing w:after="0" w:line="240" w:lineRule="auto"/>
              <w:rPr>
                <w:rFonts w:cs="Arial"/>
                <w:b/>
                <w:bCs/>
                <w:color w:val="000000"/>
                <w:sz w:val="18"/>
                <w:szCs w:val="18"/>
                <w:lang w:eastAsia="en-AU"/>
              </w:rPr>
            </w:pPr>
            <w:r w:rsidRPr="00E70B3A">
              <w:rPr>
                <w:rFonts w:cs="Arial"/>
                <w:b/>
                <w:bCs/>
                <w:color w:val="000000"/>
                <w:sz w:val="18"/>
                <w:szCs w:val="18"/>
                <w:lang w:eastAsia="en-AU"/>
              </w:rPr>
              <w:t> </w:t>
            </w:r>
          </w:p>
        </w:tc>
      </w:tr>
      <w:tr w:rsidRPr="00E70B3A" w:rsidR="009A39A5" w:rsidTr="009A39A5" w14:paraId="1DFC91BC" w14:textId="77777777">
        <w:trPr>
          <w:trHeight w:val="480"/>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2E906636" w14:textId="77777777">
            <w:pPr>
              <w:spacing w:after="0" w:line="240" w:lineRule="auto"/>
              <w:rPr>
                <w:rFonts w:cs="Arial"/>
                <w:color w:val="000000"/>
                <w:sz w:val="18"/>
                <w:szCs w:val="18"/>
                <w:lang w:eastAsia="en-AU"/>
              </w:rPr>
            </w:pPr>
            <w:r w:rsidRPr="00E70B3A">
              <w:rPr>
                <w:rFonts w:cs="Arial"/>
                <w:color w:val="000000"/>
                <w:sz w:val="18"/>
                <w:szCs w:val="18"/>
                <w:lang w:eastAsia="en-AU"/>
              </w:rPr>
              <w:t>People matter survey – Percentage of staff with an overall positive response to safety culture survey questions</w:t>
            </w: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74ADF3FD"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80%</w:t>
            </w:r>
          </w:p>
        </w:tc>
        <w:tc>
          <w:tcPr>
            <w:tcW w:w="1780" w:type="dxa"/>
            <w:tcBorders>
              <w:top w:val="nil"/>
              <w:left w:val="nil"/>
              <w:bottom w:val="single" w:color="auto" w:sz="4" w:space="0"/>
              <w:right w:val="single" w:color="auto" w:sz="4" w:space="0"/>
            </w:tcBorders>
            <w:vAlign w:val="center"/>
            <w:hideMark/>
          </w:tcPr>
          <w:p w:rsidRPr="00E70B3A" w:rsidR="009A39A5" w:rsidP="009A39A5" w:rsidRDefault="009A39A5" w14:paraId="507630F6"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Safer Care Victoria</w:t>
            </w:r>
          </w:p>
        </w:tc>
        <w:tc>
          <w:tcPr>
            <w:tcW w:w="3120" w:type="dxa"/>
            <w:tcBorders>
              <w:top w:val="nil"/>
              <w:left w:val="nil"/>
              <w:bottom w:val="single" w:color="auto" w:sz="4" w:space="0"/>
              <w:right w:val="single" w:color="auto" w:sz="4" w:space="0"/>
            </w:tcBorders>
            <w:hideMark/>
          </w:tcPr>
          <w:p w:rsidRPr="00E70B3A" w:rsidR="009A39A5" w:rsidP="009A39A5" w:rsidRDefault="009A39A5" w14:paraId="6141378A" w14:textId="77777777">
            <w:pPr>
              <w:spacing w:after="0" w:line="240" w:lineRule="auto"/>
              <w:rPr>
                <w:rFonts w:cs="Arial"/>
                <w:color w:val="000000"/>
                <w:sz w:val="18"/>
                <w:szCs w:val="18"/>
                <w:lang w:eastAsia="en-AU"/>
              </w:rPr>
            </w:pPr>
            <w:r w:rsidRPr="00E70B3A">
              <w:rPr>
                <w:rFonts w:cs="Arial"/>
                <w:color w:val="000000"/>
                <w:sz w:val="18"/>
                <w:szCs w:val="18"/>
                <w:lang w:eastAsia="en-AU"/>
              </w:rPr>
              <w:t>Victorian Public Sector Commission; annually</w:t>
            </w:r>
          </w:p>
        </w:tc>
      </w:tr>
      <w:tr w:rsidRPr="00E70B3A" w:rsidR="009A39A5" w:rsidTr="009A39A5" w14:paraId="61CC61DF" w14:textId="77777777">
        <w:trPr>
          <w:trHeight w:val="300"/>
        </w:trPr>
        <w:tc>
          <w:tcPr>
            <w:tcW w:w="7380" w:type="dxa"/>
            <w:tcBorders>
              <w:top w:val="nil"/>
              <w:left w:val="single" w:color="auto" w:sz="4" w:space="0"/>
              <w:bottom w:val="single" w:color="auto" w:sz="4" w:space="0"/>
              <w:right w:val="single" w:color="auto" w:sz="4" w:space="0"/>
            </w:tcBorders>
            <w:shd w:val="clear" w:color="000000" w:fill="215C98"/>
            <w:hideMark/>
          </w:tcPr>
          <w:p w:rsidRPr="00E70B3A" w:rsidR="009A39A5" w:rsidP="009A39A5" w:rsidRDefault="009A39A5" w14:paraId="7D6FA2A6" w14:textId="77777777">
            <w:pPr>
              <w:spacing w:after="0" w:line="240" w:lineRule="auto"/>
              <w:rPr>
                <w:rFonts w:cs="Arial"/>
                <w:b/>
                <w:bCs/>
                <w:color w:val="FFFFFF"/>
                <w:sz w:val="18"/>
                <w:szCs w:val="18"/>
                <w:lang w:eastAsia="en-AU"/>
              </w:rPr>
            </w:pPr>
            <w:r w:rsidRPr="00E70B3A">
              <w:rPr>
                <w:rFonts w:cs="Arial"/>
                <w:b/>
                <w:bCs/>
                <w:color w:val="FFFFFF"/>
                <w:sz w:val="18"/>
                <w:szCs w:val="18"/>
                <w:lang w:eastAsia="en-AU"/>
              </w:rPr>
              <w:t>Timely access to care</w:t>
            </w:r>
          </w:p>
        </w:tc>
        <w:tc>
          <w:tcPr>
            <w:tcW w:w="1960" w:type="dxa"/>
            <w:tcBorders>
              <w:top w:val="nil"/>
              <w:left w:val="nil"/>
              <w:bottom w:val="single" w:color="auto" w:sz="4" w:space="0"/>
              <w:right w:val="single" w:color="auto" w:sz="4" w:space="0"/>
            </w:tcBorders>
            <w:shd w:val="clear" w:color="000000" w:fill="215C98"/>
            <w:vAlign w:val="center"/>
            <w:hideMark/>
          </w:tcPr>
          <w:p w:rsidRPr="00E70B3A" w:rsidR="009A39A5" w:rsidP="009A39A5" w:rsidRDefault="009A39A5" w14:paraId="3EBFB3D7" w14:textId="77777777">
            <w:pPr>
              <w:spacing w:after="0" w:line="240" w:lineRule="auto"/>
              <w:jc w:val="center"/>
              <w:rPr>
                <w:rFonts w:cs="Arial"/>
                <w:color w:val="FFFFFF"/>
                <w:sz w:val="18"/>
                <w:szCs w:val="18"/>
                <w:lang w:eastAsia="en-AU"/>
              </w:rPr>
            </w:pPr>
            <w:r w:rsidRPr="00E70B3A">
              <w:rPr>
                <w:rFonts w:cs="Arial"/>
                <w:color w:val="FFFFFF"/>
                <w:sz w:val="18"/>
                <w:szCs w:val="18"/>
                <w:lang w:eastAsia="en-AU"/>
              </w:rPr>
              <w:t> </w:t>
            </w:r>
          </w:p>
        </w:tc>
        <w:tc>
          <w:tcPr>
            <w:tcW w:w="1780" w:type="dxa"/>
            <w:tcBorders>
              <w:top w:val="nil"/>
              <w:left w:val="nil"/>
              <w:bottom w:val="single" w:color="auto" w:sz="4" w:space="0"/>
              <w:right w:val="single" w:color="auto" w:sz="4" w:space="0"/>
            </w:tcBorders>
            <w:shd w:val="clear" w:color="000000" w:fill="215C98"/>
            <w:vAlign w:val="center"/>
            <w:hideMark/>
          </w:tcPr>
          <w:p w:rsidRPr="00E70B3A" w:rsidR="009A39A5" w:rsidP="009A39A5" w:rsidRDefault="009A39A5" w14:paraId="5B630A8F" w14:textId="77777777">
            <w:pPr>
              <w:spacing w:after="0" w:line="240" w:lineRule="auto"/>
              <w:jc w:val="center"/>
              <w:rPr>
                <w:rFonts w:cs="Arial"/>
                <w:color w:val="FFFFFF"/>
                <w:sz w:val="18"/>
                <w:szCs w:val="18"/>
                <w:lang w:eastAsia="en-AU"/>
              </w:rPr>
            </w:pPr>
            <w:r w:rsidRPr="00E70B3A">
              <w:rPr>
                <w:rFonts w:cs="Arial"/>
                <w:color w:val="FFFFFF"/>
                <w:sz w:val="18"/>
                <w:szCs w:val="18"/>
                <w:lang w:eastAsia="en-AU"/>
              </w:rPr>
              <w:t> </w:t>
            </w:r>
          </w:p>
        </w:tc>
        <w:tc>
          <w:tcPr>
            <w:tcW w:w="3120" w:type="dxa"/>
            <w:tcBorders>
              <w:top w:val="nil"/>
              <w:left w:val="nil"/>
              <w:bottom w:val="single" w:color="auto" w:sz="4" w:space="0"/>
              <w:right w:val="single" w:color="auto" w:sz="4" w:space="0"/>
            </w:tcBorders>
            <w:shd w:val="clear" w:color="000000" w:fill="215C98"/>
            <w:hideMark/>
          </w:tcPr>
          <w:p w:rsidRPr="00E70B3A" w:rsidR="009A39A5" w:rsidP="009A39A5" w:rsidRDefault="009A39A5" w14:paraId="0198E66C" w14:textId="77777777">
            <w:pPr>
              <w:spacing w:after="0" w:line="240" w:lineRule="auto"/>
              <w:rPr>
                <w:rFonts w:cs="Arial"/>
                <w:color w:val="FFFFFF"/>
                <w:sz w:val="18"/>
                <w:szCs w:val="18"/>
                <w:lang w:eastAsia="en-AU"/>
              </w:rPr>
            </w:pPr>
            <w:r w:rsidRPr="00E70B3A">
              <w:rPr>
                <w:rFonts w:cs="Arial"/>
                <w:color w:val="FFFFFF"/>
                <w:sz w:val="18"/>
                <w:szCs w:val="18"/>
                <w:lang w:eastAsia="en-AU"/>
              </w:rPr>
              <w:t> </w:t>
            </w:r>
          </w:p>
        </w:tc>
      </w:tr>
      <w:tr w:rsidRPr="00E70B3A" w:rsidR="009A39A5" w:rsidTr="009A39A5" w14:paraId="69E38EE2" w14:textId="77777777">
        <w:trPr>
          <w:trHeight w:val="300"/>
        </w:trPr>
        <w:tc>
          <w:tcPr>
            <w:tcW w:w="14240" w:type="dxa"/>
            <w:gridSpan w:val="4"/>
            <w:tcBorders>
              <w:top w:val="single" w:color="auto" w:sz="4" w:space="0"/>
              <w:left w:val="single" w:color="auto" w:sz="4" w:space="0"/>
              <w:bottom w:val="single" w:color="auto" w:sz="4" w:space="0"/>
              <w:right w:val="single" w:color="auto" w:sz="4" w:space="0"/>
            </w:tcBorders>
            <w:shd w:val="clear" w:color="000000" w:fill="D9D9D9"/>
            <w:hideMark/>
          </w:tcPr>
          <w:p w:rsidRPr="00E70B3A" w:rsidR="009A39A5" w:rsidP="009A39A5" w:rsidRDefault="009A39A5" w14:paraId="78D3A165" w14:textId="77777777">
            <w:pPr>
              <w:spacing w:after="0" w:line="240" w:lineRule="auto"/>
              <w:rPr>
                <w:rFonts w:cs="Arial"/>
                <w:b/>
                <w:bCs/>
                <w:color w:val="000000"/>
                <w:sz w:val="18"/>
                <w:szCs w:val="18"/>
                <w:lang w:eastAsia="en-AU"/>
              </w:rPr>
            </w:pPr>
            <w:r w:rsidRPr="00E70B3A">
              <w:rPr>
                <w:rFonts w:cs="Arial"/>
                <w:b/>
                <w:bCs/>
                <w:color w:val="000000"/>
                <w:sz w:val="18"/>
                <w:szCs w:val="18"/>
                <w:lang w:eastAsia="en-AU"/>
              </w:rPr>
              <w:t>Planned Surgery</w:t>
            </w:r>
          </w:p>
        </w:tc>
      </w:tr>
      <w:tr w:rsidRPr="00E70B3A" w:rsidR="009A39A5" w:rsidTr="009A39A5" w14:paraId="2E7BEB40" w14:textId="77777777">
        <w:trPr>
          <w:trHeight w:val="540"/>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59ED6338" w14:textId="77777777">
            <w:pPr>
              <w:spacing w:after="0" w:line="240" w:lineRule="auto"/>
              <w:rPr>
                <w:rFonts w:cs="Arial"/>
                <w:color w:val="000000"/>
                <w:sz w:val="18"/>
                <w:szCs w:val="18"/>
                <w:lang w:eastAsia="en-AU"/>
              </w:rPr>
            </w:pPr>
            <w:r w:rsidRPr="00E70B3A">
              <w:rPr>
                <w:rFonts w:cs="Arial"/>
                <w:color w:val="000000"/>
                <w:sz w:val="18"/>
                <w:szCs w:val="18"/>
                <w:lang w:eastAsia="en-AU"/>
              </w:rPr>
              <w:t>Percentage of urgency category 1 planned surgery patients admitted within 30 days.</w:t>
            </w: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03044380"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100%</w:t>
            </w:r>
          </w:p>
        </w:tc>
        <w:tc>
          <w:tcPr>
            <w:tcW w:w="1780" w:type="dxa"/>
            <w:vMerge w:val="restart"/>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559E250B"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 xml:space="preserve">HSRP, System Access and Reform </w:t>
            </w:r>
          </w:p>
        </w:tc>
        <w:tc>
          <w:tcPr>
            <w:tcW w:w="3120" w:type="dxa"/>
            <w:vMerge w:val="restart"/>
            <w:tcBorders>
              <w:top w:val="nil"/>
              <w:left w:val="single" w:color="auto" w:sz="4" w:space="0"/>
              <w:bottom w:val="single" w:color="000000" w:sz="4" w:space="0"/>
              <w:right w:val="single" w:color="auto" w:sz="4" w:space="0"/>
            </w:tcBorders>
            <w:hideMark/>
          </w:tcPr>
          <w:p w:rsidRPr="00E70B3A" w:rsidR="009A39A5" w:rsidP="009A39A5" w:rsidRDefault="009A39A5" w14:paraId="2F0002E6" w14:textId="77777777">
            <w:pPr>
              <w:spacing w:after="0" w:line="240" w:lineRule="auto"/>
              <w:rPr>
                <w:rFonts w:cs="Arial"/>
                <w:color w:val="000000"/>
                <w:sz w:val="18"/>
                <w:szCs w:val="18"/>
                <w:lang w:eastAsia="en-AU"/>
              </w:rPr>
            </w:pPr>
            <w:r w:rsidRPr="00E70B3A">
              <w:rPr>
                <w:rFonts w:cs="Arial"/>
                <w:color w:val="000000"/>
                <w:sz w:val="18"/>
                <w:szCs w:val="18"/>
                <w:lang w:eastAsia="en-AU"/>
              </w:rPr>
              <w:t>Elective Surgery Information System (ESIS); monthly</w:t>
            </w:r>
          </w:p>
        </w:tc>
      </w:tr>
      <w:tr w:rsidRPr="00E70B3A" w:rsidR="009A39A5" w:rsidTr="009A39A5" w14:paraId="0ED88EA6" w14:textId="77777777">
        <w:trPr>
          <w:trHeight w:val="540"/>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62FCCAD8" w14:textId="77777777">
            <w:pPr>
              <w:spacing w:after="0" w:line="240" w:lineRule="auto"/>
              <w:rPr>
                <w:rFonts w:cs="Arial"/>
                <w:color w:val="000000"/>
                <w:sz w:val="18"/>
                <w:szCs w:val="18"/>
                <w:lang w:eastAsia="en-AU"/>
              </w:rPr>
            </w:pPr>
            <w:r w:rsidRPr="00E70B3A">
              <w:rPr>
                <w:rFonts w:cs="Arial"/>
                <w:color w:val="000000"/>
                <w:sz w:val="18"/>
                <w:szCs w:val="18"/>
                <w:lang w:eastAsia="en-AU"/>
              </w:rPr>
              <w:t>Percentage of all planned surgery patients admitted within the clinically recommended time</w:t>
            </w: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16FE9D15"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94%</w:t>
            </w:r>
          </w:p>
        </w:tc>
        <w:tc>
          <w:tcPr>
            <w:tcW w:w="1780" w:type="dxa"/>
            <w:vMerge/>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40DCF596" w14:textId="77777777">
            <w:pPr>
              <w:spacing w:after="0" w:line="240" w:lineRule="auto"/>
              <w:rPr>
                <w:rFonts w:cs="Arial"/>
                <w:color w:val="000000"/>
                <w:sz w:val="18"/>
                <w:szCs w:val="18"/>
                <w:lang w:eastAsia="en-AU"/>
              </w:rPr>
            </w:pPr>
          </w:p>
        </w:tc>
        <w:tc>
          <w:tcPr>
            <w:tcW w:w="3120" w:type="dxa"/>
            <w:vMerge/>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77C655DA" w14:textId="77777777">
            <w:pPr>
              <w:spacing w:after="0" w:line="240" w:lineRule="auto"/>
              <w:rPr>
                <w:rFonts w:cs="Arial"/>
                <w:color w:val="000000"/>
                <w:sz w:val="18"/>
                <w:szCs w:val="18"/>
                <w:lang w:eastAsia="en-AU"/>
              </w:rPr>
            </w:pPr>
          </w:p>
        </w:tc>
      </w:tr>
      <w:tr w:rsidRPr="00E70B3A" w:rsidR="009A39A5" w:rsidTr="009A39A5" w14:paraId="78E185FE" w14:textId="77777777">
        <w:trPr>
          <w:trHeight w:val="300"/>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24E532EC" w14:textId="77777777">
            <w:pPr>
              <w:spacing w:after="0" w:line="240" w:lineRule="auto"/>
              <w:rPr>
                <w:rFonts w:cs="Arial"/>
                <w:color w:val="000000"/>
                <w:sz w:val="18"/>
                <w:szCs w:val="18"/>
                <w:lang w:eastAsia="en-AU"/>
              </w:rPr>
            </w:pPr>
            <w:r w:rsidRPr="00E70B3A">
              <w:rPr>
                <w:rFonts w:cs="Arial"/>
                <w:color w:val="000000"/>
                <w:sz w:val="18"/>
                <w:szCs w:val="18"/>
                <w:lang w:eastAsia="en-AU"/>
              </w:rPr>
              <w:t>Number of patients admitted from the planned surgery waiting list</w:t>
            </w: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07DF5F8E"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Specific to health service</w:t>
            </w:r>
          </w:p>
        </w:tc>
        <w:tc>
          <w:tcPr>
            <w:tcW w:w="1780" w:type="dxa"/>
            <w:vMerge/>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1F617991" w14:textId="77777777">
            <w:pPr>
              <w:spacing w:after="0" w:line="240" w:lineRule="auto"/>
              <w:rPr>
                <w:rFonts w:cs="Arial"/>
                <w:color w:val="000000"/>
                <w:sz w:val="18"/>
                <w:szCs w:val="18"/>
                <w:lang w:eastAsia="en-AU"/>
              </w:rPr>
            </w:pPr>
          </w:p>
        </w:tc>
        <w:tc>
          <w:tcPr>
            <w:tcW w:w="3120" w:type="dxa"/>
            <w:vMerge/>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7981853E" w14:textId="77777777">
            <w:pPr>
              <w:spacing w:after="0" w:line="240" w:lineRule="auto"/>
              <w:rPr>
                <w:rFonts w:cs="Arial"/>
                <w:color w:val="000000"/>
                <w:sz w:val="18"/>
                <w:szCs w:val="18"/>
                <w:lang w:eastAsia="en-AU"/>
              </w:rPr>
            </w:pPr>
          </w:p>
        </w:tc>
      </w:tr>
      <w:tr w:rsidRPr="00E70B3A" w:rsidR="009A39A5" w:rsidTr="009A39A5" w14:paraId="7B5D7ECB" w14:textId="77777777">
        <w:trPr>
          <w:trHeight w:val="915"/>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7EDE65D1" w14:textId="77777777">
            <w:pPr>
              <w:spacing w:after="0" w:line="240" w:lineRule="auto"/>
              <w:rPr>
                <w:rFonts w:cs="Arial"/>
                <w:color w:val="000000"/>
                <w:sz w:val="18"/>
                <w:szCs w:val="18"/>
                <w:lang w:eastAsia="en-AU"/>
              </w:rPr>
            </w:pPr>
            <w:r w:rsidRPr="00E70B3A">
              <w:rPr>
                <w:rFonts w:cs="Arial"/>
                <w:color w:val="000000"/>
                <w:sz w:val="18"/>
                <w:szCs w:val="18"/>
                <w:lang w:eastAsia="en-AU"/>
              </w:rPr>
              <w:t>Percentage reduction in the volume of patients waiting overtime on the planned surgery preparation list</w:t>
            </w: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34F50F91"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Greater than or equal to 25% reduction OR ≤6% of patients waiting overtime.</w:t>
            </w:r>
          </w:p>
        </w:tc>
        <w:tc>
          <w:tcPr>
            <w:tcW w:w="1780" w:type="dxa"/>
            <w:vMerge/>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38630545" w14:textId="77777777">
            <w:pPr>
              <w:spacing w:after="0" w:line="240" w:lineRule="auto"/>
              <w:rPr>
                <w:rFonts w:cs="Arial"/>
                <w:color w:val="000000"/>
                <w:sz w:val="18"/>
                <w:szCs w:val="18"/>
                <w:lang w:eastAsia="en-AU"/>
              </w:rPr>
            </w:pPr>
          </w:p>
        </w:tc>
        <w:tc>
          <w:tcPr>
            <w:tcW w:w="3120" w:type="dxa"/>
            <w:tcBorders>
              <w:top w:val="nil"/>
              <w:left w:val="nil"/>
              <w:bottom w:val="single" w:color="auto" w:sz="4" w:space="0"/>
              <w:right w:val="single" w:color="auto" w:sz="4" w:space="0"/>
            </w:tcBorders>
            <w:hideMark/>
          </w:tcPr>
          <w:p w:rsidRPr="00E70B3A" w:rsidR="009A39A5" w:rsidP="009A39A5" w:rsidRDefault="009A39A5" w14:paraId="49CDE881" w14:textId="77777777">
            <w:pPr>
              <w:spacing w:after="0" w:line="240" w:lineRule="auto"/>
              <w:rPr>
                <w:rFonts w:cs="Arial"/>
                <w:color w:val="000000"/>
                <w:sz w:val="18"/>
                <w:szCs w:val="18"/>
                <w:lang w:eastAsia="en-AU"/>
              </w:rPr>
            </w:pPr>
            <w:r w:rsidRPr="00E70B3A">
              <w:rPr>
                <w:rFonts w:cs="Arial"/>
                <w:color w:val="000000"/>
                <w:sz w:val="18"/>
                <w:szCs w:val="18"/>
                <w:lang w:eastAsia="en-AU"/>
              </w:rPr>
              <w:t> </w:t>
            </w:r>
          </w:p>
        </w:tc>
      </w:tr>
      <w:tr w:rsidRPr="00E70B3A" w:rsidR="009A39A5" w:rsidTr="009A39A5" w14:paraId="2A23E406" w14:textId="77777777">
        <w:trPr>
          <w:trHeight w:val="1440"/>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4CD61B18" w14:textId="77777777">
            <w:pPr>
              <w:spacing w:after="0" w:line="240" w:lineRule="auto"/>
              <w:rPr>
                <w:rFonts w:cs="Arial"/>
                <w:color w:val="000000"/>
                <w:sz w:val="18"/>
                <w:szCs w:val="18"/>
                <w:lang w:eastAsia="en-AU"/>
              </w:rPr>
            </w:pPr>
            <w:r w:rsidRPr="00E70B3A">
              <w:rPr>
                <w:rFonts w:cs="Arial"/>
                <w:color w:val="000000"/>
                <w:sz w:val="18"/>
                <w:szCs w:val="18"/>
                <w:lang w:eastAsia="en-AU"/>
              </w:rPr>
              <w:t>Optimisation of surgical inpatient length of stay (LOS), including through the use of virtual and home-based pre- and post-operative models of care</w:t>
            </w: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4CDA508B"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Reduction in average LOS for surgical patients by 2% from prior year</w:t>
            </w:r>
          </w:p>
        </w:tc>
        <w:tc>
          <w:tcPr>
            <w:tcW w:w="1780" w:type="dxa"/>
            <w:vMerge/>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6E50C2C1" w14:textId="77777777">
            <w:pPr>
              <w:spacing w:after="0" w:line="240" w:lineRule="auto"/>
              <w:rPr>
                <w:rFonts w:cs="Arial"/>
                <w:color w:val="000000"/>
                <w:sz w:val="18"/>
                <w:szCs w:val="18"/>
                <w:lang w:eastAsia="en-AU"/>
              </w:rPr>
            </w:pPr>
          </w:p>
        </w:tc>
        <w:tc>
          <w:tcPr>
            <w:tcW w:w="3120" w:type="dxa"/>
            <w:tcBorders>
              <w:top w:val="nil"/>
              <w:left w:val="nil"/>
              <w:bottom w:val="single" w:color="auto" w:sz="4" w:space="0"/>
              <w:right w:val="single" w:color="auto" w:sz="4" w:space="0"/>
            </w:tcBorders>
            <w:hideMark/>
          </w:tcPr>
          <w:p w:rsidRPr="00E70B3A" w:rsidR="009A39A5" w:rsidP="009A39A5" w:rsidRDefault="009A39A5" w14:paraId="2B4C5349" w14:textId="77777777">
            <w:pPr>
              <w:spacing w:after="0" w:line="240" w:lineRule="auto"/>
              <w:rPr>
                <w:rFonts w:cs="Arial"/>
                <w:color w:val="000000"/>
                <w:sz w:val="18"/>
                <w:szCs w:val="18"/>
                <w:lang w:eastAsia="en-AU"/>
              </w:rPr>
            </w:pPr>
            <w:r w:rsidRPr="00E70B3A">
              <w:rPr>
                <w:rFonts w:cs="Arial"/>
                <w:color w:val="000000"/>
                <w:sz w:val="18"/>
                <w:szCs w:val="18"/>
                <w:lang w:eastAsia="en-AU"/>
              </w:rPr>
              <w:t>Victorian Admitted Episodes Dataset (VAED) and Elective Surgery Information System (ESIS); monthly based on year-to-date results and annually at the health service level</w:t>
            </w:r>
          </w:p>
        </w:tc>
      </w:tr>
      <w:tr w:rsidRPr="00E70B3A" w:rsidR="009A39A5" w:rsidTr="009A39A5" w14:paraId="27EC5992" w14:textId="77777777">
        <w:trPr>
          <w:trHeight w:val="300"/>
        </w:trPr>
        <w:tc>
          <w:tcPr>
            <w:tcW w:w="14240" w:type="dxa"/>
            <w:gridSpan w:val="4"/>
            <w:tcBorders>
              <w:top w:val="single" w:color="auto" w:sz="4" w:space="0"/>
              <w:left w:val="single" w:color="auto" w:sz="4" w:space="0"/>
              <w:bottom w:val="single" w:color="auto" w:sz="4" w:space="0"/>
              <w:right w:val="single" w:color="auto" w:sz="4" w:space="0"/>
            </w:tcBorders>
            <w:shd w:val="clear" w:color="000000" w:fill="D9D9D9"/>
            <w:hideMark/>
          </w:tcPr>
          <w:p w:rsidRPr="00E70B3A" w:rsidR="009A39A5" w:rsidP="009A39A5" w:rsidRDefault="009A39A5" w14:paraId="3DEF7F1D" w14:textId="77777777">
            <w:pPr>
              <w:spacing w:after="0" w:line="240" w:lineRule="auto"/>
              <w:rPr>
                <w:rFonts w:cs="Arial"/>
                <w:b/>
                <w:bCs/>
                <w:color w:val="000000"/>
                <w:sz w:val="18"/>
                <w:szCs w:val="18"/>
                <w:lang w:eastAsia="en-AU"/>
              </w:rPr>
            </w:pPr>
            <w:r w:rsidRPr="00E70B3A">
              <w:rPr>
                <w:rFonts w:cs="Arial"/>
                <w:b/>
                <w:bCs/>
                <w:color w:val="000000"/>
                <w:sz w:val="18"/>
                <w:szCs w:val="18"/>
                <w:lang w:eastAsia="en-AU"/>
              </w:rPr>
              <w:t>Emergency Care</w:t>
            </w:r>
          </w:p>
        </w:tc>
      </w:tr>
      <w:tr w:rsidRPr="00E70B3A" w:rsidR="009A39A5" w:rsidTr="009A39A5" w14:paraId="1F7821A5" w14:textId="77777777">
        <w:trPr>
          <w:trHeight w:val="720"/>
        </w:trPr>
        <w:tc>
          <w:tcPr>
            <w:tcW w:w="7380" w:type="dxa"/>
            <w:tcBorders>
              <w:top w:val="nil"/>
              <w:left w:val="single" w:color="auto" w:sz="4" w:space="0"/>
              <w:bottom w:val="single" w:color="auto" w:sz="4" w:space="0"/>
              <w:right w:val="single" w:color="auto" w:sz="4" w:space="0"/>
            </w:tcBorders>
            <w:shd w:val="clear" w:color="000000" w:fill="FFFFFF"/>
            <w:hideMark/>
          </w:tcPr>
          <w:p w:rsidRPr="00E70B3A" w:rsidR="009A39A5" w:rsidP="009A39A5" w:rsidRDefault="009A39A5" w14:paraId="31350E4E" w14:textId="77777777">
            <w:pPr>
              <w:spacing w:after="0" w:line="240" w:lineRule="auto"/>
              <w:rPr>
                <w:rFonts w:cs="Arial"/>
                <w:color w:val="000000"/>
                <w:sz w:val="18"/>
                <w:szCs w:val="18"/>
                <w:lang w:eastAsia="en-AU"/>
              </w:rPr>
            </w:pPr>
            <w:r w:rsidRPr="00E70B3A">
              <w:rPr>
                <w:rFonts w:cs="Arial"/>
                <w:color w:val="000000"/>
                <w:sz w:val="18"/>
                <w:szCs w:val="18"/>
                <w:lang w:eastAsia="en-AU"/>
              </w:rPr>
              <w:t>Percentage of patients transferred from ambulance to emergency department within 40 minutes </w:t>
            </w:r>
          </w:p>
        </w:tc>
        <w:tc>
          <w:tcPr>
            <w:tcW w:w="1960" w:type="dxa"/>
            <w:tcBorders>
              <w:top w:val="nil"/>
              <w:left w:val="nil"/>
              <w:bottom w:val="single" w:color="auto" w:sz="4" w:space="0"/>
              <w:right w:val="single" w:color="auto" w:sz="4" w:space="0"/>
            </w:tcBorders>
            <w:shd w:val="clear" w:color="000000" w:fill="FFFFFF"/>
            <w:vAlign w:val="center"/>
            <w:hideMark/>
          </w:tcPr>
          <w:p w:rsidRPr="00E70B3A" w:rsidR="009A39A5" w:rsidP="009A39A5" w:rsidRDefault="009A39A5" w14:paraId="5B729F20"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Specific to health service</w:t>
            </w:r>
          </w:p>
        </w:tc>
        <w:tc>
          <w:tcPr>
            <w:tcW w:w="1780" w:type="dxa"/>
            <w:vMerge w:val="restart"/>
            <w:tcBorders>
              <w:top w:val="nil"/>
              <w:left w:val="single" w:color="auto" w:sz="4" w:space="0"/>
              <w:bottom w:val="single" w:color="000000" w:sz="4" w:space="0"/>
              <w:right w:val="single" w:color="auto" w:sz="4" w:space="0"/>
            </w:tcBorders>
            <w:shd w:val="clear" w:color="000000" w:fill="FFFFFF"/>
            <w:vAlign w:val="center"/>
            <w:hideMark/>
          </w:tcPr>
          <w:p w:rsidRPr="00E70B3A" w:rsidR="009A39A5" w:rsidP="009A39A5" w:rsidRDefault="009A39A5" w14:paraId="574F71D4"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 xml:space="preserve">HSRP, System Access and Reform </w:t>
            </w:r>
          </w:p>
        </w:tc>
        <w:tc>
          <w:tcPr>
            <w:tcW w:w="3120" w:type="dxa"/>
            <w:vMerge w:val="restart"/>
            <w:tcBorders>
              <w:top w:val="nil"/>
              <w:left w:val="single" w:color="auto" w:sz="4" w:space="0"/>
              <w:bottom w:val="single" w:color="000000" w:sz="4" w:space="0"/>
              <w:right w:val="single" w:color="auto" w:sz="4" w:space="0"/>
            </w:tcBorders>
            <w:shd w:val="clear" w:color="000000" w:fill="FFFFFF"/>
            <w:hideMark/>
          </w:tcPr>
          <w:p w:rsidRPr="00E70B3A" w:rsidR="009A39A5" w:rsidP="009A39A5" w:rsidRDefault="009A39A5" w14:paraId="1DCEBEBD" w14:textId="430EC714">
            <w:pPr>
              <w:spacing w:after="0" w:line="240" w:lineRule="auto"/>
              <w:rPr>
                <w:rFonts w:cs="Arial"/>
                <w:color w:val="000000"/>
                <w:sz w:val="18"/>
                <w:szCs w:val="18"/>
                <w:lang w:eastAsia="en-AU"/>
              </w:rPr>
            </w:pPr>
            <w:r w:rsidRPr="00E70B3A">
              <w:rPr>
                <w:rFonts w:cs="Arial"/>
                <w:color w:val="000000"/>
                <w:sz w:val="18"/>
                <w:szCs w:val="18"/>
                <w:lang w:eastAsia="en-AU"/>
              </w:rPr>
              <w:t xml:space="preserve">Victorian Emergency Minimum Dataset (VEMD); monthly and annually </w:t>
            </w:r>
          </w:p>
        </w:tc>
      </w:tr>
      <w:tr w:rsidRPr="00E70B3A" w:rsidR="009A39A5" w:rsidTr="009A39A5" w14:paraId="75D7E78D" w14:textId="77777777">
        <w:trPr>
          <w:trHeight w:val="300"/>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5EAF6745" w14:textId="77777777">
            <w:pPr>
              <w:spacing w:after="0" w:line="240" w:lineRule="auto"/>
              <w:rPr>
                <w:rFonts w:cs="Arial"/>
                <w:color w:val="000000"/>
                <w:sz w:val="18"/>
                <w:szCs w:val="18"/>
                <w:lang w:eastAsia="en-AU"/>
              </w:rPr>
            </w:pPr>
            <w:r w:rsidRPr="00E70B3A">
              <w:rPr>
                <w:rFonts w:cs="Arial"/>
                <w:color w:val="000000"/>
                <w:sz w:val="18"/>
                <w:szCs w:val="18"/>
                <w:lang w:eastAsia="en-AU"/>
              </w:rPr>
              <w:t>Number of emergency patients with a length of stay in the ED greater than 24 hours</w:t>
            </w: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0A19A1FA"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0</w:t>
            </w:r>
          </w:p>
        </w:tc>
        <w:tc>
          <w:tcPr>
            <w:tcW w:w="1780" w:type="dxa"/>
            <w:vMerge/>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1467BA7B" w14:textId="77777777">
            <w:pPr>
              <w:spacing w:after="0" w:line="240" w:lineRule="auto"/>
              <w:rPr>
                <w:rFonts w:cs="Arial"/>
                <w:color w:val="000000"/>
                <w:sz w:val="18"/>
                <w:szCs w:val="18"/>
                <w:lang w:eastAsia="en-AU"/>
              </w:rPr>
            </w:pPr>
          </w:p>
        </w:tc>
        <w:tc>
          <w:tcPr>
            <w:tcW w:w="3120" w:type="dxa"/>
            <w:vMerge/>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6A69BF2C" w14:textId="77777777">
            <w:pPr>
              <w:spacing w:after="0" w:line="240" w:lineRule="auto"/>
              <w:rPr>
                <w:rFonts w:cs="Arial"/>
                <w:color w:val="000000"/>
                <w:sz w:val="18"/>
                <w:szCs w:val="18"/>
                <w:lang w:eastAsia="en-AU"/>
              </w:rPr>
            </w:pPr>
          </w:p>
        </w:tc>
      </w:tr>
      <w:tr w:rsidRPr="00E70B3A" w:rsidR="009A39A5" w:rsidTr="009A39A5" w14:paraId="5304B0D8" w14:textId="77777777">
        <w:trPr>
          <w:trHeight w:val="1185"/>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76DB13FD" w14:textId="77777777">
            <w:pPr>
              <w:spacing w:after="0" w:line="240" w:lineRule="auto"/>
              <w:rPr>
                <w:rFonts w:cs="Arial"/>
                <w:color w:val="000000"/>
                <w:sz w:val="18"/>
                <w:szCs w:val="18"/>
                <w:lang w:eastAsia="en-AU"/>
              </w:rPr>
            </w:pPr>
            <w:r w:rsidRPr="00E70B3A">
              <w:rPr>
                <w:rFonts w:cs="Arial"/>
                <w:color w:val="000000"/>
                <w:sz w:val="18"/>
                <w:szCs w:val="18"/>
                <w:lang w:eastAsia="en-AU"/>
              </w:rPr>
              <w:t>Average ED length of stay for admitted patients, in minutes</w:t>
            </w: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4D9AD635"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Individual Targets: Less than or equal to 414 minutes or at least 5 per cent improvement on the same time last year</w:t>
            </w:r>
          </w:p>
        </w:tc>
        <w:tc>
          <w:tcPr>
            <w:tcW w:w="1780" w:type="dxa"/>
            <w:vMerge/>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48188E7D" w14:textId="77777777">
            <w:pPr>
              <w:spacing w:after="0" w:line="240" w:lineRule="auto"/>
              <w:rPr>
                <w:rFonts w:cs="Arial"/>
                <w:color w:val="000000"/>
                <w:sz w:val="18"/>
                <w:szCs w:val="18"/>
                <w:lang w:eastAsia="en-AU"/>
              </w:rPr>
            </w:pPr>
          </w:p>
        </w:tc>
        <w:tc>
          <w:tcPr>
            <w:tcW w:w="3120" w:type="dxa"/>
            <w:vMerge w:val="restart"/>
            <w:tcBorders>
              <w:top w:val="nil"/>
              <w:left w:val="single" w:color="auto" w:sz="4" w:space="0"/>
              <w:bottom w:val="single" w:color="000000" w:sz="4" w:space="0"/>
              <w:right w:val="single" w:color="auto" w:sz="4" w:space="0"/>
            </w:tcBorders>
            <w:hideMark/>
          </w:tcPr>
          <w:p w:rsidRPr="00E70B3A" w:rsidR="009A39A5" w:rsidP="009A39A5" w:rsidRDefault="009A39A5" w14:paraId="711F2614" w14:textId="77777777">
            <w:pPr>
              <w:spacing w:after="0" w:line="240" w:lineRule="auto"/>
              <w:rPr>
                <w:rFonts w:cs="Arial"/>
                <w:color w:val="000000"/>
                <w:sz w:val="18"/>
                <w:szCs w:val="18"/>
                <w:lang w:eastAsia="en-AU"/>
              </w:rPr>
            </w:pPr>
            <w:r w:rsidRPr="00E70B3A">
              <w:rPr>
                <w:rFonts w:cs="Arial"/>
                <w:color w:val="000000"/>
                <w:sz w:val="18"/>
                <w:szCs w:val="18"/>
                <w:lang w:eastAsia="en-AU"/>
              </w:rPr>
              <w:t xml:space="preserve">Victorian Emergency Minimum Dataset (VEMD); monthly, quarterly and annually at the campus level. </w:t>
            </w:r>
          </w:p>
        </w:tc>
      </w:tr>
      <w:tr w:rsidRPr="00E70B3A" w:rsidR="009A39A5" w:rsidTr="009A39A5" w14:paraId="5D4B4E35" w14:textId="77777777">
        <w:trPr>
          <w:trHeight w:val="1095"/>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760137BD" w14:textId="77777777">
            <w:pPr>
              <w:spacing w:after="0" w:line="240" w:lineRule="auto"/>
              <w:rPr>
                <w:rFonts w:cs="Arial"/>
                <w:color w:val="000000"/>
                <w:sz w:val="18"/>
                <w:szCs w:val="18"/>
                <w:lang w:eastAsia="en-AU"/>
              </w:rPr>
            </w:pPr>
            <w:r w:rsidRPr="00E70B3A">
              <w:rPr>
                <w:rFonts w:cs="Arial"/>
                <w:color w:val="000000"/>
                <w:sz w:val="18"/>
                <w:szCs w:val="18"/>
                <w:lang w:eastAsia="en-AU"/>
              </w:rPr>
              <w:t>Average ED length of stay for non-admitted patients, in minutes</w:t>
            </w: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27C455BB"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Avg LOS &lt;240 minutes OR, if not met, a 3% improvement from the same time last year</w:t>
            </w:r>
          </w:p>
        </w:tc>
        <w:tc>
          <w:tcPr>
            <w:tcW w:w="1780" w:type="dxa"/>
            <w:vMerge/>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3219BB61" w14:textId="77777777">
            <w:pPr>
              <w:spacing w:after="0" w:line="240" w:lineRule="auto"/>
              <w:rPr>
                <w:rFonts w:cs="Arial"/>
                <w:color w:val="000000"/>
                <w:sz w:val="18"/>
                <w:szCs w:val="18"/>
                <w:lang w:eastAsia="en-AU"/>
              </w:rPr>
            </w:pPr>
          </w:p>
        </w:tc>
        <w:tc>
          <w:tcPr>
            <w:tcW w:w="3120" w:type="dxa"/>
            <w:vMerge/>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203646EA" w14:textId="77777777">
            <w:pPr>
              <w:spacing w:after="0" w:line="240" w:lineRule="auto"/>
              <w:rPr>
                <w:rFonts w:cs="Arial"/>
                <w:color w:val="000000"/>
                <w:sz w:val="18"/>
                <w:szCs w:val="18"/>
                <w:lang w:eastAsia="en-AU"/>
              </w:rPr>
            </w:pPr>
          </w:p>
        </w:tc>
      </w:tr>
      <w:tr w:rsidRPr="00E70B3A" w:rsidR="009A39A5" w:rsidTr="009A39A5" w14:paraId="126DC7C8" w14:textId="77777777">
        <w:trPr>
          <w:trHeight w:val="300"/>
        </w:trPr>
        <w:tc>
          <w:tcPr>
            <w:tcW w:w="14240" w:type="dxa"/>
            <w:gridSpan w:val="4"/>
            <w:tcBorders>
              <w:top w:val="single" w:color="auto" w:sz="4" w:space="0"/>
              <w:left w:val="single" w:color="auto" w:sz="4" w:space="0"/>
              <w:bottom w:val="single" w:color="auto" w:sz="4" w:space="0"/>
              <w:right w:val="single" w:color="auto" w:sz="4" w:space="0"/>
            </w:tcBorders>
            <w:shd w:val="clear" w:color="000000" w:fill="D9D9D9"/>
            <w:hideMark/>
          </w:tcPr>
          <w:p w:rsidRPr="00E70B3A" w:rsidR="009A39A5" w:rsidP="009A39A5" w:rsidRDefault="009A39A5" w14:paraId="2D0420DF" w14:textId="77777777">
            <w:pPr>
              <w:spacing w:after="0" w:line="240" w:lineRule="auto"/>
              <w:rPr>
                <w:rFonts w:cs="Arial"/>
                <w:b/>
                <w:bCs/>
                <w:color w:val="000000"/>
                <w:sz w:val="18"/>
                <w:szCs w:val="18"/>
                <w:lang w:eastAsia="en-AU"/>
              </w:rPr>
            </w:pPr>
            <w:r w:rsidRPr="00E70B3A">
              <w:rPr>
                <w:rFonts w:cs="Arial"/>
                <w:b/>
                <w:bCs/>
                <w:color w:val="000000"/>
                <w:sz w:val="18"/>
                <w:szCs w:val="18"/>
                <w:lang w:eastAsia="en-AU"/>
              </w:rPr>
              <w:t>Mental Health</w:t>
            </w:r>
          </w:p>
        </w:tc>
      </w:tr>
      <w:tr w:rsidRPr="00E70B3A" w:rsidR="009A39A5" w:rsidTr="009A39A5" w14:paraId="4C578320" w14:textId="77777777">
        <w:trPr>
          <w:trHeight w:val="720"/>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1896030C" w14:textId="77777777">
            <w:pPr>
              <w:spacing w:after="0" w:line="240" w:lineRule="auto"/>
              <w:rPr>
                <w:rFonts w:cs="Arial"/>
                <w:color w:val="000000"/>
                <w:sz w:val="18"/>
                <w:szCs w:val="18"/>
                <w:lang w:eastAsia="en-AU"/>
              </w:rPr>
            </w:pPr>
            <w:r w:rsidRPr="00E70B3A">
              <w:rPr>
                <w:rFonts w:cs="Arial"/>
                <w:color w:val="000000"/>
                <w:sz w:val="18"/>
                <w:szCs w:val="18"/>
                <w:lang w:eastAsia="en-AU"/>
              </w:rPr>
              <w:t>Percentage of mental health-related emergency department presentations with a length of stay of less than 4 hours</w:t>
            </w: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4DFFB076"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65% OR, if not met, 5% improvement compared to the previous quarter</w:t>
            </w:r>
          </w:p>
        </w:tc>
        <w:tc>
          <w:tcPr>
            <w:tcW w:w="1780" w:type="dxa"/>
            <w:vMerge w:val="restart"/>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6521752F"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MHW Performance &amp; Commissioning</w:t>
            </w:r>
          </w:p>
        </w:tc>
        <w:tc>
          <w:tcPr>
            <w:tcW w:w="3120" w:type="dxa"/>
            <w:vMerge w:val="restart"/>
            <w:tcBorders>
              <w:top w:val="nil"/>
              <w:left w:val="single" w:color="auto" w:sz="4" w:space="0"/>
              <w:bottom w:val="single" w:color="000000" w:sz="4" w:space="0"/>
              <w:right w:val="single" w:color="auto" w:sz="4" w:space="0"/>
            </w:tcBorders>
            <w:hideMark/>
          </w:tcPr>
          <w:p w:rsidRPr="00E70B3A" w:rsidR="009A39A5" w:rsidP="009A39A5" w:rsidRDefault="009A39A5" w14:paraId="4F996F81" w14:textId="77777777">
            <w:pPr>
              <w:spacing w:after="0" w:line="240" w:lineRule="auto"/>
              <w:rPr>
                <w:rFonts w:cs="Arial"/>
                <w:color w:val="000000"/>
                <w:sz w:val="18"/>
                <w:szCs w:val="18"/>
                <w:lang w:eastAsia="en-AU"/>
              </w:rPr>
            </w:pPr>
            <w:r w:rsidRPr="00E70B3A">
              <w:rPr>
                <w:rFonts w:cs="Arial"/>
                <w:color w:val="000000"/>
                <w:sz w:val="18"/>
                <w:szCs w:val="18"/>
                <w:lang w:eastAsia="en-AU"/>
              </w:rPr>
              <w:t>Victorian Emergency Minimum Dataset (VEMD); monthly, quarterly and annually</w:t>
            </w:r>
          </w:p>
        </w:tc>
      </w:tr>
      <w:tr w:rsidRPr="00E70B3A" w:rsidR="009A39A5" w:rsidTr="009A39A5" w14:paraId="098E2FDF" w14:textId="77777777">
        <w:trPr>
          <w:trHeight w:val="540"/>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544E459B" w14:textId="77777777">
            <w:pPr>
              <w:spacing w:after="0" w:line="240" w:lineRule="auto"/>
              <w:rPr>
                <w:rFonts w:cs="Arial"/>
                <w:color w:val="000000"/>
                <w:sz w:val="18"/>
                <w:szCs w:val="18"/>
                <w:lang w:eastAsia="en-AU"/>
              </w:rPr>
            </w:pPr>
            <w:r w:rsidRPr="00E70B3A">
              <w:rPr>
                <w:rFonts w:cs="Arial"/>
                <w:color w:val="000000"/>
                <w:sz w:val="18"/>
                <w:szCs w:val="18"/>
                <w:lang w:eastAsia="en-AU"/>
              </w:rPr>
              <w:t>Percentage of departures from emergency departments to a mental health bed within 8 hours</w:t>
            </w: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59D12320"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80%</w:t>
            </w:r>
          </w:p>
        </w:tc>
        <w:tc>
          <w:tcPr>
            <w:tcW w:w="1780" w:type="dxa"/>
            <w:vMerge/>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473D57F8" w14:textId="77777777">
            <w:pPr>
              <w:spacing w:after="0" w:line="240" w:lineRule="auto"/>
              <w:rPr>
                <w:rFonts w:cs="Arial"/>
                <w:color w:val="000000"/>
                <w:sz w:val="18"/>
                <w:szCs w:val="18"/>
                <w:lang w:eastAsia="en-AU"/>
              </w:rPr>
            </w:pPr>
          </w:p>
        </w:tc>
        <w:tc>
          <w:tcPr>
            <w:tcW w:w="3120" w:type="dxa"/>
            <w:vMerge/>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17649AAA" w14:textId="77777777">
            <w:pPr>
              <w:spacing w:after="0" w:line="240" w:lineRule="auto"/>
              <w:rPr>
                <w:rFonts w:cs="Arial"/>
                <w:color w:val="000000"/>
                <w:sz w:val="18"/>
                <w:szCs w:val="18"/>
                <w:lang w:eastAsia="en-AU"/>
              </w:rPr>
            </w:pPr>
          </w:p>
        </w:tc>
      </w:tr>
      <w:tr w:rsidRPr="00E70B3A" w:rsidR="009A39A5" w:rsidTr="009A39A5" w14:paraId="5454F4DB" w14:textId="77777777">
        <w:trPr>
          <w:trHeight w:val="960"/>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2ECF35C2" w14:textId="77777777">
            <w:pPr>
              <w:spacing w:after="0" w:line="240" w:lineRule="auto"/>
              <w:rPr>
                <w:rFonts w:cs="Arial"/>
                <w:color w:val="000000"/>
                <w:sz w:val="18"/>
                <w:szCs w:val="18"/>
                <w:lang w:eastAsia="en-AU"/>
              </w:rPr>
            </w:pPr>
            <w:r w:rsidRPr="00E70B3A">
              <w:rPr>
                <w:rFonts w:cs="Arial"/>
                <w:color w:val="000000"/>
                <w:sz w:val="18"/>
                <w:szCs w:val="18"/>
                <w:lang w:eastAsia="en-AU"/>
              </w:rPr>
              <w:t>Number of admitted mental health occupied bed days</w:t>
            </w: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5E4E32B5"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Specific to health service</w:t>
            </w:r>
          </w:p>
        </w:tc>
        <w:tc>
          <w:tcPr>
            <w:tcW w:w="1780" w:type="dxa"/>
            <w:vMerge/>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78FC44C8" w14:textId="77777777">
            <w:pPr>
              <w:spacing w:after="0" w:line="240" w:lineRule="auto"/>
              <w:rPr>
                <w:rFonts w:cs="Arial"/>
                <w:color w:val="000000"/>
                <w:sz w:val="18"/>
                <w:szCs w:val="18"/>
                <w:lang w:eastAsia="en-AU"/>
              </w:rPr>
            </w:pPr>
          </w:p>
        </w:tc>
        <w:tc>
          <w:tcPr>
            <w:tcW w:w="3120" w:type="dxa"/>
            <w:vMerge w:val="restart"/>
            <w:tcBorders>
              <w:top w:val="nil"/>
              <w:left w:val="single" w:color="auto" w:sz="4" w:space="0"/>
              <w:bottom w:val="single" w:color="000000" w:sz="4" w:space="0"/>
              <w:right w:val="single" w:color="auto" w:sz="4" w:space="0"/>
            </w:tcBorders>
            <w:hideMark/>
          </w:tcPr>
          <w:p w:rsidRPr="00E70B3A" w:rsidR="009A39A5" w:rsidP="009A39A5" w:rsidRDefault="009A39A5" w14:paraId="00E7B69A" w14:textId="77777777">
            <w:pPr>
              <w:spacing w:after="0" w:line="240" w:lineRule="auto"/>
              <w:rPr>
                <w:rFonts w:cs="Arial"/>
                <w:color w:val="000000"/>
                <w:sz w:val="18"/>
                <w:szCs w:val="18"/>
                <w:lang w:eastAsia="en-AU"/>
              </w:rPr>
            </w:pPr>
            <w:r w:rsidRPr="00E70B3A">
              <w:rPr>
                <w:rFonts w:cs="Arial"/>
                <w:color w:val="000000"/>
                <w:sz w:val="18"/>
                <w:szCs w:val="18"/>
                <w:lang w:eastAsia="en-AU"/>
              </w:rPr>
              <w:t>Client Management Interface (CMI)/</w:t>
            </w:r>
            <w:r w:rsidRPr="00E70B3A">
              <w:rPr>
                <w:rFonts w:cs="Arial"/>
                <w:color w:val="000000"/>
                <w:sz w:val="18"/>
                <w:szCs w:val="18"/>
                <w:lang w:eastAsia="en-AU"/>
              </w:rPr>
              <w:br/>
            </w:r>
            <w:r w:rsidRPr="00E70B3A">
              <w:rPr>
                <w:rFonts w:cs="Arial"/>
                <w:color w:val="000000"/>
                <w:sz w:val="18"/>
                <w:szCs w:val="18"/>
                <w:lang w:eastAsia="en-AU"/>
              </w:rPr>
              <w:t xml:space="preserve">Operational Data Store (ODS); quarterly and annually by Designated Mental Health Service.  </w:t>
            </w:r>
          </w:p>
        </w:tc>
      </w:tr>
      <w:tr w:rsidRPr="00E70B3A" w:rsidR="009A39A5" w:rsidTr="009A39A5" w14:paraId="5EBD6FBD" w14:textId="77777777">
        <w:trPr>
          <w:trHeight w:val="300"/>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5A425744" w14:textId="77777777">
            <w:pPr>
              <w:spacing w:after="0" w:line="240" w:lineRule="auto"/>
              <w:rPr>
                <w:rFonts w:cs="Arial"/>
                <w:color w:val="000000"/>
                <w:sz w:val="18"/>
                <w:szCs w:val="18"/>
                <w:lang w:eastAsia="en-AU"/>
              </w:rPr>
            </w:pPr>
            <w:r w:rsidRPr="00E70B3A">
              <w:rPr>
                <w:rFonts w:cs="Arial"/>
                <w:color w:val="000000"/>
                <w:sz w:val="18"/>
                <w:szCs w:val="18"/>
                <w:lang w:eastAsia="en-AU"/>
              </w:rPr>
              <w:t>Number of community mental health service hours</w:t>
            </w: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3E1AAB9D"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Specific to health service</w:t>
            </w:r>
          </w:p>
        </w:tc>
        <w:tc>
          <w:tcPr>
            <w:tcW w:w="1780" w:type="dxa"/>
            <w:vMerge/>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20366CB2" w14:textId="77777777">
            <w:pPr>
              <w:spacing w:after="0" w:line="240" w:lineRule="auto"/>
              <w:rPr>
                <w:rFonts w:cs="Arial"/>
                <w:color w:val="000000"/>
                <w:sz w:val="18"/>
                <w:szCs w:val="18"/>
                <w:lang w:eastAsia="en-AU"/>
              </w:rPr>
            </w:pPr>
          </w:p>
        </w:tc>
        <w:tc>
          <w:tcPr>
            <w:tcW w:w="3120" w:type="dxa"/>
            <w:vMerge/>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62F4A727" w14:textId="77777777">
            <w:pPr>
              <w:spacing w:after="0" w:line="240" w:lineRule="auto"/>
              <w:rPr>
                <w:rFonts w:cs="Arial"/>
                <w:color w:val="000000"/>
                <w:sz w:val="18"/>
                <w:szCs w:val="18"/>
                <w:lang w:eastAsia="en-AU"/>
              </w:rPr>
            </w:pPr>
          </w:p>
        </w:tc>
      </w:tr>
      <w:tr w:rsidRPr="00E70B3A" w:rsidR="009A39A5" w:rsidTr="009A39A5" w14:paraId="256E761D" w14:textId="77777777">
        <w:trPr>
          <w:trHeight w:val="300"/>
        </w:trPr>
        <w:tc>
          <w:tcPr>
            <w:tcW w:w="14240" w:type="dxa"/>
            <w:gridSpan w:val="4"/>
            <w:tcBorders>
              <w:top w:val="single" w:color="auto" w:sz="4" w:space="0"/>
              <w:left w:val="single" w:color="auto" w:sz="4" w:space="0"/>
              <w:bottom w:val="single" w:color="auto" w:sz="4" w:space="0"/>
              <w:right w:val="single" w:color="auto" w:sz="4" w:space="0"/>
            </w:tcBorders>
            <w:shd w:val="clear" w:color="000000" w:fill="D9D9D9"/>
            <w:hideMark/>
          </w:tcPr>
          <w:p w:rsidRPr="00E70B3A" w:rsidR="009A39A5" w:rsidP="009A39A5" w:rsidRDefault="009A39A5" w14:paraId="24748712" w14:textId="77777777">
            <w:pPr>
              <w:spacing w:after="0" w:line="240" w:lineRule="auto"/>
              <w:rPr>
                <w:rFonts w:cs="Arial"/>
                <w:b/>
                <w:bCs/>
                <w:color w:val="000000"/>
                <w:sz w:val="18"/>
                <w:szCs w:val="18"/>
                <w:lang w:eastAsia="en-AU"/>
              </w:rPr>
            </w:pPr>
            <w:r w:rsidRPr="00E70B3A">
              <w:rPr>
                <w:rFonts w:cs="Arial"/>
                <w:b/>
                <w:bCs/>
                <w:color w:val="000000"/>
                <w:sz w:val="18"/>
                <w:szCs w:val="18"/>
                <w:lang w:eastAsia="en-AU"/>
              </w:rPr>
              <w:t>Specialist Clinics</w:t>
            </w:r>
          </w:p>
        </w:tc>
      </w:tr>
      <w:tr w:rsidRPr="00E70B3A" w:rsidR="009A39A5" w:rsidTr="009A39A5" w14:paraId="2F7B4B59" w14:textId="77777777">
        <w:trPr>
          <w:trHeight w:val="810"/>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19B5EF55" w14:textId="77777777">
            <w:pPr>
              <w:spacing w:after="0" w:line="240" w:lineRule="auto"/>
              <w:rPr>
                <w:rFonts w:cs="Arial"/>
                <w:color w:val="000000"/>
                <w:sz w:val="18"/>
                <w:szCs w:val="18"/>
                <w:lang w:eastAsia="en-AU"/>
              </w:rPr>
            </w:pPr>
            <w:r w:rsidRPr="00E70B3A">
              <w:rPr>
                <w:rFonts w:cs="Arial"/>
                <w:color w:val="000000"/>
                <w:sz w:val="18"/>
                <w:szCs w:val="18"/>
                <w:lang w:eastAsia="en-AU"/>
              </w:rPr>
              <w:t>Percentage of urgent patients referred by a GP or external specialist who attended a first appointment within 30 days.</w:t>
            </w: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73AB5D94"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100%</w:t>
            </w:r>
          </w:p>
        </w:tc>
        <w:tc>
          <w:tcPr>
            <w:tcW w:w="1780" w:type="dxa"/>
            <w:vMerge w:val="restart"/>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1031DE78"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 xml:space="preserve">HSRP, System Access and Reform </w:t>
            </w:r>
          </w:p>
        </w:tc>
        <w:tc>
          <w:tcPr>
            <w:tcW w:w="3120" w:type="dxa"/>
            <w:tcBorders>
              <w:top w:val="nil"/>
              <w:left w:val="nil"/>
              <w:bottom w:val="single" w:color="auto" w:sz="4" w:space="0"/>
              <w:right w:val="single" w:color="auto" w:sz="4" w:space="0"/>
            </w:tcBorders>
            <w:hideMark/>
          </w:tcPr>
          <w:p w:rsidRPr="00E70B3A" w:rsidR="009A39A5" w:rsidP="009A39A5" w:rsidRDefault="009A39A5" w14:paraId="6430640E" w14:textId="77777777">
            <w:pPr>
              <w:spacing w:after="0" w:line="240" w:lineRule="auto"/>
              <w:rPr>
                <w:rFonts w:cs="Arial"/>
                <w:color w:val="000000"/>
                <w:sz w:val="18"/>
                <w:szCs w:val="18"/>
                <w:lang w:eastAsia="en-AU"/>
              </w:rPr>
            </w:pPr>
            <w:r w:rsidRPr="00E70B3A">
              <w:rPr>
                <w:rFonts w:cs="Arial"/>
                <w:color w:val="000000"/>
                <w:sz w:val="18"/>
                <w:szCs w:val="18"/>
                <w:lang w:eastAsia="en-AU"/>
              </w:rPr>
              <w:t xml:space="preserve">Victorian Integrated Non-Admitted Health (VINAH) Minimum Dataset; monthly </w:t>
            </w:r>
          </w:p>
        </w:tc>
      </w:tr>
      <w:tr w:rsidRPr="00E70B3A" w:rsidR="009A39A5" w:rsidTr="009A39A5" w14:paraId="6C3A15E4" w14:textId="77777777">
        <w:trPr>
          <w:trHeight w:val="645"/>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28065C24" w14:textId="77777777">
            <w:pPr>
              <w:spacing w:after="0" w:line="240" w:lineRule="auto"/>
              <w:rPr>
                <w:rFonts w:cs="Arial"/>
                <w:color w:val="000000"/>
                <w:sz w:val="18"/>
                <w:szCs w:val="18"/>
                <w:lang w:eastAsia="en-AU"/>
              </w:rPr>
            </w:pPr>
            <w:r w:rsidRPr="00E70B3A">
              <w:rPr>
                <w:rFonts w:cs="Arial"/>
                <w:color w:val="000000"/>
                <w:sz w:val="18"/>
                <w:szCs w:val="18"/>
                <w:lang w:eastAsia="en-AU"/>
              </w:rPr>
              <w:t>Percentage of routine patients referred by a GP or external specialist who attended a first appointment within 365 days.</w:t>
            </w: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17099D82"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90%</w:t>
            </w:r>
          </w:p>
        </w:tc>
        <w:tc>
          <w:tcPr>
            <w:tcW w:w="1780" w:type="dxa"/>
            <w:vMerge/>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66EC4231" w14:textId="77777777">
            <w:pPr>
              <w:spacing w:after="0" w:line="240" w:lineRule="auto"/>
              <w:rPr>
                <w:rFonts w:cs="Arial"/>
                <w:color w:val="000000"/>
                <w:sz w:val="18"/>
                <w:szCs w:val="18"/>
                <w:lang w:eastAsia="en-AU"/>
              </w:rPr>
            </w:pPr>
          </w:p>
        </w:tc>
        <w:tc>
          <w:tcPr>
            <w:tcW w:w="3120" w:type="dxa"/>
            <w:tcBorders>
              <w:top w:val="nil"/>
              <w:left w:val="nil"/>
              <w:bottom w:val="single" w:color="auto" w:sz="4" w:space="0"/>
              <w:right w:val="single" w:color="auto" w:sz="4" w:space="0"/>
            </w:tcBorders>
            <w:hideMark/>
          </w:tcPr>
          <w:p w:rsidRPr="00E70B3A" w:rsidR="009A39A5" w:rsidP="009A39A5" w:rsidRDefault="009A39A5" w14:paraId="10B433F6" w14:textId="77777777">
            <w:pPr>
              <w:spacing w:after="0" w:line="240" w:lineRule="auto"/>
              <w:rPr>
                <w:rFonts w:cs="Arial"/>
                <w:color w:val="000000"/>
                <w:sz w:val="18"/>
                <w:szCs w:val="18"/>
                <w:lang w:eastAsia="en-AU"/>
              </w:rPr>
            </w:pPr>
            <w:r w:rsidRPr="00E70B3A">
              <w:rPr>
                <w:rFonts w:cs="Arial"/>
                <w:color w:val="000000"/>
                <w:sz w:val="18"/>
                <w:szCs w:val="18"/>
                <w:lang w:eastAsia="en-AU"/>
              </w:rPr>
              <w:t> </w:t>
            </w:r>
          </w:p>
        </w:tc>
      </w:tr>
      <w:tr w:rsidRPr="00E70B3A" w:rsidR="009A39A5" w:rsidTr="009A39A5" w14:paraId="020CFC50" w14:textId="77777777">
        <w:trPr>
          <w:trHeight w:val="300"/>
        </w:trPr>
        <w:tc>
          <w:tcPr>
            <w:tcW w:w="14240" w:type="dxa"/>
            <w:gridSpan w:val="4"/>
            <w:tcBorders>
              <w:top w:val="single" w:color="auto" w:sz="4" w:space="0"/>
              <w:left w:val="single" w:color="auto" w:sz="4" w:space="0"/>
              <w:bottom w:val="single" w:color="auto" w:sz="4" w:space="0"/>
              <w:right w:val="single" w:color="auto" w:sz="4" w:space="0"/>
            </w:tcBorders>
            <w:shd w:val="clear" w:color="000000" w:fill="D9D9D9"/>
            <w:hideMark/>
          </w:tcPr>
          <w:p w:rsidRPr="00E70B3A" w:rsidR="009A39A5" w:rsidP="009A39A5" w:rsidRDefault="009A39A5" w14:paraId="0B66CE82" w14:textId="77777777">
            <w:pPr>
              <w:spacing w:after="0" w:line="240" w:lineRule="auto"/>
              <w:rPr>
                <w:rFonts w:cs="Arial"/>
                <w:b/>
                <w:bCs/>
                <w:color w:val="000000"/>
                <w:sz w:val="18"/>
                <w:szCs w:val="18"/>
                <w:lang w:eastAsia="en-AU"/>
              </w:rPr>
            </w:pPr>
            <w:r w:rsidRPr="00E70B3A">
              <w:rPr>
                <w:rFonts w:cs="Arial"/>
                <w:b/>
                <w:bCs/>
                <w:color w:val="000000"/>
                <w:sz w:val="18"/>
                <w:szCs w:val="18"/>
                <w:lang w:eastAsia="en-AU"/>
              </w:rPr>
              <w:t>Home Based Care</w:t>
            </w:r>
          </w:p>
        </w:tc>
      </w:tr>
      <w:tr w:rsidRPr="00E70B3A" w:rsidR="009A39A5" w:rsidTr="009A39A5" w14:paraId="4AE936B5" w14:textId="77777777">
        <w:trPr>
          <w:trHeight w:val="720"/>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47384D8C" w14:textId="77777777">
            <w:pPr>
              <w:spacing w:after="0" w:line="240" w:lineRule="auto"/>
              <w:rPr>
                <w:rFonts w:cs="Arial"/>
                <w:color w:val="000000"/>
                <w:sz w:val="18"/>
                <w:szCs w:val="18"/>
                <w:lang w:eastAsia="en-AU"/>
              </w:rPr>
            </w:pPr>
            <w:r w:rsidRPr="00E70B3A">
              <w:rPr>
                <w:rFonts w:cs="Arial"/>
                <w:color w:val="000000"/>
                <w:sz w:val="18"/>
                <w:szCs w:val="18"/>
                <w:lang w:eastAsia="en-AU"/>
              </w:rPr>
              <w:t>Percentage of admitted bed days delivered at home</w:t>
            </w: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5603CE73"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Specific to health service</w:t>
            </w:r>
          </w:p>
        </w:tc>
        <w:tc>
          <w:tcPr>
            <w:tcW w:w="1780" w:type="dxa"/>
            <w:tcBorders>
              <w:top w:val="nil"/>
              <w:left w:val="nil"/>
              <w:bottom w:val="single" w:color="auto" w:sz="4" w:space="0"/>
              <w:right w:val="single" w:color="auto" w:sz="4" w:space="0"/>
            </w:tcBorders>
            <w:vAlign w:val="center"/>
            <w:hideMark/>
          </w:tcPr>
          <w:p w:rsidRPr="00E70B3A" w:rsidR="009A39A5" w:rsidP="009A39A5" w:rsidRDefault="009A39A5" w14:paraId="6B13F368"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 xml:space="preserve">HSRP, System Access and Reform </w:t>
            </w:r>
          </w:p>
        </w:tc>
        <w:tc>
          <w:tcPr>
            <w:tcW w:w="3120" w:type="dxa"/>
            <w:tcBorders>
              <w:top w:val="nil"/>
              <w:left w:val="nil"/>
              <w:bottom w:val="single" w:color="auto" w:sz="4" w:space="0"/>
              <w:right w:val="single" w:color="auto" w:sz="4" w:space="0"/>
            </w:tcBorders>
            <w:hideMark/>
          </w:tcPr>
          <w:p w:rsidRPr="00E70B3A" w:rsidR="009A39A5" w:rsidP="009A39A5" w:rsidRDefault="009A39A5" w14:paraId="776DD09E" w14:textId="77777777">
            <w:pPr>
              <w:spacing w:after="0" w:line="240" w:lineRule="auto"/>
              <w:rPr>
                <w:rFonts w:cs="Arial"/>
                <w:color w:val="000000"/>
                <w:sz w:val="18"/>
                <w:szCs w:val="18"/>
                <w:lang w:eastAsia="en-AU"/>
              </w:rPr>
            </w:pPr>
            <w:r w:rsidRPr="00E70B3A">
              <w:rPr>
                <w:rFonts w:cs="Arial"/>
                <w:color w:val="000000"/>
                <w:sz w:val="18"/>
                <w:szCs w:val="18"/>
                <w:lang w:eastAsia="en-AU"/>
              </w:rPr>
              <w:t>Victorian Admitted Episodes Dataset (VAED); quarterly and annually at the health service level.</w:t>
            </w:r>
          </w:p>
        </w:tc>
      </w:tr>
      <w:tr w:rsidRPr="00E70B3A" w:rsidR="009A39A5" w:rsidTr="009A39A5" w14:paraId="57A0B455" w14:textId="77777777">
        <w:trPr>
          <w:trHeight w:val="300"/>
        </w:trPr>
        <w:tc>
          <w:tcPr>
            <w:tcW w:w="7380" w:type="dxa"/>
            <w:tcBorders>
              <w:top w:val="nil"/>
              <w:left w:val="single" w:color="auto" w:sz="4" w:space="0"/>
              <w:bottom w:val="single" w:color="auto" w:sz="4" w:space="0"/>
              <w:right w:val="single" w:color="auto" w:sz="4" w:space="0"/>
            </w:tcBorders>
            <w:shd w:val="clear" w:color="000000" w:fill="215C98"/>
            <w:hideMark/>
          </w:tcPr>
          <w:p w:rsidRPr="00E70B3A" w:rsidR="009A39A5" w:rsidP="009A39A5" w:rsidRDefault="009A39A5" w14:paraId="6FE49A96" w14:textId="77777777">
            <w:pPr>
              <w:spacing w:after="0" w:line="240" w:lineRule="auto"/>
              <w:rPr>
                <w:rFonts w:cs="Arial"/>
                <w:b/>
                <w:bCs/>
                <w:color w:val="FFFFFF"/>
                <w:sz w:val="18"/>
                <w:szCs w:val="18"/>
                <w:lang w:eastAsia="en-AU"/>
              </w:rPr>
            </w:pPr>
            <w:r w:rsidRPr="00E70B3A">
              <w:rPr>
                <w:rFonts w:cs="Arial"/>
                <w:b/>
                <w:bCs/>
                <w:color w:val="FFFFFF"/>
                <w:sz w:val="18"/>
                <w:szCs w:val="18"/>
                <w:lang w:eastAsia="en-AU"/>
              </w:rPr>
              <w:t xml:space="preserve">Effective financial management </w:t>
            </w:r>
          </w:p>
        </w:tc>
        <w:tc>
          <w:tcPr>
            <w:tcW w:w="1960" w:type="dxa"/>
            <w:tcBorders>
              <w:top w:val="nil"/>
              <w:left w:val="nil"/>
              <w:bottom w:val="single" w:color="auto" w:sz="4" w:space="0"/>
              <w:right w:val="single" w:color="auto" w:sz="4" w:space="0"/>
            </w:tcBorders>
            <w:shd w:val="clear" w:color="000000" w:fill="215C98"/>
            <w:vAlign w:val="center"/>
            <w:hideMark/>
          </w:tcPr>
          <w:p w:rsidRPr="00E70B3A" w:rsidR="009A39A5" w:rsidP="009A39A5" w:rsidRDefault="009A39A5" w14:paraId="300B6EB8" w14:textId="77777777">
            <w:pPr>
              <w:spacing w:after="0" w:line="240" w:lineRule="auto"/>
              <w:jc w:val="center"/>
              <w:rPr>
                <w:rFonts w:cs="Arial"/>
                <w:b/>
                <w:bCs/>
                <w:color w:val="FFFFFF"/>
                <w:sz w:val="18"/>
                <w:szCs w:val="18"/>
                <w:lang w:eastAsia="en-AU"/>
              </w:rPr>
            </w:pPr>
            <w:r w:rsidRPr="00E70B3A">
              <w:rPr>
                <w:rFonts w:cs="Arial"/>
                <w:b/>
                <w:bCs/>
                <w:color w:val="FFFFFF"/>
                <w:sz w:val="18"/>
                <w:szCs w:val="18"/>
                <w:lang w:eastAsia="en-AU"/>
              </w:rPr>
              <w:t> </w:t>
            </w:r>
          </w:p>
        </w:tc>
        <w:tc>
          <w:tcPr>
            <w:tcW w:w="1780" w:type="dxa"/>
            <w:tcBorders>
              <w:top w:val="nil"/>
              <w:left w:val="nil"/>
              <w:bottom w:val="single" w:color="auto" w:sz="4" w:space="0"/>
              <w:right w:val="single" w:color="auto" w:sz="4" w:space="0"/>
            </w:tcBorders>
            <w:shd w:val="clear" w:color="000000" w:fill="215C98"/>
            <w:vAlign w:val="center"/>
            <w:hideMark/>
          </w:tcPr>
          <w:p w:rsidRPr="00E70B3A" w:rsidR="009A39A5" w:rsidP="009A39A5" w:rsidRDefault="009A39A5" w14:paraId="41A356FF" w14:textId="77777777">
            <w:pPr>
              <w:spacing w:after="0" w:line="240" w:lineRule="auto"/>
              <w:jc w:val="center"/>
              <w:rPr>
                <w:rFonts w:cs="Arial"/>
                <w:b/>
                <w:bCs/>
                <w:color w:val="FFFFFF"/>
                <w:sz w:val="18"/>
                <w:szCs w:val="18"/>
                <w:lang w:eastAsia="en-AU"/>
              </w:rPr>
            </w:pPr>
            <w:r w:rsidRPr="00E70B3A">
              <w:rPr>
                <w:rFonts w:cs="Arial"/>
                <w:b/>
                <w:bCs/>
                <w:color w:val="FFFFFF"/>
                <w:sz w:val="18"/>
                <w:szCs w:val="18"/>
                <w:lang w:eastAsia="en-AU"/>
              </w:rPr>
              <w:t> </w:t>
            </w:r>
          </w:p>
        </w:tc>
        <w:tc>
          <w:tcPr>
            <w:tcW w:w="3120" w:type="dxa"/>
            <w:tcBorders>
              <w:top w:val="nil"/>
              <w:left w:val="nil"/>
              <w:bottom w:val="single" w:color="auto" w:sz="4" w:space="0"/>
              <w:right w:val="single" w:color="auto" w:sz="4" w:space="0"/>
            </w:tcBorders>
            <w:shd w:val="clear" w:color="000000" w:fill="215C98"/>
            <w:hideMark/>
          </w:tcPr>
          <w:p w:rsidRPr="00E70B3A" w:rsidR="009A39A5" w:rsidP="009A39A5" w:rsidRDefault="009A39A5" w14:paraId="324D396C" w14:textId="77777777">
            <w:pPr>
              <w:spacing w:after="0" w:line="240" w:lineRule="auto"/>
              <w:rPr>
                <w:rFonts w:cs="Arial"/>
                <w:b/>
                <w:bCs/>
                <w:color w:val="FFFFFF"/>
                <w:sz w:val="18"/>
                <w:szCs w:val="18"/>
                <w:lang w:eastAsia="en-AU"/>
              </w:rPr>
            </w:pPr>
            <w:r w:rsidRPr="00E70B3A">
              <w:rPr>
                <w:rFonts w:cs="Arial"/>
                <w:b/>
                <w:bCs/>
                <w:color w:val="FFFFFF"/>
                <w:sz w:val="18"/>
                <w:szCs w:val="18"/>
                <w:lang w:eastAsia="en-AU"/>
              </w:rPr>
              <w:t> </w:t>
            </w:r>
          </w:p>
        </w:tc>
      </w:tr>
      <w:tr w:rsidRPr="00E70B3A" w:rsidR="009A39A5" w:rsidTr="009A39A5" w14:paraId="48C3A680" w14:textId="77777777">
        <w:trPr>
          <w:trHeight w:val="810"/>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4B330163" w14:textId="77777777">
            <w:pPr>
              <w:spacing w:after="0" w:line="240" w:lineRule="auto"/>
              <w:rPr>
                <w:rFonts w:cs="Arial"/>
                <w:color w:val="000000"/>
                <w:sz w:val="18"/>
                <w:szCs w:val="18"/>
                <w:lang w:eastAsia="en-AU"/>
              </w:rPr>
            </w:pPr>
            <w:bookmarkStart w:name="RANGE!A49" w:id="46"/>
            <w:r w:rsidRPr="00E70B3A">
              <w:rPr>
                <w:rFonts w:cs="Arial"/>
                <w:color w:val="000000"/>
                <w:sz w:val="18"/>
                <w:szCs w:val="18"/>
                <w:lang w:eastAsia="en-AU"/>
              </w:rPr>
              <w:t xml:space="preserve">Statement of Priorities operating result ($M) </w:t>
            </w:r>
            <w:bookmarkEnd w:id="46"/>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7EC90B01"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0</w:t>
            </w:r>
          </w:p>
        </w:tc>
        <w:tc>
          <w:tcPr>
            <w:tcW w:w="1780" w:type="dxa"/>
            <w:vMerge w:val="restart"/>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01B80F9E" w14:textId="3DB8F7ED">
            <w:pPr>
              <w:spacing w:after="0" w:line="240" w:lineRule="auto"/>
              <w:jc w:val="center"/>
              <w:rPr>
                <w:rFonts w:cs="Arial"/>
                <w:color w:val="000000"/>
                <w:sz w:val="18"/>
                <w:szCs w:val="18"/>
                <w:lang w:eastAsia="en-AU"/>
              </w:rPr>
            </w:pPr>
            <w:r w:rsidRPr="00E70B3A">
              <w:rPr>
                <w:rFonts w:cs="Arial"/>
                <w:color w:val="000000"/>
                <w:sz w:val="18"/>
                <w:szCs w:val="18"/>
                <w:lang w:eastAsia="en-AU"/>
              </w:rPr>
              <w:t>Hospitals Victoria -Health Service Financial Performance</w:t>
            </w:r>
          </w:p>
        </w:tc>
        <w:tc>
          <w:tcPr>
            <w:tcW w:w="3120" w:type="dxa"/>
            <w:vMerge w:val="restart"/>
            <w:tcBorders>
              <w:top w:val="nil"/>
              <w:left w:val="single" w:color="auto" w:sz="4" w:space="0"/>
              <w:bottom w:val="single" w:color="000000" w:sz="4" w:space="0"/>
              <w:right w:val="single" w:color="auto" w:sz="4" w:space="0"/>
            </w:tcBorders>
            <w:hideMark/>
          </w:tcPr>
          <w:p w:rsidRPr="00E70B3A" w:rsidR="009A39A5" w:rsidP="009A39A5" w:rsidRDefault="009A39A5" w14:paraId="0D3BC365" w14:textId="7A46D3C9">
            <w:pPr>
              <w:spacing w:after="0" w:line="240" w:lineRule="auto"/>
              <w:rPr>
                <w:rFonts w:cs="Arial"/>
                <w:color w:val="000000"/>
                <w:sz w:val="18"/>
                <w:szCs w:val="18"/>
                <w:lang w:eastAsia="en-AU"/>
              </w:rPr>
            </w:pPr>
            <w:r w:rsidRPr="00E70B3A">
              <w:rPr>
                <w:rFonts w:cs="Arial"/>
                <w:color w:val="000000"/>
                <w:sz w:val="18"/>
                <w:szCs w:val="18"/>
                <w:lang w:eastAsia="en-AU"/>
              </w:rPr>
              <w:t xml:space="preserve">Health Agencies Reporting Tool (HeART); monthly and </w:t>
            </w:r>
            <w:r w:rsidRPr="00E70B3A" w:rsidR="00FB2817">
              <w:rPr>
                <w:rFonts w:cs="Arial"/>
                <w:color w:val="000000"/>
                <w:sz w:val="18"/>
                <w:szCs w:val="18"/>
                <w:lang w:eastAsia="en-AU"/>
              </w:rPr>
              <w:t>annually</w:t>
            </w:r>
            <w:r w:rsidRPr="00E70B3A">
              <w:rPr>
                <w:rFonts w:cs="Arial"/>
                <w:color w:val="000000"/>
                <w:sz w:val="18"/>
                <w:szCs w:val="18"/>
                <w:lang w:eastAsia="en-AU"/>
              </w:rPr>
              <w:t xml:space="preserve"> </w:t>
            </w:r>
          </w:p>
        </w:tc>
      </w:tr>
      <w:tr w:rsidRPr="00E70B3A" w:rsidR="009A39A5" w:rsidTr="009A39A5" w14:paraId="012D2481" w14:textId="77777777">
        <w:trPr>
          <w:trHeight w:val="720"/>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14D75ECD" w14:textId="77777777">
            <w:pPr>
              <w:spacing w:after="0" w:line="240" w:lineRule="auto"/>
              <w:rPr>
                <w:rFonts w:cs="Arial"/>
                <w:color w:val="000000"/>
                <w:sz w:val="18"/>
                <w:szCs w:val="18"/>
                <w:lang w:eastAsia="en-AU"/>
              </w:rPr>
            </w:pPr>
            <w:r w:rsidRPr="00E70B3A">
              <w:rPr>
                <w:rFonts w:cs="Arial"/>
                <w:color w:val="000000"/>
                <w:sz w:val="18"/>
                <w:szCs w:val="18"/>
                <w:lang w:eastAsia="en-AU"/>
              </w:rPr>
              <w:t>Variance between the forecast and actual operating result (OR) as a percentage of the forecast OR for the current financial year ending 30 June</w:t>
            </w: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255C8EA7"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4% movement in forecast revenue and expenditure forecasts</w:t>
            </w:r>
          </w:p>
        </w:tc>
        <w:tc>
          <w:tcPr>
            <w:tcW w:w="1780" w:type="dxa"/>
            <w:vMerge/>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6AD96EA3" w14:textId="77777777">
            <w:pPr>
              <w:spacing w:after="0" w:line="240" w:lineRule="auto"/>
              <w:rPr>
                <w:rFonts w:cs="Arial"/>
                <w:color w:val="000000"/>
                <w:sz w:val="18"/>
                <w:szCs w:val="18"/>
                <w:lang w:eastAsia="en-AU"/>
              </w:rPr>
            </w:pPr>
          </w:p>
        </w:tc>
        <w:tc>
          <w:tcPr>
            <w:tcW w:w="3120" w:type="dxa"/>
            <w:vMerge/>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3276587B" w14:textId="77777777">
            <w:pPr>
              <w:spacing w:after="0" w:line="240" w:lineRule="auto"/>
              <w:rPr>
                <w:rFonts w:cs="Arial"/>
                <w:color w:val="000000"/>
                <w:sz w:val="18"/>
                <w:szCs w:val="18"/>
                <w:lang w:eastAsia="en-AU"/>
              </w:rPr>
            </w:pPr>
          </w:p>
        </w:tc>
      </w:tr>
      <w:tr w:rsidRPr="00E70B3A" w:rsidR="009A39A5" w:rsidTr="009A39A5" w14:paraId="3366A353" w14:textId="77777777">
        <w:trPr>
          <w:trHeight w:val="480"/>
        </w:trPr>
        <w:tc>
          <w:tcPr>
            <w:tcW w:w="7380" w:type="dxa"/>
            <w:tcBorders>
              <w:top w:val="nil"/>
              <w:left w:val="single" w:color="auto" w:sz="4" w:space="0"/>
              <w:bottom w:val="single" w:color="auto" w:sz="4" w:space="0"/>
              <w:right w:val="single" w:color="auto" w:sz="4" w:space="0"/>
            </w:tcBorders>
            <w:hideMark/>
          </w:tcPr>
          <w:p w:rsidRPr="00E70B3A" w:rsidR="009A39A5" w:rsidP="009A39A5" w:rsidRDefault="009A39A5" w14:paraId="3BDE16B8" w14:textId="77777777">
            <w:pPr>
              <w:spacing w:after="0" w:line="240" w:lineRule="auto"/>
              <w:rPr>
                <w:rFonts w:cs="Arial"/>
                <w:color w:val="000000"/>
                <w:sz w:val="18"/>
                <w:szCs w:val="18"/>
                <w:lang w:eastAsia="en-AU"/>
              </w:rPr>
            </w:pPr>
            <w:r w:rsidRPr="00E70B3A">
              <w:rPr>
                <w:rFonts w:cs="Arial"/>
                <w:color w:val="000000"/>
                <w:sz w:val="18"/>
                <w:szCs w:val="18"/>
                <w:lang w:eastAsia="en-AU"/>
              </w:rPr>
              <w:t>Average number of days to pay trade creditors</w:t>
            </w:r>
          </w:p>
        </w:tc>
        <w:tc>
          <w:tcPr>
            <w:tcW w:w="1960" w:type="dxa"/>
            <w:tcBorders>
              <w:top w:val="nil"/>
              <w:left w:val="nil"/>
              <w:bottom w:val="single" w:color="auto" w:sz="4" w:space="0"/>
              <w:right w:val="single" w:color="auto" w:sz="4" w:space="0"/>
            </w:tcBorders>
            <w:vAlign w:val="center"/>
            <w:hideMark/>
          </w:tcPr>
          <w:p w:rsidRPr="00E70B3A" w:rsidR="009A39A5" w:rsidP="009A39A5" w:rsidRDefault="009A39A5" w14:paraId="521A70FA" w14:textId="77777777">
            <w:pPr>
              <w:spacing w:after="0" w:line="240" w:lineRule="auto"/>
              <w:jc w:val="center"/>
              <w:rPr>
                <w:rFonts w:cs="Arial"/>
                <w:color w:val="000000"/>
                <w:sz w:val="18"/>
                <w:szCs w:val="18"/>
                <w:lang w:eastAsia="en-AU"/>
              </w:rPr>
            </w:pPr>
            <w:r w:rsidRPr="00E70B3A">
              <w:rPr>
                <w:rFonts w:cs="Arial"/>
                <w:color w:val="000000"/>
                <w:sz w:val="18"/>
                <w:szCs w:val="18"/>
                <w:lang w:eastAsia="en-AU"/>
              </w:rPr>
              <w:t>60 days</w:t>
            </w:r>
          </w:p>
        </w:tc>
        <w:tc>
          <w:tcPr>
            <w:tcW w:w="1780" w:type="dxa"/>
            <w:vMerge/>
            <w:tcBorders>
              <w:top w:val="nil"/>
              <w:left w:val="single" w:color="auto" w:sz="4" w:space="0"/>
              <w:bottom w:val="single" w:color="000000" w:sz="4" w:space="0"/>
              <w:right w:val="single" w:color="auto" w:sz="4" w:space="0"/>
            </w:tcBorders>
            <w:vAlign w:val="center"/>
            <w:hideMark/>
          </w:tcPr>
          <w:p w:rsidRPr="00E70B3A" w:rsidR="009A39A5" w:rsidP="009A39A5" w:rsidRDefault="009A39A5" w14:paraId="5B6D0DD8" w14:textId="77777777">
            <w:pPr>
              <w:spacing w:after="0" w:line="240" w:lineRule="auto"/>
              <w:rPr>
                <w:rFonts w:cs="Arial"/>
                <w:color w:val="000000"/>
                <w:sz w:val="18"/>
                <w:szCs w:val="18"/>
                <w:lang w:eastAsia="en-AU"/>
              </w:rPr>
            </w:pPr>
          </w:p>
        </w:tc>
        <w:tc>
          <w:tcPr>
            <w:tcW w:w="3120" w:type="dxa"/>
            <w:tcBorders>
              <w:top w:val="nil"/>
              <w:left w:val="nil"/>
              <w:bottom w:val="single" w:color="auto" w:sz="4" w:space="0"/>
              <w:right w:val="single" w:color="auto" w:sz="4" w:space="0"/>
            </w:tcBorders>
            <w:hideMark/>
          </w:tcPr>
          <w:p w:rsidRPr="00E70B3A" w:rsidR="009A39A5" w:rsidP="009A39A5" w:rsidRDefault="009A39A5" w14:paraId="01B90E4F" w14:textId="77777777">
            <w:pPr>
              <w:spacing w:after="0" w:line="240" w:lineRule="auto"/>
              <w:rPr>
                <w:rFonts w:cs="Arial"/>
                <w:color w:val="000000"/>
                <w:sz w:val="18"/>
                <w:szCs w:val="18"/>
                <w:lang w:eastAsia="en-AU"/>
              </w:rPr>
            </w:pPr>
            <w:r w:rsidRPr="00E70B3A">
              <w:rPr>
                <w:rFonts w:cs="Arial"/>
                <w:color w:val="000000"/>
                <w:sz w:val="18"/>
                <w:szCs w:val="18"/>
                <w:lang w:eastAsia="en-AU"/>
              </w:rPr>
              <w:t>HeART; Q4 (April to June) and annually.</w:t>
            </w:r>
          </w:p>
        </w:tc>
      </w:tr>
    </w:tbl>
    <w:p w:rsidRPr="00E96153" w:rsidR="00C543F6" w:rsidP="00E96153" w:rsidRDefault="00CD5031" w14:paraId="65478A9A" w14:textId="6FB530A8">
      <w:pPr>
        <w:pStyle w:val="DHHSbody"/>
        <w:spacing w:after="0" w:line="240" w:lineRule="auto"/>
        <w:rPr>
          <w:rFonts w:cs="Arial"/>
          <w:i/>
          <w:iCs/>
          <w:sz w:val="16"/>
          <w:szCs w:val="16"/>
        </w:rPr>
      </w:pPr>
      <w:r w:rsidRPr="00E96153">
        <w:rPr>
          <w:rFonts w:cs="Arial"/>
          <w:i/>
          <w:iCs/>
          <w:sz w:val="16"/>
          <w:szCs w:val="16"/>
        </w:rPr>
        <w:t xml:space="preserve">Table 4: </w:t>
      </w:r>
      <w:r w:rsidRPr="00E96153" w:rsidR="002F0AF7">
        <w:rPr>
          <w:rFonts w:cs="Arial"/>
          <w:i/>
          <w:iCs/>
          <w:sz w:val="16"/>
          <w:szCs w:val="16"/>
        </w:rPr>
        <w:t>Performance measures across domains. For each measure, it includes the agreed target, the responsible departmental owner (sub-domain), and the data source and reporting frequency used to monitor the measure.</w:t>
      </w:r>
    </w:p>
    <w:p w:rsidRPr="00E70B3A" w:rsidR="00F35F90" w:rsidP="00FC51D3" w:rsidRDefault="00F35F90" w14:paraId="7214704C" w14:textId="77777777">
      <w:pPr>
        <w:pStyle w:val="DHHSbody"/>
        <w:rPr>
          <w:rFonts w:cs="Arial"/>
          <w:b/>
          <w:bCs/>
          <w:i/>
          <w:iCs/>
        </w:rPr>
      </w:pPr>
    </w:p>
    <w:p w:rsidRPr="00E70B3A" w:rsidR="00F35F90" w:rsidP="00FC51D3" w:rsidRDefault="00F35F90" w14:paraId="1113B2ED" w14:textId="77777777">
      <w:pPr>
        <w:pStyle w:val="DHHSbody"/>
        <w:rPr>
          <w:rFonts w:cs="Arial"/>
          <w:b/>
          <w:bCs/>
          <w:i/>
          <w:iCs/>
        </w:rPr>
      </w:pPr>
    </w:p>
    <w:p w:rsidRPr="00E70B3A" w:rsidR="00F35F90" w:rsidP="00FC51D3" w:rsidRDefault="00F35F90" w14:paraId="73CC8071" w14:textId="77777777">
      <w:pPr>
        <w:pStyle w:val="DHHSbody"/>
        <w:rPr>
          <w:rFonts w:cs="Arial"/>
          <w:b/>
          <w:bCs/>
          <w:i/>
          <w:iCs/>
        </w:rPr>
      </w:pPr>
    </w:p>
    <w:p w:rsidRPr="00E70B3A" w:rsidR="006E0E5F" w:rsidP="00FC51D3" w:rsidRDefault="006E0E5F" w14:paraId="7C13444A" w14:textId="77777777">
      <w:pPr>
        <w:pStyle w:val="DHHSbody"/>
        <w:rPr>
          <w:rFonts w:cs="Arial"/>
          <w:b/>
          <w:bCs/>
          <w:i/>
          <w:iCs/>
        </w:rPr>
        <w:sectPr w:rsidRPr="00E70B3A" w:rsidR="006E0E5F" w:rsidSect="00965FAC">
          <w:pgSz w:w="16838" w:h="11906" w:orient="landscape" w:code="9"/>
          <w:pgMar w:top="720" w:right="720" w:bottom="720" w:left="720" w:header="680" w:footer="851" w:gutter="0"/>
          <w:cols w:space="340"/>
          <w:titlePg/>
          <w:docGrid w:linePitch="360"/>
        </w:sectPr>
      </w:pPr>
    </w:p>
    <w:p w:rsidRPr="00E70B3A" w:rsidR="006E0E5F" w:rsidP="006E0E5F" w:rsidRDefault="006E0E5F" w14:paraId="03509C3C" w14:textId="28982843">
      <w:pPr>
        <w:pStyle w:val="Heading1"/>
      </w:pPr>
      <w:bookmarkStart w:name="_Toc235628560" w:id="47"/>
      <w:r w:rsidRPr="00E70B3A">
        <w:t xml:space="preserve">Appendix </w:t>
      </w:r>
      <w:r w:rsidRPr="00E70B3A" w:rsidR="00814789">
        <w:t>4</w:t>
      </w:r>
      <w:r w:rsidRPr="00E70B3A" w:rsidR="006171AD">
        <w:t>:</w:t>
      </w:r>
      <w:r w:rsidRPr="00E70B3A">
        <w:t xml:space="preserve"> Statement of Priorities (SoP)</w:t>
      </w:r>
      <w:bookmarkEnd w:id="47"/>
    </w:p>
    <w:p w:rsidRPr="00E70B3A" w:rsidR="006E0E5F" w:rsidP="006E0E5F" w:rsidRDefault="006E0E5F" w14:paraId="2E2D7BA7" w14:textId="77777777">
      <w:pPr>
        <w:pStyle w:val="DHHSbody"/>
        <w:rPr>
          <w:rFonts w:cs="Arial"/>
        </w:rPr>
      </w:pPr>
      <w:r w:rsidRPr="00E70B3A">
        <w:rPr>
          <w:rFonts w:cs="Arial"/>
        </w:rPr>
        <w:t xml:space="preserve">The Statement of Priorities (SoP) is the legislated annual service delivery and accountability agreement between each Victorian public health service and the Minister for Health.  </w:t>
      </w:r>
    </w:p>
    <w:p w:rsidRPr="00E70B3A" w:rsidR="006E0E5F" w:rsidP="006E0E5F" w:rsidRDefault="006E0E5F" w14:paraId="21ED8DC9" w14:textId="77777777">
      <w:pPr>
        <w:pStyle w:val="DHHSbody"/>
        <w:rPr>
          <w:rFonts w:cs="Arial"/>
        </w:rPr>
      </w:pPr>
      <w:r w:rsidRPr="00E70B3A">
        <w:rPr>
          <w:rFonts w:cs="Arial"/>
        </w:rPr>
        <w:t>The SoP is designed to articulate a focused set of strategic performance priorities, rather than serve as a comprehensive performance framework. Health services are accountable for delivering against a defined set of core qualitative and quantitative strategic priorities outlined within the SoP. </w:t>
      </w:r>
    </w:p>
    <w:p w:rsidRPr="00E70B3A" w:rsidR="006E0E5F" w:rsidP="006E0E5F" w:rsidRDefault="006E0E5F" w14:paraId="316522E0" w14:textId="77777777">
      <w:pPr>
        <w:pStyle w:val="DHHSbody"/>
        <w:rPr>
          <w:rFonts w:cs="Arial"/>
        </w:rPr>
      </w:pPr>
      <w:r w:rsidRPr="00E70B3A">
        <w:rPr>
          <w:rFonts w:cs="Arial"/>
        </w:rPr>
        <w:t>To support performance oversight, the department applies data analytics and broader system intelligence—drawing on tools such as the Risk Assessment Tool and departmental reports—to assess performance, identify emerging risks, and inform decision-making </w:t>
      </w:r>
    </w:p>
    <w:p w:rsidRPr="00E70B3A" w:rsidR="006E0E5F" w:rsidP="006E0E5F" w:rsidRDefault="006E0E5F" w14:paraId="0FF7B076" w14:textId="77777777">
      <w:pPr>
        <w:pStyle w:val="DHHSbody"/>
        <w:rPr>
          <w:rFonts w:cs="Arial"/>
        </w:rPr>
      </w:pPr>
      <w:r w:rsidRPr="00E70B3A">
        <w:rPr>
          <w:rFonts w:cs="Arial"/>
        </w:rPr>
        <w:t>This approach enables the department to monitor sector-wide trends while recognising that not all performance measures warrant elevation to core priority status. </w:t>
      </w:r>
    </w:p>
    <w:p w:rsidRPr="00E70B3A" w:rsidR="006E0E5F" w:rsidP="006E0E5F" w:rsidRDefault="006E0E5F" w14:paraId="2C39647A" w14:textId="77777777">
      <w:pPr>
        <w:pStyle w:val="DHHSbody"/>
        <w:rPr>
          <w:rFonts w:cs="Arial"/>
        </w:rPr>
      </w:pPr>
      <w:r w:rsidRPr="00E70B3A">
        <w:rPr>
          <w:rFonts w:cs="Arial"/>
        </w:rPr>
        <w:t xml:space="preserve">To ensure alignment with system-wide reform and performance accountability, core priorities from across the performance domains are elevated into the SoP and structured across four distinct parts: </w:t>
      </w:r>
    </w:p>
    <w:p w:rsidRPr="00E70B3A" w:rsidR="006E0E5F" w:rsidP="006E0E5F" w:rsidRDefault="006E0E5F" w14:paraId="30D06C58" w14:textId="77777777">
      <w:pPr>
        <w:pStyle w:val="Heading3"/>
        <w:rPr>
          <w:rFonts w:cs="Arial"/>
        </w:rPr>
      </w:pPr>
      <w:r w:rsidRPr="00E70B3A">
        <w:rPr>
          <w:rFonts w:cs="Arial"/>
        </w:rPr>
        <w:t xml:space="preserve">Part A – Strategic Priorities  </w:t>
      </w:r>
    </w:p>
    <w:p w:rsidRPr="00E70B3A" w:rsidR="006E0E5F" w:rsidP="006E0E5F" w:rsidRDefault="006E0E5F" w14:paraId="46D94582" w14:textId="68D8F686">
      <w:pPr>
        <w:pStyle w:val="DHHSbody"/>
        <w:rPr>
          <w:rFonts w:cs="Arial"/>
        </w:rPr>
      </w:pPr>
      <w:r w:rsidRPr="00E70B3A">
        <w:rPr>
          <w:rFonts w:cs="Arial"/>
        </w:rPr>
        <w:t xml:space="preserve">This section outlines qualitative commitments aligned with the Department’s Strategic Plan and Ministerial directions. For </w:t>
      </w:r>
      <w:r w:rsidRPr="00E70B3A" w:rsidR="00435920">
        <w:rPr>
          <w:rFonts w:cs="Arial"/>
        </w:rPr>
        <w:t>2026-27</w:t>
      </w:r>
      <w:r w:rsidRPr="00E70B3A">
        <w:rPr>
          <w:rFonts w:cs="Arial"/>
        </w:rPr>
        <w:t xml:space="preserve"> SoPs are structured around five overarching strategic priorities that reflect the government’s highest health system objectives. These are articulated through mandatory goals and fixed deliverables that each health service must commit to achieving within the financial year. </w:t>
      </w:r>
    </w:p>
    <w:p w:rsidRPr="00E70B3A" w:rsidR="006E0E5F" w:rsidP="006E0E5F" w:rsidRDefault="006E0E5F" w14:paraId="184C6864" w14:textId="77777777">
      <w:pPr>
        <w:pStyle w:val="DHHSbody"/>
        <w:rPr>
          <w:rFonts w:cs="Arial"/>
        </w:rPr>
      </w:pPr>
      <w:r w:rsidRPr="00E70B3A">
        <w:rPr>
          <w:rFonts w:cs="Arial"/>
        </w:rPr>
        <w:t xml:space="preserve">Each mandatory goal contains a fixed number of set deliverables, with no scope for modification to the prescribed deliverable. Removal of the option to select and deliver on elective priorities. </w:t>
      </w:r>
    </w:p>
    <w:p w:rsidRPr="00E70B3A" w:rsidR="006E0E5F" w:rsidP="006E0E5F" w:rsidRDefault="006E0E5F" w14:paraId="464D87D7" w14:textId="77777777">
      <w:pPr>
        <w:pStyle w:val="DHHSbody"/>
        <w:rPr>
          <w:rFonts w:cs="Arial"/>
        </w:rPr>
      </w:pPr>
      <w:r w:rsidRPr="00E70B3A">
        <w:rPr>
          <w:rFonts w:cs="Arial"/>
        </w:rPr>
        <w:t xml:space="preserve">For health services with increased service capabilities, additional mandatory goals and deliverables may be specified to reflect areas of heightened strategic focus. This ensures that services with greater capacity contribute meaningfully to broader system improvements while remaining accountable to core expectations. This approach supports a differentiated performance model that recognises capability and scale and aligns effort with system-wide reform priorities. </w:t>
      </w:r>
    </w:p>
    <w:p w:rsidRPr="00E70B3A" w:rsidR="006E0E5F" w:rsidP="006E0E5F" w:rsidRDefault="006E0E5F" w14:paraId="27610FD5" w14:textId="77777777">
      <w:pPr>
        <w:rPr>
          <w:rFonts w:cs="Arial"/>
          <w:szCs w:val="21"/>
        </w:rPr>
      </w:pPr>
      <w:r w:rsidRPr="00E70B3A">
        <w:rPr>
          <w:rFonts w:cs="Arial"/>
          <w:szCs w:val="21"/>
        </w:rPr>
        <w:t xml:space="preserve">The allocation of additional goals applies to services that meet the following criteria:  </w:t>
      </w:r>
    </w:p>
    <w:p w:rsidRPr="00E70B3A" w:rsidR="006E0E5F" w:rsidP="00891C03" w:rsidRDefault="006E0E5F" w14:paraId="51A93838" w14:textId="77777777">
      <w:pPr>
        <w:pStyle w:val="ListParagraph"/>
        <w:numPr>
          <w:ilvl w:val="0"/>
          <w:numId w:val="18"/>
        </w:numPr>
        <w:spacing w:after="0" w:line="240" w:lineRule="auto"/>
        <w:contextualSpacing w:val="0"/>
        <w:rPr>
          <w:rFonts w:cs="Arial"/>
          <w:szCs w:val="21"/>
        </w:rPr>
      </w:pPr>
      <w:r w:rsidRPr="00E70B3A">
        <w:rPr>
          <w:rFonts w:cs="Arial"/>
          <w:szCs w:val="21"/>
        </w:rPr>
        <w:t>Operate an Emergency Department (excluding Urgent Care Centres)</w:t>
      </w:r>
    </w:p>
    <w:p w:rsidRPr="00E70B3A" w:rsidR="006E0E5F" w:rsidP="00891C03" w:rsidRDefault="006E0E5F" w14:paraId="63DE8E04" w14:textId="77777777">
      <w:pPr>
        <w:pStyle w:val="ListParagraph"/>
        <w:numPr>
          <w:ilvl w:val="0"/>
          <w:numId w:val="18"/>
        </w:numPr>
        <w:spacing w:after="0" w:line="240" w:lineRule="auto"/>
        <w:contextualSpacing w:val="0"/>
        <w:rPr>
          <w:rFonts w:cs="Arial"/>
          <w:szCs w:val="21"/>
        </w:rPr>
      </w:pPr>
      <w:r w:rsidRPr="00E70B3A">
        <w:rPr>
          <w:rFonts w:cs="Arial"/>
          <w:szCs w:val="21"/>
        </w:rPr>
        <w:t>Deliver Planned Surgery</w:t>
      </w:r>
    </w:p>
    <w:p w:rsidRPr="00E70B3A" w:rsidR="006E0E5F" w:rsidP="00891C03" w:rsidRDefault="006E0E5F" w14:paraId="6BFB08D7" w14:textId="77777777">
      <w:pPr>
        <w:pStyle w:val="ListParagraph"/>
        <w:numPr>
          <w:ilvl w:val="0"/>
          <w:numId w:val="18"/>
        </w:numPr>
        <w:spacing w:after="0" w:line="240" w:lineRule="auto"/>
        <w:contextualSpacing w:val="0"/>
        <w:rPr>
          <w:rFonts w:cs="Arial"/>
          <w:szCs w:val="21"/>
        </w:rPr>
      </w:pPr>
      <w:r w:rsidRPr="00E70B3A">
        <w:rPr>
          <w:rFonts w:cs="Arial"/>
          <w:szCs w:val="21"/>
        </w:rPr>
        <w:t>Are a designated Area Mental Health Service</w:t>
      </w:r>
    </w:p>
    <w:p w:rsidRPr="00E70B3A" w:rsidR="006E0E5F" w:rsidP="006E0E5F" w:rsidRDefault="006E0E5F" w14:paraId="188F14B2" w14:textId="77777777">
      <w:pPr>
        <w:pStyle w:val="DHHSbody"/>
        <w:rPr>
          <w:rFonts w:cs="Arial"/>
          <w:b/>
          <w:bCs/>
        </w:rPr>
      </w:pPr>
    </w:p>
    <w:p w:rsidRPr="00E70B3A" w:rsidR="006E0E5F" w:rsidP="006E0E5F" w:rsidRDefault="006E0E5F" w14:paraId="4419BC6B" w14:textId="77777777">
      <w:pPr>
        <w:pStyle w:val="Heading3"/>
        <w:rPr>
          <w:rFonts w:cs="Arial"/>
        </w:rPr>
      </w:pPr>
      <w:r w:rsidRPr="00E70B3A">
        <w:rPr>
          <w:rFonts w:cs="Arial"/>
        </w:rPr>
        <w:t>Part B – Performance Priorities</w:t>
      </w:r>
    </w:p>
    <w:p w:rsidRPr="00E70B3A" w:rsidR="006E0E5F" w:rsidP="006E0E5F" w:rsidRDefault="006E0E5F" w14:paraId="2A5E20DA" w14:textId="77777777">
      <w:pPr>
        <w:pStyle w:val="DHHSbody"/>
        <w:rPr>
          <w:rFonts w:cs="Arial"/>
        </w:rPr>
      </w:pPr>
      <w:r w:rsidRPr="00E70B3A">
        <w:rPr>
          <w:rFonts w:cs="Arial"/>
        </w:rPr>
        <w:t xml:space="preserve">This section sets out quantitative performance metrics across key domains such as financial sustainability, access, safety, and quality. Each metric includes a defined target that health services are expected to meet, forming the basis for performance monitoring and accountability. </w:t>
      </w:r>
    </w:p>
    <w:p w:rsidRPr="00E70B3A" w:rsidR="006E0E5F" w:rsidP="006E0E5F" w:rsidRDefault="006E0E5F" w14:paraId="781F05B6" w14:textId="6CCC10DA">
      <w:pPr>
        <w:pStyle w:val="DHHSbody"/>
        <w:rPr>
          <w:rFonts w:cs="Arial"/>
        </w:rPr>
      </w:pPr>
      <w:r w:rsidRPr="00E70B3A">
        <w:rPr>
          <w:rFonts w:cs="Arial"/>
        </w:rPr>
        <w:t xml:space="preserve">In line with this principle, the Department maintains a ‘one in, one out’ policy for managing the set of core priorities. </w:t>
      </w:r>
      <w:r w:rsidRPr="00E70B3A">
        <w:rPr>
          <w:rFonts w:cs="Arial"/>
          <w:lang w:val="en-US"/>
        </w:rPr>
        <w:t xml:space="preserve">For </w:t>
      </w:r>
      <w:r w:rsidRPr="00E70B3A" w:rsidR="000344B9">
        <w:rPr>
          <w:rFonts w:cs="Arial"/>
          <w:lang w:val="en-US"/>
        </w:rPr>
        <w:t>2026-27</w:t>
      </w:r>
      <w:r w:rsidRPr="00E70B3A">
        <w:rPr>
          <w:rFonts w:cs="Arial"/>
          <w:lang w:val="en-US"/>
        </w:rPr>
        <w:t xml:space="preserve"> the priorities have been consolidated into 3</w:t>
      </w:r>
      <w:r w:rsidRPr="00E70B3A" w:rsidR="000344B9">
        <w:rPr>
          <w:rFonts w:cs="Arial"/>
          <w:lang w:val="en-US"/>
        </w:rPr>
        <w:t>3</w:t>
      </w:r>
      <w:r w:rsidRPr="00E70B3A">
        <w:rPr>
          <w:rFonts w:cs="Arial"/>
          <w:lang w:val="en-US"/>
        </w:rPr>
        <w:t xml:space="preserve"> key performance measures.</w:t>
      </w:r>
      <w:r w:rsidRPr="00E70B3A">
        <w:rPr>
          <w:rFonts w:cs="Arial"/>
        </w:rPr>
        <w:t xml:space="preserve"> As new measures are developed, they will either remain within PRISM or replace existing SoP measures, ensuring the priority set remains focused and manageable. All measures are reviewed annually to ensure alignment with contemporary issues and the government’s highest strategic priorities. </w:t>
      </w:r>
    </w:p>
    <w:p w:rsidRPr="00E70B3A" w:rsidR="006E0E5F" w:rsidP="006E0E5F" w:rsidRDefault="006E0E5F" w14:paraId="592B1200" w14:textId="77777777">
      <w:pPr>
        <w:rPr>
          <w:rFonts w:cs="Arial"/>
          <w:szCs w:val="21"/>
        </w:rPr>
      </w:pPr>
      <w:r w:rsidRPr="00E70B3A">
        <w:rPr>
          <w:rFonts w:cs="Arial"/>
          <w:szCs w:val="21"/>
        </w:rPr>
        <w:t>To support a more constructive and context-sensitive approach to performance monitoring, some targets in Part B of the SoPs have been reframed as improvement-focused rather than static benchmarks. This shift acknowledges the diverse operating environments of health services and aims to:</w:t>
      </w:r>
    </w:p>
    <w:p w:rsidRPr="00E70B3A" w:rsidR="006E0E5F" w:rsidP="00891C03" w:rsidRDefault="006E0E5F" w14:paraId="645E5FA4" w14:textId="77777777">
      <w:pPr>
        <w:pStyle w:val="ListParagraph"/>
        <w:numPr>
          <w:ilvl w:val="0"/>
          <w:numId w:val="19"/>
        </w:numPr>
        <w:spacing w:after="0" w:line="240" w:lineRule="auto"/>
        <w:contextualSpacing w:val="0"/>
        <w:rPr>
          <w:rFonts w:cs="Arial"/>
          <w:szCs w:val="21"/>
        </w:rPr>
      </w:pPr>
      <w:r w:rsidRPr="00E70B3A">
        <w:rPr>
          <w:rFonts w:cs="Arial"/>
          <w:szCs w:val="21"/>
        </w:rPr>
        <w:t>Encourage continuous improvement by setting tiered or service-specific trajectories based on current performance levels.</w:t>
      </w:r>
    </w:p>
    <w:p w:rsidRPr="00E70B3A" w:rsidR="006E0E5F" w:rsidP="00891C03" w:rsidRDefault="006E0E5F" w14:paraId="13880806" w14:textId="77777777">
      <w:pPr>
        <w:pStyle w:val="ListParagraph"/>
        <w:numPr>
          <w:ilvl w:val="0"/>
          <w:numId w:val="19"/>
        </w:numPr>
        <w:spacing w:after="0" w:line="240" w:lineRule="auto"/>
        <w:contextualSpacing w:val="0"/>
        <w:rPr>
          <w:rFonts w:cs="Arial"/>
          <w:szCs w:val="21"/>
        </w:rPr>
      </w:pPr>
      <w:r w:rsidRPr="00E70B3A">
        <w:rPr>
          <w:rFonts w:cs="Arial"/>
          <w:szCs w:val="21"/>
        </w:rPr>
        <w:t>Recognise local context and resource availability while still upholding minimum standards.</w:t>
      </w:r>
    </w:p>
    <w:p w:rsidRPr="00E70B3A" w:rsidR="006E0E5F" w:rsidP="00891C03" w:rsidRDefault="006E0E5F" w14:paraId="64A881CE" w14:textId="77777777">
      <w:pPr>
        <w:pStyle w:val="ListParagraph"/>
        <w:numPr>
          <w:ilvl w:val="0"/>
          <w:numId w:val="19"/>
        </w:numPr>
        <w:spacing w:after="0" w:line="240" w:lineRule="auto"/>
        <w:contextualSpacing w:val="0"/>
        <w:rPr>
          <w:rFonts w:cs="Arial"/>
          <w:szCs w:val="21"/>
        </w:rPr>
      </w:pPr>
      <w:r w:rsidRPr="00E70B3A">
        <w:rPr>
          <w:rFonts w:cs="Arial"/>
          <w:szCs w:val="21"/>
        </w:rPr>
        <w:t>Promote accountability and transparency through measurable, achievable progress expectations.</w:t>
      </w:r>
    </w:p>
    <w:p w:rsidRPr="00E70B3A" w:rsidR="006E0E5F" w:rsidP="00891C03" w:rsidRDefault="006E0E5F" w14:paraId="2F889B72" w14:textId="77777777">
      <w:pPr>
        <w:pStyle w:val="ListParagraph"/>
        <w:numPr>
          <w:ilvl w:val="0"/>
          <w:numId w:val="19"/>
        </w:numPr>
        <w:spacing w:after="0" w:line="240" w:lineRule="auto"/>
        <w:contextualSpacing w:val="0"/>
        <w:rPr>
          <w:rFonts w:cs="Arial"/>
          <w:szCs w:val="21"/>
        </w:rPr>
      </w:pPr>
      <w:r w:rsidRPr="00E70B3A">
        <w:rPr>
          <w:rFonts w:cs="Arial"/>
          <w:szCs w:val="21"/>
        </w:rPr>
        <w:t>Align with the department’s broader performance framework, which now emphasises dynamic, data-informed targets over uniform thresholds.</w:t>
      </w:r>
    </w:p>
    <w:p w:rsidRPr="00E70B3A" w:rsidR="006E0E5F" w:rsidP="006E0E5F" w:rsidRDefault="006E0E5F" w14:paraId="26C03590" w14:textId="77777777">
      <w:pPr>
        <w:rPr>
          <w:rFonts w:cs="Arial"/>
          <w:szCs w:val="21"/>
        </w:rPr>
      </w:pPr>
    </w:p>
    <w:p w:rsidRPr="00E70B3A" w:rsidR="006E0E5F" w:rsidP="006E0E5F" w:rsidRDefault="006E0E5F" w14:paraId="36D3A44A" w14:textId="77777777">
      <w:pPr>
        <w:rPr>
          <w:rFonts w:cs="Arial"/>
          <w:szCs w:val="21"/>
        </w:rPr>
      </w:pPr>
      <w:r w:rsidRPr="00E70B3A">
        <w:rPr>
          <w:rFonts w:cs="Arial"/>
          <w:szCs w:val="21"/>
        </w:rPr>
        <w:t>Nonetheless, it is expected that all health services will work towards achieving normative statewide performance levels, where appropriate.</w:t>
      </w:r>
    </w:p>
    <w:p w:rsidRPr="00E70B3A" w:rsidR="006E0E5F" w:rsidP="006E0E5F" w:rsidRDefault="006E0E5F" w14:paraId="70526F97" w14:textId="77777777">
      <w:pPr>
        <w:rPr>
          <w:rFonts w:cs="Arial"/>
          <w:szCs w:val="21"/>
        </w:rPr>
      </w:pPr>
      <w:r w:rsidRPr="00E70B3A">
        <w:rPr>
          <w:rFonts w:cs="Arial"/>
          <w:szCs w:val="21"/>
        </w:rPr>
        <w:t xml:space="preserve">Other measures that contribute to the broader analysis of performance will continue to be monitored as part of risk management and will be reported to health services. </w:t>
      </w:r>
    </w:p>
    <w:p w:rsidRPr="00E70B3A" w:rsidR="006E0E5F" w:rsidP="006E0E5F" w:rsidRDefault="006E0E5F" w14:paraId="258FE35A" w14:textId="77777777">
      <w:pPr>
        <w:pStyle w:val="Heading3"/>
        <w:rPr>
          <w:rFonts w:cs="Arial"/>
        </w:rPr>
      </w:pPr>
      <w:r w:rsidRPr="00E70B3A">
        <w:rPr>
          <w:rFonts w:cs="Arial"/>
        </w:rPr>
        <w:t xml:space="preserve">Part C – Activity and Funding: </w:t>
      </w:r>
    </w:p>
    <w:p w:rsidRPr="00E70B3A" w:rsidR="006E0E5F" w:rsidP="006E0E5F" w:rsidRDefault="006E0E5F" w14:paraId="1C11B1F7" w14:textId="77777777">
      <w:pPr>
        <w:pStyle w:val="DHHSbody"/>
        <w:rPr>
          <w:rFonts w:cs="Arial"/>
        </w:rPr>
      </w:pPr>
      <w:r w:rsidRPr="00E70B3A">
        <w:rPr>
          <w:rFonts w:cs="Arial"/>
        </w:rPr>
        <w:t xml:space="preserve">This section details the agreed service activity levels and associated funding for the financial year. It ensures that service delivery expectations are appropriately resourced and aligned with statewide planning and funding frameworks. </w:t>
      </w:r>
    </w:p>
    <w:p w:rsidRPr="00E70B3A" w:rsidR="006E0E5F" w:rsidP="006E0E5F" w:rsidRDefault="006E0E5F" w14:paraId="7AFC829F" w14:textId="77777777">
      <w:pPr>
        <w:pStyle w:val="DHHSbody"/>
        <w:rPr>
          <w:rFonts w:cs="Arial"/>
          <w:b/>
          <w:bCs/>
        </w:rPr>
      </w:pPr>
      <w:r w:rsidRPr="00E70B3A">
        <w:rPr>
          <w:rFonts w:cs="Arial"/>
          <w:b/>
          <w:bCs/>
        </w:rPr>
        <w:t xml:space="preserve">Performance Domains </w:t>
      </w:r>
    </w:p>
    <w:p w:rsidRPr="00E70B3A" w:rsidR="006E0E5F" w:rsidP="006E0E5F" w:rsidRDefault="006E0E5F" w14:paraId="442C1528" w14:textId="77777777">
      <w:pPr>
        <w:pStyle w:val="DHHSbody"/>
        <w:rPr>
          <w:rFonts w:cs="Arial"/>
        </w:rPr>
      </w:pPr>
      <w:r w:rsidRPr="00E70B3A">
        <w:rPr>
          <w:rFonts w:cs="Arial"/>
        </w:rPr>
        <w:t>While Parts A and B of the SoP outline the annual high-level strategic performance priorities, health services remain fully accountable for performance across all areas defined by the four domains of: </w:t>
      </w:r>
    </w:p>
    <w:p w:rsidRPr="00E70B3A" w:rsidR="006E0E5F" w:rsidP="00891C03" w:rsidRDefault="006E0E5F" w14:paraId="6A34820F" w14:textId="77777777">
      <w:pPr>
        <w:pStyle w:val="DHHSbody"/>
        <w:numPr>
          <w:ilvl w:val="0"/>
          <w:numId w:val="17"/>
        </w:numPr>
        <w:rPr>
          <w:rFonts w:cs="Arial"/>
        </w:rPr>
      </w:pPr>
      <w:r w:rsidRPr="00E70B3A">
        <w:rPr>
          <w:rFonts w:cs="Arial"/>
        </w:rPr>
        <w:t>High quality and safe care </w:t>
      </w:r>
    </w:p>
    <w:p w:rsidRPr="00E70B3A" w:rsidR="006E0E5F" w:rsidP="00891C03" w:rsidRDefault="006E0E5F" w14:paraId="7B6E742E" w14:textId="77777777">
      <w:pPr>
        <w:pStyle w:val="DHHSbody"/>
        <w:numPr>
          <w:ilvl w:val="0"/>
          <w:numId w:val="17"/>
        </w:numPr>
        <w:rPr>
          <w:rFonts w:cs="Arial"/>
        </w:rPr>
      </w:pPr>
      <w:r w:rsidRPr="00E70B3A">
        <w:rPr>
          <w:rFonts w:cs="Arial"/>
        </w:rPr>
        <w:t>Strong governance leadership and culture </w:t>
      </w:r>
    </w:p>
    <w:p w:rsidRPr="00E70B3A" w:rsidR="006E0E5F" w:rsidP="00891C03" w:rsidRDefault="006E0E5F" w14:paraId="576BF6C8" w14:textId="77777777">
      <w:pPr>
        <w:pStyle w:val="DHHSbody"/>
        <w:numPr>
          <w:ilvl w:val="0"/>
          <w:numId w:val="17"/>
        </w:numPr>
        <w:rPr>
          <w:rFonts w:cs="Arial"/>
        </w:rPr>
      </w:pPr>
      <w:r w:rsidRPr="00E70B3A">
        <w:rPr>
          <w:rFonts w:cs="Arial"/>
        </w:rPr>
        <w:t>Timely access to care </w:t>
      </w:r>
    </w:p>
    <w:p w:rsidRPr="00E70B3A" w:rsidR="006E0E5F" w:rsidP="00891C03" w:rsidRDefault="006E0E5F" w14:paraId="63E72A0D" w14:textId="77777777">
      <w:pPr>
        <w:pStyle w:val="DHHSbody"/>
        <w:numPr>
          <w:ilvl w:val="0"/>
          <w:numId w:val="17"/>
        </w:numPr>
        <w:rPr>
          <w:rFonts w:cs="Arial"/>
        </w:rPr>
      </w:pPr>
      <w:r w:rsidRPr="00E70B3A">
        <w:rPr>
          <w:rFonts w:cs="Arial"/>
        </w:rPr>
        <w:t>Effective financial and asset management </w:t>
      </w:r>
    </w:p>
    <w:p w:rsidRPr="00E70B3A" w:rsidR="00C04252" w:rsidP="00FC51D3" w:rsidRDefault="00C04252" w14:paraId="031FD8C7" w14:textId="77777777">
      <w:pPr>
        <w:pStyle w:val="DHHSbody"/>
        <w:rPr>
          <w:rFonts w:cs="Arial"/>
          <w:b/>
          <w:bCs/>
          <w:i/>
          <w:iCs/>
        </w:rPr>
      </w:pPr>
    </w:p>
    <w:p w:rsidRPr="00E70B3A" w:rsidR="00B93D55" w:rsidRDefault="00B93D55" w14:paraId="473E959A" w14:textId="77777777">
      <w:pPr>
        <w:spacing w:after="0" w:line="240" w:lineRule="auto"/>
        <w:rPr>
          <w:rFonts w:eastAsia="MS Gothic" w:cs="Arial"/>
          <w:bCs/>
          <w:color w:val="201547"/>
          <w:kern w:val="32"/>
          <w:sz w:val="44"/>
          <w:szCs w:val="44"/>
          <w:highlight w:val="yellow"/>
        </w:rPr>
      </w:pPr>
      <w:r w:rsidRPr="00E70B3A">
        <w:rPr>
          <w:rFonts w:cs="Arial"/>
          <w:highlight w:val="yellow"/>
        </w:rPr>
        <w:br w:type="page"/>
      </w:r>
    </w:p>
    <w:p w:rsidRPr="00E70B3A" w:rsidR="00917DED" w:rsidP="002F5DB1" w:rsidRDefault="00917DED" w14:paraId="6E3AAD8A" w14:textId="77777777">
      <w:pPr>
        <w:pStyle w:val="Heading1"/>
        <w:rPr>
          <w:highlight w:val="yellow"/>
        </w:rPr>
        <w:sectPr w:rsidRPr="00E70B3A" w:rsidR="00917DED" w:rsidSect="00BB0162">
          <w:pgSz w:w="11906" w:h="16838" w:orient="portrait" w:code="9"/>
          <w:pgMar w:top="1418" w:right="1418" w:bottom="1418" w:left="1418" w:header="680" w:footer="851" w:gutter="0"/>
          <w:cols w:space="340"/>
          <w:titlePg/>
          <w:docGrid w:linePitch="360"/>
        </w:sectPr>
      </w:pPr>
    </w:p>
    <w:p w:rsidRPr="00E70B3A" w:rsidR="00F35F90" w:rsidP="002F5DB1" w:rsidRDefault="002F5DB1" w14:paraId="67AB020D" w14:textId="0D9C3CC2">
      <w:pPr>
        <w:pStyle w:val="Heading1"/>
      </w:pPr>
      <w:bookmarkStart w:name="_Toc235628561" w:id="48"/>
      <w:r w:rsidRPr="00E70B3A">
        <w:t xml:space="preserve">Appendix </w:t>
      </w:r>
      <w:r w:rsidRPr="00E70B3A" w:rsidR="000C7700">
        <w:t>5</w:t>
      </w:r>
      <w:r w:rsidRPr="00E70B3A">
        <w:t>: Performance Tier Criteria</w:t>
      </w:r>
      <w:bookmarkEnd w:id="48"/>
    </w:p>
    <w:p w:rsidRPr="008F0D40" w:rsidR="008238A7" w:rsidP="00925DEE" w:rsidRDefault="008238A7" w14:paraId="344102E3" w14:textId="77777777">
      <w:pPr>
        <w:pStyle w:val="DHHSbody"/>
        <w:spacing w:after="0"/>
      </w:pPr>
      <w:r w:rsidRPr="008F0D40">
        <w:t>Criteria for each performance tier are centred on three considerations applied consistently across the sector:</w:t>
      </w:r>
    </w:p>
    <w:p w:rsidRPr="008F0D40" w:rsidR="008238A7" w:rsidRDefault="008238A7" w14:paraId="3D188B31" w14:textId="1C6BFCFD">
      <w:pPr>
        <w:pStyle w:val="DHHSbody"/>
        <w:numPr>
          <w:ilvl w:val="0"/>
          <w:numId w:val="33"/>
        </w:numPr>
        <w:spacing w:after="0"/>
      </w:pPr>
      <w:r w:rsidRPr="008F0D40">
        <w:t xml:space="preserve">Performance against SoP priorities, targets and other measures </w:t>
      </w:r>
    </w:p>
    <w:p w:rsidRPr="008F0D40" w:rsidR="008238A7" w:rsidRDefault="008238A7" w14:paraId="71A0B0A3" w14:textId="6D0E957B">
      <w:pPr>
        <w:pStyle w:val="DHHSbody"/>
        <w:numPr>
          <w:ilvl w:val="0"/>
          <w:numId w:val="33"/>
        </w:numPr>
        <w:spacing w:after="0"/>
      </w:pPr>
      <w:r w:rsidRPr="008F0D40">
        <w:t xml:space="preserve">Continuous and sustained improvement </w:t>
      </w:r>
    </w:p>
    <w:p w:rsidRPr="008F0D40" w:rsidR="008238A7" w:rsidRDefault="008238A7" w14:paraId="0D1686E0" w14:textId="6B77AF82">
      <w:pPr>
        <w:pStyle w:val="DHHSbody"/>
        <w:numPr>
          <w:ilvl w:val="0"/>
          <w:numId w:val="33"/>
        </w:numPr>
        <w:spacing w:after="0"/>
      </w:pPr>
      <w:r w:rsidRPr="008F0D40">
        <w:t xml:space="preserve">System collaboration </w:t>
      </w:r>
    </w:p>
    <w:tbl>
      <w:tblPr>
        <w:tblStyle w:val="GridTable4-Accent1"/>
        <w:tblW w:w="5116" w:type="pct"/>
        <w:tblLook w:val="0420" w:firstRow="1" w:lastRow="0" w:firstColumn="0" w:lastColumn="0" w:noHBand="0" w:noVBand="1"/>
      </w:tblPr>
      <w:tblGrid>
        <w:gridCol w:w="1697"/>
        <w:gridCol w:w="7054"/>
        <w:gridCol w:w="3876"/>
        <w:gridCol w:w="3118"/>
      </w:tblGrid>
      <w:tr w:rsidRPr="00032D71" w:rsidR="00917DED" w:rsidTr="00C674BA" w14:paraId="750B349D" w14:textId="77777777">
        <w:trPr>
          <w:cnfStyle w:val="100000000000" w:firstRow="1" w:lastRow="0" w:firstColumn="0" w:lastColumn="0" w:oddVBand="0" w:evenVBand="0" w:oddHBand="0" w:evenHBand="0" w:firstRowFirstColumn="0" w:firstRowLastColumn="0" w:lastRowFirstColumn="0" w:lastRowLastColumn="0"/>
          <w:trHeight w:val="375"/>
          <w:tblHeader/>
        </w:trPr>
        <w:tc>
          <w:tcPr>
            <w:tcW w:w="539" w:type="pct"/>
            <w:shd w:val="clear" w:color="auto" w:fill="153D64"/>
          </w:tcPr>
          <w:p w:rsidRPr="00C674BA" w:rsidR="00917DED" w:rsidP="00C674BA" w:rsidRDefault="0041733A" w14:paraId="0EBF2403" w14:textId="1FF469E6">
            <w:pPr>
              <w:pStyle w:val="DHHSbody"/>
              <w:rPr>
                <w:color w:val="FFFFFF" w:themeColor="background1"/>
              </w:rPr>
            </w:pPr>
            <w:r w:rsidRPr="00C674BA">
              <w:rPr>
                <w:color w:val="FFFFFF" w:themeColor="background1"/>
              </w:rPr>
              <w:t>Tier</w:t>
            </w:r>
          </w:p>
        </w:tc>
        <w:tc>
          <w:tcPr>
            <w:tcW w:w="2240" w:type="pct"/>
            <w:shd w:val="clear" w:color="auto" w:fill="153D64"/>
          </w:tcPr>
          <w:p w:rsidRPr="00C674BA" w:rsidR="00917DED" w:rsidP="00C674BA" w:rsidRDefault="0041733A" w14:paraId="55D544FB" w14:textId="44C4A1E9">
            <w:pPr>
              <w:pStyle w:val="DHHSbody"/>
              <w:rPr>
                <w:color w:val="FFFFFF" w:themeColor="background1"/>
              </w:rPr>
            </w:pPr>
            <w:r w:rsidRPr="00C674BA">
              <w:rPr>
                <w:color w:val="FFFFFF" w:themeColor="background1"/>
              </w:rPr>
              <w:t xml:space="preserve">Performance </w:t>
            </w:r>
          </w:p>
        </w:tc>
        <w:tc>
          <w:tcPr>
            <w:tcW w:w="1231" w:type="pct"/>
            <w:shd w:val="clear" w:color="auto" w:fill="153D64"/>
          </w:tcPr>
          <w:p w:rsidRPr="00C674BA" w:rsidR="00917DED" w:rsidP="00C674BA" w:rsidRDefault="0041733A" w14:paraId="71C42C5E" w14:textId="5A2DF0D0">
            <w:pPr>
              <w:pStyle w:val="DHHSbody"/>
              <w:rPr>
                <w:color w:val="FFFFFF" w:themeColor="background1"/>
              </w:rPr>
            </w:pPr>
            <w:r w:rsidRPr="00C674BA">
              <w:rPr>
                <w:color w:val="FFFFFF" w:themeColor="background1"/>
              </w:rPr>
              <w:t xml:space="preserve">Improvement </w:t>
            </w:r>
          </w:p>
        </w:tc>
        <w:tc>
          <w:tcPr>
            <w:tcW w:w="990" w:type="pct"/>
            <w:shd w:val="clear" w:color="auto" w:fill="153D64"/>
          </w:tcPr>
          <w:p w:rsidRPr="00C674BA" w:rsidR="00917DED" w:rsidP="00C674BA" w:rsidRDefault="0041733A" w14:paraId="0DE71487" w14:textId="25CD6AA6">
            <w:pPr>
              <w:pStyle w:val="DHHSbody"/>
              <w:rPr>
                <w:color w:val="FFFFFF" w:themeColor="background1"/>
              </w:rPr>
            </w:pPr>
            <w:r w:rsidRPr="00C674BA">
              <w:rPr>
                <w:color w:val="FFFFFF" w:themeColor="background1"/>
              </w:rPr>
              <w:t xml:space="preserve">System Collaboration </w:t>
            </w:r>
          </w:p>
        </w:tc>
      </w:tr>
      <w:tr w:rsidRPr="00032D71" w:rsidR="00917DED" w:rsidTr="00925DEE" w14:paraId="425D1308" w14:textId="77777777">
        <w:trPr>
          <w:cnfStyle w:val="000000100000" w:firstRow="0" w:lastRow="0" w:firstColumn="0" w:lastColumn="0" w:oddVBand="0" w:evenVBand="0" w:oddHBand="1" w:evenHBand="0" w:firstRowFirstColumn="0" w:firstRowLastColumn="0" w:lastRowFirstColumn="0" w:lastRowLastColumn="0"/>
          <w:trHeight w:val="1846"/>
        </w:trPr>
        <w:tc>
          <w:tcPr>
            <w:tcW w:w="539" w:type="pct"/>
            <w:hideMark/>
          </w:tcPr>
          <w:p w:rsidRPr="00032D71" w:rsidR="00917DED" w:rsidP="00C674BA" w:rsidRDefault="00917DED" w14:paraId="4433CDDF" w14:textId="77777777">
            <w:pPr>
              <w:pStyle w:val="DHHSbody"/>
            </w:pPr>
            <w:r w:rsidRPr="00032D71">
              <w:t>Enhanced autonomy</w:t>
            </w:r>
          </w:p>
          <w:p w:rsidRPr="00032D71" w:rsidR="00917DED" w:rsidP="00C674BA" w:rsidRDefault="00917DED" w14:paraId="126DC678" w14:textId="77777777">
            <w:pPr>
              <w:pStyle w:val="DHHSbody"/>
            </w:pPr>
            <w:r w:rsidRPr="00032D71">
              <w:t>All of: </w:t>
            </w:r>
          </w:p>
        </w:tc>
        <w:tc>
          <w:tcPr>
            <w:tcW w:w="2240" w:type="pct"/>
            <w:hideMark/>
          </w:tcPr>
          <w:p w:rsidRPr="00032D71" w:rsidR="00917DED" w:rsidP="00C674BA" w:rsidRDefault="00917DED" w14:paraId="1863B6FF" w14:textId="77777777">
            <w:pPr>
              <w:pStyle w:val="DHHSbody"/>
            </w:pPr>
            <w:r w:rsidRPr="00032D71">
              <w:t>Consistently high performing across core performance domains, including:</w:t>
            </w:r>
          </w:p>
          <w:p w:rsidRPr="00032D71" w:rsidR="005B203C" w:rsidP="00C674BA" w:rsidRDefault="005B203C" w14:paraId="02AA85CC" w14:textId="6EDDF427">
            <w:pPr>
              <w:pStyle w:val="DHHSbody"/>
            </w:pPr>
            <w:r w:rsidRPr="00032D71">
              <w:t xml:space="preserve">Meeting core Government expectations </w:t>
            </w:r>
            <w:r w:rsidRPr="00032D71" w:rsidR="00C93B02">
              <w:t xml:space="preserve">(quality and safety -including cultural safety, access to care, workforce sustainability, and financial sustainability - </w:t>
            </w:r>
            <w:r w:rsidRPr="00032D71">
              <w:t>balanced operating results</w:t>
            </w:r>
            <w:r w:rsidRPr="00032D71" w:rsidR="00295707">
              <w:t>)</w:t>
            </w:r>
            <w:r w:rsidRPr="00032D71" w:rsidR="00CB1AF7">
              <w:t>;</w:t>
            </w:r>
          </w:p>
          <w:p w:rsidRPr="00032D71" w:rsidR="005B203C" w:rsidP="00C674BA" w:rsidRDefault="005B203C" w14:paraId="1EDED6A4" w14:textId="2929D5CF">
            <w:pPr>
              <w:pStyle w:val="DHHSbody"/>
            </w:pPr>
            <w:r w:rsidRPr="00032D71">
              <w:t>Achieving or exceeding local improvement targets agreed with DH;</w:t>
            </w:r>
          </w:p>
          <w:p w:rsidRPr="00032D71" w:rsidR="005B203C" w:rsidP="00C674BA" w:rsidRDefault="005B203C" w14:paraId="65CFC31B" w14:textId="6D342371">
            <w:pPr>
              <w:pStyle w:val="DHHSbody"/>
            </w:pPr>
            <w:r w:rsidRPr="00032D71">
              <w:t>Strong relative performance – priority metrics typically top of peer group and top quartile statewide (or nationally for specialist services).</w:t>
            </w:r>
          </w:p>
        </w:tc>
        <w:tc>
          <w:tcPr>
            <w:tcW w:w="1231" w:type="pct"/>
            <w:hideMark/>
          </w:tcPr>
          <w:p w:rsidRPr="00032D71" w:rsidR="00417C9A" w:rsidP="00C674BA" w:rsidRDefault="00BC4A5D" w14:paraId="31AD141F" w14:textId="77777777">
            <w:pPr>
              <w:pStyle w:val="DHHSbody"/>
            </w:pPr>
            <w:r w:rsidRPr="00032D71">
              <w:t>Continuous and sustained improvement; innovating to redefine and maintain excellence; evidence of established improvement capability and capacity; active engagement in local, regional and statewide improvement; willingness to experiment, fail fast and learn</w:t>
            </w:r>
            <w:r w:rsidRPr="00032D71" w:rsidR="00417C9A">
              <w:t xml:space="preserve"> and move on, with long term progress on priority metrics</w:t>
            </w:r>
          </w:p>
          <w:p w:rsidRPr="00032D71" w:rsidR="00BC4A5D" w:rsidP="00C674BA" w:rsidRDefault="00BC4A5D" w14:paraId="75C45546" w14:textId="57E9A68D">
            <w:pPr>
              <w:pStyle w:val="DHHSbody"/>
            </w:pPr>
          </w:p>
        </w:tc>
        <w:tc>
          <w:tcPr>
            <w:tcW w:w="990" w:type="pct"/>
            <w:hideMark/>
          </w:tcPr>
          <w:p w:rsidRPr="00032D71" w:rsidR="00917DED" w:rsidP="00C674BA" w:rsidRDefault="00917DED" w14:paraId="78F6CB27" w14:textId="44FC3D57">
            <w:pPr>
              <w:pStyle w:val="DHHSbody"/>
            </w:pPr>
            <w:r w:rsidRPr="00032D71">
              <w:t>Effective leadership: plays an active and effective leadership role with system partners to support and drive place-based, regional and statewide priorities</w:t>
            </w:r>
          </w:p>
          <w:p w:rsidRPr="00032D71" w:rsidR="00765EB0" w:rsidP="00C674BA" w:rsidRDefault="00765EB0" w14:paraId="080852CC" w14:textId="36BEDE10">
            <w:pPr>
              <w:pStyle w:val="DHHSbody"/>
            </w:pPr>
          </w:p>
        </w:tc>
      </w:tr>
      <w:tr w:rsidRPr="00032D71" w:rsidR="00EB09AF" w:rsidTr="00925DEE" w14:paraId="6610F75A" w14:textId="77777777">
        <w:trPr>
          <w:trHeight w:val="1068"/>
        </w:trPr>
        <w:tc>
          <w:tcPr>
            <w:tcW w:w="539" w:type="pct"/>
          </w:tcPr>
          <w:p w:rsidRPr="00032D71" w:rsidR="00EB09AF" w:rsidP="00C674BA" w:rsidRDefault="00EB09AF" w14:paraId="619DA3CA" w14:textId="77777777">
            <w:pPr>
              <w:pStyle w:val="DHHSbody"/>
            </w:pPr>
            <w:r w:rsidRPr="00032D71">
              <w:t>Standard oversight</w:t>
            </w:r>
          </w:p>
          <w:p w:rsidRPr="00032D71" w:rsidR="00EB09AF" w:rsidP="00C674BA" w:rsidRDefault="00EB09AF" w14:paraId="71BF6F93" w14:textId="77A154B8">
            <w:pPr>
              <w:pStyle w:val="DHHSbody"/>
            </w:pPr>
            <w:r w:rsidRPr="00032D71">
              <w:t>All of: </w:t>
            </w:r>
          </w:p>
        </w:tc>
        <w:tc>
          <w:tcPr>
            <w:tcW w:w="2240" w:type="pct"/>
          </w:tcPr>
          <w:p w:rsidRPr="00032D71" w:rsidR="00EB09AF" w:rsidP="00C674BA" w:rsidRDefault="00EB09AF" w14:paraId="58284865" w14:textId="1A8ED2AB">
            <w:pPr>
              <w:pStyle w:val="DHHSbody"/>
            </w:pPr>
            <w:r w:rsidRPr="00032D71">
              <w:t>Meeting core government expectations. Operating within acceptable parameters and performance against</w:t>
            </w:r>
            <w:r w:rsidRPr="00032D71" w:rsidR="00450555">
              <w:t xml:space="preserve"> agreed</w:t>
            </w:r>
            <w:r w:rsidRPr="00032D71">
              <w:t xml:space="preserve"> targets, with credible plans to remediate areas of challenge.  </w:t>
            </w:r>
          </w:p>
        </w:tc>
        <w:tc>
          <w:tcPr>
            <w:tcW w:w="1231" w:type="pct"/>
          </w:tcPr>
          <w:p w:rsidRPr="00032D71" w:rsidR="00EB09AF" w:rsidP="00C674BA" w:rsidRDefault="00EB09AF" w14:paraId="1C6E3D69" w14:textId="34300EF7">
            <w:pPr>
              <w:pStyle w:val="DHHSbody"/>
            </w:pPr>
            <w:r w:rsidRPr="00032D71">
              <w:t>Credible plans to address specific areas of challenge, with evidence of effective follow-through and holistic improvement within an acceptable timeframe.</w:t>
            </w:r>
          </w:p>
        </w:tc>
        <w:tc>
          <w:tcPr>
            <w:tcW w:w="990" w:type="pct"/>
          </w:tcPr>
          <w:p w:rsidRPr="00032D71" w:rsidR="00EB09AF" w:rsidP="00C674BA" w:rsidRDefault="00EB09AF" w14:paraId="4C369C24" w14:textId="32BAEE67">
            <w:pPr>
              <w:pStyle w:val="DHHSbody"/>
            </w:pPr>
            <w:r w:rsidRPr="00032D71">
              <w:t>Positively contributes to and actively supports efforts with system partners.</w:t>
            </w:r>
          </w:p>
        </w:tc>
      </w:tr>
      <w:tr w:rsidRPr="00032D71" w:rsidR="00F9241E" w:rsidTr="00925DEE" w14:paraId="3CDB9389" w14:textId="77777777">
        <w:trPr>
          <w:cnfStyle w:val="000000100000" w:firstRow="0" w:lastRow="0" w:firstColumn="0" w:lastColumn="0" w:oddVBand="0" w:evenVBand="0" w:oddHBand="1" w:evenHBand="0" w:firstRowFirstColumn="0" w:firstRowLastColumn="0" w:lastRowFirstColumn="0" w:lastRowLastColumn="0"/>
          <w:trHeight w:val="1437"/>
        </w:trPr>
        <w:tc>
          <w:tcPr>
            <w:tcW w:w="539" w:type="pct"/>
          </w:tcPr>
          <w:p w:rsidRPr="00032D71" w:rsidR="00F9241E" w:rsidP="00C674BA" w:rsidRDefault="00F9241E" w14:paraId="28E246F6" w14:textId="77777777">
            <w:pPr>
              <w:pStyle w:val="DHHSbody"/>
            </w:pPr>
            <w:r w:rsidRPr="00032D71">
              <w:t>Performance support</w:t>
            </w:r>
          </w:p>
          <w:p w:rsidRPr="00032D71" w:rsidR="00F9241E" w:rsidP="00C674BA" w:rsidRDefault="00F9241E" w14:paraId="63578E95" w14:textId="0BC90524">
            <w:pPr>
              <w:pStyle w:val="DHHSbody"/>
            </w:pPr>
            <w:r w:rsidRPr="00032D71">
              <w:t>Any of: </w:t>
            </w:r>
          </w:p>
        </w:tc>
        <w:tc>
          <w:tcPr>
            <w:tcW w:w="2240" w:type="pct"/>
          </w:tcPr>
          <w:p w:rsidRPr="00032D71" w:rsidR="00F9241E" w:rsidP="00C674BA" w:rsidRDefault="00F9241E" w14:paraId="3105D14E" w14:textId="59E68666">
            <w:pPr>
              <w:pStyle w:val="DHHSbody"/>
            </w:pPr>
            <w:r w:rsidRPr="00032D71">
              <w:t>Significant support needs in one or more domains – not meeting core Government priorities (for example actual or forecast deficit; overall safety and quality, including cultural safety, requiring systemic improvement; or significantly off-target emergency and planned surgery access); inadequate local performance; poor relative performance; significant underlying risk factors or outstanding concerns from intelligence analysis.</w:t>
            </w:r>
          </w:p>
        </w:tc>
        <w:tc>
          <w:tcPr>
            <w:tcW w:w="1231" w:type="pct"/>
          </w:tcPr>
          <w:p w:rsidRPr="00032D71" w:rsidR="00F9241E" w:rsidP="00C674BA" w:rsidRDefault="00F9241E" w14:paraId="473B7BBF" w14:textId="7BBEDE27">
            <w:pPr>
              <w:pStyle w:val="DHHSbody"/>
            </w:pPr>
            <w:r w:rsidRPr="00032D71">
              <w:t>Improvement required: plans to address identified areas of challenge are not in place, are not being delivered, or are not delivering holistic improvement within an acceptable timeframe.</w:t>
            </w:r>
          </w:p>
        </w:tc>
        <w:tc>
          <w:tcPr>
            <w:tcW w:w="990" w:type="pct"/>
          </w:tcPr>
          <w:p w:rsidRPr="00032D71" w:rsidR="00F9241E" w:rsidP="00C674BA" w:rsidRDefault="00F9241E" w14:paraId="50072321" w14:textId="645D7BF8">
            <w:pPr>
              <w:pStyle w:val="DHHSbody"/>
            </w:pPr>
            <w:r w:rsidRPr="00032D71">
              <w:t>Limited collaboration: limited positive contribution to partnership-based efforts to progress place-based, regional and statewide priorities.</w:t>
            </w:r>
          </w:p>
        </w:tc>
      </w:tr>
      <w:tr w:rsidRPr="00032D71" w:rsidR="00055981" w:rsidTr="00925DEE" w14:paraId="46A8D486" w14:textId="77777777">
        <w:trPr>
          <w:trHeight w:val="1437"/>
        </w:trPr>
        <w:tc>
          <w:tcPr>
            <w:tcW w:w="539" w:type="pct"/>
          </w:tcPr>
          <w:p w:rsidRPr="00032D71" w:rsidR="00055981" w:rsidP="00C674BA" w:rsidRDefault="00055981" w14:paraId="35B2E3F8" w14:textId="77777777">
            <w:pPr>
              <w:pStyle w:val="DHHSbody"/>
            </w:pPr>
            <w:r w:rsidRPr="00032D71">
              <w:t>Mandated intensive support</w:t>
            </w:r>
          </w:p>
          <w:p w:rsidRPr="00032D71" w:rsidR="00055981" w:rsidP="00C674BA" w:rsidRDefault="00055981" w14:paraId="145FC275" w14:textId="2AE0650E">
            <w:pPr>
              <w:pStyle w:val="DHHSbody"/>
            </w:pPr>
            <w:r w:rsidRPr="00032D71">
              <w:t>Any criteria for above, plus any of: </w:t>
            </w:r>
          </w:p>
        </w:tc>
        <w:tc>
          <w:tcPr>
            <w:tcW w:w="2240" w:type="pct"/>
          </w:tcPr>
          <w:p w:rsidRPr="00032D71" w:rsidR="00055981" w:rsidP="00C674BA" w:rsidRDefault="00055981" w14:paraId="38B3B12F" w14:textId="7D919A41">
            <w:pPr>
              <w:pStyle w:val="DHHSbody"/>
            </w:pPr>
            <w:r w:rsidRPr="00032D71">
              <w:t>Additional complex and serious issues manifesting as critical quality and safety, finance, or governance concerns: for example long-standing or complex issues preventing agreed improvement (such as a full year on Performance Support without improvement); a catastrophic failure in safety (or equivalent overall safety/quality, including cultural safety, assessment); a catastrophic failure in leadership, integrity or governance; or a significant deficit and/or significant actual or forecast gap to plan.</w:t>
            </w:r>
          </w:p>
        </w:tc>
        <w:tc>
          <w:tcPr>
            <w:tcW w:w="1231" w:type="pct"/>
          </w:tcPr>
          <w:p w:rsidRPr="00032D71" w:rsidR="00055981" w:rsidP="00C674BA" w:rsidRDefault="00055981" w14:paraId="60A13821" w14:textId="55D7BD74">
            <w:pPr>
              <w:pStyle w:val="DHHSbody"/>
            </w:pPr>
            <w:r w:rsidRPr="00032D71">
              <w:t>As above, with stronger accountability measures for improvement.</w:t>
            </w:r>
          </w:p>
        </w:tc>
        <w:tc>
          <w:tcPr>
            <w:tcW w:w="990" w:type="pct"/>
          </w:tcPr>
          <w:p w:rsidRPr="00032D71" w:rsidR="00055981" w:rsidP="00C674BA" w:rsidRDefault="00055981" w14:paraId="23F344F3" w14:textId="508BDF22">
            <w:pPr>
              <w:pStyle w:val="DHHSbody"/>
            </w:pPr>
            <w:r w:rsidRPr="00032D71">
              <w:t>As above, with mandated partnerships and departmental-directed improvement support.</w:t>
            </w:r>
          </w:p>
        </w:tc>
      </w:tr>
    </w:tbl>
    <w:p w:rsidRPr="00E70B3A" w:rsidR="00677986" w:rsidP="008F0D40" w:rsidRDefault="00CA0082" w14:paraId="4B0A34B8" w14:textId="4C6037A1">
      <w:pPr>
        <w:pStyle w:val="Heading1"/>
      </w:pPr>
      <w:r w:rsidRPr="00E70B3A">
        <w:br w:type="page"/>
      </w:r>
      <w:bookmarkStart w:name="_Toc235628562" w:id="49"/>
      <w:r w:rsidRPr="00E70B3A" w:rsidR="002F5DB1">
        <w:t xml:space="preserve">Appendix </w:t>
      </w:r>
      <w:r w:rsidRPr="00E70B3A" w:rsidR="000C7700">
        <w:t>6</w:t>
      </w:r>
      <w:r w:rsidRPr="00E70B3A" w:rsidR="002F5DB1">
        <w:t xml:space="preserve">: </w:t>
      </w:r>
      <w:r w:rsidRPr="00E70B3A" w:rsidR="00401F74">
        <w:t>Implications for health services in each performance tier</w:t>
      </w:r>
      <w:bookmarkEnd w:id="49"/>
    </w:p>
    <w:tbl>
      <w:tblPr>
        <w:tblStyle w:val="GridTable4-Accent1"/>
        <w:tblW w:w="14732" w:type="dxa"/>
        <w:tblLayout w:type="fixed"/>
        <w:tblLook w:val="0420" w:firstRow="1" w:lastRow="0" w:firstColumn="0" w:lastColumn="0" w:noHBand="0" w:noVBand="1"/>
      </w:tblPr>
      <w:tblGrid>
        <w:gridCol w:w="1691"/>
        <w:gridCol w:w="4111"/>
        <w:gridCol w:w="4253"/>
        <w:gridCol w:w="4677"/>
      </w:tblGrid>
      <w:tr w:rsidRPr="00E70B3A" w:rsidR="00077BAA" w:rsidTr="00032D71" w14:paraId="7321690E" w14:textId="77777777">
        <w:trPr>
          <w:cnfStyle w:val="100000000000" w:firstRow="1" w:lastRow="0" w:firstColumn="0" w:lastColumn="0" w:oddVBand="0" w:evenVBand="0" w:oddHBand="0" w:evenHBand="0" w:firstRowFirstColumn="0" w:firstRowLastColumn="0" w:lastRowFirstColumn="0" w:lastRowLastColumn="0"/>
          <w:trHeight w:val="23"/>
          <w:tblHeader/>
        </w:trPr>
        <w:tc>
          <w:tcPr>
            <w:tcW w:w="1691" w:type="dxa"/>
            <w:shd w:val="clear" w:color="auto" w:fill="153D64"/>
            <w:hideMark/>
          </w:tcPr>
          <w:p w:rsidRPr="00925DEE" w:rsidR="00077BAA" w:rsidP="00032D71" w:rsidRDefault="00077BAA" w14:paraId="0F41C7FE" w14:textId="77777777">
            <w:pPr>
              <w:pStyle w:val="Body"/>
              <w:rPr>
                <w:b w:val="0"/>
                <w:bCs w:val="0"/>
              </w:rPr>
            </w:pPr>
            <w:r w:rsidRPr="00925DEE">
              <w:t>Tier</w:t>
            </w:r>
          </w:p>
        </w:tc>
        <w:tc>
          <w:tcPr>
            <w:tcW w:w="4111" w:type="dxa"/>
            <w:shd w:val="clear" w:color="auto" w:fill="153D64"/>
            <w:hideMark/>
          </w:tcPr>
          <w:p w:rsidRPr="00925DEE" w:rsidR="00077BAA" w:rsidP="00032D71" w:rsidRDefault="00077BAA" w14:paraId="69A221DB" w14:textId="77777777">
            <w:pPr>
              <w:pStyle w:val="Body"/>
              <w:rPr>
                <w:b w:val="0"/>
                <w:bCs w:val="0"/>
              </w:rPr>
            </w:pPr>
            <w:r w:rsidRPr="00925DEE">
              <w:t>Autonomy and oversight</w:t>
            </w:r>
          </w:p>
        </w:tc>
        <w:tc>
          <w:tcPr>
            <w:tcW w:w="4253" w:type="dxa"/>
            <w:shd w:val="clear" w:color="auto" w:fill="153D64"/>
            <w:hideMark/>
          </w:tcPr>
          <w:p w:rsidRPr="00925DEE" w:rsidR="00077BAA" w:rsidP="00032D71" w:rsidRDefault="00077BAA" w14:paraId="0BF9AC72" w14:textId="77777777">
            <w:pPr>
              <w:pStyle w:val="Body"/>
              <w:rPr>
                <w:b w:val="0"/>
                <w:bCs w:val="0"/>
              </w:rPr>
            </w:pPr>
            <w:r w:rsidRPr="00925DEE">
              <w:t>Leadership and collaboration</w:t>
            </w:r>
          </w:p>
        </w:tc>
        <w:tc>
          <w:tcPr>
            <w:tcW w:w="4677" w:type="dxa"/>
            <w:shd w:val="clear" w:color="auto" w:fill="153D64"/>
            <w:hideMark/>
          </w:tcPr>
          <w:p w:rsidRPr="00925DEE" w:rsidR="00077BAA" w:rsidP="00032D71" w:rsidRDefault="00077BAA" w14:paraId="04595BBF" w14:textId="77777777">
            <w:pPr>
              <w:pStyle w:val="Body"/>
              <w:rPr>
                <w:b w:val="0"/>
                <w:bCs w:val="0"/>
              </w:rPr>
            </w:pPr>
            <w:r w:rsidRPr="00925DEE">
              <w:t>Accountability</w:t>
            </w:r>
          </w:p>
        </w:tc>
      </w:tr>
      <w:tr w:rsidRPr="00E70B3A" w:rsidR="00DE5FF5" w:rsidTr="00925DEE" w14:paraId="65BCC584" w14:textId="77777777">
        <w:trPr>
          <w:cnfStyle w:val="000000100000" w:firstRow="0" w:lastRow="0" w:firstColumn="0" w:lastColumn="0" w:oddVBand="0" w:evenVBand="0" w:oddHBand="1" w:evenHBand="0" w:firstRowFirstColumn="0" w:firstRowLastColumn="0" w:lastRowFirstColumn="0" w:lastRowLastColumn="0"/>
          <w:trHeight w:val="2237"/>
        </w:trPr>
        <w:tc>
          <w:tcPr>
            <w:tcW w:w="1691" w:type="dxa"/>
            <w:hideMark/>
          </w:tcPr>
          <w:p w:rsidRPr="00E70B3A" w:rsidR="00DE5FF5" w:rsidP="00032D71" w:rsidRDefault="00DE5FF5" w14:paraId="63C8208A" w14:textId="77777777">
            <w:pPr>
              <w:pStyle w:val="Body"/>
              <w:rPr>
                <w:lang w:eastAsia="en-AU"/>
              </w:rPr>
            </w:pPr>
            <w:r w:rsidRPr="00E70B3A">
              <w:rPr>
                <w:i/>
                <w:kern w:val="24"/>
                <w:lang w:eastAsia="en-AU"/>
              </w:rPr>
              <w:t>Enhanced autonomy</w:t>
            </w:r>
          </w:p>
        </w:tc>
        <w:tc>
          <w:tcPr>
            <w:tcW w:w="4111" w:type="dxa"/>
            <w:hideMark/>
          </w:tcPr>
          <w:p w:rsidRPr="00E70B3A" w:rsidR="00DE5FF5" w:rsidP="00032D71" w:rsidRDefault="00DE5FF5" w14:paraId="0F95420D" w14:textId="609CBA9E">
            <w:pPr>
              <w:pStyle w:val="Body"/>
            </w:pPr>
            <w:r w:rsidRPr="00E70B3A">
              <w:t xml:space="preserve">No requirement for formal </w:t>
            </w:r>
            <w:r w:rsidR="006C06FF">
              <w:t>QPMs</w:t>
            </w:r>
            <w:r w:rsidRPr="00E70B3A">
              <w:t>. Engagement focused on system performance, innovation and progress against agreed priorities. Proactive improvement or collaboration meetings may be arranged to pursue innovative initiatives or address emerging opportunities.</w:t>
            </w:r>
          </w:p>
        </w:tc>
        <w:tc>
          <w:tcPr>
            <w:tcW w:w="4253" w:type="dxa"/>
            <w:hideMark/>
          </w:tcPr>
          <w:p w:rsidRPr="00E70B3A" w:rsidR="00DE5FF5" w:rsidP="00032D71" w:rsidRDefault="00DE5FF5" w14:paraId="4549921A" w14:textId="54DA34ED">
            <w:pPr>
              <w:pStyle w:val="Body"/>
            </w:pPr>
            <w:r w:rsidRPr="00E70B3A">
              <w:t xml:space="preserve">Strong expectation to share learnings and help drive improvement across the sector; share best practice broadly and provide tailored guidance and/or optional peer review to other services. </w:t>
            </w:r>
          </w:p>
        </w:tc>
        <w:tc>
          <w:tcPr>
            <w:tcW w:w="4677" w:type="dxa"/>
            <w:hideMark/>
          </w:tcPr>
          <w:p w:rsidRPr="00E70B3A" w:rsidR="00DE5FF5" w:rsidP="00032D71" w:rsidRDefault="00463F59" w14:paraId="11542FDC" w14:textId="7CAA4C10">
            <w:pPr>
              <w:pStyle w:val="Body"/>
            </w:pPr>
            <w:r w:rsidRPr="00E70B3A">
              <w:t>A</w:t>
            </w:r>
            <w:r w:rsidRPr="00E70B3A" w:rsidR="00DE5FF5">
              <w:t>ccountability is maintained through continuous engagement focused on innovation, system leadership and sustained performance.</w:t>
            </w:r>
          </w:p>
        </w:tc>
      </w:tr>
      <w:tr w:rsidRPr="00E70B3A" w:rsidR="00CF7624" w:rsidTr="00925DEE" w14:paraId="0D5EAC53" w14:textId="77777777">
        <w:trPr>
          <w:trHeight w:val="45"/>
        </w:trPr>
        <w:tc>
          <w:tcPr>
            <w:tcW w:w="1691" w:type="dxa"/>
          </w:tcPr>
          <w:p w:rsidRPr="00E70B3A" w:rsidR="00CF7624" w:rsidP="00032D71" w:rsidRDefault="00CF7624" w14:paraId="668DA3B6" w14:textId="78B2A7CF">
            <w:pPr>
              <w:pStyle w:val="Body"/>
              <w:rPr>
                <w:i/>
                <w:kern w:val="24"/>
                <w:lang w:eastAsia="en-AU"/>
              </w:rPr>
            </w:pPr>
            <w:r w:rsidRPr="00E70B3A">
              <w:rPr>
                <w:i/>
                <w:kern w:val="24"/>
                <w:lang w:eastAsia="en-AU"/>
              </w:rPr>
              <w:t>Standard oversight</w:t>
            </w:r>
          </w:p>
        </w:tc>
        <w:tc>
          <w:tcPr>
            <w:tcW w:w="4111" w:type="dxa"/>
          </w:tcPr>
          <w:p w:rsidRPr="00E70B3A" w:rsidR="00CF7624" w:rsidP="00032D71" w:rsidRDefault="00AF41E7" w14:paraId="62CE6AE3" w14:textId="2D63DA5D">
            <w:pPr>
              <w:pStyle w:val="Body"/>
            </w:pPr>
            <w:r w:rsidRPr="00E70B3A">
              <w:t xml:space="preserve">No requirement for formal </w:t>
            </w:r>
            <w:r w:rsidR="006C06FF">
              <w:t>QPMs</w:t>
            </w:r>
            <w:r w:rsidRPr="00E70B3A" w:rsidR="006C0CE5">
              <w:t xml:space="preserve"> unless emerging risks or performance concerns identified. </w:t>
            </w:r>
            <w:r w:rsidRPr="00E70B3A" w:rsidR="00CF7624">
              <w:t>Responsibility to inform the Department of how brief periods of unexpected issues are being managed through local/health service engagements</w:t>
            </w:r>
          </w:p>
        </w:tc>
        <w:tc>
          <w:tcPr>
            <w:tcW w:w="4253" w:type="dxa"/>
          </w:tcPr>
          <w:p w:rsidRPr="00E70B3A" w:rsidR="00CF7624" w:rsidP="00032D71" w:rsidRDefault="00CF7624" w14:paraId="23E76447" w14:textId="2B470C16">
            <w:pPr>
              <w:pStyle w:val="Body"/>
            </w:pPr>
            <w:r w:rsidRPr="00E70B3A">
              <w:t>Ability to learn from and support other health services; share best practice in domains where the service has demonstrated success</w:t>
            </w:r>
            <w:r w:rsidRPr="00E70B3A" w:rsidR="00B6668A">
              <w:t>.</w:t>
            </w:r>
          </w:p>
        </w:tc>
        <w:tc>
          <w:tcPr>
            <w:tcW w:w="4677" w:type="dxa"/>
          </w:tcPr>
          <w:p w:rsidRPr="00E70B3A" w:rsidR="00CF7624" w:rsidP="00032D71" w:rsidRDefault="00CF7624" w14:paraId="7EFEBB26" w14:textId="47A0B46E">
            <w:pPr>
              <w:pStyle w:val="Body"/>
            </w:pPr>
            <w:r w:rsidRPr="00E70B3A">
              <w:t>Targeted management of issues as they arise, including development and monitoring of action or improvement plans for current or emerging risks.</w:t>
            </w:r>
          </w:p>
        </w:tc>
      </w:tr>
      <w:tr w:rsidRPr="00E70B3A" w:rsidR="00CF7624" w:rsidTr="00925DEE" w14:paraId="2004C754" w14:textId="77777777">
        <w:trPr>
          <w:cnfStyle w:val="000000100000" w:firstRow="0" w:lastRow="0" w:firstColumn="0" w:lastColumn="0" w:oddVBand="0" w:evenVBand="0" w:oddHBand="1" w:evenHBand="0" w:firstRowFirstColumn="0" w:firstRowLastColumn="0" w:lastRowFirstColumn="0" w:lastRowLastColumn="0"/>
          <w:trHeight w:val="45"/>
        </w:trPr>
        <w:tc>
          <w:tcPr>
            <w:tcW w:w="1691" w:type="dxa"/>
          </w:tcPr>
          <w:p w:rsidRPr="00E70B3A" w:rsidR="00CF7624" w:rsidP="00032D71" w:rsidRDefault="00E27DFA" w14:paraId="05A875DD" w14:textId="7899DD5C">
            <w:pPr>
              <w:pStyle w:val="Body"/>
              <w:rPr>
                <w:i/>
                <w:kern w:val="24"/>
                <w:lang w:eastAsia="en-AU"/>
              </w:rPr>
            </w:pPr>
            <w:r w:rsidRPr="00E70B3A">
              <w:rPr>
                <w:i/>
                <w:kern w:val="24"/>
                <w:lang w:eastAsia="en-AU"/>
              </w:rPr>
              <w:t>Performance Support</w:t>
            </w:r>
          </w:p>
        </w:tc>
        <w:tc>
          <w:tcPr>
            <w:tcW w:w="4111" w:type="dxa"/>
          </w:tcPr>
          <w:p w:rsidRPr="00E70B3A" w:rsidR="00CF7624" w:rsidP="00032D71" w:rsidRDefault="00E27DFA" w14:paraId="2ABE60C6" w14:textId="10AC5096">
            <w:pPr>
              <w:pStyle w:val="Body"/>
            </w:pPr>
            <w:r w:rsidRPr="00E70B3A">
              <w:t xml:space="preserve">Formal </w:t>
            </w:r>
            <w:r w:rsidR="006C06FF">
              <w:t xml:space="preserve">QPMs </w:t>
            </w:r>
            <w:r w:rsidRPr="00E70B3A" w:rsidR="00E72815">
              <w:t xml:space="preserve">with additional in-cycle meetings informed by Exit Criteria and </w:t>
            </w:r>
            <w:r w:rsidR="00E64700">
              <w:t xml:space="preserve">Performance </w:t>
            </w:r>
            <w:r w:rsidRPr="00E70B3A" w:rsidR="00E72815">
              <w:t>Improvement Plans</w:t>
            </w:r>
            <w:r w:rsidRPr="00E70B3A" w:rsidR="006C0CE5">
              <w:t xml:space="preserve"> (PiP)</w:t>
            </w:r>
          </w:p>
        </w:tc>
        <w:tc>
          <w:tcPr>
            <w:tcW w:w="4253" w:type="dxa"/>
          </w:tcPr>
          <w:p w:rsidRPr="00E70B3A" w:rsidR="00CF7624" w:rsidP="00032D71" w:rsidRDefault="0096044B" w14:paraId="64935C53" w14:textId="35BFF959">
            <w:pPr>
              <w:pStyle w:val="Body"/>
            </w:pPr>
            <w:r w:rsidRPr="00E70B3A">
              <w:t>Opportunity to learn from high performing services; option to pair with a high performing health service to receive support, guidance and/or peer review.</w:t>
            </w:r>
          </w:p>
        </w:tc>
        <w:tc>
          <w:tcPr>
            <w:tcW w:w="4677" w:type="dxa"/>
          </w:tcPr>
          <w:p w:rsidRPr="00E70B3A" w:rsidR="00D05552" w:rsidP="00032D71" w:rsidRDefault="00D05552" w14:paraId="5BE89F78" w14:textId="77777777">
            <w:pPr>
              <w:pStyle w:val="Body"/>
            </w:pPr>
            <w:r w:rsidRPr="00E70B3A">
              <w:t>Early and structured engagement to prevent extended decline, including:</w:t>
            </w:r>
          </w:p>
          <w:p w:rsidRPr="00E70B3A" w:rsidR="00D05552" w:rsidP="00032D71" w:rsidRDefault="00D05552" w14:paraId="063AB43C" w14:textId="6C43FBB1">
            <w:pPr>
              <w:pStyle w:val="Body"/>
            </w:pPr>
            <w:r w:rsidRPr="00E70B3A">
              <w:t xml:space="preserve">• development and monitoring of a </w:t>
            </w:r>
            <w:r w:rsidRPr="00E70B3A" w:rsidR="006C0CE5">
              <w:t>PiP</w:t>
            </w:r>
          </w:p>
          <w:p w:rsidRPr="00E70B3A" w:rsidR="00D05552" w:rsidP="00032D71" w:rsidRDefault="00D05552" w14:paraId="15211C05" w14:textId="25445C6A">
            <w:pPr>
              <w:pStyle w:val="Body"/>
            </w:pPr>
            <w:r w:rsidRPr="00E70B3A">
              <w:t xml:space="preserve">• Board </w:t>
            </w:r>
            <w:r w:rsidRPr="00E70B3A" w:rsidR="00CE7D3D">
              <w:t>Chair may</w:t>
            </w:r>
            <w:r w:rsidRPr="00E70B3A">
              <w:t xml:space="preserve"> be engaged in performance monitoring processes</w:t>
            </w:r>
            <w:r w:rsidRPr="00E70B3A" w:rsidR="00850B56">
              <w:t>.</w:t>
            </w:r>
            <w:r w:rsidRPr="00E70B3A">
              <w:t xml:space="preserve"> </w:t>
            </w:r>
          </w:p>
          <w:p w:rsidRPr="00E70B3A" w:rsidR="00CF7624" w:rsidP="00032D71" w:rsidRDefault="00D05552" w14:paraId="0449D88A" w14:textId="323CA477">
            <w:pPr>
              <w:pStyle w:val="Body"/>
            </w:pPr>
            <w:r w:rsidRPr="00E70B3A">
              <w:t>• Minister may exercise option to appoint a Board delegate.</w:t>
            </w:r>
          </w:p>
        </w:tc>
      </w:tr>
      <w:tr w:rsidRPr="00E70B3A" w:rsidR="00696659" w:rsidTr="00925DEE" w14:paraId="5712AE45" w14:textId="77777777">
        <w:trPr>
          <w:trHeight w:val="45"/>
        </w:trPr>
        <w:tc>
          <w:tcPr>
            <w:tcW w:w="1691" w:type="dxa"/>
          </w:tcPr>
          <w:p w:rsidRPr="00E70B3A" w:rsidR="00696659" w:rsidP="00032D71" w:rsidRDefault="00C15A39" w14:paraId="25D2E9D5" w14:textId="1086D4E9">
            <w:pPr>
              <w:pStyle w:val="Body"/>
              <w:rPr>
                <w:i/>
                <w:iCs/>
                <w:kern w:val="24"/>
                <w:lang w:eastAsia="en-AU"/>
              </w:rPr>
            </w:pPr>
            <w:r w:rsidRPr="00E70B3A">
              <w:rPr>
                <w:rFonts w:eastAsia="MS Gothic"/>
                <w:i/>
                <w:iCs/>
              </w:rPr>
              <w:t>Mandated Intensive Support</w:t>
            </w:r>
          </w:p>
        </w:tc>
        <w:tc>
          <w:tcPr>
            <w:tcW w:w="4111" w:type="dxa"/>
          </w:tcPr>
          <w:p w:rsidRPr="00E70B3A" w:rsidR="00696659" w:rsidP="00032D71" w:rsidRDefault="00696659" w14:paraId="27616427" w14:textId="6135DAC0">
            <w:pPr>
              <w:pStyle w:val="Body"/>
            </w:pPr>
            <w:r w:rsidRPr="00E70B3A">
              <w:t xml:space="preserve">Formal </w:t>
            </w:r>
            <w:r w:rsidR="006C06FF">
              <w:t xml:space="preserve">QPMs </w:t>
            </w:r>
            <w:r w:rsidRPr="00E70B3A">
              <w:t>with additional in-cycle meetings informed by Exit Criteria and Progress Improvement Plans.</w:t>
            </w:r>
            <w:r w:rsidRPr="00E70B3A" w:rsidR="00C15A39">
              <w:t xml:space="preserve"> </w:t>
            </w:r>
            <w:r w:rsidRPr="00E70B3A" w:rsidR="00905638">
              <w:t>More frequent</w:t>
            </w:r>
            <w:r w:rsidRPr="00E70B3A" w:rsidR="00C15A39">
              <w:t xml:space="preserve"> reporting of progress against </w:t>
            </w:r>
            <w:r w:rsidRPr="00E70B3A" w:rsidR="00905638">
              <w:t xml:space="preserve">PiP. </w:t>
            </w:r>
          </w:p>
        </w:tc>
        <w:tc>
          <w:tcPr>
            <w:tcW w:w="4253" w:type="dxa"/>
          </w:tcPr>
          <w:p w:rsidRPr="00E70B3A" w:rsidR="00696659" w:rsidP="00032D71" w:rsidRDefault="00ED184A" w14:paraId="5E4BE27D" w14:textId="11C7728E">
            <w:pPr>
              <w:pStyle w:val="Body"/>
            </w:pPr>
            <w:r w:rsidRPr="00E70B3A">
              <w:t>Required to actively seek support and learn from high</w:t>
            </w:r>
            <w:r w:rsidRPr="00E70B3A">
              <w:noBreakHyphen/>
            </w:r>
            <w:r w:rsidRPr="00E70B3A">
              <w:t>performing services; mandatory pairing with a high</w:t>
            </w:r>
            <w:r w:rsidRPr="00E70B3A">
              <w:noBreakHyphen/>
            </w:r>
            <w:r w:rsidRPr="00E70B3A">
              <w:t>performing service (with recipient service funding these supports).</w:t>
            </w:r>
          </w:p>
        </w:tc>
        <w:tc>
          <w:tcPr>
            <w:tcW w:w="4677" w:type="dxa"/>
          </w:tcPr>
          <w:p w:rsidRPr="00E70B3A" w:rsidR="00CE7D3D" w:rsidP="00032D71" w:rsidRDefault="00CE7D3D" w14:paraId="2AE6BDD4" w14:textId="77777777">
            <w:pPr>
              <w:pStyle w:val="Body"/>
            </w:pPr>
            <w:r w:rsidRPr="00E70B3A">
              <w:t>Strong and formal accountability arrangements, including:</w:t>
            </w:r>
          </w:p>
          <w:p w:rsidRPr="00E70B3A" w:rsidR="00CE7D3D" w:rsidP="00032D71" w:rsidRDefault="00CE7D3D" w14:paraId="710D3618" w14:textId="21C06302">
            <w:pPr>
              <w:pStyle w:val="Body"/>
            </w:pPr>
            <w:r w:rsidRPr="00E70B3A">
              <w:t xml:space="preserve">• development and monitoring of </w:t>
            </w:r>
            <w:r w:rsidRPr="00E70B3A" w:rsidR="0001281D">
              <w:t xml:space="preserve">board approved </w:t>
            </w:r>
            <w:r w:rsidR="00F65D17">
              <w:t>PiP</w:t>
            </w:r>
          </w:p>
          <w:p w:rsidRPr="00E70B3A" w:rsidR="00CE7D3D" w:rsidP="00032D71" w:rsidRDefault="00CE7D3D" w14:paraId="22E12CE2" w14:textId="77777777">
            <w:pPr>
              <w:pStyle w:val="Body"/>
            </w:pPr>
            <w:r w:rsidRPr="00E70B3A">
              <w:t>• option to appoint a Board delegate and/or commence an independent review or DH sanctioned audit following three quarters without improvement (or sooner where risk is immediate or elevated, or time in Performance Support has already been extended);</w:t>
            </w:r>
          </w:p>
          <w:p w:rsidRPr="00E70B3A" w:rsidR="00CE7D3D" w:rsidP="00032D71" w:rsidRDefault="00CE7D3D" w14:paraId="33839ED0" w14:textId="77777777">
            <w:pPr>
              <w:pStyle w:val="Body"/>
            </w:pPr>
            <w:r w:rsidRPr="00E70B3A">
              <w:t>• Minister may recommend that the Governor in Council dismiss the Board and appoint an administrator following six quarters without improvement (or sooner in cases of catastrophic or systemic failure);</w:t>
            </w:r>
          </w:p>
          <w:p w:rsidRPr="00E70B3A" w:rsidR="00696659" w:rsidP="00032D71" w:rsidRDefault="00CE7D3D" w14:paraId="203CC9B3" w14:textId="5B705AB1">
            <w:pPr>
              <w:pStyle w:val="Body"/>
            </w:pPr>
            <w:r w:rsidRPr="00E70B3A">
              <w:t>• other Ministerial powers may be exercised in exceptional circumstances, including issuing directions or suspending or closing services.</w:t>
            </w:r>
          </w:p>
        </w:tc>
      </w:tr>
    </w:tbl>
    <w:p w:rsidRPr="00E70B3A" w:rsidR="00905ACC" w:rsidP="00562FF0" w:rsidRDefault="00905ACC" w14:paraId="64357289" w14:textId="0428329A">
      <w:pPr>
        <w:spacing w:after="0" w:line="240" w:lineRule="auto"/>
        <w:rPr>
          <w:rFonts w:eastAsia="MS Gothic" w:cs="Arial"/>
          <w:bCs/>
          <w:color w:val="201547"/>
          <w:kern w:val="32"/>
          <w:sz w:val="44"/>
          <w:szCs w:val="44"/>
        </w:rPr>
        <w:sectPr w:rsidRPr="00E70B3A" w:rsidR="00905ACC" w:rsidSect="00925DEE">
          <w:pgSz w:w="16838" w:h="11906" w:orient="landscape" w:code="9"/>
          <w:pgMar w:top="720" w:right="720" w:bottom="720" w:left="720" w:header="680" w:footer="851" w:gutter="0"/>
          <w:cols w:space="340"/>
          <w:titlePg/>
          <w:docGrid w:linePitch="360"/>
        </w:sectPr>
      </w:pPr>
    </w:p>
    <w:p w:rsidR="00893D8D" w:rsidP="00893D8D" w:rsidRDefault="00F35F90" w14:paraId="4D88B0CC" w14:textId="58B94083">
      <w:pPr>
        <w:pStyle w:val="Heading1"/>
      </w:pPr>
      <w:bookmarkStart w:name="_Toc235628563" w:id="50"/>
      <w:r w:rsidRPr="00E70B3A">
        <w:t xml:space="preserve">Appendix </w:t>
      </w:r>
      <w:r w:rsidRPr="00E70B3A" w:rsidR="00454DA1">
        <w:t>7</w:t>
      </w:r>
      <w:r w:rsidRPr="00E70B3A" w:rsidR="009D71C8">
        <w:t>:</w:t>
      </w:r>
      <w:r w:rsidRPr="00E70B3A">
        <w:t xml:space="preserve"> </w:t>
      </w:r>
      <w:bookmarkStart w:name="_Toc211343301" w:id="51"/>
      <w:bookmarkStart w:name="_Hlk200546600" w:id="52"/>
      <w:r w:rsidR="00893D8D">
        <w:t>I</w:t>
      </w:r>
      <w:r w:rsidRPr="00845027" w:rsidR="00893D8D">
        <w:t>nitiatives to support performance improvement</w:t>
      </w:r>
      <w:bookmarkEnd w:id="50"/>
      <w:bookmarkEnd w:id="51"/>
    </w:p>
    <w:tbl>
      <w:tblPr>
        <w:tblStyle w:val="Highlighttable"/>
        <w:tblW w:w="9865" w:type="dxa"/>
        <w:shd w:val="clear" w:color="auto" w:fill="DBE5F1" w:themeFill="accent1" w:themeFillTint="33"/>
        <w:tblLook w:val="0600" w:firstRow="0" w:lastRow="0" w:firstColumn="0" w:lastColumn="0" w:noHBand="1" w:noVBand="1"/>
      </w:tblPr>
      <w:tblGrid>
        <w:gridCol w:w="9865"/>
      </w:tblGrid>
      <w:tr w:rsidRPr="00805064" w:rsidR="00893D8D" w:rsidTr="00EA7D8E" w14:paraId="2BAAB3DD" w14:textId="77777777">
        <w:trPr>
          <w:trHeight w:val="513"/>
        </w:trPr>
        <w:tc>
          <w:tcPr>
            <w:tcW w:w="9865" w:type="dxa"/>
            <w:shd w:val="clear" w:color="auto" w:fill="DBE5F1" w:themeFill="accent1" w:themeFillTint="33"/>
          </w:tcPr>
          <w:bookmarkEnd w:id="52"/>
          <w:p w:rsidRPr="00C342A4" w:rsidR="00893D8D" w:rsidP="006F5142" w:rsidRDefault="00D1731A" w14:paraId="0FF363F8" w14:textId="37C57A4C">
            <w:pPr>
              <w:pStyle w:val="DHHSbody"/>
              <w:spacing w:line="240" w:lineRule="auto"/>
              <w:rPr>
                <w:b/>
                <w:bCs/>
              </w:rPr>
            </w:pPr>
            <w:r>
              <w:rPr>
                <w:b/>
                <w:bCs/>
                <w:color w:val="53565A"/>
                <w:sz w:val="24"/>
                <w:szCs w:val="24"/>
              </w:rPr>
              <w:t xml:space="preserve">Box 1: </w:t>
            </w:r>
            <w:r w:rsidRPr="00C342A4" w:rsidR="00893D8D">
              <w:rPr>
                <w:b/>
                <w:bCs/>
                <w:color w:val="53565A"/>
                <w:sz w:val="24"/>
                <w:szCs w:val="24"/>
              </w:rPr>
              <w:t>Improving timely access to emergency care</w:t>
            </w:r>
          </w:p>
          <w:p w:rsidR="00893D8D" w:rsidP="006F5142" w:rsidRDefault="00893D8D" w14:paraId="074EDD1D" w14:textId="77777777">
            <w:pPr>
              <w:pStyle w:val="DHHSbody"/>
              <w:spacing w:line="240" w:lineRule="auto"/>
            </w:pPr>
            <w:r w:rsidRPr="00E737F5">
              <w:t>Through the Timely Emergency Care</w:t>
            </w:r>
            <w:r>
              <w:t xml:space="preserve"> (TEC)</w:t>
            </w:r>
            <w:r w:rsidRPr="00E737F5">
              <w:t xml:space="preserve"> </w:t>
            </w:r>
            <w:r>
              <w:t>program</w:t>
            </w:r>
            <w:r w:rsidRPr="00E737F5">
              <w:t xml:space="preserve">, the department is working in partnership with the Institute for Healthcare </w:t>
            </w:r>
            <w:r>
              <w:t>I</w:t>
            </w:r>
            <w:r w:rsidRPr="00E737F5">
              <w:t>mprovement</w:t>
            </w:r>
            <w:r>
              <w:t xml:space="preserve"> (IHI)</w:t>
            </w:r>
            <w:r w:rsidRPr="00E737F5">
              <w:t xml:space="preserve"> as well as health services and Ambulance Victoria </w:t>
            </w:r>
            <w:r>
              <w:t>(AV) to improve safe and timely access to emergency care across Victoria.</w:t>
            </w:r>
          </w:p>
          <w:p w:rsidR="00893D8D" w:rsidP="006F5142" w:rsidRDefault="00893D8D" w14:paraId="778567F7" w14:textId="7F3B7376">
            <w:pPr>
              <w:pStyle w:val="DHHSbody"/>
              <w:spacing w:line="240" w:lineRule="auto"/>
            </w:pPr>
            <w:r>
              <w:t xml:space="preserve">Established in 2022, TEC responded to sector feedback that sustained improvements in emergency access required a whole-of-hospital approach to patient flow, rather than a focus on ambulance services and emergency departments alone.  The program provides a structured mechanism </w:t>
            </w:r>
            <w:r w:rsidR="000569B3">
              <w:t>for health</w:t>
            </w:r>
            <w:r>
              <w:t xml:space="preserve"> services, clinicians and system partners to come together to identify shared challenges, test improvement ideas and embed better flow across the patient journey.</w:t>
            </w:r>
          </w:p>
          <w:p w:rsidR="00893D8D" w:rsidP="006F5142" w:rsidRDefault="00893D8D" w14:paraId="53F2650B" w14:textId="77777777">
            <w:pPr>
              <w:pStyle w:val="DHHSbody"/>
              <w:spacing w:line="240" w:lineRule="auto"/>
            </w:pPr>
            <w:r>
              <w:t>From 2026, TEC brings together improvement, performance and the Standards for Safe and Timely Ambulance and Emergency Care for Victorians (the Standards) under a single, aligned program. This integration supports health services to deliver consistent, high-quality emergency and inpatient care, while strengthening alignment between continuous improvement activity, performance monitoring and accountability.</w:t>
            </w:r>
          </w:p>
          <w:p w:rsidR="00893D8D" w:rsidP="006F5142" w:rsidRDefault="00893D8D" w14:paraId="151B29A5" w14:textId="77777777">
            <w:pPr>
              <w:pStyle w:val="DHHSbody"/>
              <w:spacing w:line="240" w:lineRule="auto"/>
            </w:pPr>
            <w:r>
              <w:t xml:space="preserve">TEC takes a whole-of-system approach to </w:t>
            </w:r>
            <w:r w:rsidRPr="00230450">
              <w:t xml:space="preserve">improving experiences for patients and staff as well as </w:t>
            </w:r>
            <w:r>
              <w:t>uplifting performance through continuous improvement. Key aspects of the program relevant to the PMF include the following:</w:t>
            </w:r>
          </w:p>
          <w:p w:rsidR="00893D8D" w:rsidP="00893D8D" w:rsidRDefault="00893D8D" w14:paraId="4E195FD4" w14:textId="77777777">
            <w:pPr>
              <w:pStyle w:val="DHHSbody"/>
              <w:numPr>
                <w:ilvl w:val="0"/>
                <w:numId w:val="42"/>
              </w:numPr>
              <w:spacing w:line="240" w:lineRule="auto"/>
            </w:pPr>
            <w:r w:rsidRPr="004072C8">
              <w:rPr>
                <w:b/>
              </w:rPr>
              <w:t>Planning and Strategy</w:t>
            </w:r>
            <w:r>
              <w:t>: The department worked closely with the sector to map the</w:t>
            </w:r>
            <w:r w:rsidRPr="009F58A1">
              <w:t xml:space="preserve"> drivers </w:t>
            </w:r>
            <w:r>
              <w:t>of performance across</w:t>
            </w:r>
            <w:r w:rsidRPr="009F58A1">
              <w:t xml:space="preserve"> the system</w:t>
            </w:r>
            <w:r>
              <w:t xml:space="preserve"> – not just within emergency departments. This stage focussed on working with health services </w:t>
            </w:r>
            <w:r w:rsidRPr="005E2690">
              <w:t xml:space="preserve">to develop a whole of project driver diagram </w:t>
            </w:r>
            <w:r>
              <w:t>aligned to the Standards, and on</w:t>
            </w:r>
            <w:r w:rsidRPr="005E2690">
              <w:t xml:space="preserve"> identifying and prioritising</w:t>
            </w:r>
            <w:r>
              <w:t xml:space="preserve"> </w:t>
            </w:r>
            <w:r w:rsidRPr="005E2690">
              <w:t>improvement ideas. In parallel</w:t>
            </w:r>
            <w:r>
              <w:t xml:space="preserve">: </w:t>
            </w:r>
          </w:p>
          <w:p w:rsidR="00893D8D" w:rsidP="00893D8D" w:rsidRDefault="00893D8D" w14:paraId="3E7E2D65" w14:textId="77777777">
            <w:pPr>
              <w:pStyle w:val="DHHSbody"/>
              <w:numPr>
                <w:ilvl w:val="1"/>
                <w:numId w:val="42"/>
              </w:numPr>
              <w:spacing w:line="240" w:lineRule="auto"/>
            </w:pPr>
            <w:r w:rsidRPr="005E2690">
              <w:t>An</w:t>
            </w:r>
            <w:r>
              <w:t xml:space="preserve"> overarching</w:t>
            </w:r>
            <w:r w:rsidRPr="005E2690">
              <w:t xml:space="preserve"> </w:t>
            </w:r>
            <w:r>
              <w:t xml:space="preserve">TEC </w:t>
            </w:r>
            <w:r w:rsidRPr="005E2690">
              <w:t>aim statement was developed to set the overarching improvement goal for the project</w:t>
            </w:r>
            <w:r>
              <w:t>, aligned to the intent of the Standards</w:t>
            </w:r>
            <w:r w:rsidRPr="005E2690">
              <w:t xml:space="preserve">. </w:t>
            </w:r>
            <w:r>
              <w:t>Participating h</w:t>
            </w:r>
            <w:r w:rsidRPr="005E2690">
              <w:t xml:space="preserve">ealth services also developed locally tailored improvement goals aligned to the overarching aim.  </w:t>
            </w:r>
          </w:p>
          <w:p w:rsidR="00893D8D" w:rsidP="00893D8D" w:rsidRDefault="00893D8D" w14:paraId="09A04C51" w14:textId="79148238">
            <w:pPr>
              <w:pStyle w:val="DHHSbody"/>
              <w:numPr>
                <w:ilvl w:val="1"/>
                <w:numId w:val="42"/>
              </w:numPr>
              <w:spacing w:line="240" w:lineRule="auto"/>
            </w:pPr>
            <w:r>
              <w:t xml:space="preserve">Measures were developed around the key drivers of emergency performance – the factors that are most likely to shift the dial </w:t>
            </w:r>
            <w:r w:rsidRPr="007B6962">
              <w:t>and impact on patient outcomes and staff experiences</w:t>
            </w:r>
            <w:r>
              <w:t xml:space="preserve">. From 2024-25, some of them will replace older measures in the SoP to </w:t>
            </w:r>
            <w:r w:rsidR="000569B3">
              <w:t>ensure alignment</w:t>
            </w:r>
            <w:r>
              <w:t xml:space="preserve"> with the Standards and </w:t>
            </w:r>
            <w:r w:rsidRPr="00A10169">
              <w:t>encourag</w:t>
            </w:r>
            <w:r>
              <w:t>ing</w:t>
            </w:r>
            <w:r w:rsidRPr="00A10169">
              <w:t xml:space="preserve"> health services to focus on improving flow across hospitals to reduce pressure on </w:t>
            </w:r>
            <w:r>
              <w:t xml:space="preserve">emergency departments. Superseded measures will continue to be captured through PRISM and other government reporting processes.  </w:t>
            </w:r>
          </w:p>
          <w:p w:rsidR="00893D8D" w:rsidP="00893D8D" w:rsidRDefault="00893D8D" w14:paraId="659C83FC" w14:textId="77777777">
            <w:pPr>
              <w:pStyle w:val="DHHSbody"/>
              <w:numPr>
                <w:ilvl w:val="0"/>
                <w:numId w:val="42"/>
              </w:numPr>
              <w:spacing w:line="240" w:lineRule="auto"/>
            </w:pPr>
            <w:r w:rsidRPr="004D1C37">
              <w:rPr>
                <w:b/>
                <w:bCs/>
              </w:rPr>
              <w:t>Continuous Improvement</w:t>
            </w:r>
            <w:r>
              <w:t>: TEC supports health services to test, scale and implement measurement-driven improvement strategies, guided by improvement science and aligned to the Standards, including:</w:t>
            </w:r>
          </w:p>
          <w:p w:rsidR="00893D8D" w:rsidP="00893D8D" w:rsidRDefault="00893D8D" w14:paraId="40803C1B" w14:textId="77777777">
            <w:pPr>
              <w:pStyle w:val="DHHSbody"/>
              <w:numPr>
                <w:ilvl w:val="1"/>
                <w:numId w:val="42"/>
              </w:numPr>
              <w:spacing w:line="240" w:lineRule="auto"/>
            </w:pPr>
            <w:r>
              <w:t>Clinician led development of improvement ideas</w:t>
            </w:r>
          </w:p>
          <w:p w:rsidR="00893D8D" w:rsidP="00893D8D" w:rsidRDefault="00893D8D" w14:paraId="128E9E52" w14:textId="77777777">
            <w:pPr>
              <w:pStyle w:val="DHHSbody"/>
              <w:numPr>
                <w:ilvl w:val="1"/>
                <w:numId w:val="42"/>
              </w:numPr>
              <w:spacing w:line="240" w:lineRule="auto"/>
            </w:pPr>
            <w:r>
              <w:t xml:space="preserve">Regular testing and refinement of improvement ideas within health services </w:t>
            </w:r>
          </w:p>
          <w:p w:rsidR="00893D8D" w:rsidP="00893D8D" w:rsidRDefault="00893D8D" w14:paraId="045C6059" w14:textId="77777777">
            <w:pPr>
              <w:pStyle w:val="DHHSbody"/>
              <w:numPr>
                <w:ilvl w:val="1"/>
                <w:numId w:val="42"/>
              </w:numPr>
              <w:spacing w:line="240" w:lineRule="auto"/>
            </w:pPr>
            <w:r>
              <w:t>Regular reporting of progress, trends and drivers through run charts</w:t>
            </w:r>
          </w:p>
          <w:p w:rsidR="00893D8D" w:rsidP="00893D8D" w:rsidRDefault="00893D8D" w14:paraId="66E8DE6B" w14:textId="77777777">
            <w:pPr>
              <w:pStyle w:val="DHHSbody"/>
              <w:numPr>
                <w:ilvl w:val="1"/>
                <w:numId w:val="42"/>
              </w:numPr>
              <w:spacing w:line="240" w:lineRule="auto"/>
            </w:pPr>
            <w:r>
              <w:t>Accessing expert advice on improvement science in partnership with IHI</w:t>
            </w:r>
          </w:p>
          <w:p w:rsidR="00893D8D" w:rsidP="00893D8D" w:rsidRDefault="00893D8D" w14:paraId="0EA98F88" w14:textId="77777777">
            <w:pPr>
              <w:pStyle w:val="DHHSbody"/>
              <w:numPr>
                <w:ilvl w:val="1"/>
                <w:numId w:val="42"/>
              </w:numPr>
              <w:spacing w:line="240" w:lineRule="auto"/>
            </w:pPr>
            <w:r>
              <w:t>Sharing existing and new strategies and expertise to avoid having to reinvent the wheel.</w:t>
            </w:r>
          </w:p>
          <w:p w:rsidR="00893D8D" w:rsidP="00893D8D" w:rsidRDefault="00893D8D" w14:paraId="19F41406" w14:textId="77777777">
            <w:pPr>
              <w:pStyle w:val="DHHSbody"/>
              <w:numPr>
                <w:ilvl w:val="0"/>
                <w:numId w:val="42"/>
              </w:numPr>
              <w:spacing w:line="240" w:lineRule="auto"/>
            </w:pPr>
            <w:r w:rsidRPr="008470BF">
              <w:rPr>
                <w:b/>
              </w:rPr>
              <w:t>Accountability</w:t>
            </w:r>
            <w:r>
              <w:t>: TEC has also informed a new approach to performance assessment and response, strengthening alignment between improvement and accountability:</w:t>
            </w:r>
          </w:p>
          <w:p w:rsidR="00893D8D" w:rsidP="00893D8D" w:rsidRDefault="00893D8D" w14:paraId="43B0E5D3" w14:textId="77777777">
            <w:pPr>
              <w:pStyle w:val="DHHSbody"/>
              <w:numPr>
                <w:ilvl w:val="1"/>
                <w:numId w:val="42"/>
              </w:numPr>
              <w:spacing w:line="240" w:lineRule="auto"/>
            </w:pPr>
            <w:r>
              <w:t>Active</w:t>
            </w:r>
            <w:r>
              <w:rPr>
                <w:b/>
              </w:rPr>
              <w:t xml:space="preserve"> </w:t>
            </w:r>
            <w:r>
              <w:t>participation in TEC and alignment to Standards has reduced the need for reactive escalation of deteriorating emergency access performance during formal performance meetings, as issues are often identified early and addressed through agreed improvement actions.  In many cases, performance is already improving or credible strategies are in place and can be noted.</w:t>
            </w:r>
          </w:p>
          <w:p w:rsidRPr="008470BF" w:rsidR="00893D8D" w:rsidP="00893D8D" w:rsidRDefault="00893D8D" w14:paraId="746D999B" w14:textId="12DF7E33">
            <w:pPr>
              <w:pStyle w:val="DHHSbody"/>
              <w:numPr>
                <w:ilvl w:val="1"/>
                <w:numId w:val="42"/>
              </w:numPr>
              <w:spacing w:line="240" w:lineRule="auto"/>
            </w:pPr>
            <w:r>
              <w:t xml:space="preserve">Accountability measurement itself was redesigned, focussing on continuous improvement in performance </w:t>
            </w:r>
            <w:r w:rsidRPr="00B340E6">
              <w:t>based on past health service performance</w:t>
            </w:r>
            <w:r>
              <w:t xml:space="preserve">. SoP targets are designed around annual improvement on prior year performance, except where expectations aligned to the Standards have already been met (in which case the expectation is of sustained improvement), or for indicators where there can be zero tolerance of underperformance (for example, 24-hour breaches in ED). </w:t>
            </w:r>
          </w:p>
        </w:tc>
      </w:tr>
      <w:tr w:rsidRPr="00805064" w:rsidR="00D1731A" w:rsidTr="00EA7D8E" w14:paraId="5FA903E4" w14:textId="77777777">
        <w:trPr>
          <w:trHeight w:val="513"/>
        </w:trPr>
        <w:tc>
          <w:tcPr>
            <w:tcW w:w="9865" w:type="dxa"/>
            <w:shd w:val="clear" w:color="auto" w:fill="DBE5F1" w:themeFill="accent1" w:themeFillTint="33"/>
          </w:tcPr>
          <w:tbl>
            <w:tblPr>
              <w:tblStyle w:val="Highlighttable"/>
              <w:tblW w:w="9649" w:type="dxa"/>
              <w:tblLook w:val="04A0" w:firstRow="1" w:lastRow="0" w:firstColumn="1" w:lastColumn="0" w:noHBand="0" w:noVBand="1"/>
            </w:tblPr>
            <w:tblGrid>
              <w:gridCol w:w="9649"/>
            </w:tblGrid>
            <w:tr w:rsidRPr="00E737F5" w:rsidR="00D1731A" w:rsidTr="006F5142" w14:paraId="3E6FB491" w14:textId="77777777">
              <w:tc>
                <w:tcPr>
                  <w:tcW w:w="9649" w:type="dxa"/>
                </w:tcPr>
                <w:p w:rsidRPr="00D15E4F" w:rsidR="00D1731A" w:rsidP="00D1731A" w:rsidRDefault="00D1731A" w14:paraId="72071F30" w14:textId="77777777">
                  <w:pPr>
                    <w:pStyle w:val="Heading4"/>
                    <w:rPr>
                      <w:color w:val="53565A"/>
                      <w:sz w:val="24"/>
                      <w:szCs w:val="24"/>
                    </w:rPr>
                  </w:pPr>
                  <w:r>
                    <w:rPr>
                      <w:color w:val="53565A"/>
                      <w:sz w:val="24"/>
                      <w:szCs w:val="24"/>
                    </w:rPr>
                    <w:t>Box 2: Examples</w:t>
                  </w:r>
                  <w:r w:rsidRPr="00D15E4F">
                    <w:rPr>
                      <w:color w:val="53565A"/>
                      <w:sz w:val="24"/>
                      <w:szCs w:val="24"/>
                    </w:rPr>
                    <w:t xml:space="preserve"> of underlying risk factors the department considers in risk monitoring </w:t>
                  </w:r>
                </w:p>
                <w:tbl>
                  <w:tblPr>
                    <w:tblStyle w:val="Highlighttable"/>
                    <w:tblW w:w="9073" w:type="dxa"/>
                    <w:shd w:val="clear" w:color="auto" w:fill="DBE5F1"/>
                    <w:tblLook w:val="0600" w:firstRow="0" w:lastRow="0" w:firstColumn="0" w:lastColumn="0" w:noHBand="1" w:noVBand="1"/>
                  </w:tblPr>
                  <w:tblGrid>
                    <w:gridCol w:w="4536"/>
                    <w:gridCol w:w="4537"/>
                  </w:tblGrid>
                  <w:tr w:rsidRPr="0033345C" w:rsidR="00D1731A" w:rsidTr="00EA7D8E" w14:paraId="0F6F9B26" w14:textId="77777777">
                    <w:trPr>
                      <w:trHeight w:val="687"/>
                    </w:trPr>
                    <w:tc>
                      <w:tcPr>
                        <w:tcW w:w="4536" w:type="dxa"/>
                        <w:shd w:val="clear" w:color="auto" w:fill="DBE5F1"/>
                      </w:tcPr>
                      <w:p w:rsidRPr="004D766B" w:rsidR="00D1731A" w:rsidP="00D1731A" w:rsidRDefault="00D1731A" w14:paraId="16445AB8" w14:textId="77777777">
                        <w:pPr>
                          <w:pStyle w:val="DHHSbullet1"/>
                          <w:numPr>
                            <w:ilvl w:val="0"/>
                            <w:numId w:val="2"/>
                          </w:numPr>
                        </w:pPr>
                        <w:r w:rsidRPr="004D766B">
                          <w:t xml:space="preserve">workforce </w:t>
                        </w:r>
                        <w:r>
                          <w:t>supply</w:t>
                        </w:r>
                        <w:r w:rsidRPr="004D766B">
                          <w:t>, capacity</w:t>
                        </w:r>
                        <w:r>
                          <w:t xml:space="preserve">, </w:t>
                        </w:r>
                        <w:r w:rsidRPr="004D766B">
                          <w:t>capability</w:t>
                        </w:r>
                        <w:r>
                          <w:t xml:space="preserve"> and sustainability</w:t>
                        </w:r>
                      </w:p>
                      <w:p w:rsidRPr="004D766B" w:rsidR="00D1731A" w:rsidP="00D1731A" w:rsidRDefault="00D1731A" w14:paraId="5758F612" w14:textId="77777777">
                        <w:pPr>
                          <w:pStyle w:val="DHHSbullet1"/>
                          <w:numPr>
                            <w:ilvl w:val="0"/>
                            <w:numId w:val="2"/>
                          </w:numPr>
                        </w:pPr>
                        <w:r w:rsidRPr="004D766B">
                          <w:t>ability to respond to community needs</w:t>
                        </w:r>
                      </w:p>
                      <w:p w:rsidR="00D1731A" w:rsidP="00D1731A" w:rsidRDefault="00D1731A" w14:paraId="0AE4F758" w14:textId="77777777">
                        <w:pPr>
                          <w:pStyle w:val="DHHSbullet1"/>
                          <w:numPr>
                            <w:ilvl w:val="0"/>
                            <w:numId w:val="2"/>
                          </w:numPr>
                        </w:pPr>
                        <w:r w:rsidRPr="004D766B">
                          <w:t xml:space="preserve">clinical </w:t>
                        </w:r>
                        <w:r>
                          <w:t>governance co-</w:t>
                        </w:r>
                        <w:r w:rsidRPr="004D766B">
                          <w:t>leadership</w:t>
                        </w:r>
                        <w:r>
                          <w:t xml:space="preserve"> by board and executive</w:t>
                        </w:r>
                      </w:p>
                      <w:p w:rsidRPr="004D766B" w:rsidR="00D1731A" w:rsidP="00D1731A" w:rsidRDefault="00D1731A" w14:paraId="0CF1A68A" w14:textId="77777777">
                        <w:pPr>
                          <w:pStyle w:val="DHHSbullet1"/>
                          <w:numPr>
                            <w:ilvl w:val="0"/>
                            <w:numId w:val="2"/>
                          </w:numPr>
                        </w:pPr>
                        <w:r w:rsidRPr="004D766B">
                          <w:t>management of complex care or changes in capability</w:t>
                        </w:r>
                      </w:p>
                      <w:p w:rsidRPr="004D766B" w:rsidR="00D1731A" w:rsidP="00D1731A" w:rsidRDefault="00D1731A" w14:paraId="2D8EBF1F" w14:textId="77777777">
                        <w:pPr>
                          <w:pStyle w:val="DHHSbullet1"/>
                          <w:numPr>
                            <w:ilvl w:val="0"/>
                            <w:numId w:val="2"/>
                          </w:numPr>
                        </w:pPr>
                        <w:r w:rsidRPr="004D766B">
                          <w:t xml:space="preserve">board </w:t>
                        </w:r>
                        <w:r>
                          <w:t xml:space="preserve">corporate </w:t>
                        </w:r>
                        <w:r w:rsidRPr="004D766B">
                          <w:t>governance</w:t>
                        </w:r>
                      </w:p>
                      <w:p w:rsidRPr="004D766B" w:rsidR="00D1731A" w:rsidP="00D1731A" w:rsidRDefault="00D1731A" w14:paraId="5846CA92" w14:textId="77777777">
                        <w:pPr>
                          <w:pStyle w:val="DHHSbullet1"/>
                          <w:numPr>
                            <w:ilvl w:val="0"/>
                            <w:numId w:val="2"/>
                          </w:numPr>
                        </w:pPr>
                        <w:r>
                          <w:t xml:space="preserve">executive and managerial </w:t>
                        </w:r>
                        <w:r w:rsidRPr="004D766B">
                          <w:t>leadership</w:t>
                        </w:r>
                        <w:r>
                          <w:t xml:space="preserve"> behaviour and capability</w:t>
                        </w:r>
                      </w:p>
                    </w:tc>
                    <w:tc>
                      <w:tcPr>
                        <w:tcW w:w="4537" w:type="dxa"/>
                        <w:shd w:val="clear" w:color="auto" w:fill="DBE5F1"/>
                      </w:tcPr>
                      <w:p w:rsidRPr="004D766B" w:rsidR="00D1731A" w:rsidP="00D1731A" w:rsidRDefault="00D1731A" w14:paraId="2ED639BA" w14:textId="77777777">
                        <w:pPr>
                          <w:pStyle w:val="DHHSbullet1"/>
                          <w:numPr>
                            <w:ilvl w:val="0"/>
                            <w:numId w:val="2"/>
                          </w:numPr>
                        </w:pPr>
                        <w:r>
                          <w:t xml:space="preserve">safety </w:t>
                        </w:r>
                        <w:r w:rsidRPr="004D766B">
                          <w:t>culture</w:t>
                        </w:r>
                      </w:p>
                      <w:p w:rsidRPr="004D766B" w:rsidR="00D1731A" w:rsidP="00D1731A" w:rsidRDefault="00D1731A" w14:paraId="6B71639E" w14:textId="77777777">
                        <w:pPr>
                          <w:pStyle w:val="DHHSbullet1"/>
                          <w:numPr>
                            <w:ilvl w:val="0"/>
                            <w:numId w:val="2"/>
                          </w:numPr>
                        </w:pPr>
                        <w:r w:rsidRPr="004D766B">
                          <w:t>service sustainability</w:t>
                        </w:r>
                      </w:p>
                      <w:p w:rsidRPr="004D766B" w:rsidR="00D1731A" w:rsidP="00D1731A" w:rsidRDefault="00D1731A" w14:paraId="78079670" w14:textId="77777777">
                        <w:pPr>
                          <w:pStyle w:val="DHHSbullet1"/>
                          <w:numPr>
                            <w:ilvl w:val="0"/>
                            <w:numId w:val="2"/>
                          </w:numPr>
                        </w:pPr>
                        <w:r w:rsidRPr="004D766B">
                          <w:t>financial performance</w:t>
                        </w:r>
                      </w:p>
                      <w:p w:rsidRPr="004D766B" w:rsidR="00D1731A" w:rsidP="00D1731A" w:rsidRDefault="00D1731A" w14:paraId="56233235" w14:textId="77777777">
                        <w:pPr>
                          <w:pStyle w:val="DHHSbullet1"/>
                          <w:numPr>
                            <w:ilvl w:val="0"/>
                            <w:numId w:val="2"/>
                          </w:numPr>
                        </w:pPr>
                        <w:r w:rsidRPr="004D766B">
                          <w:t>delivery of new services or models of care</w:t>
                        </w:r>
                      </w:p>
                      <w:p w:rsidR="00D1731A" w:rsidP="00D1731A" w:rsidRDefault="00D1731A" w14:paraId="1F4A0E45" w14:textId="77777777">
                        <w:pPr>
                          <w:pStyle w:val="DHHSbullet1"/>
                          <w:numPr>
                            <w:ilvl w:val="0"/>
                            <w:numId w:val="2"/>
                          </w:numPr>
                        </w:pPr>
                        <w:r w:rsidRPr="004D766B">
                          <w:t xml:space="preserve">complexity of the patient cohort </w:t>
                        </w:r>
                      </w:p>
                      <w:p w:rsidRPr="004D766B" w:rsidR="00D1731A" w:rsidP="00D1731A" w:rsidRDefault="00D1731A" w14:paraId="77123FEF" w14:textId="77777777">
                        <w:pPr>
                          <w:pStyle w:val="DHHSbullet1"/>
                          <w:numPr>
                            <w:ilvl w:val="0"/>
                            <w:numId w:val="2"/>
                          </w:numPr>
                        </w:pPr>
                        <w:r w:rsidRPr="004D766B">
                          <w:t>competing strategic priorities</w:t>
                        </w:r>
                      </w:p>
                      <w:p w:rsidR="00D1731A" w:rsidP="00D1731A" w:rsidRDefault="00D1731A" w14:paraId="122BAFFC" w14:textId="77777777">
                        <w:pPr>
                          <w:pStyle w:val="DHHSbullet1"/>
                          <w:numPr>
                            <w:ilvl w:val="0"/>
                            <w:numId w:val="2"/>
                          </w:numPr>
                        </w:pPr>
                        <w:r w:rsidRPr="004D766B">
                          <w:t xml:space="preserve">major capital projects </w:t>
                        </w:r>
                      </w:p>
                      <w:p w:rsidRPr="00633E25" w:rsidR="00D1731A" w:rsidP="00D1731A" w:rsidRDefault="00D1731A" w14:paraId="310B0946" w14:textId="77777777">
                        <w:pPr>
                          <w:pStyle w:val="DHHSbullet1"/>
                          <w:numPr>
                            <w:ilvl w:val="0"/>
                            <w:numId w:val="2"/>
                          </w:numPr>
                        </w:pPr>
                        <w:bookmarkStart w:name="_Hlk167966249" w:id="53"/>
                        <w:r>
                          <w:t>major asset failure incidents</w:t>
                        </w:r>
                        <w:bookmarkEnd w:id="53"/>
                      </w:p>
                    </w:tc>
                  </w:tr>
                </w:tbl>
                <w:p w:rsidRPr="00E737F5" w:rsidR="00D1731A" w:rsidP="00D1731A" w:rsidRDefault="00D1731A" w14:paraId="72B5AB0B" w14:textId="77777777">
                  <w:pPr>
                    <w:pStyle w:val="DHHSbody"/>
                    <w:spacing w:line="240" w:lineRule="auto"/>
                  </w:pPr>
                </w:p>
              </w:tc>
            </w:tr>
          </w:tbl>
          <w:p w:rsidR="00D1731A" w:rsidP="006F5142" w:rsidRDefault="00D1731A" w14:paraId="13BD4912" w14:textId="77777777">
            <w:pPr>
              <w:pStyle w:val="DHHSbody"/>
              <w:spacing w:line="240" w:lineRule="auto"/>
              <w:rPr>
                <w:b/>
                <w:bCs/>
                <w:color w:val="53565A"/>
                <w:sz w:val="24"/>
                <w:szCs w:val="24"/>
              </w:rPr>
            </w:pPr>
          </w:p>
        </w:tc>
      </w:tr>
    </w:tbl>
    <w:p w:rsidRPr="00D15E4F" w:rsidR="00EA7D8E" w:rsidP="00EA7D8E" w:rsidRDefault="00EA7D8E" w14:paraId="0EF235A6" w14:textId="77777777">
      <w:pPr>
        <w:pStyle w:val="Heading4"/>
        <w:rPr>
          <w:color w:val="53565A"/>
          <w:sz w:val="24"/>
          <w:szCs w:val="24"/>
        </w:rPr>
      </w:pPr>
      <w:r>
        <w:rPr>
          <w:color w:val="53565A"/>
          <w:sz w:val="24"/>
          <w:szCs w:val="24"/>
        </w:rPr>
        <w:t>Box 3: Examples</w:t>
      </w:r>
      <w:r w:rsidRPr="00D15E4F">
        <w:rPr>
          <w:color w:val="53565A"/>
          <w:sz w:val="24"/>
          <w:szCs w:val="24"/>
        </w:rPr>
        <w:t xml:space="preserve"> of how underlying risk factors can impact performance </w:t>
      </w:r>
    </w:p>
    <w:tbl>
      <w:tblPr>
        <w:tblStyle w:val="Highlighttable"/>
        <w:tblW w:w="9923" w:type="dxa"/>
        <w:shd w:val="clear" w:color="auto" w:fill="DBE5F1"/>
        <w:tblLook w:val="0600" w:firstRow="0" w:lastRow="0" w:firstColumn="0" w:lastColumn="0" w:noHBand="1" w:noVBand="1"/>
      </w:tblPr>
      <w:tblGrid>
        <w:gridCol w:w="9923"/>
      </w:tblGrid>
      <w:tr w:rsidRPr="0033345C" w:rsidR="00EA7D8E" w:rsidTr="00EA7D8E" w14:paraId="07CCD7F9" w14:textId="77777777">
        <w:tc>
          <w:tcPr>
            <w:tcW w:w="9923" w:type="dxa"/>
            <w:shd w:val="clear" w:color="auto" w:fill="DBE5F1"/>
          </w:tcPr>
          <w:p w:rsidRPr="00322E3A" w:rsidR="00EA7D8E" w:rsidP="006F5142" w:rsidRDefault="00EA7D8E" w14:paraId="7D00E842" w14:textId="77777777">
            <w:pPr>
              <w:spacing w:line="270" w:lineRule="atLeast"/>
              <w:rPr>
                <w:rFonts w:eastAsia="Times"/>
                <w:b/>
                <w:szCs w:val="21"/>
              </w:rPr>
            </w:pPr>
            <w:r w:rsidRPr="00322E3A">
              <w:rPr>
                <w:rFonts w:eastAsia="Times"/>
                <w:b/>
                <w:szCs w:val="21"/>
              </w:rPr>
              <w:t>Geographical impacts</w:t>
            </w:r>
          </w:p>
          <w:p w:rsidRPr="00322E3A" w:rsidR="00EA7D8E" w:rsidP="006F5142" w:rsidRDefault="00EA7D8E" w14:paraId="26DB2CB5" w14:textId="77777777">
            <w:pPr>
              <w:spacing w:line="270" w:lineRule="atLeast"/>
              <w:rPr>
                <w:rFonts w:eastAsia="Times"/>
                <w:szCs w:val="21"/>
              </w:rPr>
            </w:pPr>
            <w:r w:rsidRPr="00322E3A">
              <w:rPr>
                <w:rFonts w:eastAsia="Times"/>
                <w:szCs w:val="21"/>
              </w:rPr>
              <w:t>Health services in rural areas face significant challenges in attracting and retaining skilled staff as well as board directors. There may also be a higher risk of professional isolation for practitioners with limited career options, no back-up cover and no succession planning. Management may find it difficult to manage contracts or performance of clinicians who are difficult to replace.</w:t>
            </w:r>
          </w:p>
          <w:p w:rsidR="00EA7D8E" w:rsidP="006F5142" w:rsidRDefault="00EA7D8E" w14:paraId="4AD50D52" w14:textId="77777777">
            <w:pPr>
              <w:spacing w:line="270" w:lineRule="atLeast"/>
              <w:rPr>
                <w:rFonts w:eastAsia="Times"/>
                <w:szCs w:val="21"/>
              </w:rPr>
            </w:pPr>
            <w:r w:rsidRPr="00322E3A">
              <w:rPr>
                <w:rFonts w:eastAsia="Times"/>
                <w:szCs w:val="21"/>
              </w:rPr>
              <w:t>Recognising these challenges provides a better appreciation of the contextual environment various health services operate in, the impact this has on service delivery, and the type of strategies required by the department (at a system level) and the health service (at a local level) to support improved performance.</w:t>
            </w:r>
          </w:p>
          <w:p w:rsidRPr="00322E3A" w:rsidR="00EA7D8E" w:rsidP="00EA7D8E" w:rsidRDefault="00EA7D8E" w14:paraId="000C9277" w14:textId="77777777">
            <w:pPr>
              <w:keepNext/>
              <w:keepLines/>
              <w:suppressAutoHyphens/>
              <w:spacing w:before="160" w:after="60" w:line="240" w:lineRule="atLeast"/>
              <w:outlineLvl w:val="4"/>
              <w:rPr>
                <w:rFonts w:eastAsia="MS Mincho"/>
                <w:b/>
                <w:bCs/>
                <w:szCs w:val="21"/>
              </w:rPr>
            </w:pPr>
            <w:r w:rsidRPr="011C3384">
              <w:rPr>
                <w:rFonts w:eastAsia="MS Mincho"/>
                <w:b/>
                <w:bCs/>
                <w:szCs w:val="21"/>
              </w:rPr>
              <w:t>Culture</w:t>
            </w:r>
          </w:p>
          <w:p w:rsidRPr="00322E3A" w:rsidR="00EA7D8E" w:rsidP="00EA7D8E" w:rsidRDefault="00EA7D8E" w14:paraId="7D5B95A0" w14:textId="77777777">
            <w:pPr>
              <w:spacing w:line="270" w:lineRule="atLeast"/>
              <w:rPr>
                <w:rFonts w:eastAsia="Times"/>
                <w:szCs w:val="21"/>
              </w:rPr>
            </w:pPr>
            <w:r>
              <w:rPr>
                <w:rFonts w:eastAsia="Times"/>
                <w:szCs w:val="21"/>
              </w:rPr>
              <w:t>O</w:t>
            </w:r>
            <w:r w:rsidRPr="00322E3A">
              <w:rPr>
                <w:rFonts w:eastAsia="Times"/>
                <w:szCs w:val="21"/>
              </w:rPr>
              <w:t>rganisational culture can significantly impact patient safety</w:t>
            </w:r>
            <w:r>
              <w:rPr>
                <w:rFonts w:eastAsia="Times"/>
                <w:szCs w:val="21"/>
              </w:rPr>
              <w:t>.</w:t>
            </w:r>
            <w:r w:rsidRPr="00322E3A">
              <w:rPr>
                <w:rFonts w:eastAsia="Times"/>
                <w:szCs w:val="21"/>
              </w:rPr>
              <w:t xml:space="preserve"> </w:t>
            </w:r>
            <w:r>
              <w:rPr>
                <w:rFonts w:eastAsia="Times"/>
                <w:szCs w:val="21"/>
              </w:rPr>
              <w:t>Poor</w:t>
            </w:r>
            <w:r w:rsidRPr="00322E3A">
              <w:rPr>
                <w:rFonts w:eastAsia="Times"/>
                <w:szCs w:val="21"/>
              </w:rPr>
              <w:t xml:space="preserve"> culture is directly linked to </w:t>
            </w:r>
            <w:r>
              <w:rPr>
                <w:rFonts w:eastAsia="Times"/>
                <w:szCs w:val="21"/>
              </w:rPr>
              <w:t xml:space="preserve">reduced engagement and collaboration and increased </w:t>
            </w:r>
            <w:r w:rsidRPr="00322E3A">
              <w:rPr>
                <w:rFonts w:eastAsia="Times"/>
                <w:szCs w:val="21"/>
              </w:rPr>
              <w:t xml:space="preserve">communication breakdown, which are lead indicators of harm and </w:t>
            </w:r>
            <w:r>
              <w:rPr>
                <w:rFonts w:eastAsia="Times"/>
                <w:szCs w:val="21"/>
              </w:rPr>
              <w:t>adverse</w:t>
            </w:r>
            <w:r w:rsidRPr="00322E3A" w:rsidDel="00223E9D">
              <w:rPr>
                <w:rFonts w:eastAsia="Times"/>
                <w:szCs w:val="21"/>
              </w:rPr>
              <w:t xml:space="preserve"> </w:t>
            </w:r>
            <w:r w:rsidRPr="00322E3A">
              <w:rPr>
                <w:rFonts w:eastAsia="Times"/>
                <w:szCs w:val="21"/>
              </w:rPr>
              <w:t xml:space="preserve">patient outcomes. Ineffective governance and </w:t>
            </w:r>
            <w:r>
              <w:rPr>
                <w:rFonts w:eastAsia="Times"/>
                <w:szCs w:val="21"/>
              </w:rPr>
              <w:t>unacceptable</w:t>
            </w:r>
            <w:r w:rsidRPr="00322E3A">
              <w:rPr>
                <w:rFonts w:eastAsia="Times"/>
                <w:szCs w:val="21"/>
              </w:rPr>
              <w:t xml:space="preserve"> leadership </w:t>
            </w:r>
            <w:r>
              <w:rPr>
                <w:rFonts w:eastAsia="Times"/>
                <w:szCs w:val="21"/>
              </w:rPr>
              <w:t xml:space="preserve">behaviour </w:t>
            </w:r>
            <w:r w:rsidRPr="00322E3A">
              <w:rPr>
                <w:rFonts w:eastAsia="Times"/>
                <w:szCs w:val="21"/>
              </w:rPr>
              <w:t xml:space="preserve">further compound the risk </w:t>
            </w:r>
            <w:r>
              <w:rPr>
                <w:rFonts w:eastAsia="Times"/>
                <w:szCs w:val="21"/>
              </w:rPr>
              <w:t xml:space="preserve">as this causes </w:t>
            </w:r>
            <w:r w:rsidRPr="00322E3A">
              <w:rPr>
                <w:rFonts w:eastAsia="Times"/>
                <w:szCs w:val="21"/>
              </w:rPr>
              <w:t>failure to identify and remediate issues early and successfully.</w:t>
            </w:r>
          </w:p>
          <w:p w:rsidRPr="00322E3A" w:rsidR="00EA7D8E" w:rsidP="00EA7D8E" w:rsidRDefault="00EA7D8E" w14:paraId="414ED1A1" w14:textId="3D881662">
            <w:pPr>
              <w:spacing w:line="270" w:lineRule="atLeast"/>
              <w:rPr>
                <w:rFonts w:eastAsia="Times"/>
                <w:szCs w:val="21"/>
              </w:rPr>
            </w:pPr>
            <w:r w:rsidRPr="00322E3A">
              <w:rPr>
                <w:rFonts w:eastAsia="Times"/>
                <w:szCs w:val="21"/>
              </w:rPr>
              <w:t xml:space="preserve">Monitoring </w:t>
            </w:r>
            <w:r>
              <w:rPr>
                <w:rFonts w:eastAsia="Times"/>
                <w:szCs w:val="21"/>
              </w:rPr>
              <w:t>organisational</w:t>
            </w:r>
            <w:r w:rsidRPr="00322E3A">
              <w:rPr>
                <w:rFonts w:eastAsia="Times"/>
                <w:szCs w:val="21"/>
              </w:rPr>
              <w:t xml:space="preserve"> culture allows for early identification of risks to patient safety before they begin manifesting in patient outcomes. </w:t>
            </w:r>
            <w:r>
              <w:rPr>
                <w:rFonts w:eastAsia="Times"/>
                <w:szCs w:val="21"/>
              </w:rPr>
              <w:t xml:space="preserve">Organisational culture </w:t>
            </w:r>
            <w:r w:rsidRPr="00322E3A">
              <w:rPr>
                <w:rFonts w:eastAsia="Times"/>
                <w:szCs w:val="21"/>
              </w:rPr>
              <w:t>informed by data from the People Matter Survey</w:t>
            </w:r>
            <w:r>
              <w:rPr>
                <w:rFonts w:eastAsia="Times"/>
                <w:szCs w:val="21"/>
              </w:rPr>
              <w:t>,</w:t>
            </w:r>
            <w:r w:rsidRPr="00322E3A">
              <w:rPr>
                <w:rFonts w:eastAsia="Times"/>
                <w:szCs w:val="21"/>
              </w:rPr>
              <w:t xml:space="preserve"> as well as </w:t>
            </w:r>
            <w:r>
              <w:rPr>
                <w:rFonts w:eastAsia="Times"/>
                <w:szCs w:val="21"/>
              </w:rPr>
              <w:t xml:space="preserve">consumer </w:t>
            </w:r>
            <w:r w:rsidRPr="00322E3A">
              <w:rPr>
                <w:rFonts w:eastAsia="Times"/>
                <w:szCs w:val="21"/>
              </w:rPr>
              <w:t>feedback from the Health Complaints Commissioner and SCV</w:t>
            </w:r>
            <w:r>
              <w:rPr>
                <w:rFonts w:eastAsia="Times"/>
                <w:szCs w:val="21"/>
              </w:rPr>
              <w:t xml:space="preserve"> and monitoring of Sentinel Event and VHIMS reporting</w:t>
            </w:r>
            <w:r w:rsidRPr="00322E3A">
              <w:rPr>
                <w:rFonts w:eastAsia="Times"/>
                <w:szCs w:val="21"/>
              </w:rPr>
              <w:t xml:space="preserve">. </w:t>
            </w:r>
            <w:r>
              <w:rPr>
                <w:rFonts w:eastAsia="Times"/>
                <w:szCs w:val="21"/>
              </w:rPr>
              <w:t>Health services are encouraged to monitor their organisational culture through local measures in addition to those in the Performance Monitoring Framework. More information on how best to do this can be found in SCV’s Victorian Safety Culture Guide.</w:t>
            </w:r>
          </w:p>
        </w:tc>
      </w:tr>
    </w:tbl>
    <w:p w:rsidRPr="00E70B3A" w:rsidR="00F35F90" w:rsidP="009D71C8" w:rsidRDefault="009D71C8" w14:paraId="3D602541" w14:textId="48554781">
      <w:pPr>
        <w:pStyle w:val="Heading1"/>
        <w:rPr>
          <w:color w:val="000000" w:themeColor="text1"/>
        </w:rPr>
      </w:pPr>
      <w:bookmarkStart w:name="_Toc235628564" w:id="54"/>
      <w:r w:rsidRPr="00E70B3A">
        <w:t xml:space="preserve">Appendix </w:t>
      </w:r>
      <w:r w:rsidRPr="00E70B3A" w:rsidR="00824DA0">
        <w:t>8</w:t>
      </w:r>
      <w:r w:rsidRPr="00E70B3A">
        <w:t xml:space="preserve">: </w:t>
      </w:r>
      <w:r w:rsidRPr="00E70B3A" w:rsidR="00043DC1">
        <w:rPr>
          <w:color w:val="000000" w:themeColor="text1"/>
        </w:rPr>
        <w:t>Escalation options and considerations for use</w:t>
      </w:r>
      <w:bookmarkEnd w:id="54"/>
    </w:p>
    <w:p w:rsidRPr="00E70B3A" w:rsidR="00043DC1" w:rsidP="00043DC1" w:rsidRDefault="00043DC1" w14:paraId="090D2D1A" w14:textId="77777777">
      <w:pPr>
        <w:pStyle w:val="DHHSbody"/>
        <w:spacing w:after="0" w:line="240" w:lineRule="auto"/>
        <w:rPr>
          <w:rFonts w:cs="Arial"/>
          <w:i/>
          <w:sz w:val="20"/>
        </w:rPr>
      </w:pPr>
      <w:r w:rsidRPr="00E70B3A">
        <w:rPr>
          <w:rFonts w:cs="Arial"/>
          <w:i/>
          <w:iCs/>
          <w:sz w:val="20"/>
        </w:rPr>
        <w:t>Acronyms: Performance support (PS), Mandated intensive support (MIS)</w:t>
      </w:r>
    </w:p>
    <w:tbl>
      <w:tblPr>
        <w:tblStyle w:val="GridTable4-Accent1"/>
        <w:tblW w:w="5000" w:type="pct"/>
        <w:tblLook w:val="0420" w:firstRow="1" w:lastRow="0" w:firstColumn="0" w:lastColumn="0" w:noHBand="0" w:noVBand="1"/>
      </w:tblPr>
      <w:tblGrid>
        <w:gridCol w:w="2055"/>
        <w:gridCol w:w="4026"/>
        <w:gridCol w:w="2979"/>
      </w:tblGrid>
      <w:tr w:rsidRPr="00062BF9" w:rsidR="00043DC1" w:rsidTr="00032D71" w14:paraId="36E963D9" w14:textId="77777777">
        <w:trPr>
          <w:cnfStyle w:val="100000000000" w:firstRow="1" w:lastRow="0" w:firstColumn="0" w:lastColumn="0" w:oddVBand="0" w:evenVBand="0" w:oddHBand="0" w:evenHBand="0" w:firstRowFirstColumn="0" w:firstRowLastColumn="0" w:lastRowFirstColumn="0" w:lastRowLastColumn="0"/>
          <w:trHeight w:val="292"/>
          <w:tblHeader/>
        </w:trPr>
        <w:tc>
          <w:tcPr>
            <w:tcW w:w="1134" w:type="pct"/>
            <w:shd w:val="clear" w:color="auto" w:fill="153D64"/>
          </w:tcPr>
          <w:p w:rsidRPr="00062BF9" w:rsidR="00043DC1" w:rsidP="00E214FB" w:rsidRDefault="00043DC1" w14:paraId="59880327" w14:textId="77777777">
            <w:pPr>
              <w:pStyle w:val="Body"/>
              <w:rPr>
                <w:b w:val="0"/>
                <w:bCs w:val="0"/>
              </w:rPr>
            </w:pPr>
            <w:r w:rsidRPr="00062BF9">
              <w:t>Escalation option</w:t>
            </w:r>
          </w:p>
        </w:tc>
        <w:tc>
          <w:tcPr>
            <w:tcW w:w="2222" w:type="pct"/>
            <w:shd w:val="clear" w:color="auto" w:fill="153D64"/>
          </w:tcPr>
          <w:p w:rsidRPr="00062BF9" w:rsidR="00043DC1" w:rsidP="00E214FB" w:rsidRDefault="00043DC1" w14:paraId="51EDDEA9" w14:textId="77777777">
            <w:pPr>
              <w:pStyle w:val="Body"/>
              <w:rPr>
                <w:b w:val="0"/>
                <w:bCs w:val="0"/>
              </w:rPr>
            </w:pPr>
            <w:r w:rsidRPr="00062BF9">
              <w:t xml:space="preserve">Considerations for use </w:t>
            </w:r>
          </w:p>
        </w:tc>
        <w:tc>
          <w:tcPr>
            <w:tcW w:w="1644" w:type="pct"/>
            <w:shd w:val="clear" w:color="auto" w:fill="153D64"/>
          </w:tcPr>
          <w:p w:rsidRPr="00062BF9" w:rsidR="00043DC1" w:rsidP="00E214FB" w:rsidRDefault="00043DC1" w14:paraId="2D83DE06" w14:textId="77777777">
            <w:pPr>
              <w:pStyle w:val="Body"/>
              <w:rPr>
                <w:b w:val="0"/>
                <w:bCs w:val="0"/>
              </w:rPr>
            </w:pPr>
            <w:r w:rsidRPr="00062BF9">
              <w:t xml:space="preserve">Relevant tier </w:t>
            </w:r>
          </w:p>
        </w:tc>
      </w:tr>
      <w:tr w:rsidRPr="00062BF9" w:rsidR="00043DC1" w:rsidTr="00062BF9" w14:paraId="57D43627" w14:textId="77777777">
        <w:trPr>
          <w:cnfStyle w:val="000000100000" w:firstRow="0" w:lastRow="0" w:firstColumn="0" w:lastColumn="0" w:oddVBand="0" w:evenVBand="0" w:oddHBand="1" w:evenHBand="0" w:firstRowFirstColumn="0" w:firstRowLastColumn="0" w:lastRowFirstColumn="0" w:lastRowLastColumn="0"/>
          <w:trHeight w:val="263"/>
        </w:trPr>
        <w:tc>
          <w:tcPr>
            <w:tcW w:w="1134" w:type="pct"/>
          </w:tcPr>
          <w:p w:rsidRPr="00062BF9" w:rsidR="00043DC1" w:rsidP="00E214FB" w:rsidRDefault="00043DC1" w14:paraId="32A8433D" w14:textId="77777777">
            <w:pPr>
              <w:pStyle w:val="Body"/>
            </w:pPr>
            <w:r w:rsidRPr="00062BF9">
              <w:t>Dialogue and collaboration on performance</w:t>
            </w:r>
          </w:p>
        </w:tc>
        <w:tc>
          <w:tcPr>
            <w:tcW w:w="2222" w:type="pct"/>
            <w:hideMark/>
          </w:tcPr>
          <w:p w:rsidRPr="00062BF9" w:rsidR="00043DC1" w:rsidP="00E214FB" w:rsidRDefault="00043DC1" w14:paraId="7C2858F8" w14:textId="77777777">
            <w:pPr>
              <w:pStyle w:val="Body"/>
            </w:pPr>
            <w:r w:rsidRPr="00062BF9">
              <w:t xml:space="preserve">Continuing strategic dialogue focussed on improvement and innovation </w:t>
            </w:r>
          </w:p>
        </w:tc>
        <w:tc>
          <w:tcPr>
            <w:tcW w:w="1644" w:type="pct"/>
          </w:tcPr>
          <w:p w:rsidRPr="00062BF9" w:rsidR="00043DC1" w:rsidP="00E214FB" w:rsidRDefault="00043DC1" w14:paraId="32EA0BD2" w14:textId="77777777">
            <w:pPr>
              <w:pStyle w:val="Body"/>
            </w:pPr>
            <w:r w:rsidRPr="00062BF9">
              <w:t xml:space="preserve">All </w:t>
            </w:r>
          </w:p>
        </w:tc>
      </w:tr>
      <w:tr w:rsidRPr="00062BF9" w:rsidR="00043DC1" w:rsidTr="00062BF9" w14:paraId="5191AE88" w14:textId="77777777">
        <w:trPr>
          <w:trHeight w:val="263"/>
        </w:trPr>
        <w:tc>
          <w:tcPr>
            <w:tcW w:w="1134" w:type="pct"/>
          </w:tcPr>
          <w:p w:rsidRPr="00062BF9" w:rsidR="00043DC1" w:rsidP="00E214FB" w:rsidRDefault="00043DC1" w14:paraId="032E5F39" w14:textId="77777777">
            <w:pPr>
              <w:pStyle w:val="Body"/>
            </w:pPr>
            <w:r w:rsidRPr="00062BF9">
              <w:t>Partnerships with another provider</w:t>
            </w:r>
          </w:p>
        </w:tc>
        <w:tc>
          <w:tcPr>
            <w:tcW w:w="2222" w:type="pct"/>
          </w:tcPr>
          <w:p w:rsidRPr="00062BF9" w:rsidR="00043DC1" w:rsidP="00E214FB" w:rsidRDefault="00043DC1" w14:paraId="2507B426" w14:textId="77777777">
            <w:pPr>
              <w:pStyle w:val="Body"/>
            </w:pPr>
            <w:r w:rsidRPr="00062BF9">
              <w:t xml:space="preserve">Learning from / leveraging the expertise of a high performing service to support capability uplift and improvement </w:t>
            </w:r>
          </w:p>
        </w:tc>
        <w:tc>
          <w:tcPr>
            <w:tcW w:w="1644" w:type="pct"/>
          </w:tcPr>
          <w:p w:rsidRPr="00062BF9" w:rsidR="00043DC1" w:rsidP="00E214FB" w:rsidRDefault="00043DC1" w14:paraId="3396D041" w14:textId="77777777">
            <w:pPr>
              <w:pStyle w:val="Body"/>
              <w:rPr>
                <w:i/>
                <w:iCs/>
              </w:rPr>
            </w:pPr>
            <w:r w:rsidRPr="00062BF9">
              <w:rPr>
                <w:i/>
                <w:iCs/>
              </w:rPr>
              <w:t xml:space="preserve">Encouraged for all </w:t>
            </w:r>
          </w:p>
          <w:p w:rsidRPr="00062BF9" w:rsidR="00043DC1" w:rsidP="00E214FB" w:rsidRDefault="00043DC1" w14:paraId="3BC00BCE" w14:textId="77777777">
            <w:pPr>
              <w:pStyle w:val="Body"/>
            </w:pPr>
            <w:r w:rsidRPr="00062BF9">
              <w:t xml:space="preserve">Mandated for MIS </w:t>
            </w:r>
          </w:p>
        </w:tc>
      </w:tr>
      <w:tr w:rsidRPr="00062BF9" w:rsidR="00043DC1" w:rsidTr="00062BF9" w14:paraId="2947F54C" w14:textId="77777777">
        <w:trPr>
          <w:cnfStyle w:val="000000100000" w:firstRow="0" w:lastRow="0" w:firstColumn="0" w:lastColumn="0" w:oddVBand="0" w:evenVBand="0" w:oddHBand="1" w:evenHBand="0" w:firstRowFirstColumn="0" w:firstRowLastColumn="0" w:lastRowFirstColumn="0" w:lastRowLastColumn="0"/>
          <w:trHeight w:val="263"/>
        </w:trPr>
        <w:tc>
          <w:tcPr>
            <w:tcW w:w="1134" w:type="pct"/>
          </w:tcPr>
          <w:p w:rsidRPr="00062BF9" w:rsidR="00043DC1" w:rsidP="00E214FB" w:rsidRDefault="00043DC1" w14:paraId="5CE1894C" w14:textId="77777777">
            <w:pPr>
              <w:pStyle w:val="Body"/>
            </w:pPr>
            <w:r w:rsidRPr="00062BF9">
              <w:t>Performance improvement plans</w:t>
            </w:r>
          </w:p>
        </w:tc>
        <w:tc>
          <w:tcPr>
            <w:tcW w:w="2222" w:type="pct"/>
          </w:tcPr>
          <w:p w:rsidRPr="00062BF9" w:rsidR="00043DC1" w:rsidP="00E214FB" w:rsidRDefault="00043DC1" w14:paraId="535D060B" w14:textId="77777777">
            <w:pPr>
              <w:pStyle w:val="Body"/>
            </w:pPr>
            <w:r w:rsidRPr="00062BF9">
              <w:t>Targeted improvement plans agreed with the department to rectify risk, underperformance or deterioration of performance in a given domain</w:t>
            </w:r>
          </w:p>
        </w:tc>
        <w:tc>
          <w:tcPr>
            <w:tcW w:w="1644" w:type="pct"/>
          </w:tcPr>
          <w:p w:rsidRPr="00062BF9" w:rsidR="00043DC1" w:rsidP="00E214FB" w:rsidRDefault="00043DC1" w14:paraId="32BDC13E" w14:textId="77777777">
            <w:pPr>
              <w:pStyle w:val="Body"/>
            </w:pPr>
            <w:r w:rsidRPr="00062BF9">
              <w:t>PS, MIS</w:t>
            </w:r>
          </w:p>
          <w:p w:rsidRPr="00062BF9" w:rsidR="00043DC1" w:rsidP="00E214FB" w:rsidRDefault="00043DC1" w14:paraId="34AB3AEB" w14:textId="77777777">
            <w:pPr>
              <w:pStyle w:val="Body"/>
            </w:pPr>
            <w:r w:rsidRPr="00062BF9">
              <w:t xml:space="preserve">  </w:t>
            </w:r>
          </w:p>
          <w:p w:rsidRPr="00062BF9" w:rsidR="00043DC1" w:rsidP="00E214FB" w:rsidRDefault="00043DC1" w14:paraId="28002995" w14:textId="77777777">
            <w:pPr>
              <w:pStyle w:val="Body"/>
            </w:pPr>
          </w:p>
        </w:tc>
      </w:tr>
      <w:tr w:rsidRPr="00062BF9" w:rsidR="00043DC1" w:rsidTr="00062BF9" w14:paraId="616425A5" w14:textId="77777777">
        <w:trPr>
          <w:trHeight w:val="263"/>
        </w:trPr>
        <w:tc>
          <w:tcPr>
            <w:tcW w:w="1134" w:type="pct"/>
          </w:tcPr>
          <w:p w:rsidRPr="00062BF9" w:rsidR="00043DC1" w:rsidP="00E214FB" w:rsidRDefault="00043DC1" w14:paraId="489A38FA" w14:textId="77777777">
            <w:pPr>
              <w:pStyle w:val="Body"/>
            </w:pPr>
            <w:r w:rsidRPr="00062BF9">
              <w:t>Action plans with SCV or external agencies</w:t>
            </w:r>
          </w:p>
        </w:tc>
        <w:tc>
          <w:tcPr>
            <w:tcW w:w="2222" w:type="pct"/>
          </w:tcPr>
          <w:p w:rsidRPr="00062BF9" w:rsidR="00043DC1" w:rsidP="00E214FB" w:rsidRDefault="00043DC1" w14:paraId="5F88BCE3" w14:textId="77777777">
            <w:pPr>
              <w:pStyle w:val="Body"/>
            </w:pPr>
            <w:r w:rsidRPr="00062BF9">
              <w:t>Action plan addressing a specific issue or opportunity for improvement, including clinical governance; models of care; emergency and planned surgery access</w:t>
            </w:r>
          </w:p>
        </w:tc>
        <w:tc>
          <w:tcPr>
            <w:tcW w:w="1644" w:type="pct"/>
          </w:tcPr>
          <w:p w:rsidRPr="00062BF9" w:rsidR="00043DC1" w:rsidP="00E214FB" w:rsidRDefault="00043DC1" w14:paraId="1BC34A27" w14:textId="77777777">
            <w:pPr>
              <w:pStyle w:val="Body"/>
            </w:pPr>
            <w:r w:rsidRPr="00062BF9">
              <w:t>PS, MIS</w:t>
            </w:r>
          </w:p>
          <w:p w:rsidRPr="00062BF9" w:rsidR="00043DC1" w:rsidP="00E214FB" w:rsidRDefault="00043DC1" w14:paraId="2E006D0C" w14:textId="77777777">
            <w:pPr>
              <w:pStyle w:val="Body"/>
            </w:pPr>
          </w:p>
        </w:tc>
      </w:tr>
      <w:tr w:rsidRPr="00062BF9" w:rsidR="00043DC1" w:rsidTr="00062BF9" w14:paraId="6C3A8B81" w14:textId="77777777">
        <w:trPr>
          <w:cnfStyle w:val="000000100000" w:firstRow="0" w:lastRow="0" w:firstColumn="0" w:lastColumn="0" w:oddVBand="0" w:evenVBand="0" w:oddHBand="1" w:evenHBand="0" w:firstRowFirstColumn="0" w:firstRowLastColumn="0" w:lastRowFirstColumn="0" w:lastRowLastColumn="0"/>
          <w:trHeight w:val="263"/>
        </w:trPr>
        <w:tc>
          <w:tcPr>
            <w:tcW w:w="1134" w:type="pct"/>
          </w:tcPr>
          <w:p w:rsidRPr="00062BF9" w:rsidR="00043DC1" w:rsidP="00E214FB" w:rsidRDefault="00043DC1" w14:paraId="5A05254C" w14:textId="77777777">
            <w:pPr>
              <w:pStyle w:val="Body"/>
            </w:pPr>
            <w:r w:rsidRPr="00062BF9">
              <w:t>Direct engagement with Board Chairs</w:t>
            </w:r>
          </w:p>
        </w:tc>
        <w:tc>
          <w:tcPr>
            <w:tcW w:w="2222" w:type="pct"/>
          </w:tcPr>
          <w:p w:rsidRPr="00062BF9" w:rsidR="00043DC1" w:rsidP="00E214FB" w:rsidRDefault="00043DC1" w14:paraId="1274C634" w14:textId="77777777">
            <w:pPr>
              <w:pStyle w:val="Body"/>
            </w:pPr>
            <w:r w:rsidRPr="00062BF9">
              <w:t xml:space="preserve">Dialogue focused on improvement and innovation and addressing any areas of concern within the four domains.  </w:t>
            </w:r>
          </w:p>
        </w:tc>
        <w:tc>
          <w:tcPr>
            <w:tcW w:w="1644" w:type="pct"/>
          </w:tcPr>
          <w:p w:rsidRPr="00062BF9" w:rsidR="00043DC1" w:rsidP="00E214FB" w:rsidRDefault="00043DC1" w14:paraId="24E47A74" w14:textId="77777777">
            <w:pPr>
              <w:pStyle w:val="Body"/>
            </w:pPr>
            <w:r w:rsidRPr="00062BF9">
              <w:t>PS, MIS</w:t>
            </w:r>
          </w:p>
        </w:tc>
      </w:tr>
      <w:tr w:rsidRPr="00062BF9" w:rsidR="00043DC1" w:rsidTr="00062BF9" w14:paraId="63ACDC54" w14:textId="77777777">
        <w:trPr>
          <w:trHeight w:val="263"/>
        </w:trPr>
        <w:tc>
          <w:tcPr>
            <w:tcW w:w="1134" w:type="pct"/>
          </w:tcPr>
          <w:p w:rsidRPr="00062BF9" w:rsidR="00043DC1" w:rsidP="00E214FB" w:rsidRDefault="00043DC1" w14:paraId="1D06CC20" w14:textId="77777777">
            <w:pPr>
              <w:pStyle w:val="Body"/>
            </w:pPr>
            <w:r w:rsidRPr="00062BF9">
              <w:t>Independent review</w:t>
            </w:r>
          </w:p>
        </w:tc>
        <w:tc>
          <w:tcPr>
            <w:tcW w:w="2222" w:type="pct"/>
          </w:tcPr>
          <w:p w:rsidRPr="00062BF9" w:rsidR="00043DC1" w:rsidP="00E214FB" w:rsidRDefault="00043DC1" w14:paraId="28D1AFA2" w14:textId="77777777">
            <w:pPr>
              <w:pStyle w:val="Body"/>
            </w:pPr>
            <w:r w:rsidRPr="00062BF9">
              <w:t>Where there is a performance concern that is not being adequately addressed, an independent review could assess clinical practice, governance or financial concerns and make recommendations for improvement</w:t>
            </w:r>
          </w:p>
        </w:tc>
        <w:tc>
          <w:tcPr>
            <w:tcW w:w="1644" w:type="pct"/>
          </w:tcPr>
          <w:p w:rsidRPr="00062BF9" w:rsidR="00043DC1" w:rsidP="00E214FB" w:rsidRDefault="00043DC1" w14:paraId="0F4BA2AF" w14:textId="77777777">
            <w:pPr>
              <w:pStyle w:val="Body"/>
            </w:pPr>
            <w:r w:rsidRPr="00062BF9">
              <w:t>PS, MIS</w:t>
            </w:r>
          </w:p>
        </w:tc>
      </w:tr>
      <w:tr w:rsidRPr="00062BF9" w:rsidR="00043DC1" w:rsidTr="00062BF9" w14:paraId="5E0C6B5C" w14:textId="77777777">
        <w:trPr>
          <w:cnfStyle w:val="000000100000" w:firstRow="0" w:lastRow="0" w:firstColumn="0" w:lastColumn="0" w:oddVBand="0" w:evenVBand="0" w:oddHBand="1" w:evenHBand="0" w:firstRowFirstColumn="0" w:firstRowLastColumn="0" w:lastRowFirstColumn="0" w:lastRowLastColumn="0"/>
          <w:trHeight w:val="263"/>
        </w:trPr>
        <w:tc>
          <w:tcPr>
            <w:tcW w:w="1134" w:type="pct"/>
          </w:tcPr>
          <w:p w:rsidRPr="00062BF9" w:rsidR="00043DC1" w:rsidP="00E214FB" w:rsidRDefault="00043DC1" w14:paraId="798D6AAA" w14:textId="77777777">
            <w:pPr>
              <w:pStyle w:val="Body"/>
            </w:pPr>
            <w:r w:rsidRPr="00062BF9">
              <w:t>Department-sanctioned audit</w:t>
            </w:r>
          </w:p>
        </w:tc>
        <w:tc>
          <w:tcPr>
            <w:tcW w:w="2222" w:type="pct"/>
          </w:tcPr>
          <w:p w:rsidRPr="00062BF9" w:rsidR="00043DC1" w:rsidP="00E214FB" w:rsidRDefault="00043DC1" w14:paraId="4141E808" w14:textId="77777777">
            <w:pPr>
              <w:pStyle w:val="Body"/>
            </w:pPr>
            <w:r w:rsidRPr="00062BF9">
              <w:t>Where the department needs additional line of sight and/or additional detail about an area of concern regarding a health service’s performance or where the service is failing to develop or enact plans to address risk, underperformance or deterioration of performance</w:t>
            </w:r>
          </w:p>
        </w:tc>
        <w:tc>
          <w:tcPr>
            <w:tcW w:w="1644" w:type="pct"/>
          </w:tcPr>
          <w:p w:rsidRPr="00062BF9" w:rsidR="00043DC1" w:rsidP="00E214FB" w:rsidRDefault="00043DC1" w14:paraId="186F4084" w14:textId="77777777">
            <w:pPr>
              <w:pStyle w:val="Body"/>
            </w:pPr>
            <w:r w:rsidRPr="00062BF9">
              <w:t xml:space="preserve">MIS (option following 3 quarters in MIS without improvement, or sooner </w:t>
            </w:r>
          </w:p>
          <w:p w:rsidRPr="00062BF9" w:rsidR="00043DC1" w:rsidP="00E214FB" w:rsidRDefault="00043DC1" w14:paraId="7F0AD7F9" w14:textId="77777777">
            <w:pPr>
              <w:pStyle w:val="Body"/>
            </w:pPr>
            <w:r w:rsidRPr="00062BF9">
              <w:t>if there is an immediate and elevated risk and/or an extended period has already been spent in PS)</w:t>
            </w:r>
          </w:p>
        </w:tc>
      </w:tr>
      <w:tr w:rsidRPr="00062BF9" w:rsidR="00043DC1" w:rsidTr="00062BF9" w14:paraId="08D18835" w14:textId="77777777">
        <w:trPr>
          <w:trHeight w:val="263"/>
        </w:trPr>
        <w:tc>
          <w:tcPr>
            <w:tcW w:w="1134" w:type="pct"/>
          </w:tcPr>
          <w:p w:rsidRPr="00062BF9" w:rsidR="00043DC1" w:rsidP="00E214FB" w:rsidRDefault="00043DC1" w14:paraId="1D7F84A9" w14:textId="77777777">
            <w:pPr>
              <w:pStyle w:val="Body"/>
            </w:pPr>
            <w:r w:rsidRPr="00062BF9">
              <w:t>Limits or controls on expenditure or entering into contracts etc</w:t>
            </w:r>
          </w:p>
        </w:tc>
        <w:tc>
          <w:tcPr>
            <w:tcW w:w="2222" w:type="pct"/>
          </w:tcPr>
          <w:p w:rsidRPr="00062BF9" w:rsidR="00043DC1" w:rsidP="00E214FB" w:rsidRDefault="00043DC1" w14:paraId="401111E0" w14:textId="77777777">
            <w:pPr>
              <w:pStyle w:val="Body"/>
            </w:pPr>
            <w:r w:rsidRPr="00062BF9">
              <w:t xml:space="preserve">Where the Secretary considers that the health service is not effectively managing its resources </w:t>
            </w:r>
          </w:p>
        </w:tc>
        <w:tc>
          <w:tcPr>
            <w:tcW w:w="1644" w:type="pct"/>
          </w:tcPr>
          <w:p w:rsidRPr="00062BF9" w:rsidR="00043DC1" w:rsidP="00E214FB" w:rsidRDefault="00043DC1" w14:paraId="69E786FA" w14:textId="77777777">
            <w:pPr>
              <w:pStyle w:val="Body"/>
            </w:pPr>
            <w:r w:rsidRPr="00062BF9">
              <w:t>PS, MIS</w:t>
            </w:r>
          </w:p>
          <w:p w:rsidRPr="00062BF9" w:rsidR="00043DC1" w:rsidP="00E214FB" w:rsidRDefault="00043DC1" w14:paraId="72322565" w14:textId="77777777">
            <w:pPr>
              <w:pStyle w:val="Body"/>
            </w:pPr>
          </w:p>
        </w:tc>
      </w:tr>
      <w:tr w:rsidRPr="00062BF9" w:rsidR="00043DC1" w:rsidTr="00062BF9" w14:paraId="6A2EB46B" w14:textId="77777777">
        <w:trPr>
          <w:cnfStyle w:val="000000100000" w:firstRow="0" w:lastRow="0" w:firstColumn="0" w:lastColumn="0" w:oddVBand="0" w:evenVBand="0" w:oddHBand="1" w:evenHBand="0" w:firstRowFirstColumn="0" w:firstRowLastColumn="0" w:lastRowFirstColumn="0" w:lastRowLastColumn="0"/>
          <w:trHeight w:val="263"/>
        </w:trPr>
        <w:tc>
          <w:tcPr>
            <w:tcW w:w="1134" w:type="pct"/>
          </w:tcPr>
          <w:p w:rsidRPr="00062BF9" w:rsidR="00043DC1" w:rsidP="00E214FB" w:rsidRDefault="00043DC1" w14:paraId="69631E1C" w14:textId="77777777">
            <w:pPr>
              <w:pStyle w:val="Body"/>
            </w:pPr>
            <w:r w:rsidRPr="00062BF9">
              <w:t>Appointment of delegate to board</w:t>
            </w:r>
          </w:p>
        </w:tc>
        <w:tc>
          <w:tcPr>
            <w:tcW w:w="2222" w:type="pct"/>
          </w:tcPr>
          <w:p w:rsidRPr="00062BF9" w:rsidR="00043DC1" w:rsidP="00E214FB" w:rsidRDefault="00043DC1" w14:paraId="1A87159B" w14:textId="77777777">
            <w:pPr>
              <w:pStyle w:val="Body"/>
            </w:pPr>
            <w:r w:rsidRPr="00062BF9">
              <w:t>Where the Minister / Department needs to assess how the Board is functioning and performing, or where the Board could benefit from additional skills expertise</w:t>
            </w:r>
          </w:p>
        </w:tc>
        <w:tc>
          <w:tcPr>
            <w:tcW w:w="1644" w:type="pct"/>
          </w:tcPr>
          <w:p w:rsidRPr="00062BF9" w:rsidR="00043DC1" w:rsidP="00E214FB" w:rsidRDefault="00043DC1" w14:paraId="4B549155" w14:textId="77777777">
            <w:pPr>
              <w:pStyle w:val="Body"/>
            </w:pPr>
            <w:r w:rsidRPr="00062BF9">
              <w:t>PS, MIS</w:t>
            </w:r>
          </w:p>
          <w:p w:rsidRPr="00062BF9" w:rsidR="00043DC1" w:rsidP="00E214FB" w:rsidRDefault="00043DC1" w14:paraId="0658424C" w14:textId="77777777">
            <w:pPr>
              <w:pStyle w:val="Body"/>
            </w:pPr>
          </w:p>
          <w:p w:rsidRPr="00062BF9" w:rsidR="00043DC1" w:rsidP="00E214FB" w:rsidRDefault="00043DC1" w14:paraId="02F41DFA" w14:textId="77777777">
            <w:pPr>
              <w:pStyle w:val="Body"/>
            </w:pPr>
          </w:p>
        </w:tc>
      </w:tr>
      <w:tr w:rsidRPr="00062BF9" w:rsidR="00043DC1" w:rsidTr="00062BF9" w14:paraId="6BF5DEB6" w14:textId="77777777">
        <w:trPr>
          <w:trHeight w:val="263"/>
        </w:trPr>
        <w:tc>
          <w:tcPr>
            <w:tcW w:w="1134" w:type="pct"/>
          </w:tcPr>
          <w:p w:rsidRPr="00062BF9" w:rsidR="00043DC1" w:rsidP="00E214FB" w:rsidRDefault="00043DC1" w14:paraId="1CCC5A59" w14:textId="77777777">
            <w:pPr>
              <w:pStyle w:val="Body"/>
            </w:pPr>
            <w:r w:rsidRPr="00062BF9">
              <w:t>Suspend services</w:t>
            </w:r>
          </w:p>
        </w:tc>
        <w:tc>
          <w:tcPr>
            <w:tcW w:w="2222" w:type="pct"/>
          </w:tcPr>
          <w:p w:rsidRPr="00062BF9" w:rsidR="00043DC1" w:rsidP="00E214FB" w:rsidRDefault="00043DC1" w14:paraId="66B2BAE8" w14:textId="77777777">
            <w:pPr>
              <w:pStyle w:val="Body"/>
            </w:pPr>
            <w:r w:rsidRPr="00062BF9">
              <w:t>Where there is a quality and safety risk or event that necessitates a suspension of specific services</w:t>
            </w:r>
          </w:p>
        </w:tc>
        <w:tc>
          <w:tcPr>
            <w:tcW w:w="1644" w:type="pct"/>
          </w:tcPr>
          <w:p w:rsidRPr="00062BF9" w:rsidR="00043DC1" w:rsidP="00E214FB" w:rsidRDefault="00043DC1" w14:paraId="71B9476C" w14:textId="77777777">
            <w:pPr>
              <w:pStyle w:val="Body"/>
            </w:pPr>
            <w:r w:rsidRPr="00062BF9">
              <w:t>MIS</w:t>
            </w:r>
          </w:p>
        </w:tc>
      </w:tr>
      <w:tr w:rsidRPr="00062BF9" w:rsidR="00043DC1" w:rsidTr="00062BF9" w14:paraId="1F0447B4" w14:textId="77777777">
        <w:trPr>
          <w:cnfStyle w:val="000000100000" w:firstRow="0" w:lastRow="0" w:firstColumn="0" w:lastColumn="0" w:oddVBand="0" w:evenVBand="0" w:oddHBand="1" w:evenHBand="0" w:firstRowFirstColumn="0" w:firstRowLastColumn="0" w:lastRowFirstColumn="0" w:lastRowLastColumn="0"/>
          <w:trHeight w:val="742"/>
        </w:trPr>
        <w:tc>
          <w:tcPr>
            <w:tcW w:w="1134" w:type="pct"/>
          </w:tcPr>
          <w:p w:rsidRPr="00062BF9" w:rsidR="00043DC1" w:rsidP="00E214FB" w:rsidRDefault="00043DC1" w14:paraId="526DDC49" w14:textId="77777777">
            <w:pPr>
              <w:pStyle w:val="Body"/>
            </w:pPr>
            <w:r w:rsidRPr="00062BF9">
              <w:t>Ministerial direction</w:t>
            </w:r>
          </w:p>
        </w:tc>
        <w:tc>
          <w:tcPr>
            <w:tcW w:w="2222" w:type="pct"/>
          </w:tcPr>
          <w:p w:rsidRPr="00062BF9" w:rsidR="00043DC1" w:rsidP="00E214FB" w:rsidRDefault="00043DC1" w14:paraId="5BA8B336" w14:textId="77777777">
            <w:pPr>
              <w:pStyle w:val="Body"/>
            </w:pPr>
            <w:r w:rsidRPr="00062BF9">
              <w:t xml:space="preserve">Where the Minister wishes to direct the health service as per their legislative authority </w:t>
            </w:r>
          </w:p>
        </w:tc>
        <w:tc>
          <w:tcPr>
            <w:tcW w:w="1644" w:type="pct"/>
          </w:tcPr>
          <w:p w:rsidRPr="00062BF9" w:rsidR="00043DC1" w:rsidP="00E214FB" w:rsidRDefault="00043DC1" w14:paraId="71EFFE86" w14:textId="77777777">
            <w:pPr>
              <w:pStyle w:val="Body"/>
            </w:pPr>
            <w:r w:rsidRPr="00062BF9">
              <w:t>MIS</w:t>
            </w:r>
          </w:p>
        </w:tc>
      </w:tr>
      <w:tr w:rsidRPr="00062BF9" w:rsidR="00043DC1" w:rsidTr="00062BF9" w14:paraId="128E77ED" w14:textId="77777777">
        <w:trPr>
          <w:trHeight w:val="263"/>
        </w:trPr>
        <w:tc>
          <w:tcPr>
            <w:tcW w:w="1134" w:type="pct"/>
          </w:tcPr>
          <w:p w:rsidRPr="00062BF9" w:rsidR="00043DC1" w:rsidP="00E214FB" w:rsidRDefault="00043DC1" w14:paraId="023F82F6" w14:textId="77777777">
            <w:pPr>
              <w:pStyle w:val="Body"/>
            </w:pPr>
            <w:r w:rsidRPr="00062BF9">
              <w:t xml:space="preserve">Ministerial censure </w:t>
            </w:r>
          </w:p>
          <w:p w:rsidRPr="00062BF9" w:rsidR="00043DC1" w:rsidP="00E214FB" w:rsidRDefault="00043DC1" w14:paraId="598FBE2E" w14:textId="77777777">
            <w:pPr>
              <w:pStyle w:val="Body"/>
            </w:pPr>
          </w:p>
        </w:tc>
        <w:tc>
          <w:tcPr>
            <w:tcW w:w="2222" w:type="pct"/>
          </w:tcPr>
          <w:p w:rsidRPr="00062BF9" w:rsidR="00043DC1" w:rsidP="00E214FB" w:rsidRDefault="00043DC1" w14:paraId="7A7FC7FF" w14:textId="77777777">
            <w:pPr>
              <w:pStyle w:val="Body"/>
            </w:pPr>
            <w:r w:rsidRPr="00062BF9">
              <w:t>Where the Minister issues a censure, which is tabled in each House of the Parliament</w:t>
            </w:r>
            <w:r w:rsidRPr="00062BF9">
              <w:rPr>
                <w:rStyle w:val="FootnoteReference"/>
                <w:rFonts w:cs="Arial"/>
                <w:sz w:val="20"/>
              </w:rPr>
              <w:footnoteReference w:id="3"/>
            </w:r>
          </w:p>
        </w:tc>
        <w:tc>
          <w:tcPr>
            <w:tcW w:w="1644" w:type="pct"/>
          </w:tcPr>
          <w:p w:rsidRPr="00062BF9" w:rsidR="00043DC1" w:rsidP="00E214FB" w:rsidRDefault="00043DC1" w14:paraId="132877F4" w14:textId="77777777">
            <w:pPr>
              <w:pStyle w:val="Body"/>
            </w:pPr>
            <w:r w:rsidRPr="00062BF9">
              <w:t>MIS</w:t>
            </w:r>
          </w:p>
        </w:tc>
      </w:tr>
      <w:tr w:rsidRPr="00062BF9" w:rsidR="00043DC1" w:rsidTr="00062BF9" w14:paraId="624144A3" w14:textId="77777777">
        <w:trPr>
          <w:cnfStyle w:val="000000100000" w:firstRow="0" w:lastRow="0" w:firstColumn="0" w:lastColumn="0" w:oddVBand="0" w:evenVBand="0" w:oddHBand="1" w:evenHBand="0" w:firstRowFirstColumn="0" w:firstRowLastColumn="0" w:lastRowFirstColumn="0" w:lastRowLastColumn="0"/>
          <w:trHeight w:val="263"/>
        </w:trPr>
        <w:tc>
          <w:tcPr>
            <w:tcW w:w="1134" w:type="pct"/>
          </w:tcPr>
          <w:p w:rsidRPr="00062BF9" w:rsidR="00043DC1" w:rsidP="00E214FB" w:rsidRDefault="00043DC1" w14:paraId="7E9B7FFB" w14:textId="77777777">
            <w:pPr>
              <w:pStyle w:val="Body"/>
            </w:pPr>
            <w:r w:rsidRPr="00062BF9">
              <w:t>Dismiss board and appoint administrator</w:t>
            </w:r>
          </w:p>
        </w:tc>
        <w:tc>
          <w:tcPr>
            <w:tcW w:w="2222" w:type="pct"/>
          </w:tcPr>
          <w:p w:rsidRPr="00062BF9" w:rsidR="00043DC1" w:rsidP="00E214FB" w:rsidRDefault="00043DC1" w14:paraId="2E89CBED" w14:textId="77777777">
            <w:pPr>
              <w:pStyle w:val="Body"/>
            </w:pPr>
            <w:r w:rsidRPr="00062BF9">
              <w:t xml:space="preserve">Where there is sustained and significant underperformance; or a catastrophic failure in governance; quality and safety or the performance and the Minister has lost confidence in the Board to execute its functions   </w:t>
            </w:r>
          </w:p>
        </w:tc>
        <w:tc>
          <w:tcPr>
            <w:tcW w:w="1644" w:type="pct"/>
          </w:tcPr>
          <w:p w:rsidRPr="00062BF9" w:rsidR="00043DC1" w:rsidP="00E214FB" w:rsidRDefault="00043DC1" w14:paraId="776113CB" w14:textId="77777777">
            <w:pPr>
              <w:pStyle w:val="Body"/>
            </w:pPr>
            <w:r w:rsidRPr="00062BF9">
              <w:t>MIS (Minister may choose to recommend Governor in Council exercise this option following 6 quarters in MIS without improvement, or sooner in circumstances of catastrophic and systemic performance failure)</w:t>
            </w:r>
          </w:p>
        </w:tc>
      </w:tr>
      <w:tr w:rsidRPr="00062BF9" w:rsidR="00043DC1" w:rsidTr="00062BF9" w14:paraId="4DEDDC59" w14:textId="77777777">
        <w:trPr>
          <w:trHeight w:val="263"/>
        </w:trPr>
        <w:tc>
          <w:tcPr>
            <w:tcW w:w="1134" w:type="pct"/>
          </w:tcPr>
          <w:p w:rsidRPr="00062BF9" w:rsidR="00043DC1" w:rsidP="00E214FB" w:rsidRDefault="00043DC1" w14:paraId="7CF2FEA6" w14:textId="77777777">
            <w:pPr>
              <w:pStyle w:val="Body"/>
            </w:pPr>
            <w:r w:rsidRPr="00062BF9">
              <w:t>Closure</w:t>
            </w:r>
          </w:p>
        </w:tc>
        <w:tc>
          <w:tcPr>
            <w:tcW w:w="2222" w:type="pct"/>
          </w:tcPr>
          <w:p w:rsidRPr="00062BF9" w:rsidR="00043DC1" w:rsidP="00E214FB" w:rsidRDefault="00043DC1" w14:paraId="1120138E" w14:textId="77777777">
            <w:pPr>
              <w:pStyle w:val="Body"/>
            </w:pPr>
            <w:r w:rsidRPr="00062BF9">
              <w:t>Where there is sustained and significant underperformance; or a catastrophic failure in governance; quality and safety or performance and the health service is unlikely to be able to operate sustainably and effectively into the future</w:t>
            </w:r>
          </w:p>
        </w:tc>
        <w:tc>
          <w:tcPr>
            <w:tcW w:w="1644" w:type="pct"/>
          </w:tcPr>
          <w:p w:rsidRPr="00062BF9" w:rsidR="00043DC1" w:rsidP="00E214FB" w:rsidRDefault="00043DC1" w14:paraId="169ADBC5" w14:textId="77777777">
            <w:pPr>
              <w:pStyle w:val="Body"/>
            </w:pPr>
            <w:r w:rsidRPr="00062BF9">
              <w:t>MIS</w:t>
            </w:r>
          </w:p>
        </w:tc>
      </w:tr>
    </w:tbl>
    <w:p w:rsidRPr="00E70B3A" w:rsidR="00043DC1" w:rsidP="00043DC1" w:rsidRDefault="00043DC1" w14:paraId="392B1C9F" w14:textId="280D2A99">
      <w:pPr>
        <w:rPr>
          <w:rFonts w:cs="Arial"/>
          <w:szCs w:val="21"/>
        </w:rPr>
      </w:pPr>
      <w:r w:rsidRPr="00E70B3A">
        <w:rPr>
          <w:rFonts w:cs="Arial"/>
          <w:szCs w:val="21"/>
        </w:rPr>
        <w:t>Note: Escalation options may be use</w:t>
      </w:r>
      <w:r w:rsidR="00AC09B2">
        <w:rPr>
          <w:rFonts w:cs="Arial"/>
          <w:szCs w:val="21"/>
        </w:rPr>
        <w:t>d</w:t>
      </w:r>
      <w:r w:rsidRPr="00E70B3A">
        <w:rPr>
          <w:rFonts w:cs="Arial"/>
          <w:szCs w:val="21"/>
        </w:rPr>
        <w:t xml:space="preserve"> for health services on Standard Oversight if deemed necessary. </w:t>
      </w:r>
    </w:p>
    <w:p w:rsidR="00F35F90" w:rsidP="00F35F90" w:rsidRDefault="00F35F90" w14:paraId="2C8205FB" w14:textId="77777777">
      <w:pPr>
        <w:pStyle w:val="DHHSbody"/>
        <w:rPr>
          <w:rFonts w:cs="Arial"/>
          <w:b/>
          <w:bCs/>
          <w:i/>
          <w:iCs/>
        </w:rPr>
      </w:pPr>
    </w:p>
    <w:p w:rsidR="00CE6730" w:rsidP="00F35F90" w:rsidRDefault="00CE6730" w14:paraId="5568F6F3" w14:textId="77777777">
      <w:pPr>
        <w:pStyle w:val="DHHSbody"/>
        <w:rPr>
          <w:rFonts w:cs="Arial"/>
          <w:b/>
          <w:bCs/>
          <w:i/>
          <w:iCs/>
        </w:rPr>
      </w:pPr>
    </w:p>
    <w:p w:rsidR="00CE6730" w:rsidP="00F35F90" w:rsidRDefault="00CE6730" w14:paraId="74255908" w14:textId="77777777">
      <w:pPr>
        <w:pStyle w:val="DHHSbody"/>
        <w:rPr>
          <w:rFonts w:cs="Arial"/>
          <w:b/>
          <w:bCs/>
          <w:i/>
          <w:iCs/>
        </w:rPr>
      </w:pPr>
    </w:p>
    <w:p w:rsidR="00CE6730" w:rsidP="00F35F90" w:rsidRDefault="00CE6730" w14:paraId="326C7308" w14:textId="77777777">
      <w:pPr>
        <w:pStyle w:val="DHHSbody"/>
        <w:rPr>
          <w:rFonts w:cs="Arial"/>
          <w:b/>
          <w:bCs/>
          <w:i/>
          <w:iCs/>
        </w:rPr>
      </w:pPr>
    </w:p>
    <w:p w:rsidR="00CE6730" w:rsidP="00F35F90" w:rsidRDefault="00CE6730" w14:paraId="776FD6B5" w14:textId="77777777">
      <w:pPr>
        <w:pStyle w:val="DHHSbody"/>
        <w:rPr>
          <w:rFonts w:cs="Arial"/>
          <w:b/>
          <w:bCs/>
          <w:i/>
          <w:iCs/>
        </w:rPr>
      </w:pPr>
    </w:p>
    <w:p w:rsidR="00CE6730" w:rsidP="00F35F90" w:rsidRDefault="00CE6730" w14:paraId="6BFE5646" w14:textId="77777777">
      <w:pPr>
        <w:pStyle w:val="DHHSbody"/>
        <w:rPr>
          <w:rFonts w:cs="Arial"/>
          <w:b/>
          <w:bCs/>
          <w:i/>
          <w:iCs/>
        </w:rPr>
      </w:pPr>
    </w:p>
    <w:p w:rsidR="00CE6730" w:rsidP="00F35F90" w:rsidRDefault="00CE6730" w14:paraId="25E75027" w14:textId="77777777">
      <w:pPr>
        <w:pStyle w:val="DHHSbody"/>
        <w:rPr>
          <w:rFonts w:cs="Arial"/>
          <w:b/>
          <w:bCs/>
          <w:i/>
          <w:iCs/>
        </w:rPr>
      </w:pPr>
    </w:p>
    <w:p w:rsidR="00CE6730" w:rsidP="00F35F90" w:rsidRDefault="00CE6730" w14:paraId="6FCC3A14" w14:textId="77777777">
      <w:pPr>
        <w:pStyle w:val="DHHSbody"/>
        <w:rPr>
          <w:rFonts w:cs="Arial"/>
          <w:b/>
          <w:bCs/>
          <w:i/>
          <w:iCs/>
        </w:rPr>
      </w:pPr>
    </w:p>
    <w:p w:rsidR="00CE6730" w:rsidP="00F35F90" w:rsidRDefault="00CE6730" w14:paraId="206A8301" w14:textId="77777777">
      <w:pPr>
        <w:pStyle w:val="DHHSbody"/>
        <w:rPr>
          <w:rFonts w:cs="Arial"/>
          <w:b/>
          <w:bCs/>
          <w:i/>
          <w:iCs/>
        </w:rPr>
      </w:pPr>
    </w:p>
    <w:p w:rsidRPr="001E4F87" w:rsidR="00DD260D" w:rsidP="006F262F" w:rsidRDefault="00DD260D" w14:paraId="223DFCB6" w14:textId="165EBFB6">
      <w:pPr>
        <w:pStyle w:val="Heading1"/>
      </w:pPr>
      <w:bookmarkStart w:name="_Toc235628565" w:id="55"/>
      <w:r w:rsidRPr="001E4F87">
        <w:t xml:space="preserve">Attachment </w:t>
      </w:r>
      <w:bookmarkStart w:name="_Toc211343305" w:id="56"/>
      <w:r w:rsidRPr="001E4F87">
        <w:t>1: Health service notification</w:t>
      </w:r>
      <w:bookmarkEnd w:id="56"/>
      <w:r w:rsidRPr="001E4F87">
        <w:t xml:space="preserve"> process</w:t>
      </w:r>
      <w:bookmarkEnd w:id="55"/>
    </w:p>
    <w:p w:rsidRPr="001E4F87" w:rsidR="00DD260D" w:rsidP="00977A41" w:rsidRDefault="00DD260D" w14:paraId="3F149780" w14:textId="52721436">
      <w:pPr>
        <w:pStyle w:val="Body"/>
      </w:pPr>
      <w:r w:rsidRPr="001E4F87">
        <w:t>Health services are required to inform</w:t>
      </w:r>
      <w:r w:rsidRPr="001E4F87">
        <w:rPr>
          <w:b/>
        </w:rPr>
        <w:t xml:space="preserve"> </w:t>
      </w:r>
      <w:r w:rsidRPr="001E4F87">
        <w:t xml:space="preserve">the Health </w:t>
      </w:r>
      <w:r w:rsidRPr="001E4F87" w:rsidR="00977A41">
        <w:t>System Reform and Partnership (HSRP</w:t>
      </w:r>
      <w:r w:rsidRPr="001E4F87">
        <w:t xml:space="preserve">) </w:t>
      </w:r>
      <w:r w:rsidRPr="001E4F87" w:rsidR="00C65E11">
        <w:t>d</w:t>
      </w:r>
      <w:r w:rsidRPr="001E4F87">
        <w:t>ivision in the Department of Health (the department) to</w:t>
      </w:r>
      <w:r w:rsidRPr="001E4F87" w:rsidR="00977A41">
        <w:t xml:space="preserve"> </w:t>
      </w:r>
      <w:r w:rsidRPr="001E4F87">
        <w:t>seek support for and provide intelligence to the department in relation to critical emerging or high-risk issues. This includes matters related to safety, reputational, media or operational issues.</w:t>
      </w:r>
    </w:p>
    <w:p w:rsidRPr="001E4F87" w:rsidR="00DD260D" w:rsidP="00977A41" w:rsidRDefault="00DD260D" w14:paraId="1404EAFC" w14:textId="0EE8C9D6">
      <w:pPr>
        <w:pStyle w:val="Body"/>
      </w:pPr>
      <w:r w:rsidRPr="001E4F87">
        <w:t>Early escalation can facilitate rapid response to emerging issues, support timely notification to the Department of Health Secretary and/or Minister for Health, and enable knowledge-sharing and system learning.</w:t>
      </w:r>
    </w:p>
    <w:p w:rsidRPr="001E4F87" w:rsidR="00DD260D" w:rsidRDefault="00DD260D" w14:paraId="1BB78517" w14:textId="77777777">
      <w:pPr>
        <w:pStyle w:val="Body"/>
        <w:numPr>
          <w:ilvl w:val="0"/>
          <w:numId w:val="35"/>
        </w:numPr>
        <w:spacing w:before="240"/>
        <w:rPr>
          <w:b/>
          <w:szCs w:val="21"/>
        </w:rPr>
      </w:pPr>
      <w:r w:rsidRPr="001E4F87">
        <w:rPr>
          <w:b/>
          <w:szCs w:val="21"/>
        </w:rPr>
        <w:t>Health service performance issues</w:t>
      </w:r>
    </w:p>
    <w:p w:rsidRPr="001E4F87" w:rsidR="00DD260D" w:rsidP="00DD260D" w:rsidRDefault="00DD260D" w14:paraId="6A797807" w14:textId="77777777">
      <w:pPr>
        <w:pStyle w:val="DHHSbody"/>
        <w:rPr>
          <w:szCs w:val="21"/>
        </w:rPr>
      </w:pPr>
      <w:r w:rsidRPr="001E4F87">
        <w:rPr>
          <w:szCs w:val="21"/>
        </w:rPr>
        <w:t xml:space="preserve">Should the following events be realised, the events are recorded as a breach and </w:t>
      </w:r>
      <w:r w:rsidRPr="001E4F87">
        <w:rPr>
          <w:b/>
          <w:szCs w:val="21"/>
        </w:rPr>
        <w:t>require escalation</w:t>
      </w:r>
      <w:r w:rsidRPr="001E4F87">
        <w:rPr>
          <w:szCs w:val="21"/>
        </w:rPr>
        <w:t xml:space="preserve"> to the department:</w:t>
      </w:r>
    </w:p>
    <w:p w:rsidRPr="001E4F87" w:rsidR="00DD260D" w:rsidRDefault="00DD260D" w14:paraId="50FE98FB" w14:textId="77777777">
      <w:pPr>
        <w:pStyle w:val="DHHSbullet1"/>
        <w:numPr>
          <w:ilvl w:val="0"/>
          <w:numId w:val="36"/>
        </w:numPr>
        <w:spacing w:after="40"/>
        <w:rPr>
          <w:szCs w:val="21"/>
        </w:rPr>
      </w:pPr>
      <w:r w:rsidRPr="001E4F87">
        <w:rPr>
          <w:szCs w:val="21"/>
        </w:rPr>
        <w:t>Emergency Care Triage Category 1 failure</w:t>
      </w:r>
    </w:p>
    <w:p w:rsidRPr="001E4F87" w:rsidR="00DD260D" w:rsidRDefault="4E3E35B2" w14:paraId="523FB95D" w14:textId="69070DB2">
      <w:pPr>
        <w:pStyle w:val="DHHSbullet1"/>
        <w:numPr>
          <w:ilvl w:val="0"/>
          <w:numId w:val="36"/>
        </w:numPr>
        <w:spacing w:after="40"/>
      </w:pPr>
      <w:r>
        <w:t>Planned</w:t>
      </w:r>
      <w:r w:rsidR="00DD260D">
        <w:t xml:space="preserve"> Surgery Category 1 </w:t>
      </w:r>
      <w:r w:rsidR="093D2544">
        <w:t>not treated within recommended time</w:t>
      </w:r>
    </w:p>
    <w:p w:rsidRPr="001E4F87" w:rsidR="00DD260D" w:rsidRDefault="00DD260D" w14:paraId="71B6F900" w14:textId="77777777">
      <w:pPr>
        <w:pStyle w:val="DHHSbullet1"/>
        <w:numPr>
          <w:ilvl w:val="0"/>
          <w:numId w:val="36"/>
        </w:numPr>
        <w:spacing w:after="40"/>
        <w:rPr>
          <w:szCs w:val="21"/>
        </w:rPr>
      </w:pPr>
      <w:r w:rsidRPr="001E4F87">
        <w:rPr>
          <w:szCs w:val="21"/>
        </w:rPr>
        <w:t>Colonoscopy Category 1 not treated within recommended time</w:t>
      </w:r>
    </w:p>
    <w:p w:rsidRPr="001E4F87" w:rsidR="00DD260D" w:rsidRDefault="00DD260D" w14:paraId="137B7B80" w14:textId="77777777">
      <w:pPr>
        <w:pStyle w:val="DHHSbullet1"/>
        <w:numPr>
          <w:ilvl w:val="0"/>
          <w:numId w:val="36"/>
        </w:numPr>
        <w:spacing w:after="40"/>
        <w:rPr>
          <w:szCs w:val="21"/>
        </w:rPr>
      </w:pPr>
      <w:r w:rsidRPr="001E4F87">
        <w:rPr>
          <w:szCs w:val="21"/>
        </w:rPr>
        <w:t>Non-compliance with the National Safety and Quality Health Service standards</w:t>
      </w:r>
    </w:p>
    <w:p w:rsidRPr="001E4F87" w:rsidR="00DD260D" w:rsidRDefault="00DD260D" w14:paraId="033D92C7" w14:textId="77777777">
      <w:pPr>
        <w:pStyle w:val="DHHSbullet1"/>
        <w:numPr>
          <w:ilvl w:val="0"/>
          <w:numId w:val="36"/>
        </w:numPr>
        <w:spacing w:after="40"/>
        <w:rPr>
          <w:szCs w:val="21"/>
        </w:rPr>
      </w:pPr>
      <w:bookmarkStart w:name="_Hlk10128190" w:id="57"/>
      <w:r w:rsidRPr="001E4F87">
        <w:rPr>
          <w:color w:val="000000"/>
          <w:szCs w:val="21"/>
          <w:lang w:eastAsia="en-AU"/>
        </w:rPr>
        <w:t>Non-compliance with Aged Care Standards</w:t>
      </w:r>
      <w:bookmarkEnd w:id="57"/>
    </w:p>
    <w:p w:rsidRPr="001E4F87" w:rsidR="00DD260D" w:rsidRDefault="00DD260D" w14:paraId="6C349563" w14:textId="77777777">
      <w:pPr>
        <w:pStyle w:val="DHHSbullet1"/>
        <w:numPr>
          <w:ilvl w:val="0"/>
          <w:numId w:val="36"/>
        </w:numPr>
        <w:spacing w:after="40"/>
        <w:rPr>
          <w:szCs w:val="21"/>
        </w:rPr>
      </w:pPr>
      <w:r w:rsidRPr="001E4F87">
        <w:rPr>
          <w:color w:val="000000"/>
          <w:szCs w:val="21"/>
          <w:lang w:eastAsia="en-AU"/>
        </w:rPr>
        <w:t>Significant media issues.</w:t>
      </w:r>
    </w:p>
    <w:p w:rsidRPr="001E4F87" w:rsidR="00DD260D" w:rsidP="00977A41" w:rsidRDefault="00DD260D" w14:paraId="3853E08B" w14:textId="1393D8C2">
      <w:pPr>
        <w:pStyle w:val="Body"/>
      </w:pPr>
      <w:r w:rsidRPr="001E4F87">
        <w:t xml:space="preserve">Health services are </w:t>
      </w:r>
      <w:r w:rsidRPr="001E4F87">
        <w:rPr>
          <w:b/>
        </w:rPr>
        <w:t xml:space="preserve">required to notify the department </w:t>
      </w:r>
      <w:r w:rsidRPr="001E4F87">
        <w:t xml:space="preserve">(via the </w:t>
      </w:r>
      <w:r w:rsidRPr="001E4F87" w:rsidR="00977A41">
        <w:t>Health Service Interface and Collaboration</w:t>
      </w:r>
      <w:r w:rsidRPr="001E4F87">
        <w:t xml:space="preserve"> Director for the relevant </w:t>
      </w:r>
      <w:r w:rsidRPr="001E4F87" w:rsidR="00977A41">
        <w:t>Local Health Service Partnership</w:t>
      </w:r>
      <w:r w:rsidRPr="001E4F87">
        <w:t xml:space="preserve"> catchment) within 24 hours of a breach or becoming aware of a breach. Notification will include the circumstances and response to the breach, including whether patient safety has been compromised.</w:t>
      </w:r>
    </w:p>
    <w:p w:rsidRPr="001E4F87" w:rsidR="00DD260D" w:rsidP="00977A41" w:rsidRDefault="00DD260D" w14:paraId="04D9FC5B" w14:textId="77777777">
      <w:pPr>
        <w:pStyle w:val="Body"/>
      </w:pPr>
      <w:r>
        <w:t xml:space="preserve">In the case of </w:t>
      </w:r>
      <w:r w:rsidRPr="2D3B9D75">
        <w:rPr>
          <w:b/>
          <w:bCs/>
        </w:rPr>
        <w:t>24-hour emergency department breaches</w:t>
      </w:r>
      <w:r>
        <w:t>, health services are required to report the breach via standard VEMD process within 24 hours of a breach or becoming aware of a breach. The department will track these breaches via an Emergency Department dashboard and will seek further detail on operational factors contributing to breaches and steps taken by a health service in response. Further detail will be provided on reporting required.</w:t>
      </w:r>
    </w:p>
    <w:p w:rsidR="2D3B9D75" w:rsidP="2D3B9D75" w:rsidRDefault="00444609" w14:paraId="744BA90A" w14:textId="38C40784">
      <w:pPr>
        <w:pStyle w:val="Body"/>
        <w:rPr>
          <w:rFonts w:eastAsia="Arial" w:cs="Arial"/>
          <w:sz w:val="20"/>
          <w:lang w:val="en-US"/>
        </w:rPr>
      </w:pPr>
      <w:r w:rsidRPr="00444609">
        <w:rPr>
          <w:rFonts w:eastAsia="Arial" w:cs="Arial"/>
          <w:sz w:val="20"/>
          <w:lang w:val="en-US"/>
        </w:rPr>
        <w:t>If a health service experiences high volumes of Planned Surgery and Colonoscopy Category 1 timeliness breaches, the department may implement an alternative interim breach notification process.</w:t>
      </w:r>
    </w:p>
    <w:p w:rsidRPr="001E4F87" w:rsidR="00DD260D" w:rsidRDefault="00DD260D" w14:paraId="39B2E9F4" w14:textId="77777777">
      <w:pPr>
        <w:pStyle w:val="Body"/>
        <w:numPr>
          <w:ilvl w:val="0"/>
          <w:numId w:val="35"/>
        </w:numPr>
        <w:spacing w:before="240"/>
        <w:rPr>
          <w:b/>
          <w:szCs w:val="21"/>
        </w:rPr>
      </w:pPr>
      <w:r w:rsidRPr="001E4F87">
        <w:rPr>
          <w:b/>
          <w:szCs w:val="21"/>
        </w:rPr>
        <w:t>Health system incident management</w:t>
      </w:r>
    </w:p>
    <w:p w:rsidRPr="001E4F87" w:rsidR="00DD260D" w:rsidP="00977A41" w:rsidRDefault="00DD260D" w14:paraId="1FC606A4" w14:textId="77777777">
      <w:pPr>
        <w:pStyle w:val="Body"/>
        <w:rPr>
          <w:szCs w:val="21"/>
        </w:rPr>
      </w:pPr>
      <w:r w:rsidRPr="001E4F87">
        <w:rPr>
          <w:szCs w:val="21"/>
        </w:rPr>
        <w:t xml:space="preserve">These incidents may impact one or multiple health services but have an impact on the wider health system and exceed the threshold for management through a health services’ business continuity plan. If there is a health system incident that has a </w:t>
      </w:r>
      <w:r w:rsidRPr="001E4F87">
        <w:rPr>
          <w:b/>
          <w:szCs w:val="21"/>
        </w:rPr>
        <w:t>significant</w:t>
      </w:r>
      <w:r w:rsidRPr="001E4F87">
        <w:rPr>
          <w:szCs w:val="21"/>
        </w:rPr>
        <w:t xml:space="preserve"> </w:t>
      </w:r>
      <w:r w:rsidRPr="001E4F87">
        <w:rPr>
          <w:b/>
          <w:szCs w:val="21"/>
        </w:rPr>
        <w:t>impact</w:t>
      </w:r>
      <w:r w:rsidRPr="001E4F87">
        <w:rPr>
          <w:szCs w:val="21"/>
        </w:rPr>
        <w:t xml:space="preserve"> on patient treatment and outcomes and the ability of services to provide health care to the community, health services are required to notify the department who will assess the severity and scale and determine an appropriate response to support services.</w:t>
      </w:r>
    </w:p>
    <w:p w:rsidRPr="001E4F87" w:rsidR="00DD260D" w:rsidP="00977A41" w:rsidRDefault="00DD260D" w14:paraId="0AF9829F" w14:textId="77777777">
      <w:pPr>
        <w:pStyle w:val="Body"/>
        <w:rPr>
          <w:szCs w:val="21"/>
        </w:rPr>
      </w:pPr>
      <w:r w:rsidRPr="001E4F87">
        <w:rPr>
          <w:szCs w:val="21"/>
        </w:rPr>
        <w:t>Examples of a health system incidents may include:</w:t>
      </w:r>
    </w:p>
    <w:p w:rsidRPr="001E4F87" w:rsidR="00DD260D" w:rsidRDefault="00DD260D" w14:paraId="2114B45A" w14:textId="77777777">
      <w:pPr>
        <w:pStyle w:val="DHHSbullet1"/>
        <w:numPr>
          <w:ilvl w:val="0"/>
          <w:numId w:val="36"/>
        </w:numPr>
        <w:spacing w:after="40"/>
        <w:rPr>
          <w:szCs w:val="21"/>
        </w:rPr>
      </w:pPr>
      <w:r w:rsidRPr="001E4F87">
        <w:rPr>
          <w:szCs w:val="21"/>
        </w:rPr>
        <w:t xml:space="preserve">Significant infrastructure failure, such as flooding, washer failures where service delivery or patient care is impacted.  </w:t>
      </w:r>
    </w:p>
    <w:p w:rsidRPr="001E4F87" w:rsidR="00DD260D" w:rsidRDefault="00DD260D" w14:paraId="3257A914" w14:textId="77777777">
      <w:pPr>
        <w:pStyle w:val="DHHSbullet1"/>
        <w:numPr>
          <w:ilvl w:val="0"/>
          <w:numId w:val="36"/>
        </w:numPr>
        <w:spacing w:after="40"/>
        <w:rPr>
          <w:szCs w:val="21"/>
        </w:rPr>
      </w:pPr>
      <w:r w:rsidRPr="001E4F87">
        <w:rPr>
          <w:szCs w:val="21"/>
        </w:rPr>
        <w:t>Supply chain issues, such as pharmaceutical or prosthesis availability impacting safe delivery of services to patients.</w:t>
      </w:r>
    </w:p>
    <w:p w:rsidRPr="00C674BA" w:rsidR="00977A41" w:rsidP="00C674BA" w:rsidRDefault="00DD260D" w14:paraId="399B9040" w14:textId="7BE1AB17">
      <w:pPr>
        <w:pStyle w:val="DHHSbullet1"/>
        <w:numPr>
          <w:ilvl w:val="0"/>
          <w:numId w:val="36"/>
        </w:numPr>
        <w:spacing w:after="40"/>
        <w:rPr>
          <w:szCs w:val="21"/>
        </w:rPr>
      </w:pPr>
      <w:r w:rsidRPr="001E4F87">
        <w:rPr>
          <w:szCs w:val="21"/>
        </w:rPr>
        <w:t>Patient flow restrictions impacting access to services and care in ED, particularly those incidents resulting in delays to ambulance patient transfer (in excess of baseline).</w:t>
      </w:r>
    </w:p>
    <w:p w:rsidRPr="001E4F87" w:rsidR="00DD260D" w:rsidRDefault="00DD260D" w14:paraId="1C8DC6EB" w14:textId="77777777">
      <w:pPr>
        <w:pStyle w:val="Body"/>
        <w:numPr>
          <w:ilvl w:val="0"/>
          <w:numId w:val="35"/>
        </w:numPr>
        <w:spacing w:before="240"/>
        <w:rPr>
          <w:b/>
          <w:szCs w:val="21"/>
        </w:rPr>
      </w:pPr>
      <w:r w:rsidRPr="001E4F87">
        <w:rPr>
          <w:b/>
          <w:szCs w:val="21"/>
        </w:rPr>
        <w:t>Health system emergencies</w:t>
      </w:r>
    </w:p>
    <w:p w:rsidRPr="001E4F87" w:rsidR="00DD260D" w:rsidP="00977A41" w:rsidRDefault="00DD260D" w14:paraId="0614E909" w14:textId="77777777">
      <w:pPr>
        <w:pStyle w:val="Body"/>
      </w:pPr>
      <w:r w:rsidRPr="001E4F87">
        <w:t>Health services and the health system may be impacted by health emergencies and natural hazard emergencies (such as heatwaves, fires, floods and storms) that have impacts on human health and the health system.</w:t>
      </w:r>
    </w:p>
    <w:p w:rsidRPr="001E4F87" w:rsidR="00DD260D" w:rsidP="00977A41" w:rsidRDefault="00DD260D" w14:paraId="6B3CB291" w14:textId="77777777">
      <w:pPr>
        <w:pStyle w:val="Body"/>
      </w:pPr>
      <w:r w:rsidRPr="001E4F87">
        <w:t>A health emergency is an emerging, imminent or actual threat or risk to the health and wellbeing of the Victorian community that requires a significant and coordinated effort from the health system and others to ensure the effective response to and relief and recovery from the emergency.</w:t>
      </w:r>
    </w:p>
    <w:p w:rsidRPr="00362161" w:rsidR="00977A41" w:rsidP="00362161" w:rsidRDefault="00977A41" w14:paraId="60C6328A" w14:textId="77777777">
      <w:pPr>
        <w:pStyle w:val="Body"/>
        <w:rPr>
          <w:b/>
          <w:bCs/>
        </w:rPr>
      </w:pPr>
      <w:r w:rsidRPr="00362161">
        <w:rPr>
          <w:b/>
          <w:bCs/>
        </w:rPr>
        <w:t>Notification process</w:t>
      </w:r>
    </w:p>
    <w:p w:rsidRPr="001E4F87" w:rsidR="00977A41" w:rsidP="00977A41" w:rsidRDefault="00977A41" w14:paraId="2E8DD185" w14:textId="77777777">
      <w:pPr>
        <w:pStyle w:val="Body"/>
        <w:rPr>
          <w:b/>
          <w:bCs/>
          <w:sz w:val="22"/>
          <w:szCs w:val="22"/>
        </w:rPr>
      </w:pPr>
      <w:r w:rsidRPr="001E4F87">
        <w:rPr>
          <w:b/>
          <w:bCs/>
          <w:sz w:val="22"/>
          <w:szCs w:val="22"/>
        </w:rPr>
        <w:t>How to contact the department</w:t>
      </w:r>
    </w:p>
    <w:p w:rsidRPr="001E4F87" w:rsidR="00977A41" w:rsidRDefault="00977A41" w14:paraId="11AB98B0" w14:textId="77777777">
      <w:pPr>
        <w:pStyle w:val="Body"/>
        <w:numPr>
          <w:ilvl w:val="0"/>
          <w:numId w:val="37"/>
        </w:numPr>
        <w:spacing w:before="240"/>
        <w:rPr>
          <w:b/>
          <w:bCs/>
          <w:szCs w:val="21"/>
        </w:rPr>
      </w:pPr>
      <w:r w:rsidRPr="001E4F87">
        <w:rPr>
          <w:b/>
          <w:bCs/>
          <w:szCs w:val="21"/>
        </w:rPr>
        <w:t>Health system emergency</w:t>
      </w:r>
    </w:p>
    <w:p w:rsidRPr="001E4F87" w:rsidR="00977A41" w:rsidP="00977A41" w:rsidRDefault="00977A41" w14:paraId="7F0D4258" w14:textId="77777777">
      <w:pPr>
        <w:pStyle w:val="Body"/>
      </w:pPr>
      <w:r w:rsidRPr="001E4F87">
        <w:t>During an emergency or if you need to call a Code Brown, please immediately notify the department’s State Coordination Centre on 1300 790 733 (24 hrs, seven days a week).</w:t>
      </w:r>
    </w:p>
    <w:p w:rsidRPr="001E4F87" w:rsidR="00DD260D" w:rsidP="00977A41" w:rsidRDefault="00DD260D" w14:paraId="4EF4EF95" w14:textId="29EF3EEE">
      <w:pPr>
        <w:pStyle w:val="Body"/>
      </w:pPr>
      <w:r w:rsidRPr="001E4F87">
        <w:t>Please ask the call operator to speak to the</w:t>
      </w:r>
      <w:r w:rsidRPr="001E4F87" w:rsidR="00977A41">
        <w:t xml:space="preserve"> </w:t>
      </w:r>
      <w:r w:rsidRPr="001E4F87" w:rsidR="00977A41">
        <w:rPr>
          <w:b/>
          <w:bCs/>
        </w:rPr>
        <w:t>Health</w:t>
      </w:r>
      <w:r w:rsidRPr="001E4F87">
        <w:rPr>
          <w:b/>
        </w:rPr>
        <w:t xml:space="preserve"> - State Duty Officer</w:t>
      </w:r>
      <w:r w:rsidRPr="001E4F87">
        <w:t>; and leave your name and phone number. The State Duty Officer will immediately return your call.</w:t>
      </w:r>
    </w:p>
    <w:p w:rsidRPr="001E4F87" w:rsidR="00DD260D" w:rsidRDefault="00DD260D" w14:paraId="2597F714" w14:textId="77777777">
      <w:pPr>
        <w:pStyle w:val="Body"/>
        <w:numPr>
          <w:ilvl w:val="0"/>
          <w:numId w:val="37"/>
        </w:numPr>
        <w:spacing w:before="240"/>
        <w:rPr>
          <w:b/>
          <w:szCs w:val="21"/>
        </w:rPr>
      </w:pPr>
      <w:r w:rsidRPr="001E4F87">
        <w:rPr>
          <w:b/>
          <w:szCs w:val="21"/>
        </w:rPr>
        <w:t xml:space="preserve">Health system incident and/or health service performance issue </w:t>
      </w:r>
    </w:p>
    <w:p w:rsidRPr="001E4F87" w:rsidR="00977A41" w:rsidP="00977A41" w:rsidRDefault="00977A41" w14:paraId="45A97C02" w14:textId="77777777">
      <w:pPr>
        <w:pStyle w:val="Body"/>
      </w:pPr>
      <w:r w:rsidRPr="001E4F87">
        <w:t>Monday to Friday 8am to 5pm please contact your usual HSIC lead manager or executive directly by phone or email</w:t>
      </w:r>
      <w:r w:rsidRPr="001E4F87">
        <w:rPr>
          <w:rFonts w:cs="Arial"/>
        </w:rPr>
        <w:t xml:space="preserve"> to notify of any critical emerging or high-risk issues and/or health system incidents.</w:t>
      </w:r>
      <w:r w:rsidRPr="001E4F87">
        <w:t xml:space="preserve"> </w:t>
      </w:r>
    </w:p>
    <w:p w:rsidRPr="001E4F87" w:rsidR="00977A41" w:rsidP="00977A41" w:rsidRDefault="00977A41" w14:paraId="1207247B" w14:textId="5E5D7845">
      <w:pPr>
        <w:pStyle w:val="Body"/>
      </w:pPr>
      <w:r w:rsidRPr="001E4F87">
        <w:t xml:space="preserve">After hours Monday to Friday from 5pm to 12am please contact your HSIC Executive Director directly by phone if the issue is a significant health system incident. </w:t>
      </w:r>
    </w:p>
    <w:p w:rsidRPr="001E4F87" w:rsidR="00DD260D" w:rsidP="00977A41" w:rsidRDefault="00DD260D" w14:paraId="479DCE06" w14:textId="77777777">
      <w:pPr>
        <w:pStyle w:val="Body"/>
        <w:rPr>
          <w:szCs w:val="21"/>
        </w:rPr>
      </w:pPr>
      <w:r w:rsidRPr="001E4F87">
        <w:rPr>
          <w:szCs w:val="21"/>
        </w:rPr>
        <w:t xml:space="preserve">For all other times (i.e. from 12am until 8am) including weekends and public holidays please call </w:t>
      </w:r>
      <w:r w:rsidRPr="001E4F87">
        <w:rPr>
          <w:b/>
          <w:szCs w:val="21"/>
        </w:rPr>
        <w:t>1300 528 552</w:t>
      </w:r>
      <w:r w:rsidRPr="001E4F87">
        <w:rPr>
          <w:szCs w:val="21"/>
        </w:rPr>
        <w:t xml:space="preserve"> or email </w:t>
      </w:r>
      <w:hyperlink w:history="1" r:id="rId54">
        <w:r w:rsidRPr="001E4F87">
          <w:rPr>
            <w:rStyle w:val="Hyperlink"/>
            <w:szCs w:val="21"/>
          </w:rPr>
          <w:t>hsim@health.vic.gov.au</w:t>
        </w:r>
      </w:hyperlink>
      <w:r w:rsidRPr="001E4F87">
        <w:rPr>
          <w:szCs w:val="21"/>
        </w:rPr>
        <w:t xml:space="preserve">  </w:t>
      </w:r>
    </w:p>
    <w:p w:rsidRPr="001E4F87" w:rsidR="00DD260D" w:rsidP="00DD260D" w:rsidRDefault="00DD260D" w14:paraId="0BF5A5AF" w14:textId="77777777">
      <w:pPr>
        <w:rPr>
          <w:rFonts w:cs="Arial"/>
        </w:rPr>
      </w:pPr>
    </w:p>
    <w:p w:rsidRPr="001E4F87" w:rsidR="00DD260D" w:rsidP="00DD260D" w:rsidRDefault="00DD260D" w14:paraId="35BC9583" w14:textId="370C0F58">
      <w:pPr>
        <w:pStyle w:val="Body"/>
        <w:rPr>
          <w:rFonts w:cs="Arial"/>
        </w:rPr>
      </w:pPr>
    </w:p>
    <w:p w:rsidRPr="001E4F87" w:rsidR="004E7530" w:rsidP="00DD260D" w:rsidRDefault="004E7530" w14:paraId="5A4A2727" w14:textId="77777777">
      <w:pPr>
        <w:pStyle w:val="Body"/>
        <w:rPr>
          <w:rFonts w:cs="Arial"/>
        </w:rPr>
      </w:pPr>
    </w:p>
    <w:p w:rsidRPr="001E4F87" w:rsidR="004E7530" w:rsidP="00DD260D" w:rsidRDefault="004E7530" w14:paraId="77E1F25F" w14:textId="77777777">
      <w:pPr>
        <w:pStyle w:val="Body"/>
        <w:rPr>
          <w:rFonts w:cs="Arial"/>
        </w:rPr>
      </w:pPr>
    </w:p>
    <w:p w:rsidRPr="001E4F87" w:rsidR="004E7530" w:rsidP="00DD260D" w:rsidRDefault="004E7530" w14:paraId="7CB58FD8" w14:textId="77777777">
      <w:pPr>
        <w:pStyle w:val="Body"/>
        <w:rPr>
          <w:rFonts w:cs="Arial"/>
        </w:rPr>
      </w:pPr>
    </w:p>
    <w:p w:rsidRPr="001E4F87" w:rsidR="00062BF9" w:rsidP="00DD260D" w:rsidRDefault="00062BF9" w14:paraId="4B815B4B" w14:textId="3A8C03B9">
      <w:pPr>
        <w:pStyle w:val="Body"/>
        <w:rPr>
          <w:rFonts w:cs="Arial"/>
        </w:rPr>
        <w:sectPr w:rsidRPr="001E4F87" w:rsidR="00062BF9" w:rsidSect="00925DEE">
          <w:pgSz w:w="11906" w:h="16838" w:orient="portrait" w:code="9"/>
          <w:pgMar w:top="1418" w:right="1418" w:bottom="1418" w:left="1418" w:header="680" w:footer="851" w:gutter="0"/>
          <w:cols w:space="340"/>
          <w:titlePg/>
          <w:docGrid w:linePitch="360"/>
        </w:sectPr>
      </w:pPr>
    </w:p>
    <w:tbl>
      <w:tblPr>
        <w:tblW w:w="14581" w:type="dxa"/>
        <w:tblLook w:val="04A0" w:firstRow="1" w:lastRow="0" w:firstColumn="1" w:lastColumn="0" w:noHBand="0" w:noVBand="1"/>
      </w:tblPr>
      <w:tblGrid>
        <w:gridCol w:w="5126"/>
        <w:gridCol w:w="9455"/>
      </w:tblGrid>
      <w:tr w:rsidRPr="001E4F87" w:rsidR="00A84072" w14:paraId="378AB146" w14:textId="77777777">
        <w:trPr>
          <w:trHeight w:val="564"/>
        </w:trPr>
        <w:tc>
          <w:tcPr>
            <w:tcW w:w="14581" w:type="dxa"/>
            <w:gridSpan w:val="2"/>
            <w:tcBorders>
              <w:top w:val="nil"/>
              <w:left w:val="nil"/>
              <w:bottom w:val="nil"/>
              <w:right w:val="nil"/>
            </w:tcBorders>
            <w:noWrap/>
            <w:vAlign w:val="bottom"/>
            <w:hideMark/>
          </w:tcPr>
          <w:p w:rsidRPr="001E4F87" w:rsidR="00A84072" w:rsidRDefault="00A84072" w14:paraId="19CF0F4D" w14:textId="77777777">
            <w:pPr>
              <w:pStyle w:val="Heading1"/>
              <w:rPr>
                <w:lang w:eastAsia="en-AU"/>
              </w:rPr>
            </w:pPr>
            <w:bookmarkStart w:name="_Toc235628566" w:id="58"/>
            <w:r w:rsidRPr="001E4F87">
              <w:rPr>
                <w:lang w:eastAsia="en-AU"/>
              </w:rPr>
              <w:t>Attachment 2: Health Service Name Performance Improvement Plan</w:t>
            </w:r>
            <w:bookmarkEnd w:id="58"/>
            <w:r w:rsidRPr="001E4F87">
              <w:rPr>
                <w:lang w:eastAsia="en-AU"/>
              </w:rPr>
              <w:t xml:space="preserve"> </w:t>
            </w:r>
          </w:p>
        </w:tc>
      </w:tr>
      <w:tr w:rsidRPr="00E70B3A" w:rsidR="00A84072" w14:paraId="77D18AF6" w14:textId="77777777">
        <w:trPr>
          <w:gridAfter w:val="1"/>
          <w:wAfter w:w="9455" w:type="dxa"/>
          <w:trHeight w:val="535"/>
        </w:trPr>
        <w:tc>
          <w:tcPr>
            <w:tcW w:w="5126" w:type="dxa"/>
            <w:tcBorders>
              <w:top w:val="nil"/>
              <w:left w:val="nil"/>
              <w:bottom w:val="nil"/>
              <w:right w:val="nil"/>
            </w:tcBorders>
            <w:noWrap/>
            <w:vAlign w:val="bottom"/>
            <w:hideMark/>
          </w:tcPr>
          <w:p w:rsidR="00A84072" w:rsidRDefault="00A84072" w14:paraId="59CC711F" w14:textId="77777777">
            <w:pPr>
              <w:spacing w:after="0" w:line="240" w:lineRule="auto"/>
              <w:rPr>
                <w:rFonts w:cs="Arial"/>
                <w:b/>
                <w:bCs/>
                <w:color w:val="000000"/>
                <w:sz w:val="24"/>
                <w:szCs w:val="24"/>
                <w:lang w:eastAsia="en-AU"/>
              </w:rPr>
            </w:pPr>
            <w:r w:rsidRPr="001E4F87">
              <w:rPr>
                <w:rFonts w:cs="Arial"/>
                <w:b/>
                <w:bCs/>
                <w:color w:val="000000"/>
                <w:sz w:val="24"/>
                <w:szCs w:val="24"/>
                <w:lang w:eastAsia="en-AU"/>
              </w:rPr>
              <w:t>This update: dd/mm/yyyy</w:t>
            </w:r>
          </w:p>
          <w:p w:rsidR="00A84072" w:rsidRDefault="00A84072" w14:paraId="14BFB50E" w14:textId="77777777">
            <w:pPr>
              <w:spacing w:after="0" w:line="240" w:lineRule="auto"/>
              <w:rPr>
                <w:rFonts w:cs="Arial"/>
                <w:b/>
                <w:bCs/>
                <w:color w:val="000000"/>
                <w:sz w:val="24"/>
                <w:szCs w:val="24"/>
                <w:lang w:eastAsia="en-AU"/>
              </w:rPr>
            </w:pPr>
          </w:p>
          <w:p w:rsidRPr="00E70B3A" w:rsidR="00A84072" w:rsidRDefault="00A84072" w14:paraId="5EBF9C06" w14:textId="77777777">
            <w:pPr>
              <w:spacing w:after="0" w:line="240" w:lineRule="auto"/>
              <w:rPr>
                <w:rFonts w:cs="Arial"/>
                <w:b/>
                <w:bCs/>
                <w:color w:val="000000"/>
                <w:sz w:val="24"/>
                <w:szCs w:val="24"/>
                <w:lang w:eastAsia="en-AU"/>
              </w:rPr>
            </w:pPr>
          </w:p>
        </w:tc>
      </w:tr>
    </w:tbl>
    <w:p w:rsidR="00A84072" w:rsidP="00E261B3" w:rsidRDefault="006C218F" w14:paraId="6C0030C5" w14:textId="77777777">
      <w:pPr>
        <w:pStyle w:val="Quotetext"/>
        <w:rPr>
          <w:rFonts w:cs="Arial"/>
        </w:rPr>
      </w:pPr>
      <w:r w:rsidRPr="006C218F">
        <w:rPr>
          <w:noProof/>
        </w:rPr>
        <w:drawing>
          <wp:inline distT="0" distB="0" distL="0" distR="0" wp14:anchorId="310F70B6" wp14:editId="72C3F236">
            <wp:extent cx="9134475" cy="3472145"/>
            <wp:effectExtent l="0" t="0" r="0" b="0"/>
            <wp:docPr id="28574317" name="Picture 9" descr="Performance Improvement Plan templ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4317" name="Picture 9" descr="Performance Improvement Plan template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139811" cy="3474173"/>
                    </a:xfrm>
                    <a:prstGeom prst="rect">
                      <a:avLst/>
                    </a:prstGeom>
                    <a:noFill/>
                    <a:ln>
                      <a:noFill/>
                    </a:ln>
                  </pic:spPr>
                </pic:pic>
              </a:graphicData>
            </a:graphic>
          </wp:inline>
        </w:drawing>
      </w:r>
    </w:p>
    <w:p w:rsidR="009B06D2" w:rsidP="00E261B3" w:rsidRDefault="009B06D2" w14:paraId="693EAED2" w14:textId="77777777">
      <w:pPr>
        <w:pStyle w:val="Quotetext"/>
        <w:rPr>
          <w:rFonts w:cs="Arial"/>
        </w:rPr>
      </w:pPr>
    </w:p>
    <w:p w:rsidR="009B06D2" w:rsidP="00E261B3" w:rsidRDefault="009B06D2" w14:paraId="2D017550" w14:textId="77777777">
      <w:pPr>
        <w:pStyle w:val="Quotetext"/>
        <w:rPr>
          <w:rFonts w:cs="Arial"/>
        </w:rPr>
      </w:pPr>
    </w:p>
    <w:p w:rsidR="00032D71" w:rsidP="00E261B3" w:rsidRDefault="00032D71" w14:paraId="534BFAF5" w14:textId="77777777">
      <w:pPr>
        <w:pStyle w:val="Quotetext"/>
        <w:rPr>
          <w:rFonts w:cs="Arial"/>
        </w:rPr>
      </w:pPr>
    </w:p>
    <w:p w:rsidR="00032D71" w:rsidP="00E261B3" w:rsidRDefault="00032D71" w14:paraId="5CB93F47" w14:textId="77777777">
      <w:pPr>
        <w:pStyle w:val="Quotetext"/>
        <w:rPr>
          <w:rFonts w:cs="Arial"/>
        </w:rPr>
      </w:pPr>
    </w:p>
    <w:p w:rsidR="00032D71" w:rsidP="00E261B3" w:rsidRDefault="00032D71" w14:paraId="00FD3ADB" w14:textId="77777777">
      <w:pPr>
        <w:pStyle w:val="Quotetext"/>
        <w:rPr>
          <w:rFonts w:cs="Arial"/>
        </w:rPr>
      </w:pPr>
    </w:p>
    <w:p w:rsidRPr="00047D81" w:rsidR="00032D71" w:rsidP="00032D71" w:rsidRDefault="00032D71" w14:paraId="75E2F803" w14:textId="77777777">
      <w:pPr>
        <w:pStyle w:val="Heading1"/>
        <w:rPr>
          <w:color w:val="000000" w:themeColor="text1"/>
        </w:rPr>
      </w:pPr>
      <w:bookmarkStart w:name="_Toc235628567" w:id="59"/>
      <w:r w:rsidRPr="00047D81">
        <w:rPr>
          <w:color w:val="000000" w:themeColor="text1"/>
        </w:rPr>
        <w:t>Attachment 3: Temporary Capability Change Notification Template</w:t>
      </w:r>
      <w:bookmarkEnd w:id="59"/>
      <w:r w:rsidRPr="00047D81">
        <w:rPr>
          <w:color w:val="000000" w:themeColor="text1"/>
        </w:rPr>
        <w:t xml:space="preserve"> </w:t>
      </w:r>
    </w:p>
    <w:p w:rsidR="007767F2" w:rsidP="007767F2" w:rsidRDefault="007767F2" w14:paraId="189724B1" w14:textId="77777777">
      <w:pPr>
        <w:pStyle w:val="Body"/>
      </w:pPr>
    </w:p>
    <w:p w:rsidR="00FD6A23" w:rsidP="007767F2" w:rsidRDefault="00FD6A23" w14:paraId="0C977E8D" w14:textId="77777777">
      <w:pPr>
        <w:pStyle w:val="Body"/>
      </w:pPr>
      <w:r w:rsidRPr="00FD6A23">
        <w:rPr>
          <w:noProof/>
        </w:rPr>
        <w:drawing>
          <wp:inline distT="0" distB="0" distL="0" distR="0" wp14:anchorId="5F5AE560" wp14:editId="3D1E7B6D">
            <wp:extent cx="8522138" cy="4267419"/>
            <wp:effectExtent l="0" t="0" r="0" b="0"/>
            <wp:docPr id="1029728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728625" name=""/>
                    <pic:cNvPicPr/>
                  </pic:nvPicPr>
                  <pic:blipFill>
                    <a:blip r:embed="rId56"/>
                    <a:stretch>
                      <a:fillRect/>
                    </a:stretch>
                  </pic:blipFill>
                  <pic:spPr>
                    <a:xfrm>
                      <a:off x="0" y="0"/>
                      <a:ext cx="8522138" cy="4267419"/>
                    </a:xfrm>
                    <a:prstGeom prst="rect">
                      <a:avLst/>
                    </a:prstGeom>
                  </pic:spPr>
                </pic:pic>
              </a:graphicData>
            </a:graphic>
          </wp:inline>
        </w:drawing>
      </w:r>
    </w:p>
    <w:p w:rsidR="00FD6A23" w:rsidP="007767F2" w:rsidRDefault="00FD6A23" w14:paraId="3BAA76A1" w14:textId="77777777">
      <w:pPr>
        <w:pStyle w:val="Body"/>
      </w:pPr>
    </w:p>
    <w:p w:rsidRPr="007767F2" w:rsidR="00FD6A23" w:rsidP="007767F2" w:rsidRDefault="00FD6A23" w14:paraId="28C25353" w14:textId="68E61FB2">
      <w:pPr>
        <w:pStyle w:val="Body"/>
        <w:sectPr w:rsidRPr="007767F2" w:rsidR="00FD6A23" w:rsidSect="00062BF9">
          <w:pgSz w:w="16838" w:h="11906" w:orient="landscape" w:code="9"/>
          <w:pgMar w:top="720" w:right="720" w:bottom="720" w:left="720" w:header="680" w:footer="851" w:gutter="0"/>
          <w:cols w:space="340"/>
          <w:titlePg/>
          <w:docGrid w:linePitch="360"/>
        </w:sectPr>
      </w:pPr>
    </w:p>
    <w:p w:rsidRPr="00E70B3A" w:rsidR="00EB4BC7" w:rsidP="00E261B3" w:rsidRDefault="00D70851" w14:paraId="4AD6001C" w14:textId="3E69D277">
      <w:pPr>
        <w:pStyle w:val="Quotetext"/>
        <w:rPr>
          <w:rFonts w:cs="Arial"/>
        </w:rPr>
      </w:pPr>
      <w:r w:rsidRPr="00E70B3A">
        <w:rPr>
          <w:rFonts w:cs="Arial"/>
          <w:noProof/>
        </w:rPr>
        <w:drawing>
          <wp:anchor distT="0" distB="0" distL="114300" distR="114300" simplePos="0" relativeHeight="251658241" behindDoc="1" locked="0" layoutInCell="1" allowOverlap="1" wp14:anchorId="7CBBFD30" wp14:editId="3FC834CC">
            <wp:simplePos x="0" y="0"/>
            <wp:positionH relativeFrom="column">
              <wp:posOffset>-862330</wp:posOffset>
            </wp:positionH>
            <wp:positionV relativeFrom="paragraph">
              <wp:posOffset>-862330</wp:posOffset>
            </wp:positionV>
            <wp:extent cx="10572750" cy="10202545"/>
            <wp:effectExtent l="0" t="0" r="0" b="0"/>
            <wp:wrapNone/>
            <wp:docPr id="781357759" name="Picture 3" descr="A black and white design with people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57759" name="Picture 3" descr="A black and white design with people in the center&#10;&#10;Description automatically generated"/>
                    <pic:cNvPicPr/>
                  </pic:nvPicPr>
                  <pic:blipFill>
                    <a:blip r:embed="rId57"/>
                    <a:stretch>
                      <a:fillRect/>
                    </a:stretch>
                  </pic:blipFill>
                  <pic:spPr>
                    <a:xfrm>
                      <a:off x="0" y="0"/>
                      <a:ext cx="10572750" cy="10202545"/>
                    </a:xfrm>
                    <a:prstGeom prst="rect">
                      <a:avLst/>
                    </a:prstGeom>
                  </pic:spPr>
                </pic:pic>
              </a:graphicData>
            </a:graphic>
            <wp14:sizeRelH relativeFrom="page">
              <wp14:pctWidth>0</wp14:pctWidth>
            </wp14:sizeRelH>
            <wp14:sizeRelV relativeFrom="page">
              <wp14:pctHeight>0</wp14:pctHeight>
            </wp14:sizeRelV>
          </wp:anchor>
        </w:drawing>
      </w:r>
    </w:p>
    <w:sectPr w:rsidRPr="00E70B3A" w:rsidR="00EB4BC7" w:rsidSect="00062BF9">
      <w:pgSz w:w="11906" w:h="16838" w:orient="portrait" w:code="9"/>
      <w:pgMar w:top="1418" w:right="1418" w:bottom="1418" w:left="1418" w:header="680"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6B60" w:rsidRDefault="00096B60" w14:paraId="2F4F2CC4" w14:textId="77777777">
      <w:r>
        <w:separator/>
      </w:r>
    </w:p>
    <w:p w:rsidR="00096B60" w:rsidRDefault="00096B60" w14:paraId="0B7520BD" w14:textId="77777777"/>
  </w:endnote>
  <w:endnote w:type="continuationSeparator" w:id="0">
    <w:p w:rsidR="00096B60" w:rsidRDefault="00096B60" w14:paraId="6AAF3923" w14:textId="77777777">
      <w:r>
        <w:continuationSeparator/>
      </w:r>
    </w:p>
    <w:p w:rsidR="00096B60" w:rsidRDefault="00096B60" w14:paraId="5F2FF5D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EB4BC7" w:rsidRDefault="00EB4BC7" w14:paraId="4BB5C054" w14:textId="77777777">
    <w:pPr>
      <w:pStyle w:val="Footer"/>
    </w:pPr>
    <w:r>
      <w:rPr>
        <w:noProof/>
      </w:rPr>
      <mc:AlternateContent>
        <mc:Choice Requires="wps">
          <w:drawing>
            <wp:anchor distT="0" distB="0" distL="114300" distR="114300" simplePos="0" relativeHeight="251658243" behindDoc="0" locked="0" layoutInCell="0" allowOverlap="1" wp14:anchorId="54C5FD7D" wp14:editId="7B78B318">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EB4BC7" w:rsidR="00EB4BC7" w:rsidP="00EB4BC7" w:rsidRDefault="00EB4BC7" w14:paraId="718BF3F5" w14:textId="7777777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w:pict w14:anchorId="70A5C3E1">
            <v:shapetype id="_x0000_t202" coordsize="21600,21600" o:spt="202" path="m,l,21600r21600,l21600,xe" w14:anchorId="54C5FD7D">
              <v:stroke joinstyle="miter"/>
              <v:path gradientshapeok="t" o:connecttype="rect"/>
            </v:shapetype>
            <v:shape id="MSIPCM9dd54572b391b968e538fedc" style="position:absolute;left:0;text-align:left;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OddAndEven&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v:textbox inset=",0,,0">
                <w:txbxContent>
                  <w:p w:rsidRPr="00EB4BC7" w:rsidR="00EB4BC7" w:rsidP="00EB4BC7" w:rsidRDefault="00EB4BC7" w14:paraId="08CE8BEA" w14:textId="7777777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431A70" w:rsidRDefault="00EB4BC7" w14:paraId="1B96D748" w14:textId="77777777">
    <w:pPr>
      <w:pStyle w:val="Footer"/>
    </w:pPr>
    <w:r>
      <w:rPr>
        <w:noProof/>
        <w:lang w:eastAsia="en-AU"/>
      </w:rPr>
      <mc:AlternateContent>
        <mc:Choice Requires="wps">
          <w:drawing>
            <wp:anchor distT="0" distB="0" distL="114300" distR="114300" simplePos="0" relativeHeight="251658241" behindDoc="0" locked="0" layoutInCell="0" allowOverlap="1" wp14:anchorId="25CFF911" wp14:editId="37F93B4F">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EB4BC7" w:rsidR="00EB4BC7" w:rsidP="002C5B7C" w:rsidRDefault="00EB4BC7" w14:paraId="20C5A051" w14:textId="7777777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w:pict w14:anchorId="765C6CCB">
            <v:shapetype id="_x0000_t202" coordsize="21600,21600" o:spt="202" path="m,l,21600r21600,l21600,xe" w14:anchorId="25CFF911">
              <v:stroke joinstyle="miter"/>
              <v:path gradientshapeok="t" o:connecttype="rect"/>
            </v:shapetype>
            <v:shape id="MSIPCM36724fdbb2a52fcfc05f86a5" style="position:absolute;left:0;text-align:left;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v:textbox inset=",0,,0">
                <w:txbxContent>
                  <w:p w:rsidRPr="00EB4BC7" w:rsidR="00EB4BC7" w:rsidP="002C5B7C" w:rsidRDefault="00EB4BC7" w14:paraId="75F360E3" w14:textId="7777777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EB4BC7" w:rsidRDefault="00EB4BC7" w14:paraId="6316DA77" w14:textId="77777777">
    <w:pPr>
      <w:pStyle w:val="Footer"/>
    </w:pPr>
    <w:r>
      <w:rPr>
        <w:noProof/>
      </w:rPr>
      <mc:AlternateContent>
        <mc:Choice Requires="wps">
          <w:drawing>
            <wp:anchor distT="0" distB="0" distL="114300" distR="114300" simplePos="0" relativeHeight="251658242" behindDoc="0" locked="0" layoutInCell="0" allowOverlap="1" wp14:anchorId="39F4A51E" wp14:editId="1BDCAA29">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EB4BC7" w:rsidR="00EB4BC7" w:rsidP="00EB4BC7" w:rsidRDefault="00EB4BC7" w14:paraId="28548A49" w14:textId="7777777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w:pict w14:anchorId="16AA80E3">
            <v:shapetype id="_x0000_t202" coordsize="21600,21600" o:spt="202" path="m,l,21600r21600,l21600,xe" w14:anchorId="39F4A51E">
              <v:stroke joinstyle="miter"/>
              <v:path gradientshapeok="t" o:connecttype="rect"/>
            </v:shapetype>
            <v:shape id="MSIPCMf6504bf684e4519137a7274a" style="position:absolute;left:0;text-align:left;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v:textbox inset=",0,,0">
                <w:txbxContent>
                  <w:p w:rsidRPr="00EB4BC7" w:rsidR="00EB4BC7" w:rsidP="00EB4BC7" w:rsidRDefault="00EB4BC7" w14:paraId="09E77742" w14:textId="7777777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D63636" w:rsidRDefault="002C5B7C" w14:paraId="03800A8E" w14:textId="77777777">
    <w:pPr>
      <w:pStyle w:val="Footer"/>
    </w:pPr>
    <w:r>
      <w:rPr>
        <w:noProof/>
        <w:lang w:eastAsia="en-AU"/>
      </w:rPr>
      <mc:AlternateContent>
        <mc:Choice Requires="wps">
          <w:drawing>
            <wp:anchor distT="0" distB="0" distL="114300" distR="114300" simplePos="0" relativeHeight="251658244" behindDoc="0" locked="0" layoutInCell="0" allowOverlap="1" wp14:anchorId="3E1C0172" wp14:editId="7C5D938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2C5B7C" w:rsidR="002C5B7C" w:rsidP="002C5B7C" w:rsidRDefault="002C5B7C" w14:paraId="030C0D79" w14:textId="77777777">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w:pict w14:anchorId="462B9E9A">
            <v:shapetype id="_x0000_t202" coordsize="21600,21600" o:spt="202" path="m,l,21600r21600,l21600,xe" w14:anchorId="3E1C0172">
              <v:stroke joinstyle="miter"/>
              <v:path gradientshapeok="t" o:connecttype="rect"/>
            </v:shapetype>
            <v:shape id="MSIPCMd3f54469bd0204c6fb2f3fa8" style="position:absolute;left:0;text-align:left;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OddAndEven&quot;,&quot;Section&quot;:3,&quot;Top&quot;:0.0,&quot;Left&quot;:0.0}" o:spid="_x0000_s1029"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v:textbox inset=",0,,0">
                <w:txbxContent>
                  <w:p w:rsidRPr="002C5B7C" w:rsidR="002C5B7C" w:rsidP="002C5B7C" w:rsidRDefault="002C5B7C" w14:paraId="17D1F485" w14:textId="77777777">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8440920"/>
      <w:docPartObj>
        <w:docPartGallery w:val="Page Numbers (Bottom of Page)"/>
        <w:docPartUnique/>
      </w:docPartObj>
    </w:sdtPr>
    <w:sdtEndPr>
      <w:rPr>
        <w:noProof/>
      </w:rPr>
    </w:sdtEndPr>
    <w:sdtContent>
      <w:p w:rsidR="00C215FD" w:rsidRDefault="00C215FD" w14:paraId="0CB21C54" w14:textId="552C0537">
        <w:pPr>
          <w:pStyle w:val="Footer"/>
        </w:pPr>
        <w:r>
          <w:fldChar w:fldCharType="begin"/>
        </w:r>
        <w:r>
          <w:instrText xml:space="preserve"> PAGE   \* MERGEFORMAT </w:instrText>
        </w:r>
        <w:r>
          <w:fldChar w:fldCharType="separate"/>
        </w:r>
        <w:r>
          <w:rPr>
            <w:noProof/>
          </w:rPr>
          <w:t>2</w:t>
        </w:r>
        <w:r>
          <w:rPr>
            <w:noProof/>
          </w:rPr>
          <w:fldChar w:fldCharType="end"/>
        </w:r>
      </w:p>
    </w:sdtContent>
  </w:sdt>
  <w:p w:rsidR="00431A70" w:rsidP="005A1E84" w:rsidRDefault="00431A70" w14:paraId="407BEA80" w14:textId="7DE9C83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6B60" w:rsidP="00207717" w:rsidRDefault="00096B60" w14:paraId="1151484C" w14:textId="77777777">
      <w:pPr>
        <w:spacing w:before="120"/>
      </w:pPr>
      <w:r>
        <w:separator/>
      </w:r>
    </w:p>
  </w:footnote>
  <w:footnote w:type="continuationSeparator" w:id="0">
    <w:p w:rsidR="00096B60" w:rsidRDefault="00096B60" w14:paraId="5C479D3A" w14:textId="77777777">
      <w:r>
        <w:continuationSeparator/>
      </w:r>
    </w:p>
    <w:p w:rsidR="00096B60" w:rsidRDefault="00096B60" w14:paraId="4267A930" w14:textId="77777777"/>
  </w:footnote>
  <w:footnote w:id="1">
    <w:p w:rsidRPr="00BC450D" w:rsidR="00276275" w:rsidP="00276275" w:rsidRDefault="00276275" w14:paraId="47BCB6FB" w14:textId="77777777">
      <w:pPr>
        <w:pStyle w:val="FootnoteText"/>
        <w:spacing w:after="120"/>
        <w:rPr>
          <w:szCs w:val="18"/>
        </w:rPr>
      </w:pPr>
      <w:r w:rsidRPr="00BC450D">
        <w:rPr>
          <w:rStyle w:val="FootnoteReference"/>
          <w:szCs w:val="18"/>
        </w:rPr>
        <w:footnoteRef/>
      </w:r>
      <w:r w:rsidRPr="00BC450D">
        <w:rPr>
          <w:szCs w:val="18"/>
        </w:rPr>
        <w:t xml:space="preserve"> The </w:t>
      </w:r>
      <w:r w:rsidRPr="00BC450D">
        <w:rPr>
          <w:i/>
          <w:iCs/>
          <w:szCs w:val="18"/>
        </w:rPr>
        <w:t xml:space="preserve">Mental Health and Wellbeing Act 2022 </w:t>
      </w:r>
      <w:r w:rsidRPr="00BC450D">
        <w:rPr>
          <w:szCs w:val="18"/>
        </w:rPr>
        <w:t xml:space="preserve">(MHWA) replaced the existing </w:t>
      </w:r>
      <w:r w:rsidRPr="00BC450D">
        <w:rPr>
          <w:i/>
          <w:iCs/>
          <w:szCs w:val="18"/>
        </w:rPr>
        <w:t>Mental Health 2014</w:t>
      </w:r>
      <w:r w:rsidRPr="00BC450D">
        <w:rPr>
          <w:szCs w:val="18"/>
        </w:rPr>
        <w:t xml:space="preserve"> (MHA) from 1 September 2023.</w:t>
      </w:r>
    </w:p>
  </w:footnote>
  <w:footnote w:id="2">
    <w:p w:rsidRPr="00BC450D" w:rsidR="0031027A" w:rsidP="0031027A" w:rsidRDefault="0031027A" w14:paraId="2C80E12A" w14:textId="38CBD70E">
      <w:pPr>
        <w:pStyle w:val="FootnoteText"/>
        <w:spacing w:after="120"/>
        <w:rPr>
          <w:szCs w:val="18"/>
        </w:rPr>
      </w:pPr>
      <w:r w:rsidRPr="00BC450D">
        <w:rPr>
          <w:rStyle w:val="FootnoteReference"/>
          <w:szCs w:val="18"/>
        </w:rPr>
        <w:footnoteRef/>
      </w:r>
      <w:r w:rsidRPr="00BC450D">
        <w:rPr>
          <w:szCs w:val="18"/>
        </w:rPr>
        <w:t xml:space="preserve"> per section 33 of the </w:t>
      </w:r>
      <w:r w:rsidRPr="00554BA2" w:rsidR="00554BA2">
        <w:rPr>
          <w:szCs w:val="18"/>
        </w:rPr>
        <w:t xml:space="preserve">Health Services Act 1988  </w:t>
      </w:r>
    </w:p>
  </w:footnote>
  <w:footnote w:id="3">
    <w:p w:rsidRPr="00BC450D" w:rsidR="00043DC1" w:rsidP="00043DC1" w:rsidRDefault="00043DC1" w14:paraId="45F5D4E1" w14:textId="53028244">
      <w:pPr>
        <w:pStyle w:val="FootnoteText"/>
        <w:spacing w:after="120"/>
        <w:rPr>
          <w:szCs w:val="18"/>
        </w:rPr>
      </w:pPr>
      <w:r w:rsidRPr="00BC450D">
        <w:rPr>
          <w:rStyle w:val="FootnoteReference"/>
          <w:szCs w:val="18"/>
        </w:rPr>
        <w:footnoteRef/>
      </w:r>
      <w:r w:rsidRPr="00BC450D">
        <w:rPr>
          <w:szCs w:val="18"/>
        </w:rPr>
        <w:t xml:space="preserve"> As defined under section 59 of the </w:t>
      </w:r>
      <w:r w:rsidRPr="00554BA2" w:rsidR="00554BA2">
        <w:rPr>
          <w:szCs w:val="18"/>
        </w:rPr>
        <w:t xml:space="preserve">Health Services Act 1988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732" w:rsidRDefault="00E13732" w14:paraId="2F454431" w14:textId="1EB290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D70851" w:rsidRDefault="00D70851" w14:paraId="39F33AD2" w14:textId="434E4B59">
    <w:pPr>
      <w:pStyle w:val="Header"/>
    </w:pPr>
    <w:r>
      <w:rPr>
        <w:noProof/>
      </w:rPr>
      <w:drawing>
        <wp:anchor distT="0" distB="0" distL="114300" distR="114300" simplePos="0" relativeHeight="251658240" behindDoc="1" locked="0" layoutInCell="1" allowOverlap="1" wp14:anchorId="0B296C15" wp14:editId="1E36D0E9">
          <wp:simplePos x="0" y="0"/>
          <wp:positionH relativeFrom="column">
            <wp:posOffset>-828040</wp:posOffset>
          </wp:positionH>
          <wp:positionV relativeFrom="paragraph">
            <wp:posOffset>-403665</wp:posOffset>
          </wp:positionV>
          <wp:extent cx="7560310" cy="10203077"/>
          <wp:effectExtent l="0" t="0" r="0" b="0"/>
          <wp:wrapNone/>
          <wp:docPr id="1170446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446724" name="Picture 1170446724"/>
                  <pic:cNvPicPr/>
                </pic:nvPicPr>
                <pic:blipFill>
                  <a:blip r:embed="rId1"/>
                  <a:stretch>
                    <a:fillRect/>
                  </a:stretch>
                </pic:blipFill>
                <pic:spPr>
                  <a:xfrm>
                    <a:off x="0" y="0"/>
                    <a:ext cx="7581139" cy="1023118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732" w:rsidRDefault="00E13732" w14:paraId="6DF2CF44" w14:textId="3D41C1B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54A7D" w:rsidR="00431A70" w:rsidP="00454A7D" w:rsidRDefault="00431A70" w14:paraId="5590BB85" w14:textId="7063CA1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1568D" w:rsidR="00562811" w:rsidP="0017674D" w:rsidRDefault="000F1451" w14:paraId="62DE79DF" w14:textId="3F4D4DCB">
    <w:pPr>
      <w:pStyle w:val="Header"/>
    </w:pPr>
    <w:r w:rsidRPr="000F1451">
      <w:t xml:space="preserve">Victorian Health Services Performance Monitoring Framework </w:t>
    </w:r>
    <w:r>
      <w:t>2026-27</w:t>
    </w:r>
    <w:r w:rsidR="00562811">
      <w:ptab w:alignment="right" w:relativeTo="margin" w:leader="none"/>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B3A" w:rsidRDefault="00E07B3A" w14:paraId="1B6892F0" w14:textId="2DAD67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0DAA43C"/>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2080E8C"/>
    <w:multiLevelType w:val="hybridMultilevel"/>
    <w:tmpl w:val="6C068A7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03B26278"/>
    <w:multiLevelType w:val="hybridMultilevel"/>
    <w:tmpl w:val="A4B0969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088C1005"/>
    <w:multiLevelType w:val="hybridMultilevel"/>
    <w:tmpl w:val="0AD8461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8F671D6"/>
    <w:multiLevelType w:val="hybridMultilevel"/>
    <w:tmpl w:val="C17AD6AE"/>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5" w15:restartNumberingAfterBreak="0">
    <w:nsid w:val="09523149"/>
    <w:multiLevelType w:val="hybridMultilevel"/>
    <w:tmpl w:val="F5DC811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0A452A81"/>
    <w:multiLevelType w:val="hybridMultilevel"/>
    <w:tmpl w:val="4DDEBD14"/>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7" w15:restartNumberingAfterBreak="0">
    <w:nsid w:val="0B317933"/>
    <w:multiLevelType w:val="hybridMultilevel"/>
    <w:tmpl w:val="DB30829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0F64329E"/>
    <w:multiLevelType w:val="hybridMultilevel"/>
    <w:tmpl w:val="14CE8D4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103E517F"/>
    <w:multiLevelType w:val="hybridMultilevel"/>
    <w:tmpl w:val="6F72F83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10B63D60"/>
    <w:multiLevelType w:val="hybridMultilevel"/>
    <w:tmpl w:val="8884A40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13D32A8B"/>
    <w:multiLevelType w:val="hybridMultilevel"/>
    <w:tmpl w:val="930A733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3" w15:restartNumberingAfterBreak="0">
    <w:nsid w:val="1A9340BB"/>
    <w:multiLevelType w:val="hybridMultilevel"/>
    <w:tmpl w:val="02D054F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1C9F2CBD"/>
    <w:multiLevelType w:val="hybridMultilevel"/>
    <w:tmpl w:val="28188FA2"/>
    <w:lvl w:ilvl="0" w:tplc="A94C5F5C">
      <w:start w:val="1"/>
      <w:numFmt w:val="bullet"/>
      <w:lvlText w:val="•"/>
      <w:lvlJc w:val="left"/>
      <w:pPr>
        <w:ind w:left="720" w:hanging="360"/>
      </w:pPr>
    </w:lvl>
    <w:lvl w:ilvl="1" w:tplc="D9704672">
      <w:start w:val="1"/>
      <w:numFmt w:val="bullet"/>
      <w:lvlText w:val="◦"/>
      <w:lvlJc w:val="left"/>
      <w:pPr>
        <w:ind w:left="1440" w:hanging="360"/>
      </w:pPr>
    </w:lvl>
    <w:lvl w:ilvl="2" w:tplc="E6701494">
      <w:numFmt w:val="decimal"/>
      <w:lvlText w:val=""/>
      <w:lvlJc w:val="left"/>
    </w:lvl>
    <w:lvl w:ilvl="3" w:tplc="AE64E098">
      <w:numFmt w:val="decimal"/>
      <w:lvlText w:val=""/>
      <w:lvlJc w:val="left"/>
    </w:lvl>
    <w:lvl w:ilvl="4" w:tplc="CCD45FA4">
      <w:numFmt w:val="decimal"/>
      <w:lvlText w:val=""/>
      <w:lvlJc w:val="left"/>
    </w:lvl>
    <w:lvl w:ilvl="5" w:tplc="B448A6D2">
      <w:numFmt w:val="decimal"/>
      <w:lvlText w:val=""/>
      <w:lvlJc w:val="left"/>
    </w:lvl>
    <w:lvl w:ilvl="6" w:tplc="61649E46">
      <w:numFmt w:val="decimal"/>
      <w:lvlText w:val=""/>
      <w:lvlJc w:val="left"/>
    </w:lvl>
    <w:lvl w:ilvl="7" w:tplc="7AB276AC">
      <w:numFmt w:val="decimal"/>
      <w:lvlText w:val=""/>
      <w:lvlJc w:val="left"/>
    </w:lvl>
    <w:lvl w:ilvl="8" w:tplc="2B4096AE">
      <w:numFmt w:val="decimal"/>
      <w:lvlText w:val=""/>
      <w:lvlJc w:val="left"/>
    </w:lvl>
  </w:abstractNum>
  <w:abstractNum w:abstractNumId="15" w15:restartNumberingAfterBreak="0">
    <w:nsid w:val="1CF400F6"/>
    <w:multiLevelType w:val="hybridMultilevel"/>
    <w:tmpl w:val="0DDE690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6" w15:restartNumberingAfterBreak="0">
    <w:nsid w:val="242F6089"/>
    <w:multiLevelType w:val="multilevel"/>
    <w:tmpl w:val="33722620"/>
    <w:lvl w:ilvl="0">
      <w:start w:val="1"/>
      <w:numFmt w:val="bullet"/>
      <w:lvlText w:val=""/>
      <w:lvlJc w:val="left"/>
      <w:pPr>
        <w:tabs>
          <w:tab w:val="num" w:pos="567"/>
        </w:tabs>
        <w:ind w:left="360" w:hanging="360"/>
      </w:pPr>
      <w:rPr>
        <w:rFonts w:hint="default" w:ascii="Symbol" w:hAnsi="Symbol"/>
        <w:strike w:val="0"/>
      </w:rPr>
    </w:lvl>
    <w:lvl w:ilvl="1">
      <w:start w:val="1"/>
      <w:numFmt w:val="bullet"/>
      <w:lvlText w:val=""/>
      <w:lvlJc w:val="left"/>
      <w:pPr>
        <w:ind w:left="2007" w:hanging="360"/>
      </w:pPr>
      <w:rPr>
        <w:rFonts w:hint="default" w:ascii="Symbol" w:hAnsi="Symbol"/>
      </w:r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7" w15:restartNumberingAfterBreak="0">
    <w:nsid w:val="261236C8"/>
    <w:multiLevelType w:val="hybridMultilevel"/>
    <w:tmpl w:val="BD284290"/>
    <w:styleLink w:val="Bullets"/>
    <w:lvl w:ilvl="0" w:tplc="DE0CF74C">
      <w:start w:val="1"/>
      <w:numFmt w:val="bullet"/>
      <w:lvlText w:val="•"/>
      <w:lvlJc w:val="left"/>
      <w:pPr>
        <w:tabs>
          <w:tab w:val="num" w:pos="720"/>
        </w:tabs>
        <w:ind w:left="720" w:hanging="360"/>
      </w:pPr>
      <w:rPr>
        <w:rFonts w:hint="default" w:ascii="Arial" w:hAnsi="Arial"/>
      </w:rPr>
    </w:lvl>
    <w:lvl w:ilvl="1" w:tplc="A8FEC70E" w:tentative="1">
      <w:start w:val="1"/>
      <w:numFmt w:val="bullet"/>
      <w:lvlText w:val="•"/>
      <w:lvlJc w:val="left"/>
      <w:pPr>
        <w:tabs>
          <w:tab w:val="num" w:pos="1440"/>
        </w:tabs>
        <w:ind w:left="1440" w:hanging="360"/>
      </w:pPr>
      <w:rPr>
        <w:rFonts w:hint="default" w:ascii="Arial" w:hAnsi="Arial"/>
      </w:rPr>
    </w:lvl>
    <w:lvl w:ilvl="2" w:tplc="DC3A2D82" w:tentative="1">
      <w:start w:val="1"/>
      <w:numFmt w:val="bullet"/>
      <w:lvlText w:val="•"/>
      <w:lvlJc w:val="left"/>
      <w:pPr>
        <w:tabs>
          <w:tab w:val="num" w:pos="2160"/>
        </w:tabs>
        <w:ind w:left="2160" w:hanging="360"/>
      </w:pPr>
      <w:rPr>
        <w:rFonts w:hint="default" w:ascii="Arial" w:hAnsi="Arial"/>
      </w:rPr>
    </w:lvl>
    <w:lvl w:ilvl="3" w:tplc="4CDCFE62" w:tentative="1">
      <w:start w:val="1"/>
      <w:numFmt w:val="bullet"/>
      <w:lvlText w:val="•"/>
      <w:lvlJc w:val="left"/>
      <w:pPr>
        <w:tabs>
          <w:tab w:val="num" w:pos="2880"/>
        </w:tabs>
        <w:ind w:left="2880" w:hanging="360"/>
      </w:pPr>
      <w:rPr>
        <w:rFonts w:hint="default" w:ascii="Arial" w:hAnsi="Arial"/>
      </w:rPr>
    </w:lvl>
    <w:lvl w:ilvl="4" w:tplc="A71EDA0A" w:tentative="1">
      <w:start w:val="1"/>
      <w:numFmt w:val="bullet"/>
      <w:lvlText w:val="•"/>
      <w:lvlJc w:val="left"/>
      <w:pPr>
        <w:tabs>
          <w:tab w:val="num" w:pos="3600"/>
        </w:tabs>
        <w:ind w:left="3600" w:hanging="360"/>
      </w:pPr>
      <w:rPr>
        <w:rFonts w:hint="default" w:ascii="Arial" w:hAnsi="Arial"/>
      </w:rPr>
    </w:lvl>
    <w:lvl w:ilvl="5" w:tplc="73561604" w:tentative="1">
      <w:start w:val="1"/>
      <w:numFmt w:val="bullet"/>
      <w:lvlText w:val="•"/>
      <w:lvlJc w:val="left"/>
      <w:pPr>
        <w:tabs>
          <w:tab w:val="num" w:pos="4320"/>
        </w:tabs>
        <w:ind w:left="4320" w:hanging="360"/>
      </w:pPr>
      <w:rPr>
        <w:rFonts w:hint="default" w:ascii="Arial" w:hAnsi="Arial"/>
      </w:rPr>
    </w:lvl>
    <w:lvl w:ilvl="6" w:tplc="DE7CC8EA" w:tentative="1">
      <w:start w:val="1"/>
      <w:numFmt w:val="bullet"/>
      <w:lvlText w:val="•"/>
      <w:lvlJc w:val="left"/>
      <w:pPr>
        <w:tabs>
          <w:tab w:val="num" w:pos="5040"/>
        </w:tabs>
        <w:ind w:left="5040" w:hanging="360"/>
      </w:pPr>
      <w:rPr>
        <w:rFonts w:hint="default" w:ascii="Arial" w:hAnsi="Arial"/>
      </w:rPr>
    </w:lvl>
    <w:lvl w:ilvl="7" w:tplc="649A0894" w:tentative="1">
      <w:start w:val="1"/>
      <w:numFmt w:val="bullet"/>
      <w:lvlText w:val="•"/>
      <w:lvlJc w:val="left"/>
      <w:pPr>
        <w:tabs>
          <w:tab w:val="num" w:pos="5760"/>
        </w:tabs>
        <w:ind w:left="5760" w:hanging="360"/>
      </w:pPr>
      <w:rPr>
        <w:rFonts w:hint="default" w:ascii="Arial" w:hAnsi="Arial"/>
      </w:rPr>
    </w:lvl>
    <w:lvl w:ilvl="8" w:tplc="83501C20" w:tentative="1">
      <w:start w:val="1"/>
      <w:numFmt w:val="bullet"/>
      <w:lvlText w:val="•"/>
      <w:lvlJc w:val="left"/>
      <w:pPr>
        <w:tabs>
          <w:tab w:val="num" w:pos="6480"/>
        </w:tabs>
        <w:ind w:left="6480" w:hanging="360"/>
      </w:pPr>
      <w:rPr>
        <w:rFonts w:hint="default" w:ascii="Arial" w:hAnsi="Arial"/>
      </w:rPr>
    </w:lvl>
  </w:abstractNum>
  <w:abstractNum w:abstractNumId="18" w15:restartNumberingAfterBreak="0">
    <w:nsid w:val="321C1F13"/>
    <w:multiLevelType w:val="hybridMultilevel"/>
    <w:tmpl w:val="B982456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351777A4"/>
    <w:multiLevelType w:val="hybridMultilevel"/>
    <w:tmpl w:val="4FF6229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0" w15:restartNumberingAfterBreak="0">
    <w:nsid w:val="37667BFF"/>
    <w:multiLevelType w:val="hybridMultilevel"/>
    <w:tmpl w:val="3348B16E"/>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1" w15:restartNumberingAfterBreak="0">
    <w:nsid w:val="380C5AF8"/>
    <w:multiLevelType w:val="hybridMultilevel"/>
    <w:tmpl w:val="3E30410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2" w15:restartNumberingAfterBreak="0">
    <w:nsid w:val="39286976"/>
    <w:multiLevelType w:val="hybridMultilevel"/>
    <w:tmpl w:val="2418FC6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3" w15:restartNumberingAfterBreak="0">
    <w:nsid w:val="3DB75E42"/>
    <w:multiLevelType w:val="multilevel"/>
    <w:tmpl w:val="254C5E64"/>
    <w:lvl w:ilvl="0">
      <w:start w:val="1"/>
      <w:numFmt w:val="decimal"/>
      <w:lvlText w:val="%1."/>
      <w:lvlJc w:val="left"/>
      <w:pPr>
        <w:ind w:left="720" w:hanging="72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24"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hint="default" w:ascii="Calibri" w:hAnsi="Calibri"/>
        <w:color w:val="auto"/>
      </w:rPr>
    </w:lvl>
    <w:lvl w:ilvl="3">
      <w:start w:val="1"/>
      <w:numFmt w:val="bullet"/>
      <w:lvlRestart w:val="0"/>
      <w:pStyle w:val="Bulletafternumbers2"/>
      <w:lvlText w:val="–"/>
      <w:lvlJc w:val="left"/>
      <w:pPr>
        <w:ind w:left="1191" w:hanging="397"/>
      </w:pPr>
      <w:rPr>
        <w:rFonts w:hint="default" w:ascii="Calibri" w:hAnsi="Calibri"/>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5"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40930537"/>
    <w:multiLevelType w:val="hybridMultilevel"/>
    <w:tmpl w:val="627A5DF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7" w15:restartNumberingAfterBreak="0">
    <w:nsid w:val="44D1560B"/>
    <w:multiLevelType w:val="hybridMultilevel"/>
    <w:tmpl w:val="0C9649A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5587DD6"/>
    <w:multiLevelType w:val="hybridMultilevel"/>
    <w:tmpl w:val="88A0FE2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9" w15:restartNumberingAfterBreak="0">
    <w:nsid w:val="485E0545"/>
    <w:multiLevelType w:val="multilevel"/>
    <w:tmpl w:val="9BAA3E46"/>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0" w15:restartNumberingAfterBreak="0">
    <w:nsid w:val="4E4C6E88"/>
    <w:multiLevelType w:val="hybridMultilevel"/>
    <w:tmpl w:val="6FEE6AB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1" w15:restartNumberingAfterBreak="0">
    <w:nsid w:val="50D2403E"/>
    <w:multiLevelType w:val="multilevel"/>
    <w:tmpl w:val="15FE391E"/>
    <w:lvl w:ilvl="0">
      <w:start w:val="1"/>
      <w:numFmt w:val="decimal"/>
      <w:lvlText w:val="%1."/>
      <w:lvlJc w:val="left"/>
      <w:pPr>
        <w:ind w:left="720" w:hanging="720"/>
      </w:pPr>
      <w:rPr>
        <w:rFonts w:hint="default"/>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hint="default" w:ascii="Calibri" w:hAnsi="Calibri"/>
      </w:rPr>
    </w:lvl>
    <w:lvl w:ilvl="1">
      <w:start w:val="1"/>
      <w:numFmt w:val="bullet"/>
      <w:lvlRestart w:val="0"/>
      <w:pStyle w:val="Tablebullet2"/>
      <w:lvlText w:val="–"/>
      <w:lvlJc w:val="left"/>
      <w:pPr>
        <w:tabs>
          <w:tab w:val="num" w:pos="227"/>
        </w:tabs>
        <w:ind w:left="454" w:hanging="227"/>
      </w:pPr>
      <w:rPr>
        <w:rFonts w:hint="default" w:ascii="Calibri" w:hAnsi="Calibri"/>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54BA1E5A"/>
    <w:multiLevelType w:val="multilevel"/>
    <w:tmpl w:val="F05C78C0"/>
    <w:styleLink w:val="ZZBullets"/>
    <w:lvl w:ilvl="0">
      <w:start w:val="1"/>
      <w:numFmt w:val="bullet"/>
      <w:pStyle w:val="Bullet1"/>
      <w:lvlText w:val="•"/>
      <w:lvlJc w:val="left"/>
      <w:pPr>
        <w:ind w:left="284" w:hanging="284"/>
      </w:pPr>
      <w:rPr>
        <w:rFonts w:hint="default" w:ascii="Calibri" w:hAnsi="Calibri"/>
      </w:rPr>
    </w:lvl>
    <w:lvl w:ilvl="1">
      <w:start w:val="1"/>
      <w:numFmt w:val="bullet"/>
      <w:lvlRestart w:val="0"/>
      <w:pStyle w:val="Bullet2"/>
      <w:lvlText w:val="–"/>
      <w:lvlJc w:val="left"/>
      <w:pPr>
        <w:ind w:left="567" w:hanging="283"/>
      </w:pPr>
      <w:rPr>
        <w:rFonts w:hint="default" w:ascii="Calibri" w:hAnsi="Calibri"/>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4" w15:restartNumberingAfterBreak="0">
    <w:nsid w:val="56E25F21"/>
    <w:multiLevelType w:val="hybridMultilevel"/>
    <w:tmpl w:val="5CFEE4B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5" w15:restartNumberingAfterBreak="0">
    <w:nsid w:val="5F620F33"/>
    <w:multiLevelType w:val="multilevel"/>
    <w:tmpl w:val="7FB6ED9C"/>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36" w15:restartNumberingAfterBreak="0">
    <w:nsid w:val="601C5451"/>
    <w:multiLevelType w:val="hybridMultilevel"/>
    <w:tmpl w:val="CC08C85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7"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hint="default" w:ascii="Calibri" w:hAnsi="Calibri"/>
        <w:color w:val="auto"/>
      </w:rPr>
    </w:lvl>
    <w:lvl w:ilvl="1">
      <w:start w:val="1"/>
      <w:numFmt w:val="bullet"/>
      <w:lvlRestart w:val="0"/>
      <w:pStyle w:val="Quotebullet2"/>
      <w:lvlText w:val="–"/>
      <w:lvlJc w:val="left"/>
      <w:pPr>
        <w:ind w:left="964" w:hanging="284"/>
      </w:pPr>
      <w:rPr>
        <w:rFonts w:hint="default" w:ascii="Calibri" w:hAnsi="Calibri"/>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8" w15:restartNumberingAfterBreak="0">
    <w:nsid w:val="67212838"/>
    <w:multiLevelType w:val="hybridMultilevel"/>
    <w:tmpl w:val="35349DDA"/>
    <w:lvl w:ilvl="0" w:tplc="0C090001">
      <w:start w:val="1"/>
      <w:numFmt w:val="bullet"/>
      <w:lvlText w:val=""/>
      <w:lvlJc w:val="left"/>
      <w:pPr>
        <w:ind w:left="360" w:hanging="360"/>
      </w:pPr>
      <w:rPr>
        <w:rFonts w:hint="default" w:ascii="Symbol" w:hAnsi="Symbol"/>
      </w:rPr>
    </w:lvl>
    <w:lvl w:ilvl="1" w:tplc="0C090003">
      <w:start w:val="1"/>
      <w:numFmt w:val="bullet"/>
      <w:lvlText w:val="o"/>
      <w:lvlJc w:val="left"/>
      <w:pPr>
        <w:ind w:left="643"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39" w15:restartNumberingAfterBreak="0">
    <w:nsid w:val="67EE5F32"/>
    <w:multiLevelType w:val="hybridMultilevel"/>
    <w:tmpl w:val="9656DAE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0" w15:restartNumberingAfterBreak="0">
    <w:nsid w:val="6E52033A"/>
    <w:multiLevelType w:val="hybridMultilevel"/>
    <w:tmpl w:val="DEA29F8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1" w15:restartNumberingAfterBreak="0">
    <w:nsid w:val="6EFD1EC1"/>
    <w:multiLevelType w:val="hybridMultilevel"/>
    <w:tmpl w:val="14C0668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2" w15:restartNumberingAfterBreak="0">
    <w:nsid w:val="6FFB4E4D"/>
    <w:multiLevelType w:val="hybridMultilevel"/>
    <w:tmpl w:val="03D2CBAA"/>
    <w:lvl w:ilvl="0" w:tplc="6C184644">
      <w:start w:val="2"/>
      <w:numFmt w:val="bullet"/>
      <w:lvlText w:val="-"/>
      <w:lvlJc w:val="left"/>
      <w:pPr>
        <w:ind w:left="720" w:hanging="360"/>
      </w:pPr>
      <w:rPr>
        <w:rFonts w:hint="default" w:ascii="Arial" w:hAnsi="Arial" w:eastAsia="Times" w:cs="Aria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1541284333">
    <w:abstractNumId w:val="24"/>
  </w:num>
  <w:num w:numId="2" w16cid:durableId="318966299">
    <w:abstractNumId w:val="33"/>
  </w:num>
  <w:num w:numId="3" w16cid:durableId="1448239622">
    <w:abstractNumId w:val="32"/>
  </w:num>
  <w:num w:numId="4" w16cid:durableId="645551445">
    <w:abstractNumId w:val="37"/>
  </w:num>
  <w:num w:numId="5" w16cid:durableId="909116311">
    <w:abstractNumId w:val="25"/>
  </w:num>
  <w:num w:numId="6" w16cid:durableId="1323584149">
    <w:abstractNumId w:val="8"/>
  </w:num>
  <w:num w:numId="7" w16cid:durableId="1075476330">
    <w:abstractNumId w:val="31"/>
  </w:num>
  <w:num w:numId="8" w16cid:durableId="313919809">
    <w:abstractNumId w:val="42"/>
  </w:num>
  <w:num w:numId="9" w16cid:durableId="1174417530">
    <w:abstractNumId w:val="39"/>
  </w:num>
  <w:num w:numId="10" w16cid:durableId="663581860">
    <w:abstractNumId w:val="29"/>
  </w:num>
  <w:num w:numId="11" w16cid:durableId="1426917954">
    <w:abstractNumId w:val="20"/>
  </w:num>
  <w:num w:numId="12" w16cid:durableId="477691981">
    <w:abstractNumId w:val="18"/>
  </w:num>
  <w:num w:numId="13" w16cid:durableId="501506721">
    <w:abstractNumId w:val="7"/>
  </w:num>
  <w:num w:numId="14" w16cid:durableId="1367875336">
    <w:abstractNumId w:val="13"/>
  </w:num>
  <w:num w:numId="15" w16cid:durableId="156460806">
    <w:abstractNumId w:val="10"/>
  </w:num>
  <w:num w:numId="16" w16cid:durableId="1049570757">
    <w:abstractNumId w:val="4"/>
  </w:num>
  <w:num w:numId="17" w16cid:durableId="1107384181">
    <w:abstractNumId w:val="41"/>
  </w:num>
  <w:num w:numId="18" w16cid:durableId="448011321">
    <w:abstractNumId w:val="40"/>
  </w:num>
  <w:num w:numId="19" w16cid:durableId="9721743">
    <w:abstractNumId w:val="34"/>
  </w:num>
  <w:num w:numId="20" w16cid:durableId="1304507055">
    <w:abstractNumId w:val="15"/>
  </w:num>
  <w:num w:numId="21" w16cid:durableId="1700004971">
    <w:abstractNumId w:val="19"/>
  </w:num>
  <w:num w:numId="22" w16cid:durableId="1068308576">
    <w:abstractNumId w:val="28"/>
  </w:num>
  <w:num w:numId="23" w16cid:durableId="2038235497">
    <w:abstractNumId w:val="21"/>
  </w:num>
  <w:num w:numId="24" w16cid:durableId="751505469">
    <w:abstractNumId w:val="22"/>
  </w:num>
  <w:num w:numId="25" w16cid:durableId="263542923">
    <w:abstractNumId w:val="14"/>
    <w:lvlOverride w:ilvl="0">
      <w:startOverride w:val="1"/>
    </w:lvlOverride>
  </w:num>
  <w:num w:numId="26" w16cid:durableId="1228148313">
    <w:abstractNumId w:val="12"/>
  </w:num>
  <w:num w:numId="27" w16cid:durableId="950088267">
    <w:abstractNumId w:val="17"/>
  </w:num>
  <w:num w:numId="28" w16cid:durableId="1320117084">
    <w:abstractNumId w:val="5"/>
  </w:num>
  <w:num w:numId="29" w16cid:durableId="1694918198">
    <w:abstractNumId w:val="0"/>
  </w:num>
  <w:num w:numId="30" w16cid:durableId="1393653165">
    <w:abstractNumId w:val="26"/>
  </w:num>
  <w:num w:numId="31" w16cid:durableId="81073842">
    <w:abstractNumId w:val="30"/>
  </w:num>
  <w:num w:numId="32" w16cid:durableId="1615211438">
    <w:abstractNumId w:val="36"/>
  </w:num>
  <w:num w:numId="33" w16cid:durableId="88694430">
    <w:abstractNumId w:val="9"/>
  </w:num>
  <w:num w:numId="34" w16cid:durableId="8412993">
    <w:abstractNumId w:val="23"/>
  </w:num>
  <w:num w:numId="35" w16cid:durableId="1630475985">
    <w:abstractNumId w:val="3"/>
  </w:num>
  <w:num w:numId="36" w16cid:durableId="1804736476">
    <w:abstractNumId w:val="16"/>
  </w:num>
  <w:num w:numId="37" w16cid:durableId="1843230494">
    <w:abstractNumId w:val="27"/>
  </w:num>
  <w:num w:numId="38" w16cid:durableId="1185173148">
    <w:abstractNumId w:val="6"/>
  </w:num>
  <w:num w:numId="39" w16cid:durableId="1222331543">
    <w:abstractNumId w:val="11"/>
  </w:num>
  <w:num w:numId="40" w16cid:durableId="549460022">
    <w:abstractNumId w:val="1"/>
  </w:num>
  <w:num w:numId="41" w16cid:durableId="336885087">
    <w:abstractNumId w:val="2"/>
  </w:num>
  <w:num w:numId="42" w16cid:durableId="1904370666">
    <w:abstractNumId w:val="38"/>
  </w:num>
  <w:num w:numId="43" w16cid:durableId="219902301">
    <w:abstractNumId w:val="35"/>
  </w:num>
  <w:numIdMacAtCleanup w:val="4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val="false"/>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851"/>
    <w:rsid w:val="000000F4"/>
    <w:rsid w:val="00000719"/>
    <w:rsid w:val="00000F42"/>
    <w:rsid w:val="00001328"/>
    <w:rsid w:val="00002D68"/>
    <w:rsid w:val="000032BD"/>
    <w:rsid w:val="000033F7"/>
    <w:rsid w:val="00003403"/>
    <w:rsid w:val="00004296"/>
    <w:rsid w:val="00005166"/>
    <w:rsid w:val="00005347"/>
    <w:rsid w:val="0000542E"/>
    <w:rsid w:val="00005844"/>
    <w:rsid w:val="00005A17"/>
    <w:rsid w:val="000072B6"/>
    <w:rsid w:val="00007A06"/>
    <w:rsid w:val="00007B99"/>
    <w:rsid w:val="0001021B"/>
    <w:rsid w:val="00011D89"/>
    <w:rsid w:val="0001281D"/>
    <w:rsid w:val="0001343C"/>
    <w:rsid w:val="00013492"/>
    <w:rsid w:val="00014C3A"/>
    <w:rsid w:val="000154FD"/>
    <w:rsid w:val="00015915"/>
    <w:rsid w:val="0001647E"/>
    <w:rsid w:val="00017611"/>
    <w:rsid w:val="0001789C"/>
    <w:rsid w:val="00017D0D"/>
    <w:rsid w:val="00021082"/>
    <w:rsid w:val="00021A60"/>
    <w:rsid w:val="00021CFE"/>
    <w:rsid w:val="00022271"/>
    <w:rsid w:val="000235E8"/>
    <w:rsid w:val="00023997"/>
    <w:rsid w:val="00024D89"/>
    <w:rsid w:val="000250B6"/>
    <w:rsid w:val="00025432"/>
    <w:rsid w:val="00025BC2"/>
    <w:rsid w:val="0002619F"/>
    <w:rsid w:val="00026810"/>
    <w:rsid w:val="000276EC"/>
    <w:rsid w:val="00027E9F"/>
    <w:rsid w:val="00030CDD"/>
    <w:rsid w:val="00032146"/>
    <w:rsid w:val="000327C8"/>
    <w:rsid w:val="00032D71"/>
    <w:rsid w:val="00033996"/>
    <w:rsid w:val="00033A2D"/>
    <w:rsid w:val="00033D81"/>
    <w:rsid w:val="00033DC9"/>
    <w:rsid w:val="000344B9"/>
    <w:rsid w:val="0003458A"/>
    <w:rsid w:val="00034C05"/>
    <w:rsid w:val="0003539D"/>
    <w:rsid w:val="000365B9"/>
    <w:rsid w:val="00037366"/>
    <w:rsid w:val="000374C1"/>
    <w:rsid w:val="00037AEC"/>
    <w:rsid w:val="00037DC6"/>
    <w:rsid w:val="000405EF"/>
    <w:rsid w:val="0004078B"/>
    <w:rsid w:val="000415D9"/>
    <w:rsid w:val="00041BF0"/>
    <w:rsid w:val="00042C8A"/>
    <w:rsid w:val="000431FD"/>
    <w:rsid w:val="00043354"/>
    <w:rsid w:val="00043DC1"/>
    <w:rsid w:val="0004536B"/>
    <w:rsid w:val="00045DDC"/>
    <w:rsid w:val="00046B68"/>
    <w:rsid w:val="0004750E"/>
    <w:rsid w:val="000477AB"/>
    <w:rsid w:val="00047821"/>
    <w:rsid w:val="00047D81"/>
    <w:rsid w:val="0005149A"/>
    <w:rsid w:val="000518E4"/>
    <w:rsid w:val="00052144"/>
    <w:rsid w:val="000527DD"/>
    <w:rsid w:val="0005358B"/>
    <w:rsid w:val="00054CC1"/>
    <w:rsid w:val="00055981"/>
    <w:rsid w:val="00055D80"/>
    <w:rsid w:val="000563AD"/>
    <w:rsid w:val="00056401"/>
    <w:rsid w:val="000564D3"/>
    <w:rsid w:val="0005696A"/>
    <w:rsid w:val="000569B3"/>
    <w:rsid w:val="00056EC4"/>
    <w:rsid w:val="000572FE"/>
    <w:rsid w:val="000578B2"/>
    <w:rsid w:val="00060959"/>
    <w:rsid w:val="00060C8F"/>
    <w:rsid w:val="00061435"/>
    <w:rsid w:val="00062042"/>
    <w:rsid w:val="0006298A"/>
    <w:rsid w:val="00062BF9"/>
    <w:rsid w:val="00062EB6"/>
    <w:rsid w:val="0006429B"/>
    <w:rsid w:val="0006449A"/>
    <w:rsid w:val="00064B28"/>
    <w:rsid w:val="00065C1C"/>
    <w:rsid w:val="0006615F"/>
    <w:rsid w:val="000663CD"/>
    <w:rsid w:val="00066643"/>
    <w:rsid w:val="00066709"/>
    <w:rsid w:val="0006760F"/>
    <w:rsid w:val="000702DD"/>
    <w:rsid w:val="0007202F"/>
    <w:rsid w:val="000732FF"/>
    <w:rsid w:val="000733FE"/>
    <w:rsid w:val="00074219"/>
    <w:rsid w:val="00074971"/>
    <w:rsid w:val="00074ED5"/>
    <w:rsid w:val="00076AAD"/>
    <w:rsid w:val="00077664"/>
    <w:rsid w:val="00077B7D"/>
    <w:rsid w:val="00077BAA"/>
    <w:rsid w:val="00080475"/>
    <w:rsid w:val="00081DDE"/>
    <w:rsid w:val="0008204A"/>
    <w:rsid w:val="000821A8"/>
    <w:rsid w:val="00082C1D"/>
    <w:rsid w:val="000841CF"/>
    <w:rsid w:val="0008508E"/>
    <w:rsid w:val="00085987"/>
    <w:rsid w:val="00085A4F"/>
    <w:rsid w:val="00085C30"/>
    <w:rsid w:val="000872A6"/>
    <w:rsid w:val="00087951"/>
    <w:rsid w:val="0009113B"/>
    <w:rsid w:val="0009256A"/>
    <w:rsid w:val="00093402"/>
    <w:rsid w:val="000940D9"/>
    <w:rsid w:val="000942A0"/>
    <w:rsid w:val="00094AAB"/>
    <w:rsid w:val="00094D21"/>
    <w:rsid w:val="00094DA3"/>
    <w:rsid w:val="000968C4"/>
    <w:rsid w:val="00096B60"/>
    <w:rsid w:val="00096CD1"/>
    <w:rsid w:val="000A012C"/>
    <w:rsid w:val="000A0EB9"/>
    <w:rsid w:val="000A186C"/>
    <w:rsid w:val="000A1EA4"/>
    <w:rsid w:val="000A2476"/>
    <w:rsid w:val="000A265F"/>
    <w:rsid w:val="000A2A93"/>
    <w:rsid w:val="000A366B"/>
    <w:rsid w:val="000A3B94"/>
    <w:rsid w:val="000A3E51"/>
    <w:rsid w:val="000A3F5F"/>
    <w:rsid w:val="000A4273"/>
    <w:rsid w:val="000A462E"/>
    <w:rsid w:val="000A58BD"/>
    <w:rsid w:val="000A641A"/>
    <w:rsid w:val="000A6ADA"/>
    <w:rsid w:val="000A7086"/>
    <w:rsid w:val="000A7F44"/>
    <w:rsid w:val="000B0134"/>
    <w:rsid w:val="000B01FC"/>
    <w:rsid w:val="000B110C"/>
    <w:rsid w:val="000B141E"/>
    <w:rsid w:val="000B2127"/>
    <w:rsid w:val="000B2B25"/>
    <w:rsid w:val="000B3891"/>
    <w:rsid w:val="000B3AFC"/>
    <w:rsid w:val="000B3EDB"/>
    <w:rsid w:val="000B535F"/>
    <w:rsid w:val="000B543D"/>
    <w:rsid w:val="000B55F9"/>
    <w:rsid w:val="000B5BF7"/>
    <w:rsid w:val="000B6BC8"/>
    <w:rsid w:val="000C0277"/>
    <w:rsid w:val="000C0303"/>
    <w:rsid w:val="000C07DC"/>
    <w:rsid w:val="000C0B61"/>
    <w:rsid w:val="000C1625"/>
    <w:rsid w:val="000C17F6"/>
    <w:rsid w:val="000C1EDE"/>
    <w:rsid w:val="000C22AA"/>
    <w:rsid w:val="000C413A"/>
    <w:rsid w:val="000C42EA"/>
    <w:rsid w:val="000C4546"/>
    <w:rsid w:val="000C4C1E"/>
    <w:rsid w:val="000C54C2"/>
    <w:rsid w:val="000C6EFE"/>
    <w:rsid w:val="000C7288"/>
    <w:rsid w:val="000C7576"/>
    <w:rsid w:val="000C7700"/>
    <w:rsid w:val="000C7946"/>
    <w:rsid w:val="000C79FB"/>
    <w:rsid w:val="000C7B07"/>
    <w:rsid w:val="000D10B2"/>
    <w:rsid w:val="000D1242"/>
    <w:rsid w:val="000D2ABA"/>
    <w:rsid w:val="000D40A0"/>
    <w:rsid w:val="000D5AAB"/>
    <w:rsid w:val="000D5FE7"/>
    <w:rsid w:val="000D6C3A"/>
    <w:rsid w:val="000E0970"/>
    <w:rsid w:val="000E2757"/>
    <w:rsid w:val="000E27BC"/>
    <w:rsid w:val="000E303F"/>
    <w:rsid w:val="000E32AA"/>
    <w:rsid w:val="000E3CC7"/>
    <w:rsid w:val="000E4688"/>
    <w:rsid w:val="000E4D79"/>
    <w:rsid w:val="000E522B"/>
    <w:rsid w:val="000E5D0D"/>
    <w:rsid w:val="000E6BD4"/>
    <w:rsid w:val="000E6D6D"/>
    <w:rsid w:val="000E6FD6"/>
    <w:rsid w:val="000F0A56"/>
    <w:rsid w:val="000F0E83"/>
    <w:rsid w:val="000F1451"/>
    <w:rsid w:val="000F1D15"/>
    <w:rsid w:val="000F1F1E"/>
    <w:rsid w:val="000F1FFD"/>
    <w:rsid w:val="000F2259"/>
    <w:rsid w:val="000F2B20"/>
    <w:rsid w:val="000F2DDA"/>
    <w:rsid w:val="000F2EA0"/>
    <w:rsid w:val="000F3F9E"/>
    <w:rsid w:val="000F4DAB"/>
    <w:rsid w:val="000F5213"/>
    <w:rsid w:val="000F580D"/>
    <w:rsid w:val="000F6D85"/>
    <w:rsid w:val="000F7F30"/>
    <w:rsid w:val="00101001"/>
    <w:rsid w:val="00101EAD"/>
    <w:rsid w:val="00102097"/>
    <w:rsid w:val="001020D7"/>
    <w:rsid w:val="00102143"/>
    <w:rsid w:val="00102FC0"/>
    <w:rsid w:val="00103276"/>
    <w:rsid w:val="001033D0"/>
    <w:rsid w:val="00103706"/>
    <w:rsid w:val="0010392D"/>
    <w:rsid w:val="00103B00"/>
    <w:rsid w:val="00104007"/>
    <w:rsid w:val="0010447F"/>
    <w:rsid w:val="00104FE3"/>
    <w:rsid w:val="00106214"/>
    <w:rsid w:val="0010714F"/>
    <w:rsid w:val="001071B0"/>
    <w:rsid w:val="001078B9"/>
    <w:rsid w:val="00107B30"/>
    <w:rsid w:val="00110FDD"/>
    <w:rsid w:val="001117D8"/>
    <w:rsid w:val="001120C5"/>
    <w:rsid w:val="00113840"/>
    <w:rsid w:val="001138A2"/>
    <w:rsid w:val="00115101"/>
    <w:rsid w:val="00115429"/>
    <w:rsid w:val="00115B97"/>
    <w:rsid w:val="00116043"/>
    <w:rsid w:val="001168A1"/>
    <w:rsid w:val="00117279"/>
    <w:rsid w:val="001179C9"/>
    <w:rsid w:val="00120BD3"/>
    <w:rsid w:val="00121367"/>
    <w:rsid w:val="00121736"/>
    <w:rsid w:val="001219EB"/>
    <w:rsid w:val="00121C36"/>
    <w:rsid w:val="0012226B"/>
    <w:rsid w:val="00122FEA"/>
    <w:rsid w:val="001232BD"/>
    <w:rsid w:val="00123328"/>
    <w:rsid w:val="001236DC"/>
    <w:rsid w:val="0012398F"/>
    <w:rsid w:val="0012457B"/>
    <w:rsid w:val="001249AC"/>
    <w:rsid w:val="00124E1C"/>
    <w:rsid w:val="00124ED5"/>
    <w:rsid w:val="001250ED"/>
    <w:rsid w:val="0012538D"/>
    <w:rsid w:val="00125F9D"/>
    <w:rsid w:val="001276FA"/>
    <w:rsid w:val="00130D61"/>
    <w:rsid w:val="0013175A"/>
    <w:rsid w:val="001319AF"/>
    <w:rsid w:val="00131C42"/>
    <w:rsid w:val="00131CD7"/>
    <w:rsid w:val="001328A0"/>
    <w:rsid w:val="0013442F"/>
    <w:rsid w:val="00136BF9"/>
    <w:rsid w:val="00137412"/>
    <w:rsid w:val="00137519"/>
    <w:rsid w:val="00137D8E"/>
    <w:rsid w:val="00137F88"/>
    <w:rsid w:val="001401D2"/>
    <w:rsid w:val="001402FE"/>
    <w:rsid w:val="00142E6D"/>
    <w:rsid w:val="0014381E"/>
    <w:rsid w:val="001447B3"/>
    <w:rsid w:val="00144E95"/>
    <w:rsid w:val="00145806"/>
    <w:rsid w:val="001458A1"/>
    <w:rsid w:val="00146D2D"/>
    <w:rsid w:val="001512B1"/>
    <w:rsid w:val="00151DB5"/>
    <w:rsid w:val="00152017"/>
    <w:rsid w:val="00152073"/>
    <w:rsid w:val="00152329"/>
    <w:rsid w:val="0015301C"/>
    <w:rsid w:val="001537B6"/>
    <w:rsid w:val="001546D5"/>
    <w:rsid w:val="00156598"/>
    <w:rsid w:val="00161939"/>
    <w:rsid w:val="00161AA0"/>
    <w:rsid w:val="00161D2E"/>
    <w:rsid w:val="00161F3E"/>
    <w:rsid w:val="00162093"/>
    <w:rsid w:val="00162645"/>
    <w:rsid w:val="00162CA9"/>
    <w:rsid w:val="00165459"/>
    <w:rsid w:val="0016561B"/>
    <w:rsid w:val="001656FD"/>
    <w:rsid w:val="00165A57"/>
    <w:rsid w:val="00165C14"/>
    <w:rsid w:val="00166388"/>
    <w:rsid w:val="0016781F"/>
    <w:rsid w:val="001712C2"/>
    <w:rsid w:val="001714D1"/>
    <w:rsid w:val="00171547"/>
    <w:rsid w:val="001725EC"/>
    <w:rsid w:val="00172BAF"/>
    <w:rsid w:val="00173629"/>
    <w:rsid w:val="00173A38"/>
    <w:rsid w:val="0017482A"/>
    <w:rsid w:val="00175331"/>
    <w:rsid w:val="00175D24"/>
    <w:rsid w:val="0017658E"/>
    <w:rsid w:val="001766AC"/>
    <w:rsid w:val="0017674D"/>
    <w:rsid w:val="001771DD"/>
    <w:rsid w:val="00177572"/>
    <w:rsid w:val="00177995"/>
    <w:rsid w:val="00177A8C"/>
    <w:rsid w:val="00177C76"/>
    <w:rsid w:val="00177FC3"/>
    <w:rsid w:val="00180276"/>
    <w:rsid w:val="001803A5"/>
    <w:rsid w:val="001808DD"/>
    <w:rsid w:val="00180B92"/>
    <w:rsid w:val="00181DBB"/>
    <w:rsid w:val="0018244E"/>
    <w:rsid w:val="00182F41"/>
    <w:rsid w:val="00183773"/>
    <w:rsid w:val="00183C80"/>
    <w:rsid w:val="00183E11"/>
    <w:rsid w:val="00185AA4"/>
    <w:rsid w:val="00186B33"/>
    <w:rsid w:val="00190B61"/>
    <w:rsid w:val="001913C9"/>
    <w:rsid w:val="0019166B"/>
    <w:rsid w:val="001919E7"/>
    <w:rsid w:val="001924F8"/>
    <w:rsid w:val="00192F9D"/>
    <w:rsid w:val="00193812"/>
    <w:rsid w:val="00193FFF"/>
    <w:rsid w:val="00194F68"/>
    <w:rsid w:val="00195B6B"/>
    <w:rsid w:val="00196EB8"/>
    <w:rsid w:val="00196EFB"/>
    <w:rsid w:val="00197517"/>
    <w:rsid w:val="00197833"/>
    <w:rsid w:val="001979FF"/>
    <w:rsid w:val="00197B17"/>
    <w:rsid w:val="001A1043"/>
    <w:rsid w:val="001A150A"/>
    <w:rsid w:val="001A1950"/>
    <w:rsid w:val="001A1C54"/>
    <w:rsid w:val="001A3738"/>
    <w:rsid w:val="001A37AB"/>
    <w:rsid w:val="001A3ACE"/>
    <w:rsid w:val="001A4896"/>
    <w:rsid w:val="001A493E"/>
    <w:rsid w:val="001A4B7A"/>
    <w:rsid w:val="001A4C22"/>
    <w:rsid w:val="001A4F37"/>
    <w:rsid w:val="001A50CC"/>
    <w:rsid w:val="001A5993"/>
    <w:rsid w:val="001A5E68"/>
    <w:rsid w:val="001A5E77"/>
    <w:rsid w:val="001A6272"/>
    <w:rsid w:val="001A6C21"/>
    <w:rsid w:val="001A7CDA"/>
    <w:rsid w:val="001B00C2"/>
    <w:rsid w:val="001B0203"/>
    <w:rsid w:val="001B058F"/>
    <w:rsid w:val="001B0DF7"/>
    <w:rsid w:val="001B1679"/>
    <w:rsid w:val="001B216B"/>
    <w:rsid w:val="001B24D4"/>
    <w:rsid w:val="001B2E46"/>
    <w:rsid w:val="001B3ED8"/>
    <w:rsid w:val="001B510B"/>
    <w:rsid w:val="001B5DDF"/>
    <w:rsid w:val="001B5EC4"/>
    <w:rsid w:val="001B67B1"/>
    <w:rsid w:val="001B6B96"/>
    <w:rsid w:val="001B738B"/>
    <w:rsid w:val="001B7A62"/>
    <w:rsid w:val="001C07A8"/>
    <w:rsid w:val="001C0867"/>
    <w:rsid w:val="001C09DB"/>
    <w:rsid w:val="001C18B1"/>
    <w:rsid w:val="001C1B30"/>
    <w:rsid w:val="001C1CCF"/>
    <w:rsid w:val="001C2093"/>
    <w:rsid w:val="001C277E"/>
    <w:rsid w:val="001C2A72"/>
    <w:rsid w:val="001C2C08"/>
    <w:rsid w:val="001C2DA7"/>
    <w:rsid w:val="001C2E9B"/>
    <w:rsid w:val="001C31B7"/>
    <w:rsid w:val="001C3AF3"/>
    <w:rsid w:val="001C44F0"/>
    <w:rsid w:val="001C45F4"/>
    <w:rsid w:val="001C49F4"/>
    <w:rsid w:val="001C4D1A"/>
    <w:rsid w:val="001C5496"/>
    <w:rsid w:val="001C5D84"/>
    <w:rsid w:val="001C64F1"/>
    <w:rsid w:val="001C65CC"/>
    <w:rsid w:val="001D0576"/>
    <w:rsid w:val="001D0B75"/>
    <w:rsid w:val="001D19AE"/>
    <w:rsid w:val="001D1F88"/>
    <w:rsid w:val="001D39A5"/>
    <w:rsid w:val="001D3C09"/>
    <w:rsid w:val="001D408E"/>
    <w:rsid w:val="001D44E8"/>
    <w:rsid w:val="001D60EC"/>
    <w:rsid w:val="001D6AAD"/>
    <w:rsid w:val="001D6DED"/>
    <w:rsid w:val="001D6F59"/>
    <w:rsid w:val="001D748F"/>
    <w:rsid w:val="001D7601"/>
    <w:rsid w:val="001D7729"/>
    <w:rsid w:val="001E0F45"/>
    <w:rsid w:val="001E1110"/>
    <w:rsid w:val="001E1331"/>
    <w:rsid w:val="001E44DF"/>
    <w:rsid w:val="001E4F87"/>
    <w:rsid w:val="001E563C"/>
    <w:rsid w:val="001E68A5"/>
    <w:rsid w:val="001E6BB0"/>
    <w:rsid w:val="001E7282"/>
    <w:rsid w:val="001E791C"/>
    <w:rsid w:val="001F04CD"/>
    <w:rsid w:val="001F067A"/>
    <w:rsid w:val="001F0BB6"/>
    <w:rsid w:val="001F1095"/>
    <w:rsid w:val="001F2C82"/>
    <w:rsid w:val="001F3100"/>
    <w:rsid w:val="001F3826"/>
    <w:rsid w:val="001F3839"/>
    <w:rsid w:val="001F3F46"/>
    <w:rsid w:val="001F472D"/>
    <w:rsid w:val="001F5AE3"/>
    <w:rsid w:val="001F6750"/>
    <w:rsid w:val="001F6E46"/>
    <w:rsid w:val="001F7589"/>
    <w:rsid w:val="001F7C91"/>
    <w:rsid w:val="00200495"/>
    <w:rsid w:val="00200788"/>
    <w:rsid w:val="0020101E"/>
    <w:rsid w:val="00202B8F"/>
    <w:rsid w:val="002033B7"/>
    <w:rsid w:val="0020427A"/>
    <w:rsid w:val="00204C9B"/>
    <w:rsid w:val="002050DA"/>
    <w:rsid w:val="00205DD0"/>
    <w:rsid w:val="00206463"/>
    <w:rsid w:val="0020670F"/>
    <w:rsid w:val="00206B61"/>
    <w:rsid w:val="00206DF0"/>
    <w:rsid w:val="00206F2F"/>
    <w:rsid w:val="00207717"/>
    <w:rsid w:val="0021053D"/>
    <w:rsid w:val="00210A92"/>
    <w:rsid w:val="00210C7E"/>
    <w:rsid w:val="00211C36"/>
    <w:rsid w:val="00211D79"/>
    <w:rsid w:val="00212590"/>
    <w:rsid w:val="00212B95"/>
    <w:rsid w:val="0021352C"/>
    <w:rsid w:val="002139CB"/>
    <w:rsid w:val="00213FE9"/>
    <w:rsid w:val="00214680"/>
    <w:rsid w:val="00214DBF"/>
    <w:rsid w:val="00215293"/>
    <w:rsid w:val="002154CC"/>
    <w:rsid w:val="00215CC8"/>
    <w:rsid w:val="0021649B"/>
    <w:rsid w:val="002164AD"/>
    <w:rsid w:val="00216C03"/>
    <w:rsid w:val="00216EAC"/>
    <w:rsid w:val="00217AA1"/>
    <w:rsid w:val="00217C1D"/>
    <w:rsid w:val="00220A1A"/>
    <w:rsid w:val="00220A1E"/>
    <w:rsid w:val="00220C04"/>
    <w:rsid w:val="00220E6B"/>
    <w:rsid w:val="00221932"/>
    <w:rsid w:val="00222473"/>
    <w:rsid w:val="0022278D"/>
    <w:rsid w:val="00222BFB"/>
    <w:rsid w:val="00222F12"/>
    <w:rsid w:val="002232A5"/>
    <w:rsid w:val="00223BE3"/>
    <w:rsid w:val="002249F2"/>
    <w:rsid w:val="00225102"/>
    <w:rsid w:val="00225CE7"/>
    <w:rsid w:val="00225E5D"/>
    <w:rsid w:val="00225EF5"/>
    <w:rsid w:val="0022701F"/>
    <w:rsid w:val="00227C68"/>
    <w:rsid w:val="00227EF8"/>
    <w:rsid w:val="00227FD9"/>
    <w:rsid w:val="002308AD"/>
    <w:rsid w:val="00231981"/>
    <w:rsid w:val="00233195"/>
    <w:rsid w:val="002333F5"/>
    <w:rsid w:val="00233724"/>
    <w:rsid w:val="00233788"/>
    <w:rsid w:val="00233F32"/>
    <w:rsid w:val="00233F35"/>
    <w:rsid w:val="002347F7"/>
    <w:rsid w:val="00234DB3"/>
    <w:rsid w:val="00235390"/>
    <w:rsid w:val="0023592A"/>
    <w:rsid w:val="002365B4"/>
    <w:rsid w:val="0023754E"/>
    <w:rsid w:val="0024002D"/>
    <w:rsid w:val="00240DC5"/>
    <w:rsid w:val="00240E5C"/>
    <w:rsid w:val="00241D9E"/>
    <w:rsid w:val="0024285A"/>
    <w:rsid w:val="00242ABE"/>
    <w:rsid w:val="002432E1"/>
    <w:rsid w:val="002435E9"/>
    <w:rsid w:val="00243688"/>
    <w:rsid w:val="00243BC8"/>
    <w:rsid w:val="00243E7F"/>
    <w:rsid w:val="0024407D"/>
    <w:rsid w:val="00245384"/>
    <w:rsid w:val="00246207"/>
    <w:rsid w:val="00246939"/>
    <w:rsid w:val="00246C5E"/>
    <w:rsid w:val="00247075"/>
    <w:rsid w:val="0024776F"/>
    <w:rsid w:val="00247771"/>
    <w:rsid w:val="002503BC"/>
    <w:rsid w:val="00250960"/>
    <w:rsid w:val="00251343"/>
    <w:rsid w:val="00253549"/>
    <w:rsid w:val="00253628"/>
    <w:rsid w:val="002536A4"/>
    <w:rsid w:val="00254F58"/>
    <w:rsid w:val="00255A4F"/>
    <w:rsid w:val="0025618F"/>
    <w:rsid w:val="00256C45"/>
    <w:rsid w:val="0026032F"/>
    <w:rsid w:val="0026192F"/>
    <w:rsid w:val="00261A5E"/>
    <w:rsid w:val="00261C0B"/>
    <w:rsid w:val="002620BC"/>
    <w:rsid w:val="00262802"/>
    <w:rsid w:val="002628AD"/>
    <w:rsid w:val="002629C6"/>
    <w:rsid w:val="00262B03"/>
    <w:rsid w:val="00262BC3"/>
    <w:rsid w:val="00263710"/>
    <w:rsid w:val="00263A90"/>
    <w:rsid w:val="00263E78"/>
    <w:rsid w:val="0026408B"/>
    <w:rsid w:val="002644D6"/>
    <w:rsid w:val="00264CAD"/>
    <w:rsid w:val="00266874"/>
    <w:rsid w:val="00267469"/>
    <w:rsid w:val="00267A8B"/>
    <w:rsid w:val="00267B15"/>
    <w:rsid w:val="00267C3E"/>
    <w:rsid w:val="00270156"/>
    <w:rsid w:val="002709BB"/>
    <w:rsid w:val="0027131C"/>
    <w:rsid w:val="002726E0"/>
    <w:rsid w:val="00272D5C"/>
    <w:rsid w:val="00273BAC"/>
    <w:rsid w:val="00274418"/>
    <w:rsid w:val="00276019"/>
    <w:rsid w:val="0027603F"/>
    <w:rsid w:val="00276113"/>
    <w:rsid w:val="00276238"/>
    <w:rsid w:val="00276275"/>
    <w:rsid w:val="00276354"/>
    <w:rsid w:val="002763B3"/>
    <w:rsid w:val="00276BBC"/>
    <w:rsid w:val="002802E3"/>
    <w:rsid w:val="00281284"/>
    <w:rsid w:val="002812E4"/>
    <w:rsid w:val="00281824"/>
    <w:rsid w:val="0028213D"/>
    <w:rsid w:val="0028293D"/>
    <w:rsid w:val="002832E8"/>
    <w:rsid w:val="002843E5"/>
    <w:rsid w:val="002862F1"/>
    <w:rsid w:val="00286587"/>
    <w:rsid w:val="002865AA"/>
    <w:rsid w:val="00286A56"/>
    <w:rsid w:val="00286D14"/>
    <w:rsid w:val="00286F9B"/>
    <w:rsid w:val="00287E68"/>
    <w:rsid w:val="00291373"/>
    <w:rsid w:val="00291902"/>
    <w:rsid w:val="00292575"/>
    <w:rsid w:val="00292F45"/>
    <w:rsid w:val="00294093"/>
    <w:rsid w:val="002943B5"/>
    <w:rsid w:val="002945F4"/>
    <w:rsid w:val="00294CE3"/>
    <w:rsid w:val="00295707"/>
    <w:rsid w:val="0029597D"/>
    <w:rsid w:val="002962C3"/>
    <w:rsid w:val="0029752B"/>
    <w:rsid w:val="002975EB"/>
    <w:rsid w:val="0029A3ED"/>
    <w:rsid w:val="002A088D"/>
    <w:rsid w:val="002A0994"/>
    <w:rsid w:val="002A0A9C"/>
    <w:rsid w:val="002A0EC9"/>
    <w:rsid w:val="002A0EFE"/>
    <w:rsid w:val="002A1BCD"/>
    <w:rsid w:val="002A1D60"/>
    <w:rsid w:val="002A2FBB"/>
    <w:rsid w:val="002A319A"/>
    <w:rsid w:val="002A483C"/>
    <w:rsid w:val="002A4E1F"/>
    <w:rsid w:val="002A4E73"/>
    <w:rsid w:val="002A5003"/>
    <w:rsid w:val="002A5A6D"/>
    <w:rsid w:val="002A5AF5"/>
    <w:rsid w:val="002A6C7E"/>
    <w:rsid w:val="002A6E35"/>
    <w:rsid w:val="002A75E4"/>
    <w:rsid w:val="002A7EF9"/>
    <w:rsid w:val="002B0049"/>
    <w:rsid w:val="002B0C7C"/>
    <w:rsid w:val="002B0D38"/>
    <w:rsid w:val="002B0FA6"/>
    <w:rsid w:val="002B1425"/>
    <w:rsid w:val="002B1560"/>
    <w:rsid w:val="002B1663"/>
    <w:rsid w:val="002B1729"/>
    <w:rsid w:val="002B2308"/>
    <w:rsid w:val="002B2A6B"/>
    <w:rsid w:val="002B36C7"/>
    <w:rsid w:val="002B443A"/>
    <w:rsid w:val="002B44A5"/>
    <w:rsid w:val="002B4532"/>
    <w:rsid w:val="002B45C7"/>
    <w:rsid w:val="002B4DD4"/>
    <w:rsid w:val="002B4F99"/>
    <w:rsid w:val="002B5277"/>
    <w:rsid w:val="002B5375"/>
    <w:rsid w:val="002B5F02"/>
    <w:rsid w:val="002B6853"/>
    <w:rsid w:val="002B7747"/>
    <w:rsid w:val="002B77C1"/>
    <w:rsid w:val="002C098A"/>
    <w:rsid w:val="002C0ED7"/>
    <w:rsid w:val="002C1694"/>
    <w:rsid w:val="002C1E4D"/>
    <w:rsid w:val="002C2728"/>
    <w:rsid w:val="002C2E64"/>
    <w:rsid w:val="002C36F0"/>
    <w:rsid w:val="002C41E7"/>
    <w:rsid w:val="002C5B7C"/>
    <w:rsid w:val="002C6336"/>
    <w:rsid w:val="002C6F65"/>
    <w:rsid w:val="002D0504"/>
    <w:rsid w:val="002D17A4"/>
    <w:rsid w:val="002D1E04"/>
    <w:rsid w:val="002D1E0D"/>
    <w:rsid w:val="002D24F5"/>
    <w:rsid w:val="002D42CF"/>
    <w:rsid w:val="002D4B61"/>
    <w:rsid w:val="002D5006"/>
    <w:rsid w:val="002D50AA"/>
    <w:rsid w:val="002D64CC"/>
    <w:rsid w:val="002D67E8"/>
    <w:rsid w:val="002D6F29"/>
    <w:rsid w:val="002D745F"/>
    <w:rsid w:val="002D7780"/>
    <w:rsid w:val="002D7C61"/>
    <w:rsid w:val="002E01D0"/>
    <w:rsid w:val="002E04EB"/>
    <w:rsid w:val="002E161D"/>
    <w:rsid w:val="002E248F"/>
    <w:rsid w:val="002E253C"/>
    <w:rsid w:val="002E2797"/>
    <w:rsid w:val="002E27C5"/>
    <w:rsid w:val="002E2808"/>
    <w:rsid w:val="002E28A2"/>
    <w:rsid w:val="002E3100"/>
    <w:rsid w:val="002E36EE"/>
    <w:rsid w:val="002E38A4"/>
    <w:rsid w:val="002E3F99"/>
    <w:rsid w:val="002E4CF1"/>
    <w:rsid w:val="002E5395"/>
    <w:rsid w:val="002E5AE6"/>
    <w:rsid w:val="002E5DF4"/>
    <w:rsid w:val="002E6448"/>
    <w:rsid w:val="002E6C95"/>
    <w:rsid w:val="002E746B"/>
    <w:rsid w:val="002E7C36"/>
    <w:rsid w:val="002E7C5D"/>
    <w:rsid w:val="002F0071"/>
    <w:rsid w:val="002F0AF7"/>
    <w:rsid w:val="002F0BE9"/>
    <w:rsid w:val="002F1096"/>
    <w:rsid w:val="002F118B"/>
    <w:rsid w:val="002F128F"/>
    <w:rsid w:val="002F15D6"/>
    <w:rsid w:val="002F1AC9"/>
    <w:rsid w:val="002F241E"/>
    <w:rsid w:val="002F3D32"/>
    <w:rsid w:val="002F514C"/>
    <w:rsid w:val="002F53B3"/>
    <w:rsid w:val="002F5DB1"/>
    <w:rsid w:val="002F5F31"/>
    <w:rsid w:val="002F5F46"/>
    <w:rsid w:val="002F6E3F"/>
    <w:rsid w:val="002F73F4"/>
    <w:rsid w:val="002F75AC"/>
    <w:rsid w:val="00300BF2"/>
    <w:rsid w:val="0030112A"/>
    <w:rsid w:val="00302216"/>
    <w:rsid w:val="003028F9"/>
    <w:rsid w:val="00303788"/>
    <w:rsid w:val="00303E53"/>
    <w:rsid w:val="00304E76"/>
    <w:rsid w:val="00305359"/>
    <w:rsid w:val="003058F8"/>
    <w:rsid w:val="00305BDE"/>
    <w:rsid w:val="00305CC1"/>
    <w:rsid w:val="00305D5C"/>
    <w:rsid w:val="00306093"/>
    <w:rsid w:val="0030642D"/>
    <w:rsid w:val="00306B4D"/>
    <w:rsid w:val="00306E5F"/>
    <w:rsid w:val="00307054"/>
    <w:rsid w:val="00307AD1"/>
    <w:rsid w:val="00307E14"/>
    <w:rsid w:val="0031027A"/>
    <w:rsid w:val="00310C34"/>
    <w:rsid w:val="00311F2E"/>
    <w:rsid w:val="00313521"/>
    <w:rsid w:val="00314054"/>
    <w:rsid w:val="0031612B"/>
    <w:rsid w:val="00316F27"/>
    <w:rsid w:val="003214F1"/>
    <w:rsid w:val="00322781"/>
    <w:rsid w:val="00322E4B"/>
    <w:rsid w:val="00324829"/>
    <w:rsid w:val="00325AE1"/>
    <w:rsid w:val="003274C8"/>
    <w:rsid w:val="00327870"/>
    <w:rsid w:val="00327F85"/>
    <w:rsid w:val="00330336"/>
    <w:rsid w:val="0033098D"/>
    <w:rsid w:val="003318C0"/>
    <w:rsid w:val="00331B53"/>
    <w:rsid w:val="00331C2B"/>
    <w:rsid w:val="0033259D"/>
    <w:rsid w:val="003333D2"/>
    <w:rsid w:val="00333E49"/>
    <w:rsid w:val="00334686"/>
    <w:rsid w:val="003348D0"/>
    <w:rsid w:val="0033580B"/>
    <w:rsid w:val="00335827"/>
    <w:rsid w:val="00336CCB"/>
    <w:rsid w:val="00337339"/>
    <w:rsid w:val="0033787A"/>
    <w:rsid w:val="00340345"/>
    <w:rsid w:val="00340493"/>
    <w:rsid w:val="003406C6"/>
    <w:rsid w:val="003406F7"/>
    <w:rsid w:val="003418CC"/>
    <w:rsid w:val="003434EE"/>
    <w:rsid w:val="00343D6A"/>
    <w:rsid w:val="00345040"/>
    <w:rsid w:val="00345316"/>
    <w:rsid w:val="003459BD"/>
    <w:rsid w:val="0034743A"/>
    <w:rsid w:val="00350D38"/>
    <w:rsid w:val="00350E5D"/>
    <w:rsid w:val="00351B36"/>
    <w:rsid w:val="00353547"/>
    <w:rsid w:val="0035404C"/>
    <w:rsid w:val="0035420E"/>
    <w:rsid w:val="00354798"/>
    <w:rsid w:val="003559E2"/>
    <w:rsid w:val="00355AB7"/>
    <w:rsid w:val="00356121"/>
    <w:rsid w:val="00356702"/>
    <w:rsid w:val="00356A6F"/>
    <w:rsid w:val="00356C9C"/>
    <w:rsid w:val="00357705"/>
    <w:rsid w:val="0035778B"/>
    <w:rsid w:val="00357B4E"/>
    <w:rsid w:val="003606D5"/>
    <w:rsid w:val="00360A17"/>
    <w:rsid w:val="003612CB"/>
    <w:rsid w:val="00362161"/>
    <w:rsid w:val="003629CF"/>
    <w:rsid w:val="00363E93"/>
    <w:rsid w:val="00364887"/>
    <w:rsid w:val="00365267"/>
    <w:rsid w:val="00366F2D"/>
    <w:rsid w:val="003716FD"/>
    <w:rsid w:val="0037204B"/>
    <w:rsid w:val="00373654"/>
    <w:rsid w:val="00373BEC"/>
    <w:rsid w:val="003742BF"/>
    <w:rsid w:val="003744CF"/>
    <w:rsid w:val="00374717"/>
    <w:rsid w:val="00374F74"/>
    <w:rsid w:val="00375543"/>
    <w:rsid w:val="0037676C"/>
    <w:rsid w:val="003804A7"/>
    <w:rsid w:val="00380D49"/>
    <w:rsid w:val="00381043"/>
    <w:rsid w:val="0038107A"/>
    <w:rsid w:val="003815A7"/>
    <w:rsid w:val="00381B95"/>
    <w:rsid w:val="00382251"/>
    <w:rsid w:val="00382709"/>
    <w:rsid w:val="003829E5"/>
    <w:rsid w:val="00383D00"/>
    <w:rsid w:val="00384575"/>
    <w:rsid w:val="0038465D"/>
    <w:rsid w:val="00384C46"/>
    <w:rsid w:val="00384FD2"/>
    <w:rsid w:val="00385734"/>
    <w:rsid w:val="003857AB"/>
    <w:rsid w:val="00385D1A"/>
    <w:rsid w:val="00385D3E"/>
    <w:rsid w:val="00386109"/>
    <w:rsid w:val="00386280"/>
    <w:rsid w:val="00386944"/>
    <w:rsid w:val="00387793"/>
    <w:rsid w:val="00391393"/>
    <w:rsid w:val="00392859"/>
    <w:rsid w:val="00393A78"/>
    <w:rsid w:val="003941AF"/>
    <w:rsid w:val="00394799"/>
    <w:rsid w:val="003947A6"/>
    <w:rsid w:val="003948F6"/>
    <w:rsid w:val="003956CC"/>
    <w:rsid w:val="00395C9A"/>
    <w:rsid w:val="00395F5A"/>
    <w:rsid w:val="00396F09"/>
    <w:rsid w:val="00397F29"/>
    <w:rsid w:val="003A008D"/>
    <w:rsid w:val="003A0853"/>
    <w:rsid w:val="003A2303"/>
    <w:rsid w:val="003A29CC"/>
    <w:rsid w:val="003A3342"/>
    <w:rsid w:val="003A41B0"/>
    <w:rsid w:val="003A459E"/>
    <w:rsid w:val="003A4974"/>
    <w:rsid w:val="003A4C67"/>
    <w:rsid w:val="003A4EDB"/>
    <w:rsid w:val="003A6B67"/>
    <w:rsid w:val="003A784B"/>
    <w:rsid w:val="003B0ACE"/>
    <w:rsid w:val="003B107C"/>
    <w:rsid w:val="003B13B6"/>
    <w:rsid w:val="003B1448"/>
    <w:rsid w:val="003B14C3"/>
    <w:rsid w:val="003B15E6"/>
    <w:rsid w:val="003B22EF"/>
    <w:rsid w:val="003B2DE0"/>
    <w:rsid w:val="003B408A"/>
    <w:rsid w:val="003B455A"/>
    <w:rsid w:val="003B50B2"/>
    <w:rsid w:val="003B6721"/>
    <w:rsid w:val="003B6B5B"/>
    <w:rsid w:val="003B6F63"/>
    <w:rsid w:val="003B72F5"/>
    <w:rsid w:val="003B7C0D"/>
    <w:rsid w:val="003C02B2"/>
    <w:rsid w:val="003C08A2"/>
    <w:rsid w:val="003C0B1E"/>
    <w:rsid w:val="003C150C"/>
    <w:rsid w:val="003C1565"/>
    <w:rsid w:val="003C1A6D"/>
    <w:rsid w:val="003C1C1D"/>
    <w:rsid w:val="003C2045"/>
    <w:rsid w:val="003C27D4"/>
    <w:rsid w:val="003C29F2"/>
    <w:rsid w:val="003C343F"/>
    <w:rsid w:val="003C39C2"/>
    <w:rsid w:val="003C43A1"/>
    <w:rsid w:val="003C4CFB"/>
    <w:rsid w:val="003C4FC0"/>
    <w:rsid w:val="003C55F4"/>
    <w:rsid w:val="003C6599"/>
    <w:rsid w:val="003C6B1F"/>
    <w:rsid w:val="003C7195"/>
    <w:rsid w:val="003C7252"/>
    <w:rsid w:val="003C73B1"/>
    <w:rsid w:val="003C7897"/>
    <w:rsid w:val="003C7A3F"/>
    <w:rsid w:val="003D110F"/>
    <w:rsid w:val="003D1952"/>
    <w:rsid w:val="003D1BFB"/>
    <w:rsid w:val="003D2766"/>
    <w:rsid w:val="003D278B"/>
    <w:rsid w:val="003D2A74"/>
    <w:rsid w:val="003D2C17"/>
    <w:rsid w:val="003D3D88"/>
    <w:rsid w:val="003D3E8F"/>
    <w:rsid w:val="003D4229"/>
    <w:rsid w:val="003D540D"/>
    <w:rsid w:val="003D5BA4"/>
    <w:rsid w:val="003D6475"/>
    <w:rsid w:val="003D6EE6"/>
    <w:rsid w:val="003D7FE1"/>
    <w:rsid w:val="003E0095"/>
    <w:rsid w:val="003E0280"/>
    <w:rsid w:val="003E307B"/>
    <w:rsid w:val="003E330C"/>
    <w:rsid w:val="003E3441"/>
    <w:rsid w:val="003E375C"/>
    <w:rsid w:val="003E385D"/>
    <w:rsid w:val="003E3AA1"/>
    <w:rsid w:val="003E3B33"/>
    <w:rsid w:val="003E4086"/>
    <w:rsid w:val="003E4133"/>
    <w:rsid w:val="003E4162"/>
    <w:rsid w:val="003E578A"/>
    <w:rsid w:val="003E5BFE"/>
    <w:rsid w:val="003E605E"/>
    <w:rsid w:val="003E639E"/>
    <w:rsid w:val="003E6D86"/>
    <w:rsid w:val="003E71B3"/>
    <w:rsid w:val="003E71E5"/>
    <w:rsid w:val="003F0445"/>
    <w:rsid w:val="003F0CF0"/>
    <w:rsid w:val="003F14B1"/>
    <w:rsid w:val="003F18E4"/>
    <w:rsid w:val="003F1A15"/>
    <w:rsid w:val="003F2A13"/>
    <w:rsid w:val="003F2B20"/>
    <w:rsid w:val="003F2ED3"/>
    <w:rsid w:val="003F3289"/>
    <w:rsid w:val="003F3938"/>
    <w:rsid w:val="003F3C62"/>
    <w:rsid w:val="003F3DCE"/>
    <w:rsid w:val="003F44CD"/>
    <w:rsid w:val="003F4DD3"/>
    <w:rsid w:val="003F55EC"/>
    <w:rsid w:val="003F5CB9"/>
    <w:rsid w:val="003F5F5E"/>
    <w:rsid w:val="003F6A50"/>
    <w:rsid w:val="003F6FB0"/>
    <w:rsid w:val="003F7944"/>
    <w:rsid w:val="003F7DB9"/>
    <w:rsid w:val="004013C7"/>
    <w:rsid w:val="00401F5D"/>
    <w:rsid w:val="00401F74"/>
    <w:rsid w:val="00401FCF"/>
    <w:rsid w:val="004034A4"/>
    <w:rsid w:val="00403CF1"/>
    <w:rsid w:val="00403E05"/>
    <w:rsid w:val="004041A9"/>
    <w:rsid w:val="0040461B"/>
    <w:rsid w:val="00405079"/>
    <w:rsid w:val="004053EE"/>
    <w:rsid w:val="00405A0B"/>
    <w:rsid w:val="00405BF2"/>
    <w:rsid w:val="00406285"/>
    <w:rsid w:val="00407FE6"/>
    <w:rsid w:val="004115A2"/>
    <w:rsid w:val="004132A2"/>
    <w:rsid w:val="004136DE"/>
    <w:rsid w:val="00413950"/>
    <w:rsid w:val="0041465D"/>
    <w:rsid w:val="004148F9"/>
    <w:rsid w:val="00414E5F"/>
    <w:rsid w:val="004167A2"/>
    <w:rsid w:val="00417319"/>
    <w:rsid w:val="0041733A"/>
    <w:rsid w:val="00417A69"/>
    <w:rsid w:val="00417BFE"/>
    <w:rsid w:val="00417C9A"/>
    <w:rsid w:val="0042084E"/>
    <w:rsid w:val="004208E1"/>
    <w:rsid w:val="0042093C"/>
    <w:rsid w:val="004210BC"/>
    <w:rsid w:val="00421968"/>
    <w:rsid w:val="00421EEF"/>
    <w:rsid w:val="00422121"/>
    <w:rsid w:val="00422217"/>
    <w:rsid w:val="0042232F"/>
    <w:rsid w:val="00422CFF"/>
    <w:rsid w:val="00422F86"/>
    <w:rsid w:val="00423112"/>
    <w:rsid w:val="0042324F"/>
    <w:rsid w:val="00423323"/>
    <w:rsid w:val="00423571"/>
    <w:rsid w:val="00423E13"/>
    <w:rsid w:val="00424CA8"/>
    <w:rsid w:val="00424D65"/>
    <w:rsid w:val="00424EB3"/>
    <w:rsid w:val="0042538C"/>
    <w:rsid w:val="0042542C"/>
    <w:rsid w:val="00425FE8"/>
    <w:rsid w:val="00426414"/>
    <w:rsid w:val="00426F6B"/>
    <w:rsid w:val="004277A0"/>
    <w:rsid w:val="00430393"/>
    <w:rsid w:val="00430433"/>
    <w:rsid w:val="00431070"/>
    <w:rsid w:val="0043115B"/>
    <w:rsid w:val="00431806"/>
    <w:rsid w:val="00431A70"/>
    <w:rsid w:val="00431C3C"/>
    <w:rsid w:val="00431F42"/>
    <w:rsid w:val="004320C5"/>
    <w:rsid w:val="0043275E"/>
    <w:rsid w:val="00432A88"/>
    <w:rsid w:val="00434013"/>
    <w:rsid w:val="00435920"/>
    <w:rsid w:val="00436595"/>
    <w:rsid w:val="00437F60"/>
    <w:rsid w:val="004418A5"/>
    <w:rsid w:val="00441C2A"/>
    <w:rsid w:val="00442C6C"/>
    <w:rsid w:val="00443CBE"/>
    <w:rsid w:val="00443E8A"/>
    <w:rsid w:val="0044403D"/>
    <w:rsid w:val="00444128"/>
    <w:rsid w:val="004441BC"/>
    <w:rsid w:val="00444609"/>
    <w:rsid w:val="00444FBD"/>
    <w:rsid w:val="00445DBF"/>
    <w:rsid w:val="004468B4"/>
    <w:rsid w:val="00446D86"/>
    <w:rsid w:val="00447B79"/>
    <w:rsid w:val="00450063"/>
    <w:rsid w:val="00450555"/>
    <w:rsid w:val="0045183A"/>
    <w:rsid w:val="00451E03"/>
    <w:rsid w:val="00451FDD"/>
    <w:rsid w:val="0045230A"/>
    <w:rsid w:val="004526EE"/>
    <w:rsid w:val="00452FD1"/>
    <w:rsid w:val="00453640"/>
    <w:rsid w:val="00453730"/>
    <w:rsid w:val="00453B13"/>
    <w:rsid w:val="00453C79"/>
    <w:rsid w:val="00453D6B"/>
    <w:rsid w:val="00453F50"/>
    <w:rsid w:val="00454431"/>
    <w:rsid w:val="00454672"/>
    <w:rsid w:val="00454A7D"/>
    <w:rsid w:val="00454AD0"/>
    <w:rsid w:val="00454DA1"/>
    <w:rsid w:val="00455771"/>
    <w:rsid w:val="0045592C"/>
    <w:rsid w:val="00455AB8"/>
    <w:rsid w:val="00455CF4"/>
    <w:rsid w:val="004560D9"/>
    <w:rsid w:val="00456474"/>
    <w:rsid w:val="00457337"/>
    <w:rsid w:val="00460C6D"/>
    <w:rsid w:val="00460D41"/>
    <w:rsid w:val="00461147"/>
    <w:rsid w:val="00461C0C"/>
    <w:rsid w:val="0046203F"/>
    <w:rsid w:val="0046231D"/>
    <w:rsid w:val="00462E3D"/>
    <w:rsid w:val="004634C3"/>
    <w:rsid w:val="00463D40"/>
    <w:rsid w:val="00463F59"/>
    <w:rsid w:val="00464353"/>
    <w:rsid w:val="00464576"/>
    <w:rsid w:val="00464C46"/>
    <w:rsid w:val="00466E79"/>
    <w:rsid w:val="00467A67"/>
    <w:rsid w:val="00467F3F"/>
    <w:rsid w:val="00470D7D"/>
    <w:rsid w:val="004722CB"/>
    <w:rsid w:val="004728F4"/>
    <w:rsid w:val="00472B31"/>
    <w:rsid w:val="0047372D"/>
    <w:rsid w:val="00473BA3"/>
    <w:rsid w:val="00473E8E"/>
    <w:rsid w:val="004741FC"/>
    <w:rsid w:val="004743DD"/>
    <w:rsid w:val="00474CEA"/>
    <w:rsid w:val="0048051F"/>
    <w:rsid w:val="004813E6"/>
    <w:rsid w:val="00481632"/>
    <w:rsid w:val="004825BF"/>
    <w:rsid w:val="004826A4"/>
    <w:rsid w:val="00482738"/>
    <w:rsid w:val="004828D0"/>
    <w:rsid w:val="0048297A"/>
    <w:rsid w:val="004837ED"/>
    <w:rsid w:val="00483968"/>
    <w:rsid w:val="004841BE"/>
    <w:rsid w:val="00484F86"/>
    <w:rsid w:val="00485B39"/>
    <w:rsid w:val="00485CED"/>
    <w:rsid w:val="00485F41"/>
    <w:rsid w:val="00487E12"/>
    <w:rsid w:val="004901FE"/>
    <w:rsid w:val="00490746"/>
    <w:rsid w:val="00490852"/>
    <w:rsid w:val="00491C9C"/>
    <w:rsid w:val="00491EA9"/>
    <w:rsid w:val="00492643"/>
    <w:rsid w:val="00492F30"/>
    <w:rsid w:val="00492F35"/>
    <w:rsid w:val="004946F4"/>
    <w:rsid w:val="004947E5"/>
    <w:rsid w:val="0049487E"/>
    <w:rsid w:val="00495268"/>
    <w:rsid w:val="004958BC"/>
    <w:rsid w:val="0049631D"/>
    <w:rsid w:val="00496503"/>
    <w:rsid w:val="00496B34"/>
    <w:rsid w:val="00496D81"/>
    <w:rsid w:val="00497004"/>
    <w:rsid w:val="004972EA"/>
    <w:rsid w:val="004979BE"/>
    <w:rsid w:val="00497FE2"/>
    <w:rsid w:val="004A0733"/>
    <w:rsid w:val="004A0809"/>
    <w:rsid w:val="004A0DDB"/>
    <w:rsid w:val="004A160D"/>
    <w:rsid w:val="004A2252"/>
    <w:rsid w:val="004A2AD9"/>
    <w:rsid w:val="004A2F64"/>
    <w:rsid w:val="004A31B1"/>
    <w:rsid w:val="004A3E81"/>
    <w:rsid w:val="004A4195"/>
    <w:rsid w:val="004A5BE5"/>
    <w:rsid w:val="004A5C62"/>
    <w:rsid w:val="004A5CE5"/>
    <w:rsid w:val="004A707D"/>
    <w:rsid w:val="004A7152"/>
    <w:rsid w:val="004A71E6"/>
    <w:rsid w:val="004B0974"/>
    <w:rsid w:val="004B0B54"/>
    <w:rsid w:val="004B0D2F"/>
    <w:rsid w:val="004B159A"/>
    <w:rsid w:val="004B29C8"/>
    <w:rsid w:val="004B2F10"/>
    <w:rsid w:val="004B353C"/>
    <w:rsid w:val="004B3631"/>
    <w:rsid w:val="004B4185"/>
    <w:rsid w:val="004B4F51"/>
    <w:rsid w:val="004B6673"/>
    <w:rsid w:val="004B6791"/>
    <w:rsid w:val="004B6DD1"/>
    <w:rsid w:val="004C0995"/>
    <w:rsid w:val="004C0BA2"/>
    <w:rsid w:val="004C0C5F"/>
    <w:rsid w:val="004C0F2E"/>
    <w:rsid w:val="004C1B29"/>
    <w:rsid w:val="004C2389"/>
    <w:rsid w:val="004C2B59"/>
    <w:rsid w:val="004C2BBA"/>
    <w:rsid w:val="004C5541"/>
    <w:rsid w:val="004C6E6D"/>
    <w:rsid w:val="004C6EEE"/>
    <w:rsid w:val="004C702B"/>
    <w:rsid w:val="004C7430"/>
    <w:rsid w:val="004D0033"/>
    <w:rsid w:val="004D016B"/>
    <w:rsid w:val="004D0829"/>
    <w:rsid w:val="004D10EC"/>
    <w:rsid w:val="004D18C1"/>
    <w:rsid w:val="004D1B22"/>
    <w:rsid w:val="004D1CC8"/>
    <w:rsid w:val="004D2254"/>
    <w:rsid w:val="004D23CC"/>
    <w:rsid w:val="004D34C4"/>
    <w:rsid w:val="004D36F2"/>
    <w:rsid w:val="004D3990"/>
    <w:rsid w:val="004D3D2E"/>
    <w:rsid w:val="004D3E85"/>
    <w:rsid w:val="004D50D1"/>
    <w:rsid w:val="004D59DF"/>
    <w:rsid w:val="004D5BCC"/>
    <w:rsid w:val="004D7463"/>
    <w:rsid w:val="004D7FFE"/>
    <w:rsid w:val="004E1106"/>
    <w:rsid w:val="004E138F"/>
    <w:rsid w:val="004E1EF2"/>
    <w:rsid w:val="004E4649"/>
    <w:rsid w:val="004E48B8"/>
    <w:rsid w:val="004E5A70"/>
    <w:rsid w:val="004E5C2B"/>
    <w:rsid w:val="004E6A27"/>
    <w:rsid w:val="004E7530"/>
    <w:rsid w:val="004E7FE3"/>
    <w:rsid w:val="004F00DD"/>
    <w:rsid w:val="004F0CB8"/>
    <w:rsid w:val="004F0F25"/>
    <w:rsid w:val="004F13C2"/>
    <w:rsid w:val="004F2133"/>
    <w:rsid w:val="004F2172"/>
    <w:rsid w:val="004F432B"/>
    <w:rsid w:val="004F43FF"/>
    <w:rsid w:val="004F4B84"/>
    <w:rsid w:val="004F4D2A"/>
    <w:rsid w:val="004F5398"/>
    <w:rsid w:val="004F55F1"/>
    <w:rsid w:val="004F6936"/>
    <w:rsid w:val="004F6C73"/>
    <w:rsid w:val="004F73C0"/>
    <w:rsid w:val="004F7B35"/>
    <w:rsid w:val="004F7BE5"/>
    <w:rsid w:val="00500151"/>
    <w:rsid w:val="00500CDB"/>
    <w:rsid w:val="005013BE"/>
    <w:rsid w:val="00501FB2"/>
    <w:rsid w:val="00503C4D"/>
    <w:rsid w:val="00503DC6"/>
    <w:rsid w:val="00503DF5"/>
    <w:rsid w:val="00504DFD"/>
    <w:rsid w:val="0050505E"/>
    <w:rsid w:val="00506F5D"/>
    <w:rsid w:val="00510812"/>
    <w:rsid w:val="00510C37"/>
    <w:rsid w:val="00511632"/>
    <w:rsid w:val="00511937"/>
    <w:rsid w:val="005126D0"/>
    <w:rsid w:val="00514667"/>
    <w:rsid w:val="00515353"/>
    <w:rsid w:val="0051568D"/>
    <w:rsid w:val="00515FD6"/>
    <w:rsid w:val="00516158"/>
    <w:rsid w:val="005162E2"/>
    <w:rsid w:val="00516CCC"/>
    <w:rsid w:val="00517482"/>
    <w:rsid w:val="005205E9"/>
    <w:rsid w:val="0052077E"/>
    <w:rsid w:val="005207C6"/>
    <w:rsid w:val="00520D2F"/>
    <w:rsid w:val="00521AF6"/>
    <w:rsid w:val="00521B80"/>
    <w:rsid w:val="0052287F"/>
    <w:rsid w:val="00523044"/>
    <w:rsid w:val="0052335A"/>
    <w:rsid w:val="00523585"/>
    <w:rsid w:val="00523C51"/>
    <w:rsid w:val="00523CDF"/>
    <w:rsid w:val="00523ECE"/>
    <w:rsid w:val="00524E34"/>
    <w:rsid w:val="005264DB"/>
    <w:rsid w:val="0052661D"/>
    <w:rsid w:val="00526AC7"/>
    <w:rsid w:val="00526BFD"/>
    <w:rsid w:val="00526C15"/>
    <w:rsid w:val="00527663"/>
    <w:rsid w:val="005304BF"/>
    <w:rsid w:val="00532D69"/>
    <w:rsid w:val="005343A0"/>
    <w:rsid w:val="00534D90"/>
    <w:rsid w:val="00534F18"/>
    <w:rsid w:val="00535492"/>
    <w:rsid w:val="005362F9"/>
    <w:rsid w:val="00536499"/>
    <w:rsid w:val="0053653C"/>
    <w:rsid w:val="00537568"/>
    <w:rsid w:val="00540473"/>
    <w:rsid w:val="0054091B"/>
    <w:rsid w:val="00540D3C"/>
    <w:rsid w:val="00542A03"/>
    <w:rsid w:val="00542A55"/>
    <w:rsid w:val="00543903"/>
    <w:rsid w:val="00543BCC"/>
    <w:rsid w:val="00543F11"/>
    <w:rsid w:val="00544135"/>
    <w:rsid w:val="0054418A"/>
    <w:rsid w:val="00544F7F"/>
    <w:rsid w:val="00546305"/>
    <w:rsid w:val="005472BA"/>
    <w:rsid w:val="00547814"/>
    <w:rsid w:val="00547A95"/>
    <w:rsid w:val="005506B8"/>
    <w:rsid w:val="00550D32"/>
    <w:rsid w:val="0055119B"/>
    <w:rsid w:val="00552165"/>
    <w:rsid w:val="00552EB9"/>
    <w:rsid w:val="00554BA2"/>
    <w:rsid w:val="005556A6"/>
    <w:rsid w:val="005558D0"/>
    <w:rsid w:val="005569B2"/>
    <w:rsid w:val="00557B60"/>
    <w:rsid w:val="00557FB4"/>
    <w:rsid w:val="00560981"/>
    <w:rsid w:val="00561202"/>
    <w:rsid w:val="00561728"/>
    <w:rsid w:val="00561D72"/>
    <w:rsid w:val="00562507"/>
    <w:rsid w:val="00562793"/>
    <w:rsid w:val="00562811"/>
    <w:rsid w:val="00562FF0"/>
    <w:rsid w:val="00563973"/>
    <w:rsid w:val="00563FA7"/>
    <w:rsid w:val="005651E4"/>
    <w:rsid w:val="0056673D"/>
    <w:rsid w:val="005668E7"/>
    <w:rsid w:val="0056790C"/>
    <w:rsid w:val="00567967"/>
    <w:rsid w:val="00567F9D"/>
    <w:rsid w:val="00570148"/>
    <w:rsid w:val="005703FD"/>
    <w:rsid w:val="00570B0A"/>
    <w:rsid w:val="00572031"/>
    <w:rsid w:val="00572282"/>
    <w:rsid w:val="00573CE3"/>
    <w:rsid w:val="00574523"/>
    <w:rsid w:val="00575F35"/>
    <w:rsid w:val="00575F7E"/>
    <w:rsid w:val="00576E84"/>
    <w:rsid w:val="00580394"/>
    <w:rsid w:val="005809CD"/>
    <w:rsid w:val="00581918"/>
    <w:rsid w:val="00581FFF"/>
    <w:rsid w:val="0058229C"/>
    <w:rsid w:val="0058259E"/>
    <w:rsid w:val="005826FC"/>
    <w:rsid w:val="00582B8C"/>
    <w:rsid w:val="00582C55"/>
    <w:rsid w:val="00583438"/>
    <w:rsid w:val="00583BE1"/>
    <w:rsid w:val="005846C2"/>
    <w:rsid w:val="00584E0A"/>
    <w:rsid w:val="005853E5"/>
    <w:rsid w:val="0058550B"/>
    <w:rsid w:val="0058757E"/>
    <w:rsid w:val="00590D32"/>
    <w:rsid w:val="00591747"/>
    <w:rsid w:val="005923F7"/>
    <w:rsid w:val="00592C3E"/>
    <w:rsid w:val="005941E6"/>
    <w:rsid w:val="005961AA"/>
    <w:rsid w:val="00596779"/>
    <w:rsid w:val="00596A4B"/>
    <w:rsid w:val="00596D17"/>
    <w:rsid w:val="005973E4"/>
    <w:rsid w:val="00597507"/>
    <w:rsid w:val="005975CC"/>
    <w:rsid w:val="00597D6D"/>
    <w:rsid w:val="00597F5C"/>
    <w:rsid w:val="005A03A9"/>
    <w:rsid w:val="005A0D56"/>
    <w:rsid w:val="005A150D"/>
    <w:rsid w:val="005A18F8"/>
    <w:rsid w:val="005A1E84"/>
    <w:rsid w:val="005A3641"/>
    <w:rsid w:val="005A44BE"/>
    <w:rsid w:val="005A479D"/>
    <w:rsid w:val="005A4D67"/>
    <w:rsid w:val="005A5792"/>
    <w:rsid w:val="005A6298"/>
    <w:rsid w:val="005A6418"/>
    <w:rsid w:val="005A70C5"/>
    <w:rsid w:val="005A7F15"/>
    <w:rsid w:val="005B01AB"/>
    <w:rsid w:val="005B1C6D"/>
    <w:rsid w:val="005B203C"/>
    <w:rsid w:val="005B21B6"/>
    <w:rsid w:val="005B27E6"/>
    <w:rsid w:val="005B2A5D"/>
    <w:rsid w:val="005B2EE6"/>
    <w:rsid w:val="005B3A08"/>
    <w:rsid w:val="005B3E23"/>
    <w:rsid w:val="005B462F"/>
    <w:rsid w:val="005B5329"/>
    <w:rsid w:val="005B5412"/>
    <w:rsid w:val="005B5A99"/>
    <w:rsid w:val="005B6701"/>
    <w:rsid w:val="005B69A3"/>
    <w:rsid w:val="005B6A11"/>
    <w:rsid w:val="005B7A63"/>
    <w:rsid w:val="005C0955"/>
    <w:rsid w:val="005C0BCC"/>
    <w:rsid w:val="005C1B95"/>
    <w:rsid w:val="005C1CAA"/>
    <w:rsid w:val="005C27A2"/>
    <w:rsid w:val="005C2C46"/>
    <w:rsid w:val="005C35FE"/>
    <w:rsid w:val="005C476B"/>
    <w:rsid w:val="005C49DA"/>
    <w:rsid w:val="005C50F3"/>
    <w:rsid w:val="005C54B5"/>
    <w:rsid w:val="005C5B68"/>
    <w:rsid w:val="005C5D80"/>
    <w:rsid w:val="005C5D91"/>
    <w:rsid w:val="005C73F6"/>
    <w:rsid w:val="005C7619"/>
    <w:rsid w:val="005C7DEF"/>
    <w:rsid w:val="005C7E96"/>
    <w:rsid w:val="005D07B8"/>
    <w:rsid w:val="005D0933"/>
    <w:rsid w:val="005D0CD7"/>
    <w:rsid w:val="005D1260"/>
    <w:rsid w:val="005D14DC"/>
    <w:rsid w:val="005D3FEE"/>
    <w:rsid w:val="005D4BF1"/>
    <w:rsid w:val="005D527B"/>
    <w:rsid w:val="005D6597"/>
    <w:rsid w:val="005D7744"/>
    <w:rsid w:val="005D781A"/>
    <w:rsid w:val="005E03DC"/>
    <w:rsid w:val="005E14E7"/>
    <w:rsid w:val="005E26A3"/>
    <w:rsid w:val="005E2DDF"/>
    <w:rsid w:val="005E2ECB"/>
    <w:rsid w:val="005E447E"/>
    <w:rsid w:val="005E4FD1"/>
    <w:rsid w:val="005E5424"/>
    <w:rsid w:val="005E5878"/>
    <w:rsid w:val="005E611A"/>
    <w:rsid w:val="005F0150"/>
    <w:rsid w:val="005F01DD"/>
    <w:rsid w:val="005F0572"/>
    <w:rsid w:val="005F0775"/>
    <w:rsid w:val="005F07B4"/>
    <w:rsid w:val="005F0B4D"/>
    <w:rsid w:val="005F0CF5"/>
    <w:rsid w:val="005F10DE"/>
    <w:rsid w:val="005F21EB"/>
    <w:rsid w:val="005F227B"/>
    <w:rsid w:val="005F2979"/>
    <w:rsid w:val="005F304E"/>
    <w:rsid w:val="005F32AC"/>
    <w:rsid w:val="005F364C"/>
    <w:rsid w:val="005F3D13"/>
    <w:rsid w:val="005F424B"/>
    <w:rsid w:val="005F538C"/>
    <w:rsid w:val="005F561D"/>
    <w:rsid w:val="005F59D4"/>
    <w:rsid w:val="005F5D28"/>
    <w:rsid w:val="005F64CF"/>
    <w:rsid w:val="005F68BA"/>
    <w:rsid w:val="006003DA"/>
    <w:rsid w:val="00601764"/>
    <w:rsid w:val="0060223D"/>
    <w:rsid w:val="006041AD"/>
    <w:rsid w:val="0060482B"/>
    <w:rsid w:val="006048A2"/>
    <w:rsid w:val="00604B70"/>
    <w:rsid w:val="00605908"/>
    <w:rsid w:val="0060657A"/>
    <w:rsid w:val="006075CB"/>
    <w:rsid w:val="00607850"/>
    <w:rsid w:val="00607B79"/>
    <w:rsid w:val="00607EF7"/>
    <w:rsid w:val="00610A70"/>
    <w:rsid w:val="00610D7C"/>
    <w:rsid w:val="006112E8"/>
    <w:rsid w:val="00611533"/>
    <w:rsid w:val="00612DFB"/>
    <w:rsid w:val="00612F0A"/>
    <w:rsid w:val="00613414"/>
    <w:rsid w:val="0061357A"/>
    <w:rsid w:val="00613610"/>
    <w:rsid w:val="00613F36"/>
    <w:rsid w:val="006171AD"/>
    <w:rsid w:val="00620154"/>
    <w:rsid w:val="0062129D"/>
    <w:rsid w:val="00622111"/>
    <w:rsid w:val="0062408D"/>
    <w:rsid w:val="006240CC"/>
    <w:rsid w:val="00624338"/>
    <w:rsid w:val="00624706"/>
    <w:rsid w:val="00624812"/>
    <w:rsid w:val="00624940"/>
    <w:rsid w:val="00624B80"/>
    <w:rsid w:val="00624F09"/>
    <w:rsid w:val="006254F8"/>
    <w:rsid w:val="00625B6A"/>
    <w:rsid w:val="00626DFB"/>
    <w:rsid w:val="006277F8"/>
    <w:rsid w:val="00627DA7"/>
    <w:rsid w:val="0063059B"/>
    <w:rsid w:val="00630B92"/>
    <w:rsid w:val="00630D96"/>
    <w:rsid w:val="00630DA4"/>
    <w:rsid w:val="00631BE4"/>
    <w:rsid w:val="00631CD4"/>
    <w:rsid w:val="00632597"/>
    <w:rsid w:val="00633135"/>
    <w:rsid w:val="00633A6E"/>
    <w:rsid w:val="00633EA5"/>
    <w:rsid w:val="006346A5"/>
    <w:rsid w:val="00634828"/>
    <w:rsid w:val="00634978"/>
    <w:rsid w:val="00634D13"/>
    <w:rsid w:val="006358B4"/>
    <w:rsid w:val="006363C2"/>
    <w:rsid w:val="00636DDB"/>
    <w:rsid w:val="00640DFE"/>
    <w:rsid w:val="00641724"/>
    <w:rsid w:val="006419AA"/>
    <w:rsid w:val="006425E5"/>
    <w:rsid w:val="00643026"/>
    <w:rsid w:val="0064343F"/>
    <w:rsid w:val="00643C93"/>
    <w:rsid w:val="006449CD"/>
    <w:rsid w:val="00644B1F"/>
    <w:rsid w:val="00644B7E"/>
    <w:rsid w:val="00645067"/>
    <w:rsid w:val="006454E6"/>
    <w:rsid w:val="00646235"/>
    <w:rsid w:val="00646253"/>
    <w:rsid w:val="006468CA"/>
    <w:rsid w:val="00646A68"/>
    <w:rsid w:val="00646C43"/>
    <w:rsid w:val="006505BD"/>
    <w:rsid w:val="006508EA"/>
    <w:rsid w:val="0065092E"/>
    <w:rsid w:val="00650B1B"/>
    <w:rsid w:val="00650FC1"/>
    <w:rsid w:val="00651489"/>
    <w:rsid w:val="006532DF"/>
    <w:rsid w:val="00653472"/>
    <w:rsid w:val="0065462A"/>
    <w:rsid w:val="00654A38"/>
    <w:rsid w:val="00654B30"/>
    <w:rsid w:val="006557A7"/>
    <w:rsid w:val="00655B01"/>
    <w:rsid w:val="00655B8F"/>
    <w:rsid w:val="00656290"/>
    <w:rsid w:val="00656744"/>
    <w:rsid w:val="00656A98"/>
    <w:rsid w:val="00657571"/>
    <w:rsid w:val="00657C11"/>
    <w:rsid w:val="006601C9"/>
    <w:rsid w:val="0066037D"/>
    <w:rsid w:val="006608D8"/>
    <w:rsid w:val="0066099C"/>
    <w:rsid w:val="006619E4"/>
    <w:rsid w:val="006621D7"/>
    <w:rsid w:val="006625A1"/>
    <w:rsid w:val="00662C4E"/>
    <w:rsid w:val="00662CB4"/>
    <w:rsid w:val="0066302A"/>
    <w:rsid w:val="0066355A"/>
    <w:rsid w:val="006645DC"/>
    <w:rsid w:val="006646D9"/>
    <w:rsid w:val="00664A1E"/>
    <w:rsid w:val="006654E4"/>
    <w:rsid w:val="0066581D"/>
    <w:rsid w:val="00665C1E"/>
    <w:rsid w:val="00666E0A"/>
    <w:rsid w:val="00667770"/>
    <w:rsid w:val="00667F6B"/>
    <w:rsid w:val="0067029B"/>
    <w:rsid w:val="00670597"/>
    <w:rsid w:val="006706D0"/>
    <w:rsid w:val="00670977"/>
    <w:rsid w:val="00670FCA"/>
    <w:rsid w:val="00671919"/>
    <w:rsid w:val="00673E48"/>
    <w:rsid w:val="00673F39"/>
    <w:rsid w:val="00675E99"/>
    <w:rsid w:val="0067640A"/>
    <w:rsid w:val="00677574"/>
    <w:rsid w:val="00677986"/>
    <w:rsid w:val="006812ED"/>
    <w:rsid w:val="00683878"/>
    <w:rsid w:val="00684380"/>
    <w:rsid w:val="0068454C"/>
    <w:rsid w:val="00684974"/>
    <w:rsid w:val="006850F6"/>
    <w:rsid w:val="006851D7"/>
    <w:rsid w:val="006859AA"/>
    <w:rsid w:val="00685A10"/>
    <w:rsid w:val="00685CA2"/>
    <w:rsid w:val="006864AC"/>
    <w:rsid w:val="00686A3F"/>
    <w:rsid w:val="00686FE6"/>
    <w:rsid w:val="00687EDD"/>
    <w:rsid w:val="00690837"/>
    <w:rsid w:val="00690B97"/>
    <w:rsid w:val="00690EFB"/>
    <w:rsid w:val="00691B62"/>
    <w:rsid w:val="00691E40"/>
    <w:rsid w:val="006927B7"/>
    <w:rsid w:val="00693316"/>
    <w:rsid w:val="006933B5"/>
    <w:rsid w:val="00693D14"/>
    <w:rsid w:val="00693D66"/>
    <w:rsid w:val="006942A0"/>
    <w:rsid w:val="00694DA6"/>
    <w:rsid w:val="00696591"/>
    <w:rsid w:val="00696659"/>
    <w:rsid w:val="00696F27"/>
    <w:rsid w:val="00697603"/>
    <w:rsid w:val="006A0210"/>
    <w:rsid w:val="006A0FF8"/>
    <w:rsid w:val="006A18C2"/>
    <w:rsid w:val="006A26C0"/>
    <w:rsid w:val="006A2B84"/>
    <w:rsid w:val="006A2CD7"/>
    <w:rsid w:val="006A3383"/>
    <w:rsid w:val="006A3527"/>
    <w:rsid w:val="006A35F4"/>
    <w:rsid w:val="006A4DE0"/>
    <w:rsid w:val="006A5CC7"/>
    <w:rsid w:val="006A5FE1"/>
    <w:rsid w:val="006A638C"/>
    <w:rsid w:val="006A6541"/>
    <w:rsid w:val="006B077C"/>
    <w:rsid w:val="006B0802"/>
    <w:rsid w:val="006B09C5"/>
    <w:rsid w:val="006B1292"/>
    <w:rsid w:val="006B2149"/>
    <w:rsid w:val="006B2802"/>
    <w:rsid w:val="006B3056"/>
    <w:rsid w:val="006B32A3"/>
    <w:rsid w:val="006B340A"/>
    <w:rsid w:val="006B48A6"/>
    <w:rsid w:val="006B5927"/>
    <w:rsid w:val="006B5F56"/>
    <w:rsid w:val="006B6803"/>
    <w:rsid w:val="006B6EA6"/>
    <w:rsid w:val="006C0544"/>
    <w:rsid w:val="006C06FF"/>
    <w:rsid w:val="006C0CE5"/>
    <w:rsid w:val="006C12E2"/>
    <w:rsid w:val="006C218F"/>
    <w:rsid w:val="006C2985"/>
    <w:rsid w:val="006C3256"/>
    <w:rsid w:val="006C64A9"/>
    <w:rsid w:val="006C7DF0"/>
    <w:rsid w:val="006D0F16"/>
    <w:rsid w:val="006D19F8"/>
    <w:rsid w:val="006D276E"/>
    <w:rsid w:val="006D28B5"/>
    <w:rsid w:val="006D2A3F"/>
    <w:rsid w:val="006D2FBC"/>
    <w:rsid w:val="006D415E"/>
    <w:rsid w:val="006D54A8"/>
    <w:rsid w:val="006D5966"/>
    <w:rsid w:val="006D66A9"/>
    <w:rsid w:val="006D6E34"/>
    <w:rsid w:val="006E0E5F"/>
    <w:rsid w:val="006E138B"/>
    <w:rsid w:val="006E1867"/>
    <w:rsid w:val="006E1FD6"/>
    <w:rsid w:val="006E2514"/>
    <w:rsid w:val="006E2E73"/>
    <w:rsid w:val="006E3725"/>
    <w:rsid w:val="006E3DF5"/>
    <w:rsid w:val="006E727A"/>
    <w:rsid w:val="006E73C1"/>
    <w:rsid w:val="006E7708"/>
    <w:rsid w:val="006F0330"/>
    <w:rsid w:val="006F05AA"/>
    <w:rsid w:val="006F0645"/>
    <w:rsid w:val="006F0D77"/>
    <w:rsid w:val="006F1094"/>
    <w:rsid w:val="006F1874"/>
    <w:rsid w:val="006F1B3A"/>
    <w:rsid w:val="006F1FDC"/>
    <w:rsid w:val="006F262F"/>
    <w:rsid w:val="006F390E"/>
    <w:rsid w:val="006F4F0C"/>
    <w:rsid w:val="006F5142"/>
    <w:rsid w:val="006F539C"/>
    <w:rsid w:val="006F57C2"/>
    <w:rsid w:val="006F5A54"/>
    <w:rsid w:val="006F63DB"/>
    <w:rsid w:val="006F6840"/>
    <w:rsid w:val="006F6B8C"/>
    <w:rsid w:val="006F76D3"/>
    <w:rsid w:val="006F78B8"/>
    <w:rsid w:val="007002D0"/>
    <w:rsid w:val="007006E0"/>
    <w:rsid w:val="00700859"/>
    <w:rsid w:val="00700D86"/>
    <w:rsid w:val="00701092"/>
    <w:rsid w:val="007013EF"/>
    <w:rsid w:val="007015AD"/>
    <w:rsid w:val="00701E4D"/>
    <w:rsid w:val="00702EFF"/>
    <w:rsid w:val="00703327"/>
    <w:rsid w:val="00703745"/>
    <w:rsid w:val="00704500"/>
    <w:rsid w:val="0070457F"/>
    <w:rsid w:val="007050DC"/>
    <w:rsid w:val="00705585"/>
    <w:rsid w:val="007055A4"/>
    <w:rsid w:val="007055BD"/>
    <w:rsid w:val="007055F6"/>
    <w:rsid w:val="007058CE"/>
    <w:rsid w:val="00706A8E"/>
    <w:rsid w:val="00706BC6"/>
    <w:rsid w:val="00706DAF"/>
    <w:rsid w:val="00706F04"/>
    <w:rsid w:val="00707AB6"/>
    <w:rsid w:val="00707CD4"/>
    <w:rsid w:val="00711980"/>
    <w:rsid w:val="0071234C"/>
    <w:rsid w:val="00713308"/>
    <w:rsid w:val="00715224"/>
    <w:rsid w:val="0071581F"/>
    <w:rsid w:val="007162E4"/>
    <w:rsid w:val="007173CA"/>
    <w:rsid w:val="007175F4"/>
    <w:rsid w:val="00717D70"/>
    <w:rsid w:val="007205B0"/>
    <w:rsid w:val="00720D99"/>
    <w:rsid w:val="00720DD9"/>
    <w:rsid w:val="00721107"/>
    <w:rsid w:val="007216AA"/>
    <w:rsid w:val="00721AB5"/>
    <w:rsid w:val="00721CB3"/>
    <w:rsid w:val="00721CFB"/>
    <w:rsid w:val="00721DEF"/>
    <w:rsid w:val="0072230D"/>
    <w:rsid w:val="00722908"/>
    <w:rsid w:val="00724299"/>
    <w:rsid w:val="00724A43"/>
    <w:rsid w:val="007251F0"/>
    <w:rsid w:val="007255B9"/>
    <w:rsid w:val="00725C51"/>
    <w:rsid w:val="00725CF0"/>
    <w:rsid w:val="0072655C"/>
    <w:rsid w:val="007273AC"/>
    <w:rsid w:val="007304B6"/>
    <w:rsid w:val="007307E6"/>
    <w:rsid w:val="00730A0C"/>
    <w:rsid w:val="007312D8"/>
    <w:rsid w:val="00731AD4"/>
    <w:rsid w:val="0073323B"/>
    <w:rsid w:val="007340A9"/>
    <w:rsid w:val="007346E4"/>
    <w:rsid w:val="00735564"/>
    <w:rsid w:val="00735981"/>
    <w:rsid w:val="00740858"/>
    <w:rsid w:val="00740E4F"/>
    <w:rsid w:val="00740F22"/>
    <w:rsid w:val="00741596"/>
    <w:rsid w:val="00741CF0"/>
    <w:rsid w:val="00741F1A"/>
    <w:rsid w:val="0074305B"/>
    <w:rsid w:val="007432EA"/>
    <w:rsid w:val="0074390E"/>
    <w:rsid w:val="007447DA"/>
    <w:rsid w:val="007450F8"/>
    <w:rsid w:val="00745608"/>
    <w:rsid w:val="00746125"/>
    <w:rsid w:val="0074696E"/>
    <w:rsid w:val="007470ED"/>
    <w:rsid w:val="00747B1D"/>
    <w:rsid w:val="00747B27"/>
    <w:rsid w:val="00750135"/>
    <w:rsid w:val="00750621"/>
    <w:rsid w:val="00750EC2"/>
    <w:rsid w:val="00752B28"/>
    <w:rsid w:val="00752CEA"/>
    <w:rsid w:val="0075325A"/>
    <w:rsid w:val="007536BC"/>
    <w:rsid w:val="007541A9"/>
    <w:rsid w:val="00754C5B"/>
    <w:rsid w:val="00754E36"/>
    <w:rsid w:val="0075570D"/>
    <w:rsid w:val="00756710"/>
    <w:rsid w:val="00756DEB"/>
    <w:rsid w:val="00757021"/>
    <w:rsid w:val="00757166"/>
    <w:rsid w:val="007573BE"/>
    <w:rsid w:val="007601DB"/>
    <w:rsid w:val="00761E25"/>
    <w:rsid w:val="00762904"/>
    <w:rsid w:val="00763139"/>
    <w:rsid w:val="007639BB"/>
    <w:rsid w:val="00763D4A"/>
    <w:rsid w:val="00765340"/>
    <w:rsid w:val="00765D29"/>
    <w:rsid w:val="00765DC6"/>
    <w:rsid w:val="00765EB0"/>
    <w:rsid w:val="0076613E"/>
    <w:rsid w:val="00766238"/>
    <w:rsid w:val="00766383"/>
    <w:rsid w:val="0076691D"/>
    <w:rsid w:val="00767D01"/>
    <w:rsid w:val="00767D1D"/>
    <w:rsid w:val="00770D9F"/>
    <w:rsid w:val="00770F37"/>
    <w:rsid w:val="007710F6"/>
    <w:rsid w:val="007711A0"/>
    <w:rsid w:val="00771BAC"/>
    <w:rsid w:val="00772D5E"/>
    <w:rsid w:val="00773E74"/>
    <w:rsid w:val="0077463E"/>
    <w:rsid w:val="00774800"/>
    <w:rsid w:val="00775668"/>
    <w:rsid w:val="007756DA"/>
    <w:rsid w:val="00775B9A"/>
    <w:rsid w:val="007767F2"/>
    <w:rsid w:val="00776928"/>
    <w:rsid w:val="00776D56"/>
    <w:rsid w:val="00776E0F"/>
    <w:rsid w:val="007774B1"/>
    <w:rsid w:val="00777BE1"/>
    <w:rsid w:val="00782222"/>
    <w:rsid w:val="0078274F"/>
    <w:rsid w:val="007833D8"/>
    <w:rsid w:val="00783CA6"/>
    <w:rsid w:val="00784D1B"/>
    <w:rsid w:val="00785677"/>
    <w:rsid w:val="0078647A"/>
    <w:rsid w:val="00786F16"/>
    <w:rsid w:val="007902C6"/>
    <w:rsid w:val="007903CF"/>
    <w:rsid w:val="007904E6"/>
    <w:rsid w:val="00790625"/>
    <w:rsid w:val="00790968"/>
    <w:rsid w:val="00790AD2"/>
    <w:rsid w:val="00791BD7"/>
    <w:rsid w:val="00792339"/>
    <w:rsid w:val="00792C7A"/>
    <w:rsid w:val="00792CF1"/>
    <w:rsid w:val="00792F6B"/>
    <w:rsid w:val="00792F6E"/>
    <w:rsid w:val="00792F8F"/>
    <w:rsid w:val="007933F7"/>
    <w:rsid w:val="007944D4"/>
    <w:rsid w:val="0079451D"/>
    <w:rsid w:val="0079509F"/>
    <w:rsid w:val="007964DE"/>
    <w:rsid w:val="007967CE"/>
    <w:rsid w:val="00796A9D"/>
    <w:rsid w:val="00796C03"/>
    <w:rsid w:val="00796E20"/>
    <w:rsid w:val="007974EF"/>
    <w:rsid w:val="00797C32"/>
    <w:rsid w:val="007A0A5B"/>
    <w:rsid w:val="007A0B81"/>
    <w:rsid w:val="007A1051"/>
    <w:rsid w:val="007A11E8"/>
    <w:rsid w:val="007A2AFF"/>
    <w:rsid w:val="007A4126"/>
    <w:rsid w:val="007A47F0"/>
    <w:rsid w:val="007A4985"/>
    <w:rsid w:val="007A640D"/>
    <w:rsid w:val="007A6593"/>
    <w:rsid w:val="007A6863"/>
    <w:rsid w:val="007A72A8"/>
    <w:rsid w:val="007B0914"/>
    <w:rsid w:val="007B0ECF"/>
    <w:rsid w:val="007B1374"/>
    <w:rsid w:val="007B1768"/>
    <w:rsid w:val="007B1F0B"/>
    <w:rsid w:val="007B21F7"/>
    <w:rsid w:val="007B2F84"/>
    <w:rsid w:val="007B32E5"/>
    <w:rsid w:val="007B3450"/>
    <w:rsid w:val="007B3DB9"/>
    <w:rsid w:val="007B4956"/>
    <w:rsid w:val="007B589F"/>
    <w:rsid w:val="007B5A9E"/>
    <w:rsid w:val="007B6186"/>
    <w:rsid w:val="007B6CE7"/>
    <w:rsid w:val="007B73BC"/>
    <w:rsid w:val="007C0149"/>
    <w:rsid w:val="007C054C"/>
    <w:rsid w:val="007C0871"/>
    <w:rsid w:val="007C1838"/>
    <w:rsid w:val="007C1EF3"/>
    <w:rsid w:val="007C20B9"/>
    <w:rsid w:val="007C24E7"/>
    <w:rsid w:val="007C2536"/>
    <w:rsid w:val="007C2A28"/>
    <w:rsid w:val="007C34B5"/>
    <w:rsid w:val="007C362F"/>
    <w:rsid w:val="007C51AE"/>
    <w:rsid w:val="007C648E"/>
    <w:rsid w:val="007C7301"/>
    <w:rsid w:val="007C74CF"/>
    <w:rsid w:val="007C757F"/>
    <w:rsid w:val="007C7859"/>
    <w:rsid w:val="007C7E2F"/>
    <w:rsid w:val="007C7F28"/>
    <w:rsid w:val="007D1466"/>
    <w:rsid w:val="007D1571"/>
    <w:rsid w:val="007D2B87"/>
    <w:rsid w:val="007D2BDE"/>
    <w:rsid w:val="007D2C3C"/>
    <w:rsid w:val="007D2FB6"/>
    <w:rsid w:val="007D3614"/>
    <w:rsid w:val="007D49EB"/>
    <w:rsid w:val="007D54CD"/>
    <w:rsid w:val="007D5E1C"/>
    <w:rsid w:val="007E0DE2"/>
    <w:rsid w:val="007E0E9C"/>
    <w:rsid w:val="007E2123"/>
    <w:rsid w:val="007E3667"/>
    <w:rsid w:val="007E3956"/>
    <w:rsid w:val="007E3B98"/>
    <w:rsid w:val="007E417A"/>
    <w:rsid w:val="007E4D7D"/>
    <w:rsid w:val="007E5446"/>
    <w:rsid w:val="007E548D"/>
    <w:rsid w:val="007E5C15"/>
    <w:rsid w:val="007E6499"/>
    <w:rsid w:val="007E686D"/>
    <w:rsid w:val="007E6E09"/>
    <w:rsid w:val="007F0BE7"/>
    <w:rsid w:val="007F1E94"/>
    <w:rsid w:val="007F253B"/>
    <w:rsid w:val="007F31B6"/>
    <w:rsid w:val="007F32FA"/>
    <w:rsid w:val="007F4885"/>
    <w:rsid w:val="007F546C"/>
    <w:rsid w:val="007F56C6"/>
    <w:rsid w:val="007F625F"/>
    <w:rsid w:val="007F665E"/>
    <w:rsid w:val="007F700A"/>
    <w:rsid w:val="007F7E8C"/>
    <w:rsid w:val="00800294"/>
    <w:rsid w:val="00800412"/>
    <w:rsid w:val="0080073C"/>
    <w:rsid w:val="008007BF"/>
    <w:rsid w:val="00801413"/>
    <w:rsid w:val="00802065"/>
    <w:rsid w:val="008031FB"/>
    <w:rsid w:val="00803245"/>
    <w:rsid w:val="008037F6"/>
    <w:rsid w:val="00803F3D"/>
    <w:rsid w:val="00804A6F"/>
    <w:rsid w:val="0080587B"/>
    <w:rsid w:val="00806468"/>
    <w:rsid w:val="00807610"/>
    <w:rsid w:val="008108ED"/>
    <w:rsid w:val="00810FBA"/>
    <w:rsid w:val="008119CA"/>
    <w:rsid w:val="00813048"/>
    <w:rsid w:val="008130C4"/>
    <w:rsid w:val="00813A07"/>
    <w:rsid w:val="008143E8"/>
    <w:rsid w:val="00814789"/>
    <w:rsid w:val="008155F0"/>
    <w:rsid w:val="00816735"/>
    <w:rsid w:val="00816D5C"/>
    <w:rsid w:val="0082013B"/>
    <w:rsid w:val="00820141"/>
    <w:rsid w:val="00820E0C"/>
    <w:rsid w:val="00820ECC"/>
    <w:rsid w:val="00820ED0"/>
    <w:rsid w:val="00821308"/>
    <w:rsid w:val="0082222A"/>
    <w:rsid w:val="00822567"/>
    <w:rsid w:val="008231DB"/>
    <w:rsid w:val="00823275"/>
    <w:rsid w:val="0082340B"/>
    <w:rsid w:val="0082366F"/>
    <w:rsid w:val="008236E5"/>
    <w:rsid w:val="008238A7"/>
    <w:rsid w:val="00823A92"/>
    <w:rsid w:val="00824AC7"/>
    <w:rsid w:val="00824DA0"/>
    <w:rsid w:val="00824E37"/>
    <w:rsid w:val="008274C9"/>
    <w:rsid w:val="008301B5"/>
    <w:rsid w:val="0083047C"/>
    <w:rsid w:val="008305FB"/>
    <w:rsid w:val="00830941"/>
    <w:rsid w:val="008309FB"/>
    <w:rsid w:val="00830AF9"/>
    <w:rsid w:val="00830C92"/>
    <w:rsid w:val="0083169C"/>
    <w:rsid w:val="008322E4"/>
    <w:rsid w:val="00833807"/>
    <w:rsid w:val="008338A2"/>
    <w:rsid w:val="0083422B"/>
    <w:rsid w:val="008346BC"/>
    <w:rsid w:val="00834F72"/>
    <w:rsid w:val="00835248"/>
    <w:rsid w:val="008368CE"/>
    <w:rsid w:val="00837A51"/>
    <w:rsid w:val="00837E86"/>
    <w:rsid w:val="00840528"/>
    <w:rsid w:val="00840629"/>
    <w:rsid w:val="00840EC6"/>
    <w:rsid w:val="00841385"/>
    <w:rsid w:val="00841AA9"/>
    <w:rsid w:val="00841C21"/>
    <w:rsid w:val="0084306C"/>
    <w:rsid w:val="00843E9D"/>
    <w:rsid w:val="00844093"/>
    <w:rsid w:val="00844287"/>
    <w:rsid w:val="00844569"/>
    <w:rsid w:val="00844BB9"/>
    <w:rsid w:val="0084559C"/>
    <w:rsid w:val="00845944"/>
    <w:rsid w:val="00846006"/>
    <w:rsid w:val="00847014"/>
    <w:rsid w:val="008471D7"/>
    <w:rsid w:val="008474FE"/>
    <w:rsid w:val="00847502"/>
    <w:rsid w:val="008479A0"/>
    <w:rsid w:val="00847EB0"/>
    <w:rsid w:val="008504D4"/>
    <w:rsid w:val="008505F9"/>
    <w:rsid w:val="0085099D"/>
    <w:rsid w:val="00850B56"/>
    <w:rsid w:val="0085159A"/>
    <w:rsid w:val="008522DC"/>
    <w:rsid w:val="00853EE4"/>
    <w:rsid w:val="00854B7E"/>
    <w:rsid w:val="00855535"/>
    <w:rsid w:val="00855EBB"/>
    <w:rsid w:val="00857099"/>
    <w:rsid w:val="00857C5A"/>
    <w:rsid w:val="00857EB7"/>
    <w:rsid w:val="00860A35"/>
    <w:rsid w:val="00860A71"/>
    <w:rsid w:val="008615BF"/>
    <w:rsid w:val="008623A4"/>
    <w:rsid w:val="0086255E"/>
    <w:rsid w:val="00862668"/>
    <w:rsid w:val="008633F0"/>
    <w:rsid w:val="008634ED"/>
    <w:rsid w:val="00864152"/>
    <w:rsid w:val="0086418B"/>
    <w:rsid w:val="00864E18"/>
    <w:rsid w:val="00867D9D"/>
    <w:rsid w:val="008706BC"/>
    <w:rsid w:val="0087095B"/>
    <w:rsid w:val="00870E46"/>
    <w:rsid w:val="008711FB"/>
    <w:rsid w:val="00872D11"/>
    <w:rsid w:val="00872E0A"/>
    <w:rsid w:val="00872E65"/>
    <w:rsid w:val="0087336D"/>
    <w:rsid w:val="00873594"/>
    <w:rsid w:val="00873BEE"/>
    <w:rsid w:val="00874134"/>
    <w:rsid w:val="00874B4B"/>
    <w:rsid w:val="00875285"/>
    <w:rsid w:val="00877124"/>
    <w:rsid w:val="00877314"/>
    <w:rsid w:val="00877855"/>
    <w:rsid w:val="0088013C"/>
    <w:rsid w:val="008804F7"/>
    <w:rsid w:val="00880BA9"/>
    <w:rsid w:val="00880D17"/>
    <w:rsid w:val="008827C4"/>
    <w:rsid w:val="00882AB4"/>
    <w:rsid w:val="008838FE"/>
    <w:rsid w:val="00883B46"/>
    <w:rsid w:val="008843BB"/>
    <w:rsid w:val="00884B62"/>
    <w:rsid w:val="0088529C"/>
    <w:rsid w:val="00886DD4"/>
    <w:rsid w:val="008876A5"/>
    <w:rsid w:val="00887903"/>
    <w:rsid w:val="00887CC5"/>
    <w:rsid w:val="0089142C"/>
    <w:rsid w:val="00891431"/>
    <w:rsid w:val="00891C03"/>
    <w:rsid w:val="00891C41"/>
    <w:rsid w:val="0089270A"/>
    <w:rsid w:val="008933FA"/>
    <w:rsid w:val="008936C2"/>
    <w:rsid w:val="00893AF6"/>
    <w:rsid w:val="00893D8D"/>
    <w:rsid w:val="008941D5"/>
    <w:rsid w:val="00894B64"/>
    <w:rsid w:val="00894BC4"/>
    <w:rsid w:val="00894CC5"/>
    <w:rsid w:val="00894E9C"/>
    <w:rsid w:val="00895459"/>
    <w:rsid w:val="00895738"/>
    <w:rsid w:val="008957E0"/>
    <w:rsid w:val="00895E2F"/>
    <w:rsid w:val="00896890"/>
    <w:rsid w:val="00896D4C"/>
    <w:rsid w:val="00896E86"/>
    <w:rsid w:val="00896FFC"/>
    <w:rsid w:val="00897275"/>
    <w:rsid w:val="00897398"/>
    <w:rsid w:val="008977D1"/>
    <w:rsid w:val="00897970"/>
    <w:rsid w:val="00897EE1"/>
    <w:rsid w:val="008A0375"/>
    <w:rsid w:val="008A0B4A"/>
    <w:rsid w:val="008A213F"/>
    <w:rsid w:val="008A235B"/>
    <w:rsid w:val="008A28A8"/>
    <w:rsid w:val="008A3F42"/>
    <w:rsid w:val="008A4394"/>
    <w:rsid w:val="008A45E3"/>
    <w:rsid w:val="008A4C2E"/>
    <w:rsid w:val="008A4E71"/>
    <w:rsid w:val="008A4F0C"/>
    <w:rsid w:val="008A54AC"/>
    <w:rsid w:val="008A54AE"/>
    <w:rsid w:val="008A5B32"/>
    <w:rsid w:val="008A6D53"/>
    <w:rsid w:val="008A6D6F"/>
    <w:rsid w:val="008A783A"/>
    <w:rsid w:val="008A7942"/>
    <w:rsid w:val="008A7FC9"/>
    <w:rsid w:val="008B0E32"/>
    <w:rsid w:val="008B0E9F"/>
    <w:rsid w:val="008B0EFA"/>
    <w:rsid w:val="008B12CB"/>
    <w:rsid w:val="008B2029"/>
    <w:rsid w:val="008B203F"/>
    <w:rsid w:val="008B205D"/>
    <w:rsid w:val="008B26EB"/>
    <w:rsid w:val="008B2EE4"/>
    <w:rsid w:val="008B35A9"/>
    <w:rsid w:val="008B367F"/>
    <w:rsid w:val="008B3821"/>
    <w:rsid w:val="008B38B3"/>
    <w:rsid w:val="008B3A22"/>
    <w:rsid w:val="008B3B25"/>
    <w:rsid w:val="008B49C7"/>
    <w:rsid w:val="008B4D3D"/>
    <w:rsid w:val="008B57C7"/>
    <w:rsid w:val="008B6230"/>
    <w:rsid w:val="008B650A"/>
    <w:rsid w:val="008B6864"/>
    <w:rsid w:val="008C11C4"/>
    <w:rsid w:val="008C2E5C"/>
    <w:rsid w:val="008C2F92"/>
    <w:rsid w:val="008C3546"/>
    <w:rsid w:val="008C3F53"/>
    <w:rsid w:val="008C52BE"/>
    <w:rsid w:val="008C589D"/>
    <w:rsid w:val="008C5FF3"/>
    <w:rsid w:val="008C606C"/>
    <w:rsid w:val="008C608E"/>
    <w:rsid w:val="008C63FE"/>
    <w:rsid w:val="008C6D51"/>
    <w:rsid w:val="008C6DB4"/>
    <w:rsid w:val="008C70FC"/>
    <w:rsid w:val="008C7799"/>
    <w:rsid w:val="008C77B3"/>
    <w:rsid w:val="008C7F1B"/>
    <w:rsid w:val="008D02D6"/>
    <w:rsid w:val="008D0474"/>
    <w:rsid w:val="008D0507"/>
    <w:rsid w:val="008D1F42"/>
    <w:rsid w:val="008D1F6B"/>
    <w:rsid w:val="008D2846"/>
    <w:rsid w:val="008D2A8B"/>
    <w:rsid w:val="008D2AA7"/>
    <w:rsid w:val="008D3C5F"/>
    <w:rsid w:val="008D4236"/>
    <w:rsid w:val="008D462F"/>
    <w:rsid w:val="008D52F2"/>
    <w:rsid w:val="008D571A"/>
    <w:rsid w:val="008D6DCF"/>
    <w:rsid w:val="008D6EBC"/>
    <w:rsid w:val="008D7F49"/>
    <w:rsid w:val="008E24D4"/>
    <w:rsid w:val="008E3209"/>
    <w:rsid w:val="008E3B41"/>
    <w:rsid w:val="008E3EF7"/>
    <w:rsid w:val="008E4376"/>
    <w:rsid w:val="008E73CA"/>
    <w:rsid w:val="008E7486"/>
    <w:rsid w:val="008E7A0A"/>
    <w:rsid w:val="008E7B49"/>
    <w:rsid w:val="008E7CFF"/>
    <w:rsid w:val="008F0D40"/>
    <w:rsid w:val="008F1A37"/>
    <w:rsid w:val="008F200E"/>
    <w:rsid w:val="008F21B4"/>
    <w:rsid w:val="008F3114"/>
    <w:rsid w:val="008F42D0"/>
    <w:rsid w:val="008F45F3"/>
    <w:rsid w:val="008F4632"/>
    <w:rsid w:val="008F4968"/>
    <w:rsid w:val="008F4C1E"/>
    <w:rsid w:val="008F5020"/>
    <w:rsid w:val="008F59F6"/>
    <w:rsid w:val="008F7C19"/>
    <w:rsid w:val="008F7EBD"/>
    <w:rsid w:val="008F7F2C"/>
    <w:rsid w:val="00900719"/>
    <w:rsid w:val="00900865"/>
    <w:rsid w:val="00900AC0"/>
    <w:rsid w:val="009017AC"/>
    <w:rsid w:val="00901FE3"/>
    <w:rsid w:val="0090237F"/>
    <w:rsid w:val="00902602"/>
    <w:rsid w:val="00902A9A"/>
    <w:rsid w:val="00902E39"/>
    <w:rsid w:val="00903256"/>
    <w:rsid w:val="00903EEA"/>
    <w:rsid w:val="009041DA"/>
    <w:rsid w:val="00904A1C"/>
    <w:rsid w:val="00905030"/>
    <w:rsid w:val="00905638"/>
    <w:rsid w:val="00905ACC"/>
    <w:rsid w:val="00905CC6"/>
    <w:rsid w:val="00905F9C"/>
    <w:rsid w:val="00906490"/>
    <w:rsid w:val="0090711C"/>
    <w:rsid w:val="009075A9"/>
    <w:rsid w:val="009108FE"/>
    <w:rsid w:val="009111B2"/>
    <w:rsid w:val="00911DC8"/>
    <w:rsid w:val="00913044"/>
    <w:rsid w:val="00913339"/>
    <w:rsid w:val="009139E6"/>
    <w:rsid w:val="00913C0C"/>
    <w:rsid w:val="009151F5"/>
    <w:rsid w:val="00915CE5"/>
    <w:rsid w:val="00915DF7"/>
    <w:rsid w:val="009169D0"/>
    <w:rsid w:val="00916CDF"/>
    <w:rsid w:val="00916D55"/>
    <w:rsid w:val="009179BB"/>
    <w:rsid w:val="00917DED"/>
    <w:rsid w:val="00920C72"/>
    <w:rsid w:val="00920D39"/>
    <w:rsid w:val="0092208F"/>
    <w:rsid w:val="00922F59"/>
    <w:rsid w:val="0092462F"/>
    <w:rsid w:val="00924952"/>
    <w:rsid w:val="00924AE1"/>
    <w:rsid w:val="009257B4"/>
    <w:rsid w:val="00925DEE"/>
    <w:rsid w:val="0092601C"/>
    <w:rsid w:val="00926181"/>
    <w:rsid w:val="009261D1"/>
    <w:rsid w:val="009264A9"/>
    <w:rsid w:val="009269B1"/>
    <w:rsid w:val="0092724D"/>
    <w:rsid w:val="009272B3"/>
    <w:rsid w:val="00927EE5"/>
    <w:rsid w:val="009308B2"/>
    <w:rsid w:val="009315BE"/>
    <w:rsid w:val="00931857"/>
    <w:rsid w:val="00931BA0"/>
    <w:rsid w:val="009326DD"/>
    <w:rsid w:val="00932777"/>
    <w:rsid w:val="00932927"/>
    <w:rsid w:val="0093338F"/>
    <w:rsid w:val="00933AD3"/>
    <w:rsid w:val="009346AF"/>
    <w:rsid w:val="0093575B"/>
    <w:rsid w:val="00935778"/>
    <w:rsid w:val="00935877"/>
    <w:rsid w:val="00936ED9"/>
    <w:rsid w:val="00937BD9"/>
    <w:rsid w:val="0094001B"/>
    <w:rsid w:val="00940226"/>
    <w:rsid w:val="0094097D"/>
    <w:rsid w:val="00941172"/>
    <w:rsid w:val="00941384"/>
    <w:rsid w:val="009416C4"/>
    <w:rsid w:val="00942976"/>
    <w:rsid w:val="00942D7A"/>
    <w:rsid w:val="00943193"/>
    <w:rsid w:val="00943CEC"/>
    <w:rsid w:val="00944591"/>
    <w:rsid w:val="00944B44"/>
    <w:rsid w:val="00944D9C"/>
    <w:rsid w:val="00945311"/>
    <w:rsid w:val="0094545F"/>
    <w:rsid w:val="00945C79"/>
    <w:rsid w:val="00946023"/>
    <w:rsid w:val="009462C5"/>
    <w:rsid w:val="009464EC"/>
    <w:rsid w:val="009504E8"/>
    <w:rsid w:val="00950D77"/>
    <w:rsid w:val="00950E2C"/>
    <w:rsid w:val="00951D50"/>
    <w:rsid w:val="00951E3F"/>
    <w:rsid w:val="009525EB"/>
    <w:rsid w:val="00952C81"/>
    <w:rsid w:val="009532C4"/>
    <w:rsid w:val="009541EF"/>
    <w:rsid w:val="0095470B"/>
    <w:rsid w:val="00954874"/>
    <w:rsid w:val="0095615A"/>
    <w:rsid w:val="00956428"/>
    <w:rsid w:val="00957090"/>
    <w:rsid w:val="00957A48"/>
    <w:rsid w:val="00960272"/>
    <w:rsid w:val="0096044B"/>
    <w:rsid w:val="00960D14"/>
    <w:rsid w:val="0096104E"/>
    <w:rsid w:val="00961400"/>
    <w:rsid w:val="00961467"/>
    <w:rsid w:val="009625DC"/>
    <w:rsid w:val="00963032"/>
    <w:rsid w:val="00963140"/>
    <w:rsid w:val="00963646"/>
    <w:rsid w:val="009636FA"/>
    <w:rsid w:val="00964117"/>
    <w:rsid w:val="009646AF"/>
    <w:rsid w:val="00964FF0"/>
    <w:rsid w:val="00965FAC"/>
    <w:rsid w:val="0096632D"/>
    <w:rsid w:val="00966A78"/>
    <w:rsid w:val="00967124"/>
    <w:rsid w:val="0096788A"/>
    <w:rsid w:val="009678D9"/>
    <w:rsid w:val="00967985"/>
    <w:rsid w:val="00967FD9"/>
    <w:rsid w:val="00970244"/>
    <w:rsid w:val="0097166C"/>
    <w:rsid w:val="009718C7"/>
    <w:rsid w:val="00971A38"/>
    <w:rsid w:val="0097468B"/>
    <w:rsid w:val="00974EAE"/>
    <w:rsid w:val="0097559F"/>
    <w:rsid w:val="009761EA"/>
    <w:rsid w:val="00977201"/>
    <w:rsid w:val="0097761E"/>
    <w:rsid w:val="00977A41"/>
    <w:rsid w:val="00980646"/>
    <w:rsid w:val="00980844"/>
    <w:rsid w:val="00980EDF"/>
    <w:rsid w:val="00981DEC"/>
    <w:rsid w:val="00982454"/>
    <w:rsid w:val="0098292A"/>
    <w:rsid w:val="00982A0F"/>
    <w:rsid w:val="00982CF0"/>
    <w:rsid w:val="00984519"/>
    <w:rsid w:val="009853E1"/>
    <w:rsid w:val="0098664D"/>
    <w:rsid w:val="00986885"/>
    <w:rsid w:val="00986E6B"/>
    <w:rsid w:val="00987BCC"/>
    <w:rsid w:val="00987DEB"/>
    <w:rsid w:val="00990032"/>
    <w:rsid w:val="0099042D"/>
    <w:rsid w:val="00990B19"/>
    <w:rsid w:val="00991394"/>
    <w:rsid w:val="00991469"/>
    <w:rsid w:val="0099153B"/>
    <w:rsid w:val="00991769"/>
    <w:rsid w:val="00991C10"/>
    <w:rsid w:val="00992165"/>
    <w:rsid w:val="0099232C"/>
    <w:rsid w:val="009924DC"/>
    <w:rsid w:val="009928B7"/>
    <w:rsid w:val="00994386"/>
    <w:rsid w:val="009943B3"/>
    <w:rsid w:val="00994D2C"/>
    <w:rsid w:val="00995E2A"/>
    <w:rsid w:val="00996356"/>
    <w:rsid w:val="009967DE"/>
    <w:rsid w:val="009971D2"/>
    <w:rsid w:val="00997C09"/>
    <w:rsid w:val="009A0033"/>
    <w:rsid w:val="009A0136"/>
    <w:rsid w:val="009A0949"/>
    <w:rsid w:val="009A0BCC"/>
    <w:rsid w:val="009A13D8"/>
    <w:rsid w:val="009A2028"/>
    <w:rsid w:val="009A24EB"/>
    <w:rsid w:val="009A279E"/>
    <w:rsid w:val="009A2B3F"/>
    <w:rsid w:val="009A3015"/>
    <w:rsid w:val="009A3361"/>
    <w:rsid w:val="009A3490"/>
    <w:rsid w:val="009A35BF"/>
    <w:rsid w:val="009A39A5"/>
    <w:rsid w:val="009A4758"/>
    <w:rsid w:val="009A488A"/>
    <w:rsid w:val="009A4C22"/>
    <w:rsid w:val="009A5F80"/>
    <w:rsid w:val="009A7D43"/>
    <w:rsid w:val="009B06D2"/>
    <w:rsid w:val="009B0A6F"/>
    <w:rsid w:val="009B0A94"/>
    <w:rsid w:val="009B0C62"/>
    <w:rsid w:val="009B1C7E"/>
    <w:rsid w:val="009B2281"/>
    <w:rsid w:val="009B247F"/>
    <w:rsid w:val="009B2AE8"/>
    <w:rsid w:val="009B38A1"/>
    <w:rsid w:val="009B46F5"/>
    <w:rsid w:val="009B4AB3"/>
    <w:rsid w:val="009B4E75"/>
    <w:rsid w:val="009B5603"/>
    <w:rsid w:val="009B5622"/>
    <w:rsid w:val="009B56CD"/>
    <w:rsid w:val="009B576D"/>
    <w:rsid w:val="009B59E6"/>
    <w:rsid w:val="009B59E9"/>
    <w:rsid w:val="009B5DD1"/>
    <w:rsid w:val="009B5EC8"/>
    <w:rsid w:val="009B6006"/>
    <w:rsid w:val="009B60D2"/>
    <w:rsid w:val="009B67AC"/>
    <w:rsid w:val="009B6C7B"/>
    <w:rsid w:val="009B6ED2"/>
    <w:rsid w:val="009B70AA"/>
    <w:rsid w:val="009B7103"/>
    <w:rsid w:val="009B7898"/>
    <w:rsid w:val="009C0559"/>
    <w:rsid w:val="009C1040"/>
    <w:rsid w:val="009C245E"/>
    <w:rsid w:val="009C414B"/>
    <w:rsid w:val="009C463F"/>
    <w:rsid w:val="009C5AF4"/>
    <w:rsid w:val="009C5CD2"/>
    <w:rsid w:val="009C5D6E"/>
    <w:rsid w:val="009C5E77"/>
    <w:rsid w:val="009C63CC"/>
    <w:rsid w:val="009C6E6D"/>
    <w:rsid w:val="009C71D7"/>
    <w:rsid w:val="009C7A7E"/>
    <w:rsid w:val="009D02E8"/>
    <w:rsid w:val="009D1206"/>
    <w:rsid w:val="009D13C2"/>
    <w:rsid w:val="009D27E7"/>
    <w:rsid w:val="009D3020"/>
    <w:rsid w:val="009D3144"/>
    <w:rsid w:val="009D51D0"/>
    <w:rsid w:val="009D52D7"/>
    <w:rsid w:val="009D540B"/>
    <w:rsid w:val="009D5846"/>
    <w:rsid w:val="009D68A0"/>
    <w:rsid w:val="009D70A4"/>
    <w:rsid w:val="009D71C8"/>
    <w:rsid w:val="009D7284"/>
    <w:rsid w:val="009D79EF"/>
    <w:rsid w:val="009D7B14"/>
    <w:rsid w:val="009E08D1"/>
    <w:rsid w:val="009E0D96"/>
    <w:rsid w:val="009E14D3"/>
    <w:rsid w:val="009E17DC"/>
    <w:rsid w:val="009E1B95"/>
    <w:rsid w:val="009E1D54"/>
    <w:rsid w:val="009E200E"/>
    <w:rsid w:val="009E2B4B"/>
    <w:rsid w:val="009E496F"/>
    <w:rsid w:val="009E4B0D"/>
    <w:rsid w:val="009E4B4A"/>
    <w:rsid w:val="009E5250"/>
    <w:rsid w:val="009E5F15"/>
    <w:rsid w:val="009E62A7"/>
    <w:rsid w:val="009E71EB"/>
    <w:rsid w:val="009E7A69"/>
    <w:rsid w:val="009E7F92"/>
    <w:rsid w:val="009F02A3"/>
    <w:rsid w:val="009F0512"/>
    <w:rsid w:val="009F0CB3"/>
    <w:rsid w:val="009F102C"/>
    <w:rsid w:val="009F2182"/>
    <w:rsid w:val="009F218E"/>
    <w:rsid w:val="009F25F1"/>
    <w:rsid w:val="009F2871"/>
    <w:rsid w:val="009F2F27"/>
    <w:rsid w:val="009F3203"/>
    <w:rsid w:val="009F34AA"/>
    <w:rsid w:val="009F3ADA"/>
    <w:rsid w:val="009F5167"/>
    <w:rsid w:val="009F536B"/>
    <w:rsid w:val="009F5A67"/>
    <w:rsid w:val="009F618E"/>
    <w:rsid w:val="009F6BCB"/>
    <w:rsid w:val="009F6DAF"/>
    <w:rsid w:val="009F7910"/>
    <w:rsid w:val="009F7B78"/>
    <w:rsid w:val="00A0057A"/>
    <w:rsid w:val="00A00879"/>
    <w:rsid w:val="00A00961"/>
    <w:rsid w:val="00A00E8C"/>
    <w:rsid w:val="00A01366"/>
    <w:rsid w:val="00A016DB"/>
    <w:rsid w:val="00A019DB"/>
    <w:rsid w:val="00A026DF"/>
    <w:rsid w:val="00A02DAA"/>
    <w:rsid w:val="00A02FA1"/>
    <w:rsid w:val="00A046A2"/>
    <w:rsid w:val="00A04CCE"/>
    <w:rsid w:val="00A0531A"/>
    <w:rsid w:val="00A05435"/>
    <w:rsid w:val="00A07421"/>
    <w:rsid w:val="00A0776B"/>
    <w:rsid w:val="00A1051F"/>
    <w:rsid w:val="00A10B8C"/>
    <w:rsid w:val="00A10BA9"/>
    <w:rsid w:val="00A10FB9"/>
    <w:rsid w:val="00A11421"/>
    <w:rsid w:val="00A11567"/>
    <w:rsid w:val="00A11C91"/>
    <w:rsid w:val="00A11DAE"/>
    <w:rsid w:val="00A11F81"/>
    <w:rsid w:val="00A12C77"/>
    <w:rsid w:val="00A130E9"/>
    <w:rsid w:val="00A13299"/>
    <w:rsid w:val="00A1389F"/>
    <w:rsid w:val="00A13B7A"/>
    <w:rsid w:val="00A148E8"/>
    <w:rsid w:val="00A157B1"/>
    <w:rsid w:val="00A15A36"/>
    <w:rsid w:val="00A174A3"/>
    <w:rsid w:val="00A20269"/>
    <w:rsid w:val="00A20B53"/>
    <w:rsid w:val="00A20BC5"/>
    <w:rsid w:val="00A22229"/>
    <w:rsid w:val="00A22849"/>
    <w:rsid w:val="00A239A1"/>
    <w:rsid w:val="00A23E0D"/>
    <w:rsid w:val="00A24442"/>
    <w:rsid w:val="00A24ADA"/>
    <w:rsid w:val="00A25443"/>
    <w:rsid w:val="00A25A42"/>
    <w:rsid w:val="00A264EF"/>
    <w:rsid w:val="00A266A7"/>
    <w:rsid w:val="00A26A64"/>
    <w:rsid w:val="00A26C2A"/>
    <w:rsid w:val="00A3192E"/>
    <w:rsid w:val="00A31DA1"/>
    <w:rsid w:val="00A320A0"/>
    <w:rsid w:val="00A32577"/>
    <w:rsid w:val="00A3284A"/>
    <w:rsid w:val="00A32D38"/>
    <w:rsid w:val="00A330BB"/>
    <w:rsid w:val="00A33D1C"/>
    <w:rsid w:val="00A353BE"/>
    <w:rsid w:val="00A374C0"/>
    <w:rsid w:val="00A37FA6"/>
    <w:rsid w:val="00A40027"/>
    <w:rsid w:val="00A40073"/>
    <w:rsid w:val="00A402E9"/>
    <w:rsid w:val="00A40C09"/>
    <w:rsid w:val="00A4213C"/>
    <w:rsid w:val="00A439B9"/>
    <w:rsid w:val="00A43EEF"/>
    <w:rsid w:val="00A446F5"/>
    <w:rsid w:val="00A4479E"/>
    <w:rsid w:val="00A447AA"/>
    <w:rsid w:val="00A44882"/>
    <w:rsid w:val="00A44BBD"/>
    <w:rsid w:val="00A45125"/>
    <w:rsid w:val="00A45D76"/>
    <w:rsid w:val="00A4674C"/>
    <w:rsid w:val="00A4740C"/>
    <w:rsid w:val="00A50E12"/>
    <w:rsid w:val="00A50F6C"/>
    <w:rsid w:val="00A536D7"/>
    <w:rsid w:val="00A5392B"/>
    <w:rsid w:val="00A53E58"/>
    <w:rsid w:val="00A540C4"/>
    <w:rsid w:val="00A541A4"/>
    <w:rsid w:val="00A5427C"/>
    <w:rsid w:val="00A54715"/>
    <w:rsid w:val="00A55F69"/>
    <w:rsid w:val="00A565E8"/>
    <w:rsid w:val="00A5710B"/>
    <w:rsid w:val="00A6061C"/>
    <w:rsid w:val="00A60F7E"/>
    <w:rsid w:val="00A613F2"/>
    <w:rsid w:val="00A61C3E"/>
    <w:rsid w:val="00A62015"/>
    <w:rsid w:val="00A6258E"/>
    <w:rsid w:val="00A62D44"/>
    <w:rsid w:val="00A63C9E"/>
    <w:rsid w:val="00A6500D"/>
    <w:rsid w:val="00A65D49"/>
    <w:rsid w:val="00A662FC"/>
    <w:rsid w:val="00A66680"/>
    <w:rsid w:val="00A66CE9"/>
    <w:rsid w:val="00A67263"/>
    <w:rsid w:val="00A70198"/>
    <w:rsid w:val="00A702BC"/>
    <w:rsid w:val="00A702C8"/>
    <w:rsid w:val="00A70538"/>
    <w:rsid w:val="00A705E7"/>
    <w:rsid w:val="00A70A49"/>
    <w:rsid w:val="00A7161C"/>
    <w:rsid w:val="00A71CE4"/>
    <w:rsid w:val="00A72C8A"/>
    <w:rsid w:val="00A73009"/>
    <w:rsid w:val="00A73EA1"/>
    <w:rsid w:val="00A7450F"/>
    <w:rsid w:val="00A74702"/>
    <w:rsid w:val="00A76A33"/>
    <w:rsid w:val="00A77432"/>
    <w:rsid w:val="00A77AA3"/>
    <w:rsid w:val="00A80613"/>
    <w:rsid w:val="00A80AA3"/>
    <w:rsid w:val="00A81BBF"/>
    <w:rsid w:val="00A81CC0"/>
    <w:rsid w:val="00A8236D"/>
    <w:rsid w:val="00A82486"/>
    <w:rsid w:val="00A82BBE"/>
    <w:rsid w:val="00A83F32"/>
    <w:rsid w:val="00A84072"/>
    <w:rsid w:val="00A84A28"/>
    <w:rsid w:val="00A84C68"/>
    <w:rsid w:val="00A854EB"/>
    <w:rsid w:val="00A855F0"/>
    <w:rsid w:val="00A85602"/>
    <w:rsid w:val="00A8582E"/>
    <w:rsid w:val="00A858D8"/>
    <w:rsid w:val="00A872E5"/>
    <w:rsid w:val="00A878D9"/>
    <w:rsid w:val="00A9119E"/>
    <w:rsid w:val="00A91406"/>
    <w:rsid w:val="00A917C2"/>
    <w:rsid w:val="00A928FE"/>
    <w:rsid w:val="00A92B70"/>
    <w:rsid w:val="00A93617"/>
    <w:rsid w:val="00A94735"/>
    <w:rsid w:val="00A96032"/>
    <w:rsid w:val="00A96772"/>
    <w:rsid w:val="00A967B1"/>
    <w:rsid w:val="00A9680F"/>
    <w:rsid w:val="00A96E65"/>
    <w:rsid w:val="00A96ECE"/>
    <w:rsid w:val="00A97325"/>
    <w:rsid w:val="00A97851"/>
    <w:rsid w:val="00A97C72"/>
    <w:rsid w:val="00A97F41"/>
    <w:rsid w:val="00AA0422"/>
    <w:rsid w:val="00AA08B7"/>
    <w:rsid w:val="00AA0ADF"/>
    <w:rsid w:val="00AA164E"/>
    <w:rsid w:val="00AA199C"/>
    <w:rsid w:val="00AA2533"/>
    <w:rsid w:val="00AA29DE"/>
    <w:rsid w:val="00AA310B"/>
    <w:rsid w:val="00AA38DC"/>
    <w:rsid w:val="00AA3A11"/>
    <w:rsid w:val="00AA3A80"/>
    <w:rsid w:val="00AA3DE3"/>
    <w:rsid w:val="00AA55E4"/>
    <w:rsid w:val="00AA63D4"/>
    <w:rsid w:val="00AA6B66"/>
    <w:rsid w:val="00AA6F62"/>
    <w:rsid w:val="00AA7828"/>
    <w:rsid w:val="00AB045F"/>
    <w:rsid w:val="00AB06E8"/>
    <w:rsid w:val="00AB0D5A"/>
    <w:rsid w:val="00AB103F"/>
    <w:rsid w:val="00AB111A"/>
    <w:rsid w:val="00AB1CD3"/>
    <w:rsid w:val="00AB238C"/>
    <w:rsid w:val="00AB352F"/>
    <w:rsid w:val="00AB3F83"/>
    <w:rsid w:val="00AB3FF8"/>
    <w:rsid w:val="00AB4456"/>
    <w:rsid w:val="00AB4C48"/>
    <w:rsid w:val="00AB7A7C"/>
    <w:rsid w:val="00AC09B2"/>
    <w:rsid w:val="00AC1837"/>
    <w:rsid w:val="00AC1DB6"/>
    <w:rsid w:val="00AC274B"/>
    <w:rsid w:val="00AC28B6"/>
    <w:rsid w:val="00AC3FE6"/>
    <w:rsid w:val="00AC4269"/>
    <w:rsid w:val="00AC4764"/>
    <w:rsid w:val="00AC6D36"/>
    <w:rsid w:val="00AC7EA1"/>
    <w:rsid w:val="00AD0A3A"/>
    <w:rsid w:val="00AD0CBA"/>
    <w:rsid w:val="00AD26E2"/>
    <w:rsid w:val="00AD35BA"/>
    <w:rsid w:val="00AD3820"/>
    <w:rsid w:val="00AD59BD"/>
    <w:rsid w:val="00AD6081"/>
    <w:rsid w:val="00AD784C"/>
    <w:rsid w:val="00AD7992"/>
    <w:rsid w:val="00AD7CC1"/>
    <w:rsid w:val="00AE028E"/>
    <w:rsid w:val="00AE126A"/>
    <w:rsid w:val="00AE165E"/>
    <w:rsid w:val="00AE19BB"/>
    <w:rsid w:val="00AE1BAE"/>
    <w:rsid w:val="00AE1D27"/>
    <w:rsid w:val="00AE2643"/>
    <w:rsid w:val="00AE3005"/>
    <w:rsid w:val="00AE3BD5"/>
    <w:rsid w:val="00AE3D26"/>
    <w:rsid w:val="00AE48DA"/>
    <w:rsid w:val="00AE5505"/>
    <w:rsid w:val="00AE59A0"/>
    <w:rsid w:val="00AF0C57"/>
    <w:rsid w:val="00AF0E05"/>
    <w:rsid w:val="00AF1053"/>
    <w:rsid w:val="00AF133E"/>
    <w:rsid w:val="00AF26F3"/>
    <w:rsid w:val="00AF2891"/>
    <w:rsid w:val="00AF2D82"/>
    <w:rsid w:val="00AF33FA"/>
    <w:rsid w:val="00AF3896"/>
    <w:rsid w:val="00AF3A7F"/>
    <w:rsid w:val="00AF3E0D"/>
    <w:rsid w:val="00AF41E7"/>
    <w:rsid w:val="00AF5D97"/>
    <w:rsid w:val="00AF5F04"/>
    <w:rsid w:val="00AF6248"/>
    <w:rsid w:val="00AF664F"/>
    <w:rsid w:val="00AF6DC6"/>
    <w:rsid w:val="00AF742A"/>
    <w:rsid w:val="00AF7882"/>
    <w:rsid w:val="00B004CC"/>
    <w:rsid w:val="00B00672"/>
    <w:rsid w:val="00B0093D"/>
    <w:rsid w:val="00B00DC2"/>
    <w:rsid w:val="00B01B4D"/>
    <w:rsid w:val="00B03E53"/>
    <w:rsid w:val="00B04489"/>
    <w:rsid w:val="00B0594B"/>
    <w:rsid w:val="00B06571"/>
    <w:rsid w:val="00B068BA"/>
    <w:rsid w:val="00B06F13"/>
    <w:rsid w:val="00B07217"/>
    <w:rsid w:val="00B10976"/>
    <w:rsid w:val="00B112B5"/>
    <w:rsid w:val="00B11746"/>
    <w:rsid w:val="00B1251E"/>
    <w:rsid w:val="00B13059"/>
    <w:rsid w:val="00B13851"/>
    <w:rsid w:val="00B13B1C"/>
    <w:rsid w:val="00B13FF4"/>
    <w:rsid w:val="00B142D8"/>
    <w:rsid w:val="00B144DA"/>
    <w:rsid w:val="00B14666"/>
    <w:rsid w:val="00B146C5"/>
    <w:rsid w:val="00B1496C"/>
    <w:rsid w:val="00B14B5F"/>
    <w:rsid w:val="00B15CFD"/>
    <w:rsid w:val="00B165DF"/>
    <w:rsid w:val="00B166BB"/>
    <w:rsid w:val="00B17396"/>
    <w:rsid w:val="00B20FEA"/>
    <w:rsid w:val="00B214D0"/>
    <w:rsid w:val="00B21F90"/>
    <w:rsid w:val="00B22291"/>
    <w:rsid w:val="00B223C1"/>
    <w:rsid w:val="00B23DA7"/>
    <w:rsid w:val="00B23F9A"/>
    <w:rsid w:val="00B2417B"/>
    <w:rsid w:val="00B244C3"/>
    <w:rsid w:val="00B24A9A"/>
    <w:rsid w:val="00B24E6F"/>
    <w:rsid w:val="00B24F0C"/>
    <w:rsid w:val="00B25060"/>
    <w:rsid w:val="00B257D1"/>
    <w:rsid w:val="00B25E1E"/>
    <w:rsid w:val="00B2680C"/>
    <w:rsid w:val="00B26CB5"/>
    <w:rsid w:val="00B2752E"/>
    <w:rsid w:val="00B2797E"/>
    <w:rsid w:val="00B2799B"/>
    <w:rsid w:val="00B27B16"/>
    <w:rsid w:val="00B30084"/>
    <w:rsid w:val="00B307CC"/>
    <w:rsid w:val="00B310CA"/>
    <w:rsid w:val="00B326B7"/>
    <w:rsid w:val="00B32858"/>
    <w:rsid w:val="00B34605"/>
    <w:rsid w:val="00B34D19"/>
    <w:rsid w:val="00B354DF"/>
    <w:rsid w:val="00B3588E"/>
    <w:rsid w:val="00B3631A"/>
    <w:rsid w:val="00B37280"/>
    <w:rsid w:val="00B373D9"/>
    <w:rsid w:val="00B410DE"/>
    <w:rsid w:val="00B4198F"/>
    <w:rsid w:val="00B41D1B"/>
    <w:rsid w:val="00B41D60"/>
    <w:rsid w:val="00B41F3D"/>
    <w:rsid w:val="00B42C8D"/>
    <w:rsid w:val="00B431E8"/>
    <w:rsid w:val="00B43999"/>
    <w:rsid w:val="00B43BAF"/>
    <w:rsid w:val="00B44DE4"/>
    <w:rsid w:val="00B45141"/>
    <w:rsid w:val="00B46575"/>
    <w:rsid w:val="00B470C0"/>
    <w:rsid w:val="00B47F6F"/>
    <w:rsid w:val="00B50F20"/>
    <w:rsid w:val="00B511A2"/>
    <w:rsid w:val="00B519CD"/>
    <w:rsid w:val="00B5273A"/>
    <w:rsid w:val="00B52D1B"/>
    <w:rsid w:val="00B53C10"/>
    <w:rsid w:val="00B53DAD"/>
    <w:rsid w:val="00B53DB7"/>
    <w:rsid w:val="00B54A88"/>
    <w:rsid w:val="00B54FF6"/>
    <w:rsid w:val="00B55FE7"/>
    <w:rsid w:val="00B57329"/>
    <w:rsid w:val="00B604BA"/>
    <w:rsid w:val="00B60E61"/>
    <w:rsid w:val="00B61371"/>
    <w:rsid w:val="00B614CE"/>
    <w:rsid w:val="00B6153A"/>
    <w:rsid w:val="00B61C77"/>
    <w:rsid w:val="00B62B50"/>
    <w:rsid w:val="00B62D2E"/>
    <w:rsid w:val="00B635B7"/>
    <w:rsid w:val="00B63AE8"/>
    <w:rsid w:val="00B65950"/>
    <w:rsid w:val="00B6668A"/>
    <w:rsid w:val="00B66D83"/>
    <w:rsid w:val="00B66FD3"/>
    <w:rsid w:val="00B672C0"/>
    <w:rsid w:val="00B676FD"/>
    <w:rsid w:val="00B678B6"/>
    <w:rsid w:val="00B67979"/>
    <w:rsid w:val="00B67F66"/>
    <w:rsid w:val="00B712E8"/>
    <w:rsid w:val="00B71E0A"/>
    <w:rsid w:val="00B7379E"/>
    <w:rsid w:val="00B75646"/>
    <w:rsid w:val="00B7578E"/>
    <w:rsid w:val="00B75887"/>
    <w:rsid w:val="00B75B38"/>
    <w:rsid w:val="00B7629E"/>
    <w:rsid w:val="00B7782D"/>
    <w:rsid w:val="00B77C20"/>
    <w:rsid w:val="00B80693"/>
    <w:rsid w:val="00B80E50"/>
    <w:rsid w:val="00B8120D"/>
    <w:rsid w:val="00B83D8D"/>
    <w:rsid w:val="00B85887"/>
    <w:rsid w:val="00B85DC3"/>
    <w:rsid w:val="00B8695A"/>
    <w:rsid w:val="00B86BF8"/>
    <w:rsid w:val="00B878B0"/>
    <w:rsid w:val="00B90291"/>
    <w:rsid w:val="00B90729"/>
    <w:rsid w:val="00B907DA"/>
    <w:rsid w:val="00B90B09"/>
    <w:rsid w:val="00B90C16"/>
    <w:rsid w:val="00B91332"/>
    <w:rsid w:val="00B913DD"/>
    <w:rsid w:val="00B91533"/>
    <w:rsid w:val="00B93D55"/>
    <w:rsid w:val="00B94B78"/>
    <w:rsid w:val="00B94C5E"/>
    <w:rsid w:val="00B950BC"/>
    <w:rsid w:val="00B9534B"/>
    <w:rsid w:val="00B95653"/>
    <w:rsid w:val="00B95CFD"/>
    <w:rsid w:val="00B96499"/>
    <w:rsid w:val="00B96654"/>
    <w:rsid w:val="00B96666"/>
    <w:rsid w:val="00B96E56"/>
    <w:rsid w:val="00B9714C"/>
    <w:rsid w:val="00BA0B43"/>
    <w:rsid w:val="00BA1140"/>
    <w:rsid w:val="00BA121A"/>
    <w:rsid w:val="00BA26F6"/>
    <w:rsid w:val="00BA2766"/>
    <w:rsid w:val="00BA29AD"/>
    <w:rsid w:val="00BA33CF"/>
    <w:rsid w:val="00BA346B"/>
    <w:rsid w:val="00BA38B1"/>
    <w:rsid w:val="00BA3F8D"/>
    <w:rsid w:val="00BA4621"/>
    <w:rsid w:val="00BA5285"/>
    <w:rsid w:val="00BA582A"/>
    <w:rsid w:val="00BA693E"/>
    <w:rsid w:val="00BA6A7E"/>
    <w:rsid w:val="00BA74D8"/>
    <w:rsid w:val="00BB0162"/>
    <w:rsid w:val="00BB026E"/>
    <w:rsid w:val="00BB2232"/>
    <w:rsid w:val="00BB37C9"/>
    <w:rsid w:val="00BB39F4"/>
    <w:rsid w:val="00BB3E4E"/>
    <w:rsid w:val="00BB4BBC"/>
    <w:rsid w:val="00BB5A6F"/>
    <w:rsid w:val="00BB6000"/>
    <w:rsid w:val="00BB7116"/>
    <w:rsid w:val="00BB74AC"/>
    <w:rsid w:val="00BB7A10"/>
    <w:rsid w:val="00BB7C9D"/>
    <w:rsid w:val="00BC042A"/>
    <w:rsid w:val="00BC0704"/>
    <w:rsid w:val="00BC11F9"/>
    <w:rsid w:val="00BC152E"/>
    <w:rsid w:val="00BC16BB"/>
    <w:rsid w:val="00BC299A"/>
    <w:rsid w:val="00BC35A2"/>
    <w:rsid w:val="00BC3BEB"/>
    <w:rsid w:val="00BC4917"/>
    <w:rsid w:val="00BC49ED"/>
    <w:rsid w:val="00BC4A5D"/>
    <w:rsid w:val="00BC4C46"/>
    <w:rsid w:val="00BC4CAA"/>
    <w:rsid w:val="00BC5062"/>
    <w:rsid w:val="00BC5505"/>
    <w:rsid w:val="00BC5A05"/>
    <w:rsid w:val="00BC5AA5"/>
    <w:rsid w:val="00BC60BE"/>
    <w:rsid w:val="00BC681B"/>
    <w:rsid w:val="00BC6EA2"/>
    <w:rsid w:val="00BC7468"/>
    <w:rsid w:val="00BC7897"/>
    <w:rsid w:val="00BC7D4F"/>
    <w:rsid w:val="00BC7ED7"/>
    <w:rsid w:val="00BC7FBF"/>
    <w:rsid w:val="00BD0599"/>
    <w:rsid w:val="00BD06CD"/>
    <w:rsid w:val="00BD0953"/>
    <w:rsid w:val="00BD10D0"/>
    <w:rsid w:val="00BD122B"/>
    <w:rsid w:val="00BD1C38"/>
    <w:rsid w:val="00BD23E1"/>
    <w:rsid w:val="00BD2850"/>
    <w:rsid w:val="00BD2BE6"/>
    <w:rsid w:val="00BD2F3A"/>
    <w:rsid w:val="00BD30D7"/>
    <w:rsid w:val="00BD4C03"/>
    <w:rsid w:val="00BD51A4"/>
    <w:rsid w:val="00BD5E67"/>
    <w:rsid w:val="00BD6BC4"/>
    <w:rsid w:val="00BD7B91"/>
    <w:rsid w:val="00BD7DB2"/>
    <w:rsid w:val="00BE0ADC"/>
    <w:rsid w:val="00BE1A92"/>
    <w:rsid w:val="00BE28D2"/>
    <w:rsid w:val="00BE46A9"/>
    <w:rsid w:val="00BE4A64"/>
    <w:rsid w:val="00BE5666"/>
    <w:rsid w:val="00BE5677"/>
    <w:rsid w:val="00BE5E33"/>
    <w:rsid w:val="00BE5E43"/>
    <w:rsid w:val="00BE6885"/>
    <w:rsid w:val="00BE6E52"/>
    <w:rsid w:val="00BF05B9"/>
    <w:rsid w:val="00BF0893"/>
    <w:rsid w:val="00BF184A"/>
    <w:rsid w:val="00BF1ADB"/>
    <w:rsid w:val="00BF285D"/>
    <w:rsid w:val="00BF2E0B"/>
    <w:rsid w:val="00BF3EDA"/>
    <w:rsid w:val="00BF557D"/>
    <w:rsid w:val="00BF5C5B"/>
    <w:rsid w:val="00BF5D40"/>
    <w:rsid w:val="00BF658D"/>
    <w:rsid w:val="00BF7662"/>
    <w:rsid w:val="00BF7F58"/>
    <w:rsid w:val="00C00ABD"/>
    <w:rsid w:val="00C00F36"/>
    <w:rsid w:val="00C01381"/>
    <w:rsid w:val="00C01AB1"/>
    <w:rsid w:val="00C025C9"/>
    <w:rsid w:val="00C026A0"/>
    <w:rsid w:val="00C02DA6"/>
    <w:rsid w:val="00C034D3"/>
    <w:rsid w:val="00C03D07"/>
    <w:rsid w:val="00C03E51"/>
    <w:rsid w:val="00C04252"/>
    <w:rsid w:val="00C045CC"/>
    <w:rsid w:val="00C051D2"/>
    <w:rsid w:val="00C054CA"/>
    <w:rsid w:val="00C05EED"/>
    <w:rsid w:val="00C06137"/>
    <w:rsid w:val="00C06312"/>
    <w:rsid w:val="00C06929"/>
    <w:rsid w:val="00C06D53"/>
    <w:rsid w:val="00C079B8"/>
    <w:rsid w:val="00C10037"/>
    <w:rsid w:val="00C106E0"/>
    <w:rsid w:val="00C115E1"/>
    <w:rsid w:val="00C118BA"/>
    <w:rsid w:val="00C1190F"/>
    <w:rsid w:val="00C123EA"/>
    <w:rsid w:val="00C12A49"/>
    <w:rsid w:val="00C13221"/>
    <w:rsid w:val="00C133EE"/>
    <w:rsid w:val="00C1351F"/>
    <w:rsid w:val="00C14031"/>
    <w:rsid w:val="00C147AF"/>
    <w:rsid w:val="00C149D0"/>
    <w:rsid w:val="00C14D6A"/>
    <w:rsid w:val="00C15A39"/>
    <w:rsid w:val="00C16C01"/>
    <w:rsid w:val="00C175E1"/>
    <w:rsid w:val="00C20989"/>
    <w:rsid w:val="00C215FD"/>
    <w:rsid w:val="00C21E7D"/>
    <w:rsid w:val="00C21FC6"/>
    <w:rsid w:val="00C22309"/>
    <w:rsid w:val="00C22C82"/>
    <w:rsid w:val="00C25454"/>
    <w:rsid w:val="00C25CEF"/>
    <w:rsid w:val="00C26588"/>
    <w:rsid w:val="00C26900"/>
    <w:rsid w:val="00C274AE"/>
    <w:rsid w:val="00C27816"/>
    <w:rsid w:val="00C27DE9"/>
    <w:rsid w:val="00C305DC"/>
    <w:rsid w:val="00C307E6"/>
    <w:rsid w:val="00C31036"/>
    <w:rsid w:val="00C31455"/>
    <w:rsid w:val="00C316E8"/>
    <w:rsid w:val="00C325AA"/>
    <w:rsid w:val="00C32989"/>
    <w:rsid w:val="00C33388"/>
    <w:rsid w:val="00C33850"/>
    <w:rsid w:val="00C33F17"/>
    <w:rsid w:val="00C35484"/>
    <w:rsid w:val="00C37130"/>
    <w:rsid w:val="00C40729"/>
    <w:rsid w:val="00C41123"/>
    <w:rsid w:val="00C4130C"/>
    <w:rsid w:val="00C413D7"/>
    <w:rsid w:val="00C4168F"/>
    <w:rsid w:val="00C4173A"/>
    <w:rsid w:val="00C41935"/>
    <w:rsid w:val="00C42AF4"/>
    <w:rsid w:val="00C43204"/>
    <w:rsid w:val="00C4419B"/>
    <w:rsid w:val="00C44861"/>
    <w:rsid w:val="00C45C94"/>
    <w:rsid w:val="00C46F20"/>
    <w:rsid w:val="00C47023"/>
    <w:rsid w:val="00C47DF8"/>
    <w:rsid w:val="00C47EBE"/>
    <w:rsid w:val="00C50DED"/>
    <w:rsid w:val="00C52217"/>
    <w:rsid w:val="00C52334"/>
    <w:rsid w:val="00C5300D"/>
    <w:rsid w:val="00C532B0"/>
    <w:rsid w:val="00C53498"/>
    <w:rsid w:val="00C537EB"/>
    <w:rsid w:val="00C5389F"/>
    <w:rsid w:val="00C543F6"/>
    <w:rsid w:val="00C55505"/>
    <w:rsid w:val="00C55964"/>
    <w:rsid w:val="00C5596A"/>
    <w:rsid w:val="00C55BCE"/>
    <w:rsid w:val="00C55E40"/>
    <w:rsid w:val="00C57854"/>
    <w:rsid w:val="00C57906"/>
    <w:rsid w:val="00C57CEA"/>
    <w:rsid w:val="00C602FF"/>
    <w:rsid w:val="00C60411"/>
    <w:rsid w:val="00C61038"/>
    <w:rsid w:val="00C61174"/>
    <w:rsid w:val="00C6148F"/>
    <w:rsid w:val="00C6161C"/>
    <w:rsid w:val="00C62001"/>
    <w:rsid w:val="00C62045"/>
    <w:rsid w:val="00C621B1"/>
    <w:rsid w:val="00C62F7A"/>
    <w:rsid w:val="00C63435"/>
    <w:rsid w:val="00C63B9C"/>
    <w:rsid w:val="00C64132"/>
    <w:rsid w:val="00C64980"/>
    <w:rsid w:val="00C64B70"/>
    <w:rsid w:val="00C64D1F"/>
    <w:rsid w:val="00C652C1"/>
    <w:rsid w:val="00C6530F"/>
    <w:rsid w:val="00C65E11"/>
    <w:rsid w:val="00C65F40"/>
    <w:rsid w:val="00C6647D"/>
    <w:rsid w:val="00C6682F"/>
    <w:rsid w:val="00C674BA"/>
    <w:rsid w:val="00C67BF4"/>
    <w:rsid w:val="00C70A37"/>
    <w:rsid w:val="00C71004"/>
    <w:rsid w:val="00C71356"/>
    <w:rsid w:val="00C718DB"/>
    <w:rsid w:val="00C71F36"/>
    <w:rsid w:val="00C7275E"/>
    <w:rsid w:val="00C728D9"/>
    <w:rsid w:val="00C72A31"/>
    <w:rsid w:val="00C731AF"/>
    <w:rsid w:val="00C73798"/>
    <w:rsid w:val="00C748FF"/>
    <w:rsid w:val="00C74B11"/>
    <w:rsid w:val="00C74B7C"/>
    <w:rsid w:val="00C74C5D"/>
    <w:rsid w:val="00C74EEA"/>
    <w:rsid w:val="00C752BA"/>
    <w:rsid w:val="00C7616E"/>
    <w:rsid w:val="00C765EF"/>
    <w:rsid w:val="00C769DD"/>
    <w:rsid w:val="00C77F37"/>
    <w:rsid w:val="00C80A1E"/>
    <w:rsid w:val="00C824D9"/>
    <w:rsid w:val="00C82A99"/>
    <w:rsid w:val="00C830AA"/>
    <w:rsid w:val="00C83CB4"/>
    <w:rsid w:val="00C84753"/>
    <w:rsid w:val="00C8505E"/>
    <w:rsid w:val="00C85ED3"/>
    <w:rsid w:val="00C863C4"/>
    <w:rsid w:val="00C900FD"/>
    <w:rsid w:val="00C907A9"/>
    <w:rsid w:val="00C90DAB"/>
    <w:rsid w:val="00C90F82"/>
    <w:rsid w:val="00C91666"/>
    <w:rsid w:val="00C91A3B"/>
    <w:rsid w:val="00C91F98"/>
    <w:rsid w:val="00C920EA"/>
    <w:rsid w:val="00C93434"/>
    <w:rsid w:val="00C93B02"/>
    <w:rsid w:val="00C93C3E"/>
    <w:rsid w:val="00C94BAA"/>
    <w:rsid w:val="00C9670E"/>
    <w:rsid w:val="00C96AF3"/>
    <w:rsid w:val="00CA0082"/>
    <w:rsid w:val="00CA12E3"/>
    <w:rsid w:val="00CA1476"/>
    <w:rsid w:val="00CA4059"/>
    <w:rsid w:val="00CA4A90"/>
    <w:rsid w:val="00CA6611"/>
    <w:rsid w:val="00CA666A"/>
    <w:rsid w:val="00CA6AE6"/>
    <w:rsid w:val="00CA75AC"/>
    <w:rsid w:val="00CA782F"/>
    <w:rsid w:val="00CB0516"/>
    <w:rsid w:val="00CB068F"/>
    <w:rsid w:val="00CB126B"/>
    <w:rsid w:val="00CB187B"/>
    <w:rsid w:val="00CB1AF7"/>
    <w:rsid w:val="00CB212C"/>
    <w:rsid w:val="00CB2835"/>
    <w:rsid w:val="00CB2899"/>
    <w:rsid w:val="00CB2CFB"/>
    <w:rsid w:val="00CB2E18"/>
    <w:rsid w:val="00CB3285"/>
    <w:rsid w:val="00CB42E7"/>
    <w:rsid w:val="00CB440A"/>
    <w:rsid w:val="00CB4500"/>
    <w:rsid w:val="00CB5615"/>
    <w:rsid w:val="00CB73B0"/>
    <w:rsid w:val="00CC064D"/>
    <w:rsid w:val="00CC0BF7"/>
    <w:rsid w:val="00CC0C72"/>
    <w:rsid w:val="00CC1B74"/>
    <w:rsid w:val="00CC237E"/>
    <w:rsid w:val="00CC2418"/>
    <w:rsid w:val="00CC27B2"/>
    <w:rsid w:val="00CC2BFD"/>
    <w:rsid w:val="00CC2D26"/>
    <w:rsid w:val="00CC3234"/>
    <w:rsid w:val="00CC3506"/>
    <w:rsid w:val="00CC4969"/>
    <w:rsid w:val="00CC4ACF"/>
    <w:rsid w:val="00CC4CB3"/>
    <w:rsid w:val="00CC5B41"/>
    <w:rsid w:val="00CC5D7C"/>
    <w:rsid w:val="00CC670B"/>
    <w:rsid w:val="00CC6A62"/>
    <w:rsid w:val="00CC6DA0"/>
    <w:rsid w:val="00CC6F40"/>
    <w:rsid w:val="00CC7567"/>
    <w:rsid w:val="00CD07AE"/>
    <w:rsid w:val="00CD07BD"/>
    <w:rsid w:val="00CD121B"/>
    <w:rsid w:val="00CD15FF"/>
    <w:rsid w:val="00CD1675"/>
    <w:rsid w:val="00CD2509"/>
    <w:rsid w:val="00CD316B"/>
    <w:rsid w:val="00CD3476"/>
    <w:rsid w:val="00CD368D"/>
    <w:rsid w:val="00CD397D"/>
    <w:rsid w:val="00CD3D1D"/>
    <w:rsid w:val="00CD4636"/>
    <w:rsid w:val="00CD495A"/>
    <w:rsid w:val="00CD5031"/>
    <w:rsid w:val="00CD507F"/>
    <w:rsid w:val="00CD53C9"/>
    <w:rsid w:val="00CD625F"/>
    <w:rsid w:val="00CD64DF"/>
    <w:rsid w:val="00CE0171"/>
    <w:rsid w:val="00CE03A5"/>
    <w:rsid w:val="00CE084A"/>
    <w:rsid w:val="00CE0E92"/>
    <w:rsid w:val="00CE1260"/>
    <w:rsid w:val="00CE225F"/>
    <w:rsid w:val="00CE2B66"/>
    <w:rsid w:val="00CE2CD5"/>
    <w:rsid w:val="00CE2FBA"/>
    <w:rsid w:val="00CE5A7A"/>
    <w:rsid w:val="00CE5E23"/>
    <w:rsid w:val="00CE634D"/>
    <w:rsid w:val="00CE6730"/>
    <w:rsid w:val="00CE68D5"/>
    <w:rsid w:val="00CE6A7E"/>
    <w:rsid w:val="00CE7542"/>
    <w:rsid w:val="00CE7C2D"/>
    <w:rsid w:val="00CE7D3D"/>
    <w:rsid w:val="00CF0022"/>
    <w:rsid w:val="00CF1C2B"/>
    <w:rsid w:val="00CF2787"/>
    <w:rsid w:val="00CF2F50"/>
    <w:rsid w:val="00CF3187"/>
    <w:rsid w:val="00CF34EB"/>
    <w:rsid w:val="00CF4053"/>
    <w:rsid w:val="00CF49F7"/>
    <w:rsid w:val="00CF50A6"/>
    <w:rsid w:val="00CF55B9"/>
    <w:rsid w:val="00CF5686"/>
    <w:rsid w:val="00CF6198"/>
    <w:rsid w:val="00CF6C0B"/>
    <w:rsid w:val="00CF70DA"/>
    <w:rsid w:val="00CF75C6"/>
    <w:rsid w:val="00CF7624"/>
    <w:rsid w:val="00D004E4"/>
    <w:rsid w:val="00D00878"/>
    <w:rsid w:val="00D01348"/>
    <w:rsid w:val="00D02919"/>
    <w:rsid w:val="00D02CEA"/>
    <w:rsid w:val="00D02E6F"/>
    <w:rsid w:val="00D04C61"/>
    <w:rsid w:val="00D05552"/>
    <w:rsid w:val="00D05B8D"/>
    <w:rsid w:val="00D05B9B"/>
    <w:rsid w:val="00D060D2"/>
    <w:rsid w:val="00D06354"/>
    <w:rsid w:val="00D06588"/>
    <w:rsid w:val="00D065A2"/>
    <w:rsid w:val="00D06C70"/>
    <w:rsid w:val="00D079AA"/>
    <w:rsid w:val="00D07F00"/>
    <w:rsid w:val="00D10E24"/>
    <w:rsid w:val="00D10F53"/>
    <w:rsid w:val="00D1130F"/>
    <w:rsid w:val="00D1143F"/>
    <w:rsid w:val="00D12AA2"/>
    <w:rsid w:val="00D12EAD"/>
    <w:rsid w:val="00D13958"/>
    <w:rsid w:val="00D13CEB"/>
    <w:rsid w:val="00D159FA"/>
    <w:rsid w:val="00D15CC5"/>
    <w:rsid w:val="00D15E68"/>
    <w:rsid w:val="00D1731A"/>
    <w:rsid w:val="00D17B72"/>
    <w:rsid w:val="00D20099"/>
    <w:rsid w:val="00D21A03"/>
    <w:rsid w:val="00D2257C"/>
    <w:rsid w:val="00D22902"/>
    <w:rsid w:val="00D242D6"/>
    <w:rsid w:val="00D24340"/>
    <w:rsid w:val="00D24C69"/>
    <w:rsid w:val="00D25428"/>
    <w:rsid w:val="00D255A8"/>
    <w:rsid w:val="00D25908"/>
    <w:rsid w:val="00D260B3"/>
    <w:rsid w:val="00D26321"/>
    <w:rsid w:val="00D2764B"/>
    <w:rsid w:val="00D276AF"/>
    <w:rsid w:val="00D27D89"/>
    <w:rsid w:val="00D3185C"/>
    <w:rsid w:val="00D31907"/>
    <w:rsid w:val="00D3205F"/>
    <w:rsid w:val="00D327DA"/>
    <w:rsid w:val="00D3318E"/>
    <w:rsid w:val="00D33420"/>
    <w:rsid w:val="00D339BD"/>
    <w:rsid w:val="00D33B5D"/>
    <w:rsid w:val="00D33E72"/>
    <w:rsid w:val="00D35BD6"/>
    <w:rsid w:val="00D361B5"/>
    <w:rsid w:val="00D363AB"/>
    <w:rsid w:val="00D3656C"/>
    <w:rsid w:val="00D368DC"/>
    <w:rsid w:val="00D378B9"/>
    <w:rsid w:val="00D37ADE"/>
    <w:rsid w:val="00D37BE0"/>
    <w:rsid w:val="00D40EB1"/>
    <w:rsid w:val="00D411A2"/>
    <w:rsid w:val="00D4242E"/>
    <w:rsid w:val="00D427D7"/>
    <w:rsid w:val="00D4286B"/>
    <w:rsid w:val="00D43006"/>
    <w:rsid w:val="00D43490"/>
    <w:rsid w:val="00D43CCB"/>
    <w:rsid w:val="00D43F3A"/>
    <w:rsid w:val="00D44915"/>
    <w:rsid w:val="00D4606D"/>
    <w:rsid w:val="00D506CF"/>
    <w:rsid w:val="00D50B9C"/>
    <w:rsid w:val="00D513AF"/>
    <w:rsid w:val="00D51AC4"/>
    <w:rsid w:val="00D52CF1"/>
    <w:rsid w:val="00D52D73"/>
    <w:rsid w:val="00D52E58"/>
    <w:rsid w:val="00D53BC8"/>
    <w:rsid w:val="00D53E78"/>
    <w:rsid w:val="00D551AD"/>
    <w:rsid w:val="00D55362"/>
    <w:rsid w:val="00D55F6B"/>
    <w:rsid w:val="00D56836"/>
    <w:rsid w:val="00D56B20"/>
    <w:rsid w:val="00D56FCB"/>
    <w:rsid w:val="00D578B3"/>
    <w:rsid w:val="00D60814"/>
    <w:rsid w:val="00D614D7"/>
    <w:rsid w:val="00D618F4"/>
    <w:rsid w:val="00D61E14"/>
    <w:rsid w:val="00D63636"/>
    <w:rsid w:val="00D63C50"/>
    <w:rsid w:val="00D63E04"/>
    <w:rsid w:val="00D648D1"/>
    <w:rsid w:val="00D66BE8"/>
    <w:rsid w:val="00D70851"/>
    <w:rsid w:val="00D70B31"/>
    <w:rsid w:val="00D714CC"/>
    <w:rsid w:val="00D7281F"/>
    <w:rsid w:val="00D74083"/>
    <w:rsid w:val="00D74B8D"/>
    <w:rsid w:val="00D75EA7"/>
    <w:rsid w:val="00D76ECC"/>
    <w:rsid w:val="00D805BE"/>
    <w:rsid w:val="00D8061A"/>
    <w:rsid w:val="00D814D9"/>
    <w:rsid w:val="00D816FA"/>
    <w:rsid w:val="00D81ADF"/>
    <w:rsid w:val="00D81F21"/>
    <w:rsid w:val="00D8256F"/>
    <w:rsid w:val="00D838A9"/>
    <w:rsid w:val="00D83A42"/>
    <w:rsid w:val="00D83BAE"/>
    <w:rsid w:val="00D853E5"/>
    <w:rsid w:val="00D864F2"/>
    <w:rsid w:val="00D86610"/>
    <w:rsid w:val="00D869C3"/>
    <w:rsid w:val="00D870A1"/>
    <w:rsid w:val="00D87F04"/>
    <w:rsid w:val="00D87F0A"/>
    <w:rsid w:val="00D921CB"/>
    <w:rsid w:val="00D924D5"/>
    <w:rsid w:val="00D92C3C"/>
    <w:rsid w:val="00D93854"/>
    <w:rsid w:val="00D93866"/>
    <w:rsid w:val="00D939B5"/>
    <w:rsid w:val="00D943F8"/>
    <w:rsid w:val="00D95470"/>
    <w:rsid w:val="00D96B55"/>
    <w:rsid w:val="00D96CE0"/>
    <w:rsid w:val="00DA082E"/>
    <w:rsid w:val="00DA0D29"/>
    <w:rsid w:val="00DA0F2B"/>
    <w:rsid w:val="00DA12FE"/>
    <w:rsid w:val="00DA2619"/>
    <w:rsid w:val="00DA26D5"/>
    <w:rsid w:val="00DA3206"/>
    <w:rsid w:val="00DA4239"/>
    <w:rsid w:val="00DA49AE"/>
    <w:rsid w:val="00DA51CB"/>
    <w:rsid w:val="00DA574A"/>
    <w:rsid w:val="00DA588C"/>
    <w:rsid w:val="00DA595B"/>
    <w:rsid w:val="00DA5AF7"/>
    <w:rsid w:val="00DA6252"/>
    <w:rsid w:val="00DA65DE"/>
    <w:rsid w:val="00DA6949"/>
    <w:rsid w:val="00DA7574"/>
    <w:rsid w:val="00DA7AB5"/>
    <w:rsid w:val="00DB04FB"/>
    <w:rsid w:val="00DB0B61"/>
    <w:rsid w:val="00DB1474"/>
    <w:rsid w:val="00DB2962"/>
    <w:rsid w:val="00DB2965"/>
    <w:rsid w:val="00DB2CA6"/>
    <w:rsid w:val="00DB48BE"/>
    <w:rsid w:val="00DB52FB"/>
    <w:rsid w:val="00DB6797"/>
    <w:rsid w:val="00DB6B26"/>
    <w:rsid w:val="00DC013B"/>
    <w:rsid w:val="00DC090B"/>
    <w:rsid w:val="00DC0935"/>
    <w:rsid w:val="00DC0A24"/>
    <w:rsid w:val="00DC0FA6"/>
    <w:rsid w:val="00DC1621"/>
    <w:rsid w:val="00DC1679"/>
    <w:rsid w:val="00DC1B70"/>
    <w:rsid w:val="00DC1F4D"/>
    <w:rsid w:val="00DC219B"/>
    <w:rsid w:val="00DC278D"/>
    <w:rsid w:val="00DC2CF1"/>
    <w:rsid w:val="00DC2D28"/>
    <w:rsid w:val="00DC2DC7"/>
    <w:rsid w:val="00DC2EA0"/>
    <w:rsid w:val="00DC3048"/>
    <w:rsid w:val="00DC3A7C"/>
    <w:rsid w:val="00DC4A90"/>
    <w:rsid w:val="00DC4FCF"/>
    <w:rsid w:val="00DC50E0"/>
    <w:rsid w:val="00DC542C"/>
    <w:rsid w:val="00DC6386"/>
    <w:rsid w:val="00DC7E33"/>
    <w:rsid w:val="00DC7F25"/>
    <w:rsid w:val="00DD03B7"/>
    <w:rsid w:val="00DD1130"/>
    <w:rsid w:val="00DD1951"/>
    <w:rsid w:val="00DD1B54"/>
    <w:rsid w:val="00DD260D"/>
    <w:rsid w:val="00DD2CE6"/>
    <w:rsid w:val="00DD2D9A"/>
    <w:rsid w:val="00DD2E18"/>
    <w:rsid w:val="00DD3527"/>
    <w:rsid w:val="00DD3A9D"/>
    <w:rsid w:val="00DD414F"/>
    <w:rsid w:val="00DD4442"/>
    <w:rsid w:val="00DD4587"/>
    <w:rsid w:val="00DD487D"/>
    <w:rsid w:val="00DD4E83"/>
    <w:rsid w:val="00DD6628"/>
    <w:rsid w:val="00DD6936"/>
    <w:rsid w:val="00DD6945"/>
    <w:rsid w:val="00DD7DB0"/>
    <w:rsid w:val="00DE042D"/>
    <w:rsid w:val="00DE11FD"/>
    <w:rsid w:val="00DE2887"/>
    <w:rsid w:val="00DE2D04"/>
    <w:rsid w:val="00DE2E02"/>
    <w:rsid w:val="00DE3250"/>
    <w:rsid w:val="00DE32F0"/>
    <w:rsid w:val="00DE5DC8"/>
    <w:rsid w:val="00DE5DDD"/>
    <w:rsid w:val="00DE5FF5"/>
    <w:rsid w:val="00DE6028"/>
    <w:rsid w:val="00DE6567"/>
    <w:rsid w:val="00DE6C85"/>
    <w:rsid w:val="00DE78A3"/>
    <w:rsid w:val="00DF0A6E"/>
    <w:rsid w:val="00DF1109"/>
    <w:rsid w:val="00DF1788"/>
    <w:rsid w:val="00DF1A71"/>
    <w:rsid w:val="00DF28A7"/>
    <w:rsid w:val="00DF2D42"/>
    <w:rsid w:val="00DF317E"/>
    <w:rsid w:val="00DF363A"/>
    <w:rsid w:val="00DF50FC"/>
    <w:rsid w:val="00DF542D"/>
    <w:rsid w:val="00DF5A9A"/>
    <w:rsid w:val="00DF5FB2"/>
    <w:rsid w:val="00DF61B9"/>
    <w:rsid w:val="00DF68C7"/>
    <w:rsid w:val="00DF6CB8"/>
    <w:rsid w:val="00DF731A"/>
    <w:rsid w:val="00DF77F3"/>
    <w:rsid w:val="00E0020B"/>
    <w:rsid w:val="00E003CF"/>
    <w:rsid w:val="00E03060"/>
    <w:rsid w:val="00E03DA3"/>
    <w:rsid w:val="00E04086"/>
    <w:rsid w:val="00E0606B"/>
    <w:rsid w:val="00E06124"/>
    <w:rsid w:val="00E06B75"/>
    <w:rsid w:val="00E06C03"/>
    <w:rsid w:val="00E07B3A"/>
    <w:rsid w:val="00E11332"/>
    <w:rsid w:val="00E11352"/>
    <w:rsid w:val="00E1155A"/>
    <w:rsid w:val="00E11A49"/>
    <w:rsid w:val="00E11CD8"/>
    <w:rsid w:val="00E126CF"/>
    <w:rsid w:val="00E12ADD"/>
    <w:rsid w:val="00E132EE"/>
    <w:rsid w:val="00E13732"/>
    <w:rsid w:val="00E1397A"/>
    <w:rsid w:val="00E143C7"/>
    <w:rsid w:val="00E15528"/>
    <w:rsid w:val="00E15A87"/>
    <w:rsid w:val="00E15F85"/>
    <w:rsid w:val="00E16365"/>
    <w:rsid w:val="00E16845"/>
    <w:rsid w:val="00E170DC"/>
    <w:rsid w:val="00E17546"/>
    <w:rsid w:val="00E20184"/>
    <w:rsid w:val="00E210B5"/>
    <w:rsid w:val="00E214FB"/>
    <w:rsid w:val="00E22C1D"/>
    <w:rsid w:val="00E22E0A"/>
    <w:rsid w:val="00E23363"/>
    <w:rsid w:val="00E23CFD"/>
    <w:rsid w:val="00E24CD4"/>
    <w:rsid w:val="00E2548F"/>
    <w:rsid w:val="00E261B3"/>
    <w:rsid w:val="00E26743"/>
    <w:rsid w:val="00E26818"/>
    <w:rsid w:val="00E2682E"/>
    <w:rsid w:val="00E2708C"/>
    <w:rsid w:val="00E277A7"/>
    <w:rsid w:val="00E278A6"/>
    <w:rsid w:val="00E27DFA"/>
    <w:rsid w:val="00E27FFC"/>
    <w:rsid w:val="00E30B15"/>
    <w:rsid w:val="00E31379"/>
    <w:rsid w:val="00E33237"/>
    <w:rsid w:val="00E3453A"/>
    <w:rsid w:val="00E357EA"/>
    <w:rsid w:val="00E35F53"/>
    <w:rsid w:val="00E3704F"/>
    <w:rsid w:val="00E40181"/>
    <w:rsid w:val="00E4104F"/>
    <w:rsid w:val="00E41221"/>
    <w:rsid w:val="00E41E13"/>
    <w:rsid w:val="00E423F2"/>
    <w:rsid w:val="00E42679"/>
    <w:rsid w:val="00E43513"/>
    <w:rsid w:val="00E45855"/>
    <w:rsid w:val="00E45894"/>
    <w:rsid w:val="00E47595"/>
    <w:rsid w:val="00E5022C"/>
    <w:rsid w:val="00E50974"/>
    <w:rsid w:val="00E511B1"/>
    <w:rsid w:val="00E51266"/>
    <w:rsid w:val="00E51848"/>
    <w:rsid w:val="00E5283A"/>
    <w:rsid w:val="00E528DF"/>
    <w:rsid w:val="00E52C66"/>
    <w:rsid w:val="00E53831"/>
    <w:rsid w:val="00E54222"/>
    <w:rsid w:val="00E5454A"/>
    <w:rsid w:val="00E54950"/>
    <w:rsid w:val="00E54D9F"/>
    <w:rsid w:val="00E55546"/>
    <w:rsid w:val="00E555D2"/>
    <w:rsid w:val="00E55D5D"/>
    <w:rsid w:val="00E55FB3"/>
    <w:rsid w:val="00E5609F"/>
    <w:rsid w:val="00E565CD"/>
    <w:rsid w:val="00E567EA"/>
    <w:rsid w:val="00E56A01"/>
    <w:rsid w:val="00E5714D"/>
    <w:rsid w:val="00E6109B"/>
    <w:rsid w:val="00E615CE"/>
    <w:rsid w:val="00E6215E"/>
    <w:rsid w:val="00E628A0"/>
    <w:rsid w:val="00E629A1"/>
    <w:rsid w:val="00E63630"/>
    <w:rsid w:val="00E64353"/>
    <w:rsid w:val="00E64700"/>
    <w:rsid w:val="00E64B14"/>
    <w:rsid w:val="00E65C75"/>
    <w:rsid w:val="00E65CEE"/>
    <w:rsid w:val="00E66856"/>
    <w:rsid w:val="00E6794C"/>
    <w:rsid w:val="00E70B3A"/>
    <w:rsid w:val="00E71591"/>
    <w:rsid w:val="00E71CEB"/>
    <w:rsid w:val="00E72815"/>
    <w:rsid w:val="00E72973"/>
    <w:rsid w:val="00E72D12"/>
    <w:rsid w:val="00E7344B"/>
    <w:rsid w:val="00E73866"/>
    <w:rsid w:val="00E743B6"/>
    <w:rsid w:val="00E7450F"/>
    <w:rsid w:val="00E7474F"/>
    <w:rsid w:val="00E74F3D"/>
    <w:rsid w:val="00E7690E"/>
    <w:rsid w:val="00E77BC4"/>
    <w:rsid w:val="00E8031A"/>
    <w:rsid w:val="00E80DE3"/>
    <w:rsid w:val="00E820DD"/>
    <w:rsid w:val="00E82C55"/>
    <w:rsid w:val="00E82FCB"/>
    <w:rsid w:val="00E837F6"/>
    <w:rsid w:val="00E84340"/>
    <w:rsid w:val="00E8473D"/>
    <w:rsid w:val="00E84E2E"/>
    <w:rsid w:val="00E866AC"/>
    <w:rsid w:val="00E86CC2"/>
    <w:rsid w:val="00E8787E"/>
    <w:rsid w:val="00E8789F"/>
    <w:rsid w:val="00E87CC4"/>
    <w:rsid w:val="00E9039A"/>
    <w:rsid w:val="00E9042A"/>
    <w:rsid w:val="00E90802"/>
    <w:rsid w:val="00E92AC3"/>
    <w:rsid w:val="00E9379D"/>
    <w:rsid w:val="00E93A47"/>
    <w:rsid w:val="00E94ACC"/>
    <w:rsid w:val="00E94C6C"/>
    <w:rsid w:val="00E9528F"/>
    <w:rsid w:val="00E96153"/>
    <w:rsid w:val="00E96766"/>
    <w:rsid w:val="00E96EAE"/>
    <w:rsid w:val="00E970DC"/>
    <w:rsid w:val="00E97388"/>
    <w:rsid w:val="00EA009E"/>
    <w:rsid w:val="00EA0A53"/>
    <w:rsid w:val="00EA1034"/>
    <w:rsid w:val="00EA18FD"/>
    <w:rsid w:val="00EA279D"/>
    <w:rsid w:val="00EA2F6A"/>
    <w:rsid w:val="00EA3378"/>
    <w:rsid w:val="00EA45DD"/>
    <w:rsid w:val="00EA518C"/>
    <w:rsid w:val="00EA560D"/>
    <w:rsid w:val="00EA5FC8"/>
    <w:rsid w:val="00EA70EB"/>
    <w:rsid w:val="00EA72D8"/>
    <w:rsid w:val="00EA7831"/>
    <w:rsid w:val="00EA7BAE"/>
    <w:rsid w:val="00EA7C2A"/>
    <w:rsid w:val="00EA7D8E"/>
    <w:rsid w:val="00EA7EB1"/>
    <w:rsid w:val="00EB00E0"/>
    <w:rsid w:val="00EB05D5"/>
    <w:rsid w:val="00EB09AF"/>
    <w:rsid w:val="00EB0A16"/>
    <w:rsid w:val="00EB0AFD"/>
    <w:rsid w:val="00EB1B12"/>
    <w:rsid w:val="00EB2894"/>
    <w:rsid w:val="00EB3914"/>
    <w:rsid w:val="00EB413B"/>
    <w:rsid w:val="00EB47FD"/>
    <w:rsid w:val="00EB4A61"/>
    <w:rsid w:val="00EB4BC7"/>
    <w:rsid w:val="00EB56B9"/>
    <w:rsid w:val="00EB56BD"/>
    <w:rsid w:val="00EB7867"/>
    <w:rsid w:val="00EC059F"/>
    <w:rsid w:val="00EC134C"/>
    <w:rsid w:val="00EC1F24"/>
    <w:rsid w:val="00EC22F6"/>
    <w:rsid w:val="00EC2861"/>
    <w:rsid w:val="00EC3DB9"/>
    <w:rsid w:val="00EC5091"/>
    <w:rsid w:val="00EC636D"/>
    <w:rsid w:val="00EC756D"/>
    <w:rsid w:val="00EC7A27"/>
    <w:rsid w:val="00ED0137"/>
    <w:rsid w:val="00ED06AF"/>
    <w:rsid w:val="00ED15FB"/>
    <w:rsid w:val="00ED184A"/>
    <w:rsid w:val="00ED1AC0"/>
    <w:rsid w:val="00ED34B7"/>
    <w:rsid w:val="00ED36B8"/>
    <w:rsid w:val="00ED39FE"/>
    <w:rsid w:val="00ED5B9B"/>
    <w:rsid w:val="00ED6916"/>
    <w:rsid w:val="00ED6BAD"/>
    <w:rsid w:val="00ED6C05"/>
    <w:rsid w:val="00ED708B"/>
    <w:rsid w:val="00ED7447"/>
    <w:rsid w:val="00ED7762"/>
    <w:rsid w:val="00EE00D6"/>
    <w:rsid w:val="00EE0BBE"/>
    <w:rsid w:val="00EE11E7"/>
    <w:rsid w:val="00EE1488"/>
    <w:rsid w:val="00EE19E6"/>
    <w:rsid w:val="00EE29AD"/>
    <w:rsid w:val="00EE29FB"/>
    <w:rsid w:val="00EE3C5E"/>
    <w:rsid w:val="00EE3E24"/>
    <w:rsid w:val="00EE4D5D"/>
    <w:rsid w:val="00EE5131"/>
    <w:rsid w:val="00EE52A0"/>
    <w:rsid w:val="00EE5913"/>
    <w:rsid w:val="00EE61DD"/>
    <w:rsid w:val="00EF0699"/>
    <w:rsid w:val="00EF109B"/>
    <w:rsid w:val="00EF1135"/>
    <w:rsid w:val="00EF201C"/>
    <w:rsid w:val="00EF254D"/>
    <w:rsid w:val="00EF2C72"/>
    <w:rsid w:val="00EF36AE"/>
    <w:rsid w:val="00EF36AF"/>
    <w:rsid w:val="00EF51A9"/>
    <w:rsid w:val="00EF586F"/>
    <w:rsid w:val="00EF59A3"/>
    <w:rsid w:val="00EF6675"/>
    <w:rsid w:val="00EF67E1"/>
    <w:rsid w:val="00EF7576"/>
    <w:rsid w:val="00F0063D"/>
    <w:rsid w:val="00F007AA"/>
    <w:rsid w:val="00F00F9C"/>
    <w:rsid w:val="00F01E5F"/>
    <w:rsid w:val="00F024F3"/>
    <w:rsid w:val="00F02ABA"/>
    <w:rsid w:val="00F0343C"/>
    <w:rsid w:val="00F0437A"/>
    <w:rsid w:val="00F04E20"/>
    <w:rsid w:val="00F065B3"/>
    <w:rsid w:val="00F101B8"/>
    <w:rsid w:val="00F11037"/>
    <w:rsid w:val="00F11966"/>
    <w:rsid w:val="00F11DED"/>
    <w:rsid w:val="00F12E29"/>
    <w:rsid w:val="00F14115"/>
    <w:rsid w:val="00F14676"/>
    <w:rsid w:val="00F16067"/>
    <w:rsid w:val="00F16570"/>
    <w:rsid w:val="00F16F1B"/>
    <w:rsid w:val="00F2067C"/>
    <w:rsid w:val="00F21196"/>
    <w:rsid w:val="00F21B0C"/>
    <w:rsid w:val="00F21F88"/>
    <w:rsid w:val="00F22029"/>
    <w:rsid w:val="00F2237F"/>
    <w:rsid w:val="00F228DC"/>
    <w:rsid w:val="00F22B2E"/>
    <w:rsid w:val="00F241AB"/>
    <w:rsid w:val="00F24938"/>
    <w:rsid w:val="00F24DD5"/>
    <w:rsid w:val="00F250A9"/>
    <w:rsid w:val="00F267AF"/>
    <w:rsid w:val="00F3031A"/>
    <w:rsid w:val="00F306B3"/>
    <w:rsid w:val="00F30920"/>
    <w:rsid w:val="00F30FF4"/>
    <w:rsid w:val="00F3122E"/>
    <w:rsid w:val="00F31D49"/>
    <w:rsid w:val="00F32368"/>
    <w:rsid w:val="00F32AAA"/>
    <w:rsid w:val="00F331AD"/>
    <w:rsid w:val="00F33635"/>
    <w:rsid w:val="00F3398F"/>
    <w:rsid w:val="00F33A50"/>
    <w:rsid w:val="00F34011"/>
    <w:rsid w:val="00F35287"/>
    <w:rsid w:val="00F35F90"/>
    <w:rsid w:val="00F37130"/>
    <w:rsid w:val="00F4060B"/>
    <w:rsid w:val="00F40A70"/>
    <w:rsid w:val="00F4318F"/>
    <w:rsid w:val="00F43A37"/>
    <w:rsid w:val="00F4553E"/>
    <w:rsid w:val="00F4641B"/>
    <w:rsid w:val="00F465C3"/>
    <w:rsid w:val="00F46EB8"/>
    <w:rsid w:val="00F46F57"/>
    <w:rsid w:val="00F473C6"/>
    <w:rsid w:val="00F50470"/>
    <w:rsid w:val="00F50CD1"/>
    <w:rsid w:val="00F511E4"/>
    <w:rsid w:val="00F52D09"/>
    <w:rsid w:val="00F52E08"/>
    <w:rsid w:val="00F53256"/>
    <w:rsid w:val="00F5336C"/>
    <w:rsid w:val="00F53A66"/>
    <w:rsid w:val="00F541E2"/>
    <w:rsid w:val="00F54368"/>
    <w:rsid w:val="00F5462D"/>
    <w:rsid w:val="00F54CD6"/>
    <w:rsid w:val="00F551A2"/>
    <w:rsid w:val="00F55AB4"/>
    <w:rsid w:val="00F55B21"/>
    <w:rsid w:val="00F55B46"/>
    <w:rsid w:val="00F56EF6"/>
    <w:rsid w:val="00F57A0C"/>
    <w:rsid w:val="00F60082"/>
    <w:rsid w:val="00F61566"/>
    <w:rsid w:val="00F61A9F"/>
    <w:rsid w:val="00F61B5F"/>
    <w:rsid w:val="00F63575"/>
    <w:rsid w:val="00F63AAA"/>
    <w:rsid w:val="00F64696"/>
    <w:rsid w:val="00F649E3"/>
    <w:rsid w:val="00F6573F"/>
    <w:rsid w:val="00F65AA9"/>
    <w:rsid w:val="00F65D06"/>
    <w:rsid w:val="00F65D17"/>
    <w:rsid w:val="00F66550"/>
    <w:rsid w:val="00F67415"/>
    <w:rsid w:val="00F6768F"/>
    <w:rsid w:val="00F677A6"/>
    <w:rsid w:val="00F67B68"/>
    <w:rsid w:val="00F70B82"/>
    <w:rsid w:val="00F7151F"/>
    <w:rsid w:val="00F7152C"/>
    <w:rsid w:val="00F729C4"/>
    <w:rsid w:val="00F72C2C"/>
    <w:rsid w:val="00F72E84"/>
    <w:rsid w:val="00F73AF9"/>
    <w:rsid w:val="00F741F2"/>
    <w:rsid w:val="00F7463F"/>
    <w:rsid w:val="00F754A5"/>
    <w:rsid w:val="00F75780"/>
    <w:rsid w:val="00F76C82"/>
    <w:rsid w:val="00F76CAB"/>
    <w:rsid w:val="00F772C6"/>
    <w:rsid w:val="00F80745"/>
    <w:rsid w:val="00F80AB3"/>
    <w:rsid w:val="00F80FB9"/>
    <w:rsid w:val="00F81423"/>
    <w:rsid w:val="00F815B5"/>
    <w:rsid w:val="00F825E5"/>
    <w:rsid w:val="00F82CA5"/>
    <w:rsid w:val="00F82E5C"/>
    <w:rsid w:val="00F85195"/>
    <w:rsid w:val="00F858B4"/>
    <w:rsid w:val="00F868E3"/>
    <w:rsid w:val="00F8758C"/>
    <w:rsid w:val="00F87DDB"/>
    <w:rsid w:val="00F900B9"/>
    <w:rsid w:val="00F90A04"/>
    <w:rsid w:val="00F9241E"/>
    <w:rsid w:val="00F932AC"/>
    <w:rsid w:val="00F938BA"/>
    <w:rsid w:val="00F93950"/>
    <w:rsid w:val="00F94F6B"/>
    <w:rsid w:val="00F959F3"/>
    <w:rsid w:val="00F95A05"/>
    <w:rsid w:val="00F9636C"/>
    <w:rsid w:val="00F9674C"/>
    <w:rsid w:val="00F96AFD"/>
    <w:rsid w:val="00F972BB"/>
    <w:rsid w:val="00F97919"/>
    <w:rsid w:val="00FA0156"/>
    <w:rsid w:val="00FA115D"/>
    <w:rsid w:val="00FA11CF"/>
    <w:rsid w:val="00FA1430"/>
    <w:rsid w:val="00FA1D43"/>
    <w:rsid w:val="00FA1E63"/>
    <w:rsid w:val="00FA2241"/>
    <w:rsid w:val="00FA2C46"/>
    <w:rsid w:val="00FA32B3"/>
    <w:rsid w:val="00FA3525"/>
    <w:rsid w:val="00FA403C"/>
    <w:rsid w:val="00FA559D"/>
    <w:rsid w:val="00FA58A6"/>
    <w:rsid w:val="00FA5A53"/>
    <w:rsid w:val="00FA5C92"/>
    <w:rsid w:val="00FA6BF6"/>
    <w:rsid w:val="00FA7195"/>
    <w:rsid w:val="00FA71BB"/>
    <w:rsid w:val="00FA7413"/>
    <w:rsid w:val="00FA7456"/>
    <w:rsid w:val="00FB07C4"/>
    <w:rsid w:val="00FB1454"/>
    <w:rsid w:val="00FB1F6E"/>
    <w:rsid w:val="00FB20E2"/>
    <w:rsid w:val="00FB2755"/>
    <w:rsid w:val="00FB2817"/>
    <w:rsid w:val="00FB41C0"/>
    <w:rsid w:val="00FB4769"/>
    <w:rsid w:val="00FB4CDA"/>
    <w:rsid w:val="00FB4DA0"/>
    <w:rsid w:val="00FB57E4"/>
    <w:rsid w:val="00FB6481"/>
    <w:rsid w:val="00FB6D36"/>
    <w:rsid w:val="00FB7257"/>
    <w:rsid w:val="00FB729F"/>
    <w:rsid w:val="00FB7DE7"/>
    <w:rsid w:val="00FC0965"/>
    <w:rsid w:val="00FC0F81"/>
    <w:rsid w:val="00FC1058"/>
    <w:rsid w:val="00FC12D6"/>
    <w:rsid w:val="00FC202A"/>
    <w:rsid w:val="00FC252F"/>
    <w:rsid w:val="00FC395C"/>
    <w:rsid w:val="00FC3DB7"/>
    <w:rsid w:val="00FC4224"/>
    <w:rsid w:val="00FC46E3"/>
    <w:rsid w:val="00FC51D3"/>
    <w:rsid w:val="00FC5E8E"/>
    <w:rsid w:val="00FC6296"/>
    <w:rsid w:val="00FC6F15"/>
    <w:rsid w:val="00FC73A1"/>
    <w:rsid w:val="00FC7565"/>
    <w:rsid w:val="00FD0A34"/>
    <w:rsid w:val="00FD2C03"/>
    <w:rsid w:val="00FD3766"/>
    <w:rsid w:val="00FD3D05"/>
    <w:rsid w:val="00FD4124"/>
    <w:rsid w:val="00FD47C4"/>
    <w:rsid w:val="00FD5A97"/>
    <w:rsid w:val="00FD5BAC"/>
    <w:rsid w:val="00FD6820"/>
    <w:rsid w:val="00FD6A23"/>
    <w:rsid w:val="00FD7070"/>
    <w:rsid w:val="00FD7848"/>
    <w:rsid w:val="00FE03CC"/>
    <w:rsid w:val="00FE1153"/>
    <w:rsid w:val="00FE23BF"/>
    <w:rsid w:val="00FE25FD"/>
    <w:rsid w:val="00FE2DC6"/>
    <w:rsid w:val="00FE2DCF"/>
    <w:rsid w:val="00FE3580"/>
    <w:rsid w:val="00FE359C"/>
    <w:rsid w:val="00FE3FA7"/>
    <w:rsid w:val="00FE4081"/>
    <w:rsid w:val="00FE43B6"/>
    <w:rsid w:val="00FE624E"/>
    <w:rsid w:val="00FE64F5"/>
    <w:rsid w:val="00FE7571"/>
    <w:rsid w:val="00FF1F68"/>
    <w:rsid w:val="00FF2240"/>
    <w:rsid w:val="00FF2A4E"/>
    <w:rsid w:val="00FF2FCE"/>
    <w:rsid w:val="00FF31D0"/>
    <w:rsid w:val="00FF35F5"/>
    <w:rsid w:val="00FF4642"/>
    <w:rsid w:val="00FF4ECA"/>
    <w:rsid w:val="00FF4F7D"/>
    <w:rsid w:val="00FF52A4"/>
    <w:rsid w:val="00FF54D0"/>
    <w:rsid w:val="00FF5624"/>
    <w:rsid w:val="00FF5EED"/>
    <w:rsid w:val="00FF6D9D"/>
    <w:rsid w:val="00FF7620"/>
    <w:rsid w:val="00FF7DD5"/>
    <w:rsid w:val="088D6041"/>
    <w:rsid w:val="093D2544"/>
    <w:rsid w:val="15EE3C18"/>
    <w:rsid w:val="1E813106"/>
    <w:rsid w:val="21206C8C"/>
    <w:rsid w:val="22A89554"/>
    <w:rsid w:val="25692F2B"/>
    <w:rsid w:val="2D3B9D75"/>
    <w:rsid w:val="332A0D60"/>
    <w:rsid w:val="359AF406"/>
    <w:rsid w:val="41EC3D15"/>
    <w:rsid w:val="46BF26BA"/>
    <w:rsid w:val="4D7F93E1"/>
    <w:rsid w:val="4E3E35B2"/>
    <w:rsid w:val="548AE9C3"/>
    <w:rsid w:val="5D507EFD"/>
    <w:rsid w:val="610C20F2"/>
    <w:rsid w:val="79BEDD6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E005D1"/>
  <w15:docId w15:val="{0CE11531-E3EE-4256-95A5-63C4D33B7C3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0"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semiHidden="1" w:qFormat="1"/>
    <w:lsdException w:name="Quote" w:uiPriority="73" w:semiHidden="1" w:qFormat="1"/>
    <w:lsdException w:name="Intense Quote" w:uiPriority="60" w:semiHidden="1"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semiHidden="1" w:qFormat="1"/>
    <w:lsdException w:name="Intense Emphasis" w:uiPriority="66" w:semiHidden="1" w:qFormat="1"/>
    <w:lsdException w:name="Subtle Reference" w:uiPriority="67" w:semiHidden="1" w:qFormat="1"/>
    <w:lsdException w:name="Intense Reference" w:uiPriority="68" w:semiHidden="1" w:qFormat="1"/>
    <w:lsdException w:name="Book Title" w:uiPriority="69" w:semiHidden="1" w:qFormat="1"/>
    <w:lsdException w:name="Bibliography" w:uiPriority="70" w:semiHidden="1"/>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1"/>
    <w:rsid w:val="006812ED"/>
    <w:pPr>
      <w:spacing w:after="120" w:line="280" w:lineRule="atLeast"/>
    </w:pPr>
    <w:rPr>
      <w:rFonts w:ascii="Arial" w:hAnsi="Arial"/>
      <w:sz w:val="21"/>
      <w:lang w:eastAsia="en-US"/>
    </w:rPr>
  </w:style>
  <w:style w:type="paragraph" w:styleId="Heading1">
    <w:name w:val="heading 1"/>
    <w:next w:val="Body"/>
    <w:link w:val="Heading1Char"/>
    <w:uiPriority w:val="1"/>
    <w:qFormat/>
    <w:rsid w:val="008F1A37"/>
    <w:pPr>
      <w:keepNext/>
      <w:keepLines/>
      <w:spacing w:before="520" w:after="240" w:line="480" w:lineRule="atLeast"/>
      <w:outlineLvl w:val="0"/>
    </w:pPr>
    <w:rPr>
      <w:rFonts w:ascii="Arial" w:hAnsi="Arial" w:eastAsia="MS Gothic" w:cs="Arial"/>
      <w:b/>
      <w:bCs/>
      <w:color w:val="201547"/>
      <w:kern w:val="32"/>
      <w:sz w:val="44"/>
      <w:szCs w:val="44"/>
      <w:lang w:eastAsia="en-US"/>
    </w:rPr>
  </w:style>
  <w:style w:type="paragraph" w:styleId="Heading2">
    <w:name w:val="heading 2"/>
    <w:next w:val="Body"/>
    <w:link w:val="Heading2Char"/>
    <w:uiPriority w:val="1"/>
    <w:qFormat/>
    <w:rsid w:val="00065C1C"/>
    <w:pPr>
      <w:keepNext/>
      <w:keepLines/>
      <w:spacing w:before="360" w:after="120" w:line="340" w:lineRule="atLeast"/>
      <w:outlineLvl w:val="1"/>
    </w:pPr>
    <w:rPr>
      <w:rFonts w:ascii="Arial" w:hAnsi="Arial"/>
      <w:b/>
      <w:sz w:val="32"/>
      <w:szCs w:val="28"/>
      <w:lang w:eastAsia="en-US"/>
    </w:rPr>
  </w:style>
  <w:style w:type="paragraph" w:styleId="Heading3">
    <w:name w:val="heading 3"/>
    <w:next w:val="Body"/>
    <w:link w:val="Heading3Char"/>
    <w:uiPriority w:val="1"/>
    <w:qFormat/>
    <w:rsid w:val="00065C1C"/>
    <w:pPr>
      <w:keepNext/>
      <w:keepLines/>
      <w:spacing w:before="360" w:after="120" w:line="320" w:lineRule="atLeast"/>
      <w:outlineLvl w:val="2"/>
    </w:pPr>
    <w:rPr>
      <w:rFonts w:ascii="Arial" w:hAnsi="Arial" w:eastAsia="MS Gothic"/>
      <w:b/>
      <w:bCs/>
      <w:sz w:val="24"/>
      <w:szCs w:val="26"/>
      <w:lang w:eastAsia="en-US"/>
    </w:rPr>
  </w:style>
  <w:style w:type="paragraph" w:styleId="Heading4">
    <w:name w:val="heading 4"/>
    <w:next w:val="Body"/>
    <w:link w:val="Heading4Char"/>
    <w:uiPriority w:val="1"/>
    <w:qFormat/>
    <w:rsid w:val="00D12AA2"/>
    <w:pPr>
      <w:keepNext/>
      <w:keepLines/>
      <w:spacing w:before="240" w:after="80" w:line="280" w:lineRule="atLeast"/>
      <w:outlineLvl w:val="3"/>
    </w:pPr>
    <w:rPr>
      <w:rFonts w:ascii="Arial" w:hAnsi="Arial" w:eastAsia="MS Mincho"/>
      <w:b/>
      <w:bCs/>
      <w:color w:val="000000" w:themeColor="text1"/>
      <w:sz w:val="21"/>
      <w:szCs w:val="22"/>
      <w:lang w:eastAsia="en-US"/>
    </w:rPr>
  </w:style>
  <w:style w:type="paragraph" w:styleId="Heading5">
    <w:name w:val="heading 5"/>
    <w:basedOn w:val="Normal"/>
    <w:next w:val="Body"/>
    <w:link w:val="Heading5Char"/>
    <w:uiPriority w:val="98"/>
    <w:qFormat/>
    <w:rsid w:val="00454A7D"/>
    <w:pPr>
      <w:keepNext/>
      <w:keepLines/>
      <w:spacing w:before="240" w:after="0"/>
      <w:outlineLvl w:val="4"/>
    </w:pPr>
    <w:rPr>
      <w:rFonts w:eastAsia="MS Mincho"/>
      <w:b/>
      <w:bCs/>
      <w:iCs/>
      <w:color w:val="000000" w:themeColor="text1"/>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 w:customStyle="1">
    <w:name w:val="Body"/>
    <w:link w:val="BodyChar"/>
    <w:qFormat/>
    <w:rsid w:val="005B3E23"/>
    <w:pPr>
      <w:spacing w:after="120" w:line="280" w:lineRule="atLeast"/>
    </w:pPr>
    <w:rPr>
      <w:rFonts w:ascii="Arial" w:hAnsi="Arial" w:eastAsia="Times"/>
      <w:sz w:val="21"/>
      <w:lang w:eastAsia="en-US"/>
    </w:rPr>
  </w:style>
  <w:style w:type="character" w:styleId="Heading1Char" w:customStyle="1">
    <w:name w:val="Heading 1 Char"/>
    <w:link w:val="Heading1"/>
    <w:uiPriority w:val="1"/>
    <w:rsid w:val="008F1A37"/>
    <w:rPr>
      <w:rFonts w:ascii="Arial" w:hAnsi="Arial" w:eastAsia="MS Gothic" w:cs="Arial"/>
      <w:b/>
      <w:bCs/>
      <w:color w:val="201547"/>
      <w:kern w:val="32"/>
      <w:sz w:val="44"/>
      <w:szCs w:val="44"/>
      <w:lang w:eastAsia="en-US"/>
    </w:rPr>
  </w:style>
  <w:style w:type="character" w:styleId="Heading2Char" w:customStyle="1">
    <w:name w:val="Heading 2 Char"/>
    <w:link w:val="Heading2"/>
    <w:uiPriority w:val="1"/>
    <w:rsid w:val="00065C1C"/>
    <w:rPr>
      <w:rFonts w:ascii="Arial" w:hAnsi="Arial"/>
      <w:b/>
      <w:sz w:val="32"/>
      <w:szCs w:val="28"/>
      <w:lang w:eastAsia="en-US"/>
    </w:rPr>
  </w:style>
  <w:style w:type="character" w:styleId="Heading3Char" w:customStyle="1">
    <w:name w:val="Heading 3 Char"/>
    <w:link w:val="Heading3"/>
    <w:uiPriority w:val="1"/>
    <w:rsid w:val="00065C1C"/>
    <w:rPr>
      <w:rFonts w:ascii="Arial" w:hAnsi="Arial" w:eastAsia="MS Gothic"/>
      <w:b/>
      <w:bCs/>
      <w:sz w:val="24"/>
      <w:szCs w:val="26"/>
      <w:lang w:eastAsia="en-US"/>
    </w:rPr>
  </w:style>
  <w:style w:type="character" w:styleId="Heading4Char" w:customStyle="1">
    <w:name w:val="Heading 4 Char"/>
    <w:link w:val="Heading4"/>
    <w:uiPriority w:val="1"/>
    <w:rsid w:val="00D12AA2"/>
    <w:rPr>
      <w:rFonts w:ascii="Arial" w:hAnsi="Arial" w:eastAsia="MS Mincho"/>
      <w:b/>
      <w:bCs/>
      <w:color w:val="000000" w:themeColor="text1"/>
      <w:sz w:val="21"/>
      <w:szCs w:val="22"/>
      <w:lang w:eastAsia="en-US"/>
    </w:rPr>
  </w:style>
  <w:style w:type="paragraph" w:styleId="Header">
    <w:name w:val="header"/>
    <w:uiPriority w:val="10"/>
    <w:rsid w:val="00454A7D"/>
    <w:pPr>
      <w:spacing w:after="300"/>
    </w:pPr>
    <w:rPr>
      <w:rFonts w:ascii="Arial" w:hAnsi="Arial" w:cs="Arial"/>
      <w:b/>
      <w:color w:val="53565A"/>
      <w:sz w:val="18"/>
      <w:szCs w:val="18"/>
      <w:lang w:eastAsia="en-US"/>
    </w:rPr>
  </w:style>
  <w:style w:type="paragraph" w:styleId="Footer">
    <w:name w:val="footer"/>
    <w:link w:val="FooterChar"/>
    <w:uiPriority w:val="99"/>
    <w:rsid w:val="00A13B7A"/>
    <w:pPr>
      <w:spacing w:before="300"/>
      <w:jc w:val="right"/>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styleId="Tabletext6pt" w:customStyle="1">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styleId="EndnoteTextChar" w:customStyle="1">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nospace" w:customStyle="1">
    <w:name w:val="Body no space"/>
    <w:basedOn w:val="Body"/>
    <w:uiPriority w:val="1"/>
    <w:rsid w:val="00F772C6"/>
    <w:pPr>
      <w:spacing w:after="0"/>
    </w:pPr>
  </w:style>
  <w:style w:type="paragraph" w:styleId="Bullet1" w:customStyle="1">
    <w:name w:val="Bullet 1"/>
    <w:basedOn w:val="Body"/>
    <w:qFormat/>
    <w:rsid w:val="00C60411"/>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styleId="DocumentMapChar" w:customStyle="1">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styleId="Heading5Char" w:customStyle="1">
    <w:name w:val="Heading 5 Char"/>
    <w:link w:val="Heading5"/>
    <w:uiPriority w:val="98"/>
    <w:rsid w:val="00454A7D"/>
    <w:rPr>
      <w:rFonts w:ascii="Arial" w:hAnsi="Arial" w:eastAsia="MS Mincho"/>
      <w:b/>
      <w:bCs/>
      <w:iCs/>
      <w:color w:val="000000" w:themeColor="text1"/>
      <w:sz w:val="21"/>
      <w:szCs w:val="26"/>
      <w:lang w:eastAsia="en-US"/>
    </w:rPr>
  </w:style>
  <w:style w:type="character" w:styleId="Strong">
    <w:name w:val="Strong"/>
    <w:uiPriority w:val="22"/>
    <w:qFormat/>
    <w:rsid w:val="00FA3525"/>
    <w:rPr>
      <w:b/>
      <w:bCs/>
    </w:rPr>
  </w:style>
  <w:style w:type="paragraph" w:styleId="TOCheadingreport" w:customStyle="1">
    <w:name w:val="TOC heading report"/>
    <w:basedOn w:val="Heading1"/>
    <w:next w:val="Body"/>
    <w:link w:val="TOCheadingreportChar"/>
    <w:uiPriority w:val="4"/>
    <w:rsid w:val="00D70851"/>
    <w:pPr>
      <w:pageBreakBefore/>
      <w:spacing w:before="0"/>
      <w:outlineLvl w:val="9"/>
    </w:pPr>
  </w:style>
  <w:style w:type="character" w:styleId="TOCheadingreportChar" w:customStyle="1">
    <w:name w:val="TOC heading report Char"/>
    <w:link w:val="TOCheadingreport"/>
    <w:uiPriority w:val="4"/>
    <w:rsid w:val="00D70851"/>
    <w:rPr>
      <w:rFonts w:ascii="Arial" w:hAnsi="Arial" w:eastAsia="MS Gothic"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styleId="Sectionbreakfirstpage" w:customStyle="1">
    <w:name w:val="Section break first page"/>
    <w:uiPriority w:val="5"/>
    <w:rsid w:val="004C6EEE"/>
    <w:pPr>
      <w:spacing w:after="400"/>
    </w:pPr>
    <w:rPr>
      <w:rFonts w:ascii="Arial" w:hAnsi="Arial"/>
      <w:lang w:eastAsia="en-US"/>
    </w:rPr>
  </w:style>
  <w:style w:type="paragraph" w:styleId="Tabletext" w:customStyle="1">
    <w:name w:val="Table text"/>
    <w:uiPriority w:val="3"/>
    <w:qFormat/>
    <w:rsid w:val="004A4195"/>
    <w:pPr>
      <w:spacing w:before="80" w:after="60"/>
    </w:pPr>
    <w:rPr>
      <w:rFonts w:ascii="Arial" w:hAnsi="Arial"/>
      <w:sz w:val="21"/>
      <w:lang w:eastAsia="en-US"/>
    </w:rPr>
  </w:style>
  <w:style w:type="paragraph" w:styleId="Tablecaption" w:customStyle="1">
    <w:name w:val="Table caption"/>
    <w:next w:val="Body"/>
    <w:uiPriority w:val="3"/>
    <w:qFormat/>
    <w:rsid w:val="00B04489"/>
    <w:pPr>
      <w:keepNext/>
      <w:keepLines/>
      <w:spacing w:before="240" w:after="120" w:line="250" w:lineRule="atLeast"/>
    </w:pPr>
    <w:rPr>
      <w:rFonts w:ascii="Arial" w:hAnsi="Arial"/>
      <w:b/>
      <w:sz w:val="21"/>
      <w:lang w:eastAsia="en-US"/>
    </w:rPr>
  </w:style>
  <w:style w:type="paragraph" w:styleId="Documenttitle" w:customStyle="1">
    <w:name w:val="Document title"/>
    <w:uiPriority w:val="8"/>
    <w:rsid w:val="00D70851"/>
    <w:pPr>
      <w:spacing w:after="240" w:line="560" w:lineRule="atLeast"/>
    </w:pPr>
    <w:rPr>
      <w:rFonts w:ascii="Arial" w:hAnsi="Arial"/>
      <w:b/>
      <w:color w:val="201547"/>
      <w:sz w:val="48"/>
      <w:szCs w:val="50"/>
      <w:lang w:eastAsia="en-US"/>
    </w:rPr>
  </w:style>
  <w:style w:type="character" w:styleId="FootnoteReference">
    <w:name w:val="footnote reference"/>
    <w:rsid w:val="00BC7ED7"/>
    <w:rPr>
      <w:vertAlign w:val="superscript"/>
    </w:rPr>
  </w:style>
  <w:style w:type="paragraph" w:styleId="Accessibilitypara" w:customStyle="1">
    <w:name w:val="Accessibility para"/>
    <w:uiPriority w:val="8"/>
    <w:rsid w:val="008119CA"/>
    <w:pPr>
      <w:spacing w:before="240" w:after="200" w:line="300" w:lineRule="atLeast"/>
    </w:pPr>
    <w:rPr>
      <w:rFonts w:ascii="Arial" w:hAnsi="Arial" w:eastAsia="Times"/>
      <w:sz w:val="24"/>
      <w:szCs w:val="19"/>
      <w:lang w:eastAsia="en-US"/>
    </w:rPr>
  </w:style>
  <w:style w:type="paragraph" w:styleId="Figurecaption" w:customStyle="1">
    <w:name w:val="Figure caption"/>
    <w:next w:val="Body"/>
    <w:rsid w:val="00B04489"/>
    <w:pPr>
      <w:keepNext/>
      <w:keepLines/>
      <w:spacing w:before="240" w:after="120" w:line="250" w:lineRule="atLeast"/>
    </w:pPr>
    <w:rPr>
      <w:rFonts w:ascii="Arial" w:hAnsi="Arial"/>
      <w:b/>
      <w:sz w:val="21"/>
      <w:lang w:eastAsia="en-US"/>
    </w:rPr>
  </w:style>
  <w:style w:type="paragraph" w:styleId="Bullet2" w:customStyle="1">
    <w:name w:val="Bullet 2"/>
    <w:basedOn w:val="Body"/>
    <w:uiPriority w:val="2"/>
    <w:qFormat/>
    <w:rsid w:val="00C60411"/>
    <w:pPr>
      <w:numPr>
        <w:ilvl w:val="1"/>
        <w:numId w:val="2"/>
      </w:numPr>
      <w:spacing w:after="40"/>
    </w:pPr>
  </w:style>
  <w:style w:type="paragraph" w:styleId="Bodyafterbullets" w:customStyle="1">
    <w:name w:val="Body after bullets"/>
    <w:basedOn w:val="Body"/>
    <w:uiPriority w:val="11"/>
    <w:rsid w:val="00E11352"/>
    <w:pPr>
      <w:spacing w:before="120"/>
    </w:pPr>
  </w:style>
  <w:style w:type="paragraph" w:styleId="Tablebullet2" w:customStyle="1">
    <w:name w:val="Table bullet 2"/>
    <w:basedOn w:val="Tabletext"/>
    <w:uiPriority w:val="11"/>
    <w:rsid w:val="00C60411"/>
    <w:pPr>
      <w:numPr>
        <w:ilvl w:val="1"/>
        <w:numId w:val="3"/>
      </w:numPr>
    </w:pPr>
  </w:style>
  <w:style w:type="character" w:styleId="SubtitleChar" w:customStyle="1">
    <w:name w:val="Subtitle Char"/>
    <w:link w:val="Subtitle"/>
    <w:uiPriority w:val="11"/>
    <w:semiHidden/>
    <w:rsid w:val="00152073"/>
    <w:rPr>
      <w:rFonts w:ascii="Calibri Light" w:hAnsi="Calibri Light"/>
      <w:sz w:val="24"/>
      <w:szCs w:val="24"/>
      <w:lang w:eastAsia="en-US"/>
    </w:rPr>
  </w:style>
  <w:style w:type="paragraph" w:styleId="Tablebullet1" w:customStyle="1">
    <w:name w:val="Table bullet 1"/>
    <w:basedOn w:val="Tabletext"/>
    <w:uiPriority w:val="3"/>
    <w:qFormat/>
    <w:rsid w:val="00C60411"/>
    <w:pPr>
      <w:numPr>
        <w:numId w:val="3"/>
      </w:numPr>
    </w:pPr>
  </w:style>
  <w:style w:type="numbering" w:styleId="ZZTablebullets" w:customStyle="1">
    <w:name w:val="ZZ Table bullets"/>
    <w:basedOn w:val="NoList"/>
    <w:rsid w:val="00C60411"/>
    <w:pPr>
      <w:numPr>
        <w:numId w:val="3"/>
      </w:numPr>
    </w:pPr>
  </w:style>
  <w:style w:type="paragraph" w:styleId="Tablecolhead" w:customStyle="1">
    <w:name w:val="Table col head"/>
    <w:uiPriority w:val="3"/>
    <w:qFormat/>
    <w:rsid w:val="00030CDD"/>
    <w:pPr>
      <w:spacing w:before="80" w:after="60"/>
    </w:pPr>
    <w:rPr>
      <w:rFonts w:ascii="Arial" w:hAnsi="Arial"/>
      <w:b/>
      <w:color w:val="53565A"/>
      <w:sz w:val="21"/>
      <w:lang w:eastAsia="en-US"/>
    </w:rPr>
  </w:style>
  <w:style w:type="paragraph" w:styleId="Bulletafternumbers1" w:customStyle="1">
    <w:name w:val="Bullet after numbers 1"/>
    <w:basedOn w:val="Body"/>
    <w:uiPriority w:val="4"/>
    <w:rsid w:val="00C60411"/>
    <w:pPr>
      <w:numPr>
        <w:ilvl w:val="2"/>
        <w:numId w:val="1"/>
      </w:numPr>
    </w:pPr>
  </w:style>
  <w:style w:type="character" w:styleId="Hyperlink">
    <w:name w:val="Hyperlink"/>
    <w:uiPriority w:val="99"/>
    <w:rsid w:val="009E7A69"/>
    <w:rPr>
      <w:color w:val="004C97"/>
      <w:u w:val="dotted"/>
    </w:rPr>
  </w:style>
  <w:style w:type="paragraph" w:styleId="Documentsubtitle" w:customStyle="1">
    <w:name w:val="Document subtitle"/>
    <w:uiPriority w:val="8"/>
    <w:rsid w:val="00030CDD"/>
    <w:pPr>
      <w:spacing w:after="120"/>
    </w:pPr>
    <w:rPr>
      <w:rFonts w:ascii="Arial" w:hAnsi="Arial"/>
      <w:color w:val="53565A"/>
      <w:sz w:val="28"/>
      <w:szCs w:val="24"/>
      <w:lang w:eastAsia="en-US"/>
    </w:rPr>
  </w:style>
  <w:style w:type="paragraph" w:styleId="FootnoteText">
    <w:name w:val="footnote text"/>
    <w:basedOn w:val="Normal"/>
    <w:link w:val="FootnoteTextChar"/>
    <w:rsid w:val="004A4195"/>
    <w:pPr>
      <w:spacing w:before="60" w:after="60" w:line="220" w:lineRule="atLeast"/>
    </w:pPr>
    <w:rPr>
      <w:rFonts w:eastAsia="MS Gothic" w:cs="Arial"/>
      <w:sz w:val="18"/>
      <w:szCs w:val="16"/>
    </w:rPr>
  </w:style>
  <w:style w:type="character" w:styleId="FootnoteTextChar" w:customStyle="1">
    <w:name w:val="Footnote Text Char"/>
    <w:link w:val="FootnoteText"/>
    <w:rsid w:val="004A4195"/>
    <w:rPr>
      <w:rFonts w:ascii="Arial" w:hAnsi="Arial" w:eastAsia="MS Gothic" w:cs="Arial"/>
      <w:sz w:val="18"/>
      <w:szCs w:val="16"/>
      <w:lang w:eastAsia="en-US"/>
    </w:rPr>
  </w:style>
  <w:style w:type="paragraph" w:styleId="Spacerparatopoffirstpage" w:customStyle="1">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styleId="TitleChar" w:customStyle="1">
    <w:name w:val="Title Char"/>
    <w:link w:val="Title"/>
    <w:uiPriority w:val="10"/>
    <w:semiHidden/>
    <w:rsid w:val="00152073"/>
    <w:rPr>
      <w:rFonts w:ascii="Calibri Light" w:hAnsi="Calibri Light"/>
      <w:b/>
      <w:bCs/>
      <w:kern w:val="28"/>
      <w:sz w:val="32"/>
      <w:szCs w:val="32"/>
      <w:lang w:eastAsia="en-US"/>
    </w:rPr>
  </w:style>
  <w:style w:type="numbering" w:styleId="ZZBullets" w:customStyle="1">
    <w:name w:val="ZZ Bullets"/>
    <w:rsid w:val="00C60411"/>
    <w:pPr>
      <w:numPr>
        <w:numId w:val="2"/>
      </w:numPr>
    </w:pPr>
  </w:style>
  <w:style w:type="numbering" w:styleId="ZZNumbersdigit" w:customStyle="1">
    <w:name w:val="ZZ Numbers digit"/>
    <w:rsid w:val="00C60411"/>
    <w:pPr>
      <w:numPr>
        <w:numId w:val="1"/>
      </w:numPr>
    </w:pPr>
  </w:style>
  <w:style w:type="numbering" w:styleId="ZZQuotebullets" w:customStyle="1">
    <w:name w:val="ZZ Quote bullets"/>
    <w:basedOn w:val="ZZNumbersdigit"/>
    <w:rsid w:val="00C60411"/>
    <w:pPr>
      <w:numPr>
        <w:numId w:val="4"/>
      </w:numPr>
    </w:pPr>
  </w:style>
  <w:style w:type="paragraph" w:styleId="Numberdigit" w:customStyle="1">
    <w:name w:val="Number digit"/>
    <w:basedOn w:val="Body"/>
    <w:uiPriority w:val="2"/>
    <w:rsid w:val="00C60411"/>
    <w:pPr>
      <w:numPr>
        <w:numId w:val="1"/>
      </w:numPr>
    </w:pPr>
  </w:style>
  <w:style w:type="paragraph" w:styleId="Numberloweralphaindent" w:customStyle="1">
    <w:name w:val="Number lower alpha indent"/>
    <w:basedOn w:val="Body"/>
    <w:uiPriority w:val="3"/>
    <w:rsid w:val="00C60411"/>
    <w:pPr>
      <w:numPr>
        <w:ilvl w:val="1"/>
        <w:numId w:val="6"/>
      </w:numPr>
    </w:pPr>
  </w:style>
  <w:style w:type="paragraph" w:styleId="Numberdigitindent" w:customStyle="1">
    <w:name w:val="Number digit indent"/>
    <w:basedOn w:val="Numberloweralphaindent"/>
    <w:uiPriority w:val="3"/>
    <w:rsid w:val="00C60411"/>
    <w:pPr>
      <w:numPr>
        <w:numId w:val="1"/>
      </w:numPr>
    </w:pPr>
  </w:style>
  <w:style w:type="paragraph" w:styleId="Numberloweralpha" w:customStyle="1">
    <w:name w:val="Number lower alpha"/>
    <w:basedOn w:val="Body"/>
    <w:uiPriority w:val="3"/>
    <w:rsid w:val="00C60411"/>
    <w:pPr>
      <w:numPr>
        <w:numId w:val="6"/>
      </w:numPr>
    </w:pPr>
  </w:style>
  <w:style w:type="paragraph" w:styleId="Numberlowerroman" w:customStyle="1">
    <w:name w:val="Number lower roman"/>
    <w:basedOn w:val="Body"/>
    <w:uiPriority w:val="3"/>
    <w:rsid w:val="00C60411"/>
    <w:pPr>
      <w:numPr>
        <w:numId w:val="5"/>
      </w:numPr>
    </w:pPr>
  </w:style>
  <w:style w:type="paragraph" w:styleId="Numberlowerromanindent" w:customStyle="1">
    <w:name w:val="Number lower roman indent"/>
    <w:basedOn w:val="Body"/>
    <w:uiPriority w:val="3"/>
    <w:rsid w:val="00C60411"/>
    <w:pPr>
      <w:numPr>
        <w:ilvl w:val="1"/>
        <w:numId w:val="5"/>
      </w:numPr>
    </w:pPr>
  </w:style>
  <w:style w:type="paragraph" w:styleId="Quotetext" w:customStyle="1">
    <w:name w:val="Quote text"/>
    <w:basedOn w:val="Body"/>
    <w:uiPriority w:val="4"/>
    <w:rsid w:val="00152073"/>
    <w:pPr>
      <w:ind w:left="397"/>
    </w:pPr>
    <w:rPr>
      <w:szCs w:val="18"/>
    </w:rPr>
  </w:style>
  <w:style w:type="paragraph" w:styleId="Tablefigurenote" w:customStyle="1">
    <w:name w:val="Table/figure note"/>
    <w:uiPriority w:val="4"/>
    <w:rsid w:val="004A4195"/>
    <w:pPr>
      <w:spacing w:before="60" w:after="60" w:line="240" w:lineRule="exact"/>
    </w:pPr>
    <w:rPr>
      <w:rFonts w:ascii="Arial" w:hAnsi="Arial"/>
      <w:lang w:eastAsia="en-US"/>
    </w:rPr>
  </w:style>
  <w:style w:type="paragraph" w:styleId="Bodyaftertablefigure" w:customStyle="1">
    <w:name w:val="Body after table/figure"/>
    <w:basedOn w:val="Body"/>
    <w:next w:val="Body"/>
    <w:uiPriority w:val="1"/>
    <w:rsid w:val="00951D50"/>
    <w:pPr>
      <w:spacing w:before="240"/>
    </w:pPr>
  </w:style>
  <w:style w:type="paragraph" w:styleId="Bulletafternumbers2" w:customStyle="1">
    <w:name w:val="Bullet after numbers 2"/>
    <w:basedOn w:val="Body"/>
    <w:rsid w:val="00C60411"/>
    <w:pPr>
      <w:numPr>
        <w:ilvl w:val="3"/>
        <w:numId w:val="1"/>
      </w:numPr>
    </w:pPr>
  </w:style>
  <w:style w:type="numbering" w:styleId="ZZNumberslowerroman" w:customStyle="1">
    <w:name w:val="ZZ Numbers lower roman"/>
    <w:basedOn w:val="ZZQuotebullets"/>
    <w:rsid w:val="00C60411"/>
    <w:pPr>
      <w:numPr>
        <w:numId w:val="5"/>
      </w:numPr>
    </w:pPr>
  </w:style>
  <w:style w:type="numbering" w:styleId="ZZNumbersloweralpha" w:customStyle="1">
    <w:name w:val="ZZ Numbers lower alpha"/>
    <w:basedOn w:val="NoList"/>
    <w:rsid w:val="00C60411"/>
    <w:pPr>
      <w:numPr>
        <w:numId w:val="6"/>
      </w:numPr>
    </w:pPr>
  </w:style>
  <w:style w:type="paragraph" w:styleId="Quotebullet1" w:customStyle="1">
    <w:name w:val="Quote bullet 1"/>
    <w:basedOn w:val="Quotetext"/>
    <w:rsid w:val="00C60411"/>
    <w:pPr>
      <w:numPr>
        <w:numId w:val="4"/>
      </w:numPr>
    </w:pPr>
  </w:style>
  <w:style w:type="paragraph" w:styleId="Quotebullet2" w:customStyle="1">
    <w:name w:val="Quote bullet 2"/>
    <w:basedOn w:val="Quotetext"/>
    <w:rsid w:val="00C60411"/>
    <w:pPr>
      <w:numPr>
        <w:ilvl w:val="1"/>
        <w:numId w:val="4"/>
      </w:numPr>
    </w:pPr>
  </w:style>
  <w:style w:type="paragraph" w:styleId="CommentText">
    <w:name w:val="Comment Text"/>
    <w:basedOn w:val="Normal"/>
    <w:link w:val="CommentTextChar"/>
    <w:uiPriority w:val="99"/>
    <w:unhideWhenUsed/>
    <w:rsid w:val="00982454"/>
  </w:style>
  <w:style w:type="character" w:styleId="CommentTextChar" w:customStyle="1">
    <w:name w:val="Comment Text Char"/>
    <w:basedOn w:val="DefaultParagraphFont"/>
    <w:link w:val="CommentText"/>
    <w:uiPriority w:val="99"/>
    <w:rsid w:val="00982454"/>
    <w:rPr>
      <w:rFonts w:ascii="Cambria" w:hAnsi="Cambria"/>
      <w:lang w:eastAsia="en-US"/>
    </w:rPr>
  </w:style>
  <w:style w:type="character" w:styleId="CommentReference">
    <w:name w:val="Comment Reference"/>
    <w:basedOn w:val="DefaultParagraphFont"/>
    <w:uiPriority w:val="99"/>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Comment Subject"/>
    <w:basedOn w:val="CommentText"/>
    <w:next w:val="CommentText"/>
    <w:link w:val="CommentSubjectChar"/>
    <w:uiPriority w:val="99"/>
    <w:semiHidden/>
    <w:unhideWhenUsed/>
    <w:rsid w:val="00EE29AD"/>
    <w:rPr>
      <w:b/>
      <w:bCs/>
    </w:rPr>
  </w:style>
  <w:style w:type="character" w:styleId="CommentSubjectChar" w:customStyle="1">
    <w:name w:val="Comment Subject Char"/>
    <w:basedOn w:val="CommentTextChar"/>
    <w:link w:val="CommentSubject"/>
    <w:uiPriority w:val="99"/>
    <w:semiHidden/>
    <w:rsid w:val="00EE29AD"/>
    <w:rPr>
      <w:rFonts w:ascii="Cambria" w:hAnsi="Cambria"/>
      <w:b/>
      <w:bCs/>
      <w:lang w:eastAsia="en-US"/>
    </w:rPr>
  </w:style>
  <w:style w:type="character" w:styleId="BodyChar" w:customStyle="1">
    <w:name w:val="Body Char"/>
    <w:basedOn w:val="DefaultParagraphFont"/>
    <w:link w:val="Body"/>
    <w:rsid w:val="005B3E23"/>
    <w:rPr>
      <w:rFonts w:ascii="Arial" w:hAnsi="Arial" w:eastAsia="Times"/>
      <w:sz w:val="21"/>
      <w:lang w:eastAsia="en-US"/>
    </w:rPr>
  </w:style>
  <w:style w:type="paragraph" w:styleId="Bannermarking" w:customStyle="1">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styleId="Imprint" w:customStyle="1">
    <w:name w:val="Imprint"/>
    <w:basedOn w:val="Body"/>
    <w:uiPriority w:val="11"/>
    <w:rsid w:val="004B4185"/>
    <w:pPr>
      <w:spacing w:after="60" w:line="270" w:lineRule="atLeast"/>
    </w:pPr>
    <w:rPr>
      <w:color w:val="000000" w:themeColor="text1"/>
    </w:rPr>
  </w:style>
  <w:style w:type="paragraph" w:styleId="Introtext" w:customStyle="1">
    <w:name w:val="Intro text"/>
    <w:basedOn w:val="Body"/>
    <w:uiPriority w:val="11"/>
    <w:rsid w:val="00D70851"/>
    <w:pPr>
      <w:spacing w:line="320" w:lineRule="atLeast"/>
    </w:pPr>
    <w:rPr>
      <w:color w:val="201547"/>
      <w:sz w:val="24"/>
    </w:rPr>
  </w:style>
  <w:style w:type="paragraph" w:styleId="DHHSbody" w:customStyle="1">
    <w:name w:val="DHHS body"/>
    <w:link w:val="DHHSbodyChar"/>
    <w:qFormat/>
    <w:rsid w:val="00E87CC4"/>
    <w:pPr>
      <w:spacing w:after="120" w:line="270" w:lineRule="atLeast"/>
    </w:pPr>
    <w:rPr>
      <w:rFonts w:ascii="Arial" w:hAnsi="Arial" w:eastAsia="Times"/>
      <w:color w:val="000000" w:themeColor="text1"/>
      <w:sz w:val="21"/>
      <w:lang w:eastAsia="en-US"/>
    </w:rPr>
  </w:style>
  <w:style w:type="character" w:styleId="DHHSbodyChar" w:customStyle="1">
    <w:name w:val="DHHS body Char"/>
    <w:link w:val="DHHSbody"/>
    <w:rsid w:val="00E87CC4"/>
    <w:rPr>
      <w:rFonts w:ascii="Arial" w:hAnsi="Arial" w:eastAsia="Times"/>
      <w:color w:val="000000" w:themeColor="text1"/>
      <w:sz w:val="21"/>
      <w:lang w:eastAsia="en-US"/>
    </w:rPr>
  </w:style>
  <w:style w:type="character" w:styleId="Mention">
    <w:name w:val="Mention"/>
    <w:basedOn w:val="DefaultParagraphFont"/>
    <w:uiPriority w:val="99"/>
    <w:unhideWhenUsed/>
    <w:rsid w:val="005343A0"/>
    <w:rPr>
      <w:color w:val="2B579A"/>
      <w:shd w:val="clear" w:color="auto" w:fill="E1DFDD"/>
    </w:rPr>
  </w:style>
  <w:style w:type="paragraph" w:styleId="DHHSbullet1" w:customStyle="1">
    <w:name w:val="DHHS bullet 1"/>
    <w:basedOn w:val="DHHSbody"/>
    <w:qFormat/>
    <w:rsid w:val="00A705E7"/>
    <w:pPr>
      <w:ind w:left="284" w:hanging="284"/>
    </w:pPr>
  </w:style>
  <w:style w:type="paragraph" w:styleId="DHHSbullet2" w:customStyle="1">
    <w:name w:val="DHHS bullet 2"/>
    <w:basedOn w:val="DHHSbody"/>
    <w:uiPriority w:val="2"/>
    <w:qFormat/>
    <w:rsid w:val="00A705E7"/>
    <w:pPr>
      <w:spacing w:after="40"/>
      <w:ind w:left="567" w:hanging="283"/>
    </w:pPr>
  </w:style>
  <w:style w:type="paragraph" w:styleId="ListParagraph">
    <w:name w:val="List Paragraph"/>
    <w:basedOn w:val="Normal"/>
    <w:uiPriority w:val="34"/>
    <w:qFormat/>
    <w:rsid w:val="000F1451"/>
    <w:pPr>
      <w:ind w:left="720"/>
      <w:contextualSpacing/>
    </w:pPr>
  </w:style>
  <w:style w:type="paragraph" w:styleId="DHHSbodyafterbullets" w:customStyle="1">
    <w:name w:val="DHHS body after bullets"/>
    <w:basedOn w:val="DHHSbody"/>
    <w:rsid w:val="00D74B8D"/>
    <w:pPr>
      <w:spacing w:before="120"/>
    </w:pPr>
    <w:rPr>
      <w:rFonts w:ascii="Helv" w:hAnsi="Helv" w:cs="Helv"/>
      <w:color w:val="000000"/>
      <w:sz w:val="20"/>
      <w:lang w:eastAsia="en-AU"/>
    </w:rPr>
  </w:style>
  <w:style w:type="table" w:styleId="GridTable1Light-Accent1">
    <w:name w:val="Grid Table 1 Light Accent 1"/>
    <w:basedOn w:val="TableNormal"/>
    <w:uiPriority w:val="46"/>
    <w:rsid w:val="00D74B8D"/>
    <w:tblPr>
      <w:tblStyleRowBandSize w:val="1"/>
      <w:tblStyleColBandSize w:val="1"/>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blPr/>
      <w:tcPr>
        <w:tcBorders>
          <w:bottom w:val="single" w:color="95B3D7" w:themeColor="accent1" w:themeTint="99" w:sz="12" w:space="0"/>
        </w:tcBorders>
      </w:tcPr>
    </w:tblStylePr>
    <w:tblStylePr w:type="lastRow">
      <w:rPr>
        <w:b/>
        <w:bCs/>
      </w:rPr>
      <w:tblPr/>
      <w:tcPr>
        <w:tcBorders>
          <w:top w:val="double" w:color="95B3D7" w:themeColor="accent1" w:themeTint="99" w:sz="2" w:space="0"/>
        </w:tcBorders>
      </w:tcPr>
    </w:tblStylePr>
    <w:tblStylePr w:type="firstCol">
      <w:rPr>
        <w:b/>
        <w:bCs/>
      </w:rPr>
    </w:tblStylePr>
    <w:tblStylePr w:type="lastCol">
      <w:rPr>
        <w:b/>
        <w:bCs/>
      </w:rPr>
    </w:tblStylePr>
  </w:style>
  <w:style w:type="character" w:styleId="FooterChar" w:customStyle="1">
    <w:name w:val="Footer Char"/>
    <w:basedOn w:val="DefaultParagraphFont"/>
    <w:link w:val="Footer"/>
    <w:uiPriority w:val="99"/>
    <w:rsid w:val="00C215FD"/>
    <w:rPr>
      <w:rFonts w:ascii="Arial" w:hAnsi="Arial" w:cs="Arial"/>
      <w:szCs w:val="18"/>
      <w:lang w:eastAsia="en-US"/>
    </w:rPr>
  </w:style>
  <w:style w:type="table" w:styleId="TableGridLight">
    <w:name w:val="Grid Table Light"/>
    <w:basedOn w:val="TableNormal"/>
    <w:uiPriority w:val="40"/>
    <w:rsid w:val="00837E86"/>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NormalWeb">
    <w:name w:val="Normal (Web)"/>
    <w:basedOn w:val="Normal"/>
    <w:uiPriority w:val="99"/>
    <w:unhideWhenUsed/>
    <w:rsid w:val="00BF2E0B"/>
    <w:pPr>
      <w:spacing w:before="100" w:beforeAutospacing="1" w:after="100" w:afterAutospacing="1" w:line="240" w:lineRule="auto"/>
    </w:pPr>
    <w:rPr>
      <w:rFonts w:ascii="Times New Roman" w:hAnsi="Times New Roman"/>
      <w:sz w:val="24"/>
      <w:szCs w:val="24"/>
      <w:lang w:eastAsia="en-AU"/>
    </w:rPr>
  </w:style>
  <w:style w:type="paragraph" w:styleId="SCVbody" w:customStyle="1">
    <w:name w:val="SCV body"/>
    <w:basedOn w:val="Normal"/>
    <w:link w:val="SCVbodyChar"/>
    <w:qFormat/>
    <w:rsid w:val="00460C6D"/>
    <w:pPr>
      <w:spacing w:before="160" w:after="160"/>
    </w:pPr>
    <w:rPr>
      <w:rFonts w:asciiTheme="minorHAnsi" w:hAnsiTheme="minorHAnsi" w:eastAsiaTheme="minorEastAsia" w:cstheme="minorBidi"/>
      <w:sz w:val="20"/>
      <w:lang w:eastAsia="en-AU"/>
    </w:rPr>
  </w:style>
  <w:style w:type="character" w:styleId="SCVbodyChar" w:customStyle="1">
    <w:name w:val="SCV body Char"/>
    <w:basedOn w:val="DefaultParagraphFont"/>
    <w:link w:val="SCVbody"/>
    <w:locked/>
    <w:rsid w:val="00460C6D"/>
    <w:rPr>
      <w:rFonts w:asciiTheme="minorHAnsi" w:hAnsiTheme="minorHAnsi" w:eastAsiaTheme="minorEastAsia" w:cstheme="minorBidi"/>
    </w:rPr>
  </w:style>
  <w:style w:type="numbering" w:styleId="Bullets" w:customStyle="1">
    <w:name w:val="Bullets"/>
    <w:rsid w:val="00917DED"/>
    <w:pPr>
      <w:numPr>
        <w:numId w:val="27"/>
      </w:numPr>
    </w:pPr>
  </w:style>
  <w:style w:type="paragraph" w:styleId="ListBullet">
    <w:name w:val="List Bullet"/>
    <w:basedOn w:val="Normal"/>
    <w:uiPriority w:val="99"/>
    <w:unhideWhenUsed/>
    <w:rsid w:val="008933FA"/>
    <w:pPr>
      <w:numPr>
        <w:numId w:val="29"/>
      </w:numPr>
      <w:tabs>
        <w:tab w:val="clear" w:pos="360"/>
      </w:tabs>
      <w:spacing w:after="200" w:line="276" w:lineRule="auto"/>
      <w:ind w:left="0" w:firstLine="0"/>
      <w:contextualSpacing/>
    </w:pPr>
    <w:rPr>
      <w:rFonts w:eastAsiaTheme="minorEastAsia" w:cstheme="minorBidi"/>
      <w:szCs w:val="22"/>
      <w:lang w:val="en-US"/>
    </w:rPr>
  </w:style>
  <w:style w:type="table" w:styleId="GridTable4-Accent1">
    <w:name w:val="Grid Table 4 Accent 1"/>
    <w:basedOn w:val="TableNormal"/>
    <w:uiPriority w:val="49"/>
    <w:rsid w:val="002F118B"/>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1">
    <w:name w:val="Grid Table 5 Dark Accent 1"/>
    <w:basedOn w:val="TableNormal"/>
    <w:uiPriority w:val="50"/>
    <w:rsid w:val="00AE2643"/>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E5F1"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Caption">
    <w:name w:val="caption"/>
    <w:basedOn w:val="Normal"/>
    <w:next w:val="Normal"/>
    <w:uiPriority w:val="35"/>
    <w:unhideWhenUsed/>
    <w:qFormat/>
    <w:rsid w:val="00542A55"/>
    <w:pPr>
      <w:spacing w:after="200" w:line="240" w:lineRule="auto"/>
    </w:pPr>
    <w:rPr>
      <w:i/>
      <w:iCs/>
      <w:color w:val="1F497D" w:themeColor="text2"/>
      <w:sz w:val="18"/>
      <w:szCs w:val="18"/>
    </w:rPr>
  </w:style>
  <w:style w:type="table" w:styleId="Highlighttable" w:customStyle="1">
    <w:name w:val="Highlight table"/>
    <w:basedOn w:val="TableNormal"/>
    <w:uiPriority w:val="99"/>
    <w:rsid w:val="00893D8D"/>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hyperlink" Target="mailto:hv.healthperformance@health.vic.gov.au" TargetMode="External" Id="rId18" /><Relationship Type="http://schemas.openxmlformats.org/officeDocument/2006/relationships/hyperlink" Target="https://www.health.vic.gov.au/our-strategic-plan-2023-27/our-outcomes-framework" TargetMode="External" Id="rId26" /><Relationship Type="http://schemas.openxmlformats.org/officeDocument/2006/relationships/image" Target="media/image6.png" Id="rId39" /><Relationship Type="http://schemas.openxmlformats.org/officeDocument/2006/relationships/hyperlink" Target="https://www.health.vic.gov.au/funding-performance-accountability/statements-of-priorities" TargetMode="External" Id="rId21" /><Relationship Type="http://schemas.openxmlformats.org/officeDocument/2006/relationships/hyperlink" Target="https://www.health.vic.gov.au/chief-psychiatrist/chief-psychiatrist-guidelines" TargetMode="External" Id="rId34" /><Relationship Type="http://schemas.openxmlformats.org/officeDocument/2006/relationships/header" Target="header5.xml" Id="rId42" /><Relationship Type="http://schemas.openxmlformats.org/officeDocument/2006/relationships/image" Target="media/image9.png" Id="rId47" /><Relationship Type="http://schemas.openxmlformats.org/officeDocument/2006/relationships/hyperlink" Target="mailto:VICPSRACS@health.vic.gov.au" TargetMode="External" Id="rId50" /><Relationship Type="http://schemas.openxmlformats.org/officeDocument/2006/relationships/image" Target="media/image11.emf" Id="rId55"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hyperlink" Target="https://www.safercare.vic.gov.au/best-practice-improvement/publications/clinical-governance-framework" TargetMode="External" Id="rId29" /><Relationship Type="http://schemas.openxmlformats.org/officeDocument/2006/relationships/header" Target="header1.xml" Id="rId11" /><Relationship Type="http://schemas.openxmlformats.org/officeDocument/2006/relationships/hyperlink" Target="https://www.health.vic.gov.au/our-strategic-plan-2023-27" TargetMode="External" Id="rId24" /><Relationship Type="http://schemas.openxmlformats.org/officeDocument/2006/relationships/hyperlink" Target="https://www.health.vic.gov.au/health-system-design-planning/service-capability-frameworks-for-victoria" TargetMode="External" Id="rId32" /><Relationship Type="http://schemas.openxmlformats.org/officeDocument/2006/relationships/image" Target="media/image4.png" Id="rId37" /><Relationship Type="http://schemas.openxmlformats.org/officeDocument/2006/relationships/image" Target="media/image7.png" Id="rId40" /><Relationship Type="http://schemas.openxmlformats.org/officeDocument/2006/relationships/header" Target="header6.xml" Id="rId45" /><Relationship Type="http://schemas.openxmlformats.org/officeDocument/2006/relationships/image" Target="media/image10.png" Id="rId53" /><Relationship Type="http://schemas.openxmlformats.org/officeDocument/2006/relationships/fontTable" Target="fontTable.xml" Id="rId58" /><Relationship Type="http://schemas.openxmlformats.org/officeDocument/2006/relationships/numbering" Target="numbering.xml" Id="rId5" /><Relationship Type="http://schemas.openxmlformats.org/officeDocument/2006/relationships/hyperlink" Target="https://www.health.vic.gov.au/funding-performance-accountability/performance-monitoring-framework"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www.health.vic.gov.au/funding-performance-accountability/statements-of-priorities" TargetMode="External" Id="rId22" /><Relationship Type="http://schemas.openxmlformats.org/officeDocument/2006/relationships/hyperlink" Target="https://www.health.vic.gov.au/policy-and-funding-guidelines-for-health-services" TargetMode="External" Id="rId27" /><Relationship Type="http://schemas.openxmlformats.org/officeDocument/2006/relationships/hyperlink" Target="https://www.safercare.vic.gov.au/best-practice-improvement/publications/clinical-governance-framework" TargetMode="External" Id="rId30" /><Relationship Type="http://schemas.openxmlformats.org/officeDocument/2006/relationships/hyperlink" Target="https://www.health.vic.gov.au/funding-performance-accountability/performance-monitoring-framework" TargetMode="External" Id="rId35" /><Relationship Type="http://schemas.openxmlformats.org/officeDocument/2006/relationships/footer" Target="footer4.xml" Id="rId43" /><Relationship Type="http://schemas.openxmlformats.org/officeDocument/2006/relationships/hyperlink" Target="mailto:hsic@health.vic.gov.au" TargetMode="External" Id="rId48" /><Relationship Type="http://schemas.openxmlformats.org/officeDocument/2006/relationships/image" Target="media/image12.png" Id="rId56" /><Relationship Type="http://schemas.openxmlformats.org/officeDocument/2006/relationships/webSettings" Target="webSettings.xml" Id="rId8" /><Relationship Type="http://schemas.openxmlformats.org/officeDocument/2006/relationships/hyperlink" Target="mailto:hsic@health.vic.gov.au" TargetMode="External" Id="rId51" /><Relationship Type="http://schemas.openxmlformats.org/officeDocument/2006/relationships/customXml" Target="../customXml/item3.xml" Id="rId3" /><Relationship Type="http://schemas.openxmlformats.org/officeDocument/2006/relationships/header" Target="header2.xml" Id="rId12" /><Relationship Type="http://schemas.openxmlformats.org/officeDocument/2006/relationships/image" Target="media/image2.png" Id="rId17" /><Relationship Type="http://schemas.openxmlformats.org/officeDocument/2006/relationships/hyperlink" Target="https://www.health.vic.gov.au/our-strategic-plan-2023-27/our-outcomes-framework" TargetMode="External" Id="rId25" /><Relationship Type="http://schemas.openxmlformats.org/officeDocument/2006/relationships/hyperlink" Target="https://www.health.vic.gov.au/health-system-design-planning/service-capability-frameworks-for-victoria" TargetMode="External" Id="rId33" /><Relationship Type="http://schemas.openxmlformats.org/officeDocument/2006/relationships/image" Target="media/image5.png" Id="rId38" /><Relationship Type="http://schemas.openxmlformats.org/officeDocument/2006/relationships/image" Target="media/image8.png" Id="rId46" /><Relationship Type="http://schemas.openxmlformats.org/officeDocument/2006/relationships/theme" Target="theme/theme1.xml" Id="rId59" /><Relationship Type="http://schemas.openxmlformats.org/officeDocument/2006/relationships/image" Target="media/image3.png" Id="rId20" /><Relationship Type="http://schemas.openxmlformats.org/officeDocument/2006/relationships/header" Target="header4.xml" Id="rId41" /><Relationship Type="http://schemas.openxmlformats.org/officeDocument/2006/relationships/hyperlink" Target="mailto:hsim@health.vic.gov.au" TargetMode="External" Id="rId54"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3.xml" Id="rId15" /><Relationship Type="http://schemas.openxmlformats.org/officeDocument/2006/relationships/hyperlink" Target="https://www.health.vic.gov.au/our-strategic-plan-2023-27" TargetMode="External" Id="rId23" /><Relationship Type="http://schemas.openxmlformats.org/officeDocument/2006/relationships/hyperlink" Target="https://www.health.vic.gov.au/policy-and-funding-guidelines-for-health-services" TargetMode="External" Id="rId28" /><Relationship Type="http://schemas.openxmlformats.org/officeDocument/2006/relationships/hyperlink" Target="https://www.health.vic.gov.au/funding-performance-accountability/performance-monitoring-framework" TargetMode="External" Id="rId36" /><Relationship Type="http://schemas.openxmlformats.org/officeDocument/2006/relationships/hyperlink" Target="mailto:plannedcare@health.vic.gov.au" TargetMode="External" Id="rId49" /><Relationship Type="http://schemas.openxmlformats.org/officeDocument/2006/relationships/image" Target="media/image13.png" Id="rId57" /><Relationship Type="http://schemas.openxmlformats.org/officeDocument/2006/relationships/endnotes" Target="endnotes.xml" Id="rId10" /><Relationship Type="http://schemas.openxmlformats.org/officeDocument/2006/relationships/hyperlink" Target="https://www.health.vic.gov.au/mental-health/research-and-reporting/mental-health-and-wellbeing-outcomes-and-performance-framework" TargetMode="External" Id="rId31" /><Relationship Type="http://schemas.openxmlformats.org/officeDocument/2006/relationships/footer" Target="footer5.xml" Id="rId44" /><Relationship Type="http://schemas.openxmlformats.org/officeDocument/2006/relationships/hyperlink" Target="mailto:hsim@health.vic.gov.au" TargetMode="External" Id="rId52"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Attachment Document" ma:contentTypeID="0x010100ADB6A493CB944449B507A6E62846B95F008000C6FCF9FF654B8F5BE42018F9D3FA" ma:contentTypeVersion="7" ma:contentTypeDescription="Attachment Document" ma:contentTypeScope="" ma:versionID="395ebb8cc2d743ea879ac06c970c2b3f">
  <xsd:schema xmlns:xsd="http://www.w3.org/2001/XMLSchema" xmlns:xs="http://www.w3.org/2001/XMLSchema" xmlns:p="http://schemas.microsoft.com/office/2006/metadata/properties" xmlns:ns2="f28b482d-bc24-4068-8020-36fb06b1ef6a" targetNamespace="http://schemas.microsoft.com/office/2006/metadata/properties" ma:root="true" ma:fieldsID="090841ac22e5d0985d1085c1e2ece365" ns2:_="">
    <xsd:import namespace="f28b482d-bc24-4068-8020-36fb06b1ef6a"/>
    <xsd:element name="properties">
      <xsd:complexType>
        <xsd:sequence>
          <xsd:element name="documentManagement">
            <xsd:complexType>
              <xsd:all>
                <xsd:element ref="ns2:ABCSignatureRequired" minOccurs="0"/>
                <xsd:element ref="ns2:ABCSignatureInstructions" minOccurs="0"/>
                <xsd:element ref="ns2:ABCDocumen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b482d-bc24-4068-8020-36fb06b1ef6a" elementFormDefault="qualified">
    <xsd:import namespace="http://schemas.microsoft.com/office/2006/documentManagement/types"/>
    <xsd:import namespace="http://schemas.microsoft.com/office/infopath/2007/PartnerControls"/>
    <xsd:element name="ABCSignatureRequired" ma:index="1" nillable="true" ma:displayName="Signature Required" ma:default="0" ma:internalName="ABCSignatureRequired">
      <xsd:simpleType>
        <xsd:restriction base="dms:Boolean"/>
      </xsd:simpleType>
    </xsd:element>
    <xsd:element name="ABCSignatureInstructions" ma:index="2" nillable="true" ma:displayName="Signature Instructions" ma:internalName="ABCSignatureInstructions">
      <xsd:simpleType>
        <xsd:restriction base="dms:Note">
          <xsd:maxLength value="255"/>
        </xsd:restriction>
      </xsd:simpleType>
    </xsd:element>
    <xsd:element name="ABCDocumentMetadata" ma:index="10" nillable="true" ma:displayName="Document Metadata" ma:internalName="ABCDocumentMetadata">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BCSignatureInstructions xmlns="f28b482d-bc24-4068-8020-36fb06b1ef6a" xsi:nil="true"/>
    <ABCSignatureRequired xmlns="f28b482d-bc24-4068-8020-36fb06b1ef6a">false</ABCSignatureRequired>
    <ABCDocumentMetadata xmlns="f28b482d-bc24-4068-8020-36fb06b1ef6a" xsi:nil="true"/>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08153E89-CD22-4BDD-9117-4C439CFC6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b482d-bc24-4068-8020-36fb06b1ef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28b482d-bc24-4068-8020-36fb06b1ef6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Manager/>
  <ap:Company>Victoria State Government, Department of Health</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Victorian Performance Monitoring Framework 2026-27</dc:title>
  <dc:subject/>
  <dc:creator>Emmy.Fekete@health.vic.gov.au</dc:creator>
  <keywords>PMF, Performance Domains, Performance Tiers</keywords>
  <dc:description/>
  <lastModifiedBy>Katherine Whetton (Health)</lastModifiedBy>
  <revision>22</revision>
  <lastPrinted>2021-01-31T14:27:00.0000000Z</lastPrinted>
  <dcterms:created xsi:type="dcterms:W3CDTF">2026-07-21T23:26:00.0000000Z</dcterms:created>
  <dcterms:modified xsi:type="dcterms:W3CDTF">2026-08-06T14:54:09.5447968Z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0x010100ADB6A493CB944449B507A6E62846B95F008000C6FCF9FF654B8F5BE42018F9D3FA</vt:lpwstr>
  </property>
  <property fmtid="{D5CDD505-2E9C-101B-9397-08002B2CF9AE}" pid="4" name="version">
    <vt:lpwstr>v2 15042021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2021-03-15T05:04:10Z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y fmtid="{D5CDD505-2E9C-101B-9397-08002B2CF9AE}" pid="12" name="docLang">
    <vt:lpwstr>en</vt:lpwstr>
  </property>
</Properties>
</file>