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94D2B" w14:textId="77777777" w:rsidR="0074696E" w:rsidRPr="004C6EEE" w:rsidRDefault="0074696E" w:rsidP="00AD784C">
      <w:pPr>
        <w:pStyle w:val="Spacerparatopoffirstpage"/>
      </w:pPr>
    </w:p>
    <w:p w14:paraId="3FC21734" w14:textId="77777777" w:rsidR="00A62D44" w:rsidRPr="004C6EEE" w:rsidRDefault="00A62D44" w:rsidP="004C6EEE">
      <w:pPr>
        <w:pStyle w:val="Sectionbreakfirstpage"/>
        <w:sectPr w:rsidR="00A62D44" w:rsidRPr="004C6EEE" w:rsidSect="00AD784C">
          <w:headerReference w:type="default" r:id="rId7"/>
          <w:pgSz w:w="11906" w:h="16838" w:code="9"/>
          <w:pgMar w:top="567" w:right="851" w:bottom="1418" w:left="851" w:header="510" w:footer="510" w:gutter="0"/>
          <w:cols w:space="708"/>
          <w:docGrid w:linePitch="360"/>
        </w:sectPr>
      </w:pPr>
    </w:p>
    <w:tbl>
      <w:tblPr>
        <w:tblW w:w="0" w:type="auto"/>
        <w:tblCellMar>
          <w:left w:w="0" w:type="dxa"/>
          <w:right w:w="0" w:type="dxa"/>
        </w:tblCellMar>
        <w:tblLook w:val="0600" w:firstRow="0" w:lastRow="0" w:firstColumn="0" w:lastColumn="0" w:noHBand="1" w:noVBand="1"/>
      </w:tblPr>
      <w:tblGrid>
        <w:gridCol w:w="8046"/>
      </w:tblGrid>
      <w:tr w:rsidR="00AD784C" w14:paraId="05CFA108" w14:textId="77777777" w:rsidTr="008A28A8">
        <w:trPr>
          <w:trHeight w:val="1247"/>
        </w:trPr>
        <w:tc>
          <w:tcPr>
            <w:tcW w:w="8046" w:type="dxa"/>
            <w:shd w:val="clear" w:color="auto" w:fill="auto"/>
            <w:vAlign w:val="bottom"/>
          </w:tcPr>
          <w:p w14:paraId="140102A8" w14:textId="77777777" w:rsidR="00AD784C" w:rsidRPr="00161AA0" w:rsidRDefault="003976F9" w:rsidP="00A91406">
            <w:pPr>
              <w:pStyle w:val="DHHSmainheading"/>
            </w:pPr>
            <w:r>
              <w:t>Summary STIR Report 2018-19</w:t>
            </w:r>
          </w:p>
        </w:tc>
      </w:tr>
    </w:tbl>
    <w:p w14:paraId="096153A7" w14:textId="77777777" w:rsidR="003976F9" w:rsidRDefault="003976F9" w:rsidP="00A62D44">
      <w:pPr>
        <w:pStyle w:val="DHHSbody"/>
      </w:pPr>
    </w:p>
    <w:p w14:paraId="75D2D36E" w14:textId="06674414" w:rsidR="0010128E" w:rsidRDefault="00E33061" w:rsidP="0010128E">
      <w:pPr>
        <w:rPr>
          <w:rFonts w:ascii="Arial" w:hAnsi="Arial" w:cs="Arial"/>
          <w:b/>
        </w:rPr>
      </w:pPr>
      <w:r w:rsidRPr="0010128E">
        <w:rPr>
          <w:rFonts w:ascii="Arial" w:hAnsi="Arial" w:cs="Arial"/>
          <w:b/>
        </w:rPr>
        <w:t>Number of validated clinical and procedural reports and health services reporting each financial year:           FY2006- FY2019</w:t>
      </w:r>
      <w:r w:rsidR="0010128E" w:rsidRPr="0010128E">
        <w:rPr>
          <w:rFonts w:ascii="Arial" w:hAnsi="Arial" w:cs="Arial"/>
          <w:b/>
        </w:rPr>
        <w:t xml:space="preserve"> </w:t>
      </w:r>
    </w:p>
    <w:p w14:paraId="42AB70B5" w14:textId="77777777" w:rsidR="007B6C76" w:rsidRPr="0010128E" w:rsidRDefault="007B6C76" w:rsidP="0010128E">
      <w:pPr>
        <w:rPr>
          <w:rFonts w:ascii="Arial" w:hAnsi="Arial" w:cs="Arial"/>
          <w:b/>
        </w:rPr>
      </w:pPr>
    </w:p>
    <w:p w14:paraId="340611C8" w14:textId="74A9A886" w:rsidR="00AF559D" w:rsidRPr="0010128E" w:rsidRDefault="007B6C76" w:rsidP="00A62D44">
      <w:pPr>
        <w:pStyle w:val="DHHSbody"/>
        <w:rPr>
          <w:lang w:val="fr-FR"/>
        </w:rPr>
      </w:pPr>
      <w:r w:rsidRPr="0010128E">
        <w:rPr>
          <w:noProof/>
          <w:lang w:eastAsia="en-AU"/>
        </w:rPr>
        <mc:AlternateContent>
          <mc:Choice Requires="wps">
            <w:drawing>
              <wp:anchor distT="45720" distB="45720" distL="114300" distR="114300" simplePos="0" relativeHeight="251663360" behindDoc="0" locked="0" layoutInCell="1" allowOverlap="1" wp14:anchorId="48866185" wp14:editId="265A5BB6">
                <wp:simplePos x="0" y="0"/>
                <wp:positionH relativeFrom="column">
                  <wp:posOffset>3879215</wp:posOffset>
                </wp:positionH>
                <wp:positionV relativeFrom="paragraph">
                  <wp:posOffset>506730</wp:posOffset>
                </wp:positionV>
                <wp:extent cx="2647950" cy="236220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362200"/>
                        </a:xfrm>
                        <a:prstGeom prst="rect">
                          <a:avLst/>
                        </a:prstGeom>
                        <a:solidFill>
                          <a:srgbClr val="FFFFFF"/>
                        </a:solidFill>
                        <a:ln w="9525">
                          <a:solidFill>
                            <a:schemeClr val="bg1"/>
                          </a:solidFill>
                          <a:miter lim="800000"/>
                          <a:headEnd/>
                          <a:tailEnd/>
                        </a:ln>
                      </wps:spPr>
                      <wps:txbx>
                        <w:txbxContent>
                          <w:p w14:paraId="6E756C56" w14:textId="77777777" w:rsidR="0010128E" w:rsidRDefault="0010128E">
                            <w:r w:rsidRPr="0010128E">
                              <w:rPr>
                                <w:noProof/>
                                <w:lang w:eastAsia="en-AU"/>
                              </w:rPr>
                              <w:drawing>
                                <wp:inline distT="0" distB="0" distL="0" distR="0" wp14:anchorId="65744D04" wp14:editId="39BB7DE7">
                                  <wp:extent cx="723900" cy="723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Pr="0010128E">
                              <w:rPr>
                                <w:noProof/>
                                <w:lang w:eastAsia="en-AU"/>
                              </w:rPr>
                              <w:drawing>
                                <wp:inline distT="0" distB="0" distL="0" distR="0" wp14:anchorId="68D9CC86" wp14:editId="778F619B">
                                  <wp:extent cx="1612900" cy="605526"/>
                                  <wp:effectExtent l="0" t="0" r="635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3913" cy="613415"/>
                                          </a:xfrm>
                                          <a:prstGeom prst="rect">
                                            <a:avLst/>
                                          </a:prstGeom>
                                          <a:noFill/>
                                          <a:ln>
                                            <a:noFill/>
                                          </a:ln>
                                        </pic:spPr>
                                      </pic:pic>
                                    </a:graphicData>
                                  </a:graphic>
                                </wp:inline>
                              </w:drawing>
                            </w:r>
                          </w:p>
                          <w:p w14:paraId="29CA1794" w14:textId="77777777" w:rsidR="0010128E" w:rsidRDefault="0010128E">
                            <w:r w:rsidRPr="0010128E">
                              <w:rPr>
                                <w:noProof/>
                                <w:lang w:eastAsia="en-AU"/>
                              </w:rPr>
                              <w:drawing>
                                <wp:inline distT="0" distB="0" distL="0" distR="0" wp14:anchorId="304F90B7" wp14:editId="776F98A4">
                                  <wp:extent cx="701675" cy="7016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a:ln>
                                            <a:noFill/>
                                          </a:ln>
                                        </pic:spPr>
                                      </pic:pic>
                                    </a:graphicData>
                                  </a:graphic>
                                </wp:inline>
                              </w:drawing>
                            </w:r>
                            <w:r w:rsidRPr="0010128E">
                              <w:rPr>
                                <w:noProof/>
                                <w:lang w:eastAsia="en-AU"/>
                              </w:rPr>
                              <w:drawing>
                                <wp:inline distT="0" distB="0" distL="0" distR="0" wp14:anchorId="0F3FB575" wp14:editId="70DB08EF">
                                  <wp:extent cx="1727489" cy="48260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6717" cy="4935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866185" id="_x0000_t202" coordsize="21600,21600" o:spt="202" path="m,l,21600r21600,l21600,xe">
                <v:stroke joinstyle="miter"/>
                <v:path gradientshapeok="t" o:connecttype="rect"/>
              </v:shapetype>
              <v:shape id="Text Box 2" o:spid="_x0000_s1026" type="#_x0000_t202" style="position:absolute;margin-left:305.45pt;margin-top:39.9pt;width:208.5pt;height:18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" strokecolor="white [3212]">
                <v:textbox>
                  <w:txbxContent>
                    <w:p w14:paraId="6E756C56" w14:textId="77777777" w:rsidR="0010128E" w:rsidRDefault="0010128E">
                      <w:r w:rsidRPr="0010128E">
                        <w:rPr>
                          <w:noProof/>
                          <w:lang w:eastAsia="en-AU"/>
                        </w:rPr>
                        <w:drawing>
                          <wp:inline distT="0" distB="0" distL="0" distR="0" wp14:anchorId="65744D04" wp14:editId="39BB7DE7">
                            <wp:extent cx="723900" cy="723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Pr="0010128E">
                        <w:rPr>
                          <w:noProof/>
                          <w:lang w:eastAsia="en-AU"/>
                        </w:rPr>
                        <w:drawing>
                          <wp:inline distT="0" distB="0" distL="0" distR="0" wp14:anchorId="68D9CC86" wp14:editId="778F619B">
                            <wp:extent cx="1612900" cy="605526"/>
                            <wp:effectExtent l="0" t="0" r="635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3913" cy="613415"/>
                                    </a:xfrm>
                                    <a:prstGeom prst="rect">
                                      <a:avLst/>
                                    </a:prstGeom>
                                    <a:noFill/>
                                    <a:ln>
                                      <a:noFill/>
                                    </a:ln>
                                  </pic:spPr>
                                </pic:pic>
                              </a:graphicData>
                            </a:graphic>
                          </wp:inline>
                        </w:drawing>
                      </w:r>
                    </w:p>
                    <w:p w14:paraId="29CA1794" w14:textId="77777777" w:rsidR="0010128E" w:rsidRDefault="0010128E">
                      <w:r w:rsidRPr="0010128E">
                        <w:rPr>
                          <w:noProof/>
                          <w:lang w:eastAsia="en-AU"/>
                        </w:rPr>
                        <w:drawing>
                          <wp:inline distT="0" distB="0" distL="0" distR="0" wp14:anchorId="304F90B7" wp14:editId="776F98A4">
                            <wp:extent cx="701675" cy="7016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a:ln>
                                      <a:noFill/>
                                    </a:ln>
                                  </pic:spPr>
                                </pic:pic>
                              </a:graphicData>
                            </a:graphic>
                          </wp:inline>
                        </w:drawing>
                      </w:r>
                      <w:r w:rsidRPr="0010128E">
                        <w:rPr>
                          <w:noProof/>
                          <w:lang w:eastAsia="en-AU"/>
                        </w:rPr>
                        <w:drawing>
                          <wp:inline distT="0" distB="0" distL="0" distR="0" wp14:anchorId="0F3FB575" wp14:editId="70DB08EF">
                            <wp:extent cx="1727489" cy="482600"/>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6717" cy="493559"/>
                                    </a:xfrm>
                                    <a:prstGeom prst="rect">
                                      <a:avLst/>
                                    </a:prstGeom>
                                    <a:noFill/>
                                    <a:ln>
                                      <a:noFill/>
                                    </a:ln>
                                  </pic:spPr>
                                </pic:pic>
                              </a:graphicData>
                            </a:graphic>
                          </wp:inline>
                        </w:drawing>
                      </w:r>
                    </w:p>
                  </w:txbxContent>
                </v:textbox>
                <w10:wrap type="square"/>
              </v:shape>
            </w:pict>
          </mc:Fallback>
        </mc:AlternateContent>
      </w:r>
      <w:r w:rsidR="00EB133A">
        <w:rPr>
          <w:noProof/>
          <w:lang w:eastAsia="en-AU"/>
        </w:rPr>
        <w:drawing>
          <wp:inline distT="0" distB="0" distL="0" distR="0" wp14:anchorId="7421BF96" wp14:editId="194EF745">
            <wp:extent cx="3740150" cy="198120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E4F202" w14:textId="77777777" w:rsidR="0010128E" w:rsidRDefault="0010128E" w:rsidP="00A62D44">
      <w:pPr>
        <w:pStyle w:val="DHHSbody"/>
        <w:rPr>
          <w:b/>
          <w:noProof/>
        </w:rPr>
      </w:pPr>
    </w:p>
    <w:p w14:paraId="55251416" w14:textId="728846FF" w:rsidR="00E33061" w:rsidRPr="0010128E" w:rsidRDefault="00E33061" w:rsidP="007B6C76">
      <w:pPr>
        <w:pStyle w:val="DHHSbody"/>
        <w:spacing w:line="120" w:lineRule="atLeast"/>
        <w:rPr>
          <w:b/>
          <w:noProof/>
        </w:rPr>
      </w:pPr>
      <w:r w:rsidRPr="0010128E">
        <w:rPr>
          <w:b/>
          <w:noProof/>
        </w:rPr>
        <w:t>Validate clinical events reported to STIR FY19</w:t>
      </w:r>
    </w:p>
    <w:p w14:paraId="0A807646" w14:textId="71189746" w:rsidR="00AF559D" w:rsidRDefault="007B6C76" w:rsidP="00A62D44">
      <w:pPr>
        <w:pStyle w:val="DHHSbody"/>
        <w:rPr>
          <w:lang w:val="fr-FR"/>
        </w:rPr>
      </w:pPr>
      <w:r w:rsidRPr="00954F13">
        <w:rPr>
          <w:b/>
          <w:noProof/>
          <w:lang w:eastAsia="en-AU"/>
        </w:rPr>
        <mc:AlternateContent>
          <mc:Choice Requires="wps">
            <w:drawing>
              <wp:anchor distT="45720" distB="45720" distL="114300" distR="114300" simplePos="0" relativeHeight="251665408" behindDoc="0" locked="0" layoutInCell="1" allowOverlap="1" wp14:anchorId="5869111C" wp14:editId="5AE960C9">
                <wp:simplePos x="0" y="0"/>
                <wp:positionH relativeFrom="column">
                  <wp:posOffset>4996815</wp:posOffset>
                </wp:positionH>
                <wp:positionV relativeFrom="paragraph">
                  <wp:posOffset>513080</wp:posOffset>
                </wp:positionV>
                <wp:extent cx="1263650" cy="15621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1562100"/>
                        </a:xfrm>
                        <a:prstGeom prst="rect">
                          <a:avLst/>
                        </a:prstGeom>
                        <a:solidFill>
                          <a:srgbClr val="FFFFFF"/>
                        </a:solidFill>
                        <a:ln w="9525">
                          <a:solidFill>
                            <a:srgbClr val="000000"/>
                          </a:solidFill>
                          <a:miter lim="800000"/>
                          <a:headEnd/>
                          <a:tailEnd/>
                        </a:ln>
                      </wps:spPr>
                      <wps:txbx>
                        <w:txbxContent>
                          <w:p w14:paraId="53F0B89A" w14:textId="77777777" w:rsidR="00954F13" w:rsidRPr="00954F13" w:rsidRDefault="007C5812">
                            <w:pPr>
                              <w:rPr>
                                <w:rFonts w:ascii="Arial" w:hAnsi="Arial" w:cs="Arial"/>
                              </w:rPr>
                            </w:pPr>
                            <w:r>
                              <w:rPr>
                                <w:noProof/>
                                <w:lang w:eastAsia="en-AU"/>
                              </w:rPr>
                              <w:drawing>
                                <wp:inline distT="0" distB="0" distL="0" distR="0" wp14:anchorId="7CA1D15B" wp14:editId="66E983F8">
                                  <wp:extent cx="400050" cy="4000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Pr>
                                <w:rFonts w:ascii="Arial" w:hAnsi="Arial" w:cs="Arial"/>
                              </w:rPr>
                              <w:t xml:space="preserve"> Acute haemolytic reactions, often preventable with good lab and bedside checking processes, still occur.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9111C" id="_x0000_s1027" type="#_x0000_t202" style="position:absolute;margin-left:393.45pt;margin-top:40.4pt;width:99.5pt;height:12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">
                <v:textbox>
                  <w:txbxContent>
                    <w:p w14:paraId="53F0B89A" w14:textId="77777777" w:rsidR="00954F13" w:rsidRPr="00954F13" w:rsidRDefault="007C5812">
                      <w:pPr>
                        <w:rPr>
                          <w:rFonts w:ascii="Arial" w:hAnsi="Arial" w:cs="Arial"/>
                        </w:rPr>
                      </w:pPr>
                      <w:r>
                        <w:rPr>
                          <w:noProof/>
                          <w:lang w:eastAsia="en-AU"/>
                        </w:rPr>
                        <w:drawing>
                          <wp:inline distT="0" distB="0" distL="0" distR="0" wp14:anchorId="7CA1D15B" wp14:editId="66E983F8">
                            <wp:extent cx="400050" cy="4000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Pr>
                          <w:rFonts w:ascii="Arial" w:hAnsi="Arial" w:cs="Arial"/>
                        </w:rPr>
                        <w:t xml:space="preserve"> Acute haemolytic reactions, often preventable with good lab and bedside checking processes, still occur. </w:t>
                      </w:r>
                    </w:p>
                  </w:txbxContent>
                </v:textbox>
                <w10:wrap type="square"/>
              </v:shape>
            </w:pict>
          </mc:Fallback>
        </mc:AlternateContent>
      </w:r>
      <w:r w:rsidR="00E33061" w:rsidRPr="00E33061">
        <w:rPr>
          <w:noProof/>
          <w:lang w:eastAsia="en-AU"/>
        </w:rPr>
        <w:drawing>
          <wp:inline distT="0" distB="0" distL="0" distR="0" wp14:anchorId="5541207B" wp14:editId="4AE24B83">
            <wp:extent cx="4616450" cy="180741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711" t="16811" r="4899" b="2133"/>
                    <a:stretch/>
                  </pic:blipFill>
                  <pic:spPr bwMode="auto">
                    <a:xfrm>
                      <a:off x="0" y="0"/>
                      <a:ext cx="4672702" cy="1829433"/>
                    </a:xfrm>
                    <a:prstGeom prst="rect">
                      <a:avLst/>
                    </a:prstGeom>
                    <a:ln>
                      <a:noFill/>
                    </a:ln>
                    <a:extLst>
                      <a:ext uri="{53640926-AAD7-44D8-BBD7-CCE9431645EC}">
                        <a14:shadowObscured xmlns:a14="http://schemas.microsoft.com/office/drawing/2010/main"/>
                      </a:ext>
                    </a:extLst>
                  </pic:spPr>
                </pic:pic>
              </a:graphicData>
            </a:graphic>
          </wp:inline>
        </w:drawing>
      </w:r>
    </w:p>
    <w:p w14:paraId="7D460C94" w14:textId="77777777" w:rsidR="0010128E" w:rsidRDefault="0010128E" w:rsidP="00A62D44">
      <w:pPr>
        <w:pStyle w:val="DHHSbody"/>
        <w:rPr>
          <w:b/>
        </w:rPr>
      </w:pPr>
    </w:p>
    <w:p w14:paraId="035D8FF7" w14:textId="55C9C233" w:rsidR="0010128E" w:rsidRPr="0010128E" w:rsidRDefault="007B6C76" w:rsidP="00A62D44">
      <w:pPr>
        <w:pStyle w:val="DHHSbody"/>
        <w:rPr>
          <w:b/>
        </w:rPr>
      </w:pPr>
      <w:r w:rsidRPr="007C5812">
        <w:rPr>
          <w:noProof/>
          <w:lang w:eastAsia="en-AU"/>
        </w:rPr>
        <mc:AlternateContent>
          <mc:Choice Requires="wps">
            <w:drawing>
              <wp:anchor distT="45720" distB="45720" distL="114300" distR="114300" simplePos="0" relativeHeight="251667456" behindDoc="0" locked="0" layoutInCell="1" allowOverlap="1" wp14:anchorId="20AFF58C" wp14:editId="05440D63">
                <wp:simplePos x="0" y="0"/>
                <wp:positionH relativeFrom="column">
                  <wp:posOffset>4702810</wp:posOffset>
                </wp:positionH>
                <wp:positionV relativeFrom="paragraph">
                  <wp:posOffset>245745</wp:posOffset>
                </wp:positionV>
                <wp:extent cx="1919605" cy="2240915"/>
                <wp:effectExtent l="0" t="0" r="23495" b="260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2240915"/>
                        </a:xfrm>
                        <a:prstGeom prst="rect">
                          <a:avLst/>
                        </a:prstGeom>
                        <a:solidFill>
                          <a:srgbClr val="FFFFFF"/>
                        </a:solidFill>
                        <a:ln w="9525">
                          <a:solidFill>
                            <a:srgbClr val="000000"/>
                          </a:solidFill>
                          <a:miter lim="800000"/>
                          <a:headEnd/>
                          <a:tailEnd/>
                        </a:ln>
                      </wps:spPr>
                      <wps:txbx>
                        <w:txbxContent>
                          <w:p w14:paraId="36DF236E" w14:textId="77777777" w:rsidR="007C5812" w:rsidRDefault="007C5812">
                            <w:pPr>
                              <w:rPr>
                                <w:rFonts w:ascii="Arial" w:hAnsi="Arial" w:cs="Arial"/>
                              </w:rPr>
                            </w:pPr>
                            <w:r>
                              <w:rPr>
                                <w:noProof/>
                                <w:lang w:eastAsia="en-AU"/>
                              </w:rPr>
                              <w:drawing>
                                <wp:inline distT="0" distB="0" distL="0" distR="0" wp14:anchorId="2778C14C" wp14:editId="5E9C5248">
                                  <wp:extent cx="449580" cy="44958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192" cy="462192"/>
                                          </a:xfrm>
                                          <a:prstGeom prst="rect">
                                            <a:avLst/>
                                          </a:prstGeom>
                                          <a:noFill/>
                                          <a:ln>
                                            <a:noFill/>
                                          </a:ln>
                                        </pic:spPr>
                                      </pic:pic>
                                    </a:graphicData>
                                  </a:graphic>
                                </wp:inline>
                              </w:drawing>
                            </w:r>
                            <w:r w:rsidRPr="007C5812">
                              <w:rPr>
                                <w:rFonts w:ascii="Arial" w:hAnsi="Arial" w:cs="Arial"/>
                              </w:rPr>
                              <w:t xml:space="preserve">Wrong blood in tube events continue to be the largest proportion of procedural reports received. </w:t>
                            </w:r>
                            <w:r>
                              <w:rPr>
                                <w:rFonts w:ascii="Arial" w:hAnsi="Arial" w:cs="Arial"/>
                              </w:rPr>
                              <w:t>These are preventable events, that could lead to an ABO incompatible transfusion.</w:t>
                            </w:r>
                          </w:p>
                          <w:p w14:paraId="295F071B" w14:textId="77777777" w:rsidR="00BF78B8" w:rsidRDefault="00BF78B8">
                            <w:pPr>
                              <w:rPr>
                                <w:rFonts w:ascii="Arial" w:hAnsi="Arial" w:cs="Arial"/>
                              </w:rPr>
                            </w:pPr>
                          </w:p>
                          <w:p w14:paraId="3DA06FF9" w14:textId="77777777" w:rsidR="00BF78B8" w:rsidRPr="007C5812" w:rsidRDefault="00BF78B8">
                            <w:pPr>
                              <w:rPr>
                                <w:rFonts w:ascii="Arial" w:hAnsi="Arial" w:cs="Arial"/>
                              </w:rPr>
                            </w:pPr>
                            <w:r>
                              <w:rPr>
                                <w:rFonts w:ascii="Arial" w:hAnsi="Arial" w:cs="Arial"/>
                              </w:rPr>
                              <w:t>Many WBITs are likely never reported as the blood group of the intended patient and the one bled are the same.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FF58C" id="_x0000_s1028" type="#_x0000_t202" style="position:absolute;margin-left:370.3pt;margin-top:19.35pt;width:151.15pt;height:176.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">
                <v:textbox>
                  <w:txbxContent>
                    <w:p w14:paraId="36DF236E" w14:textId="77777777" w:rsidR="007C5812" w:rsidRDefault="007C5812">
                      <w:pPr>
                        <w:rPr>
                          <w:rFonts w:ascii="Arial" w:hAnsi="Arial" w:cs="Arial"/>
                        </w:rPr>
                      </w:pPr>
                      <w:r>
                        <w:rPr>
                          <w:noProof/>
                          <w:lang w:eastAsia="en-AU"/>
                        </w:rPr>
                        <w:drawing>
                          <wp:inline distT="0" distB="0" distL="0" distR="0" wp14:anchorId="2778C14C" wp14:editId="5E9C5248">
                            <wp:extent cx="449580" cy="449580"/>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192" cy="462192"/>
                                    </a:xfrm>
                                    <a:prstGeom prst="rect">
                                      <a:avLst/>
                                    </a:prstGeom>
                                    <a:noFill/>
                                    <a:ln>
                                      <a:noFill/>
                                    </a:ln>
                                  </pic:spPr>
                                </pic:pic>
                              </a:graphicData>
                            </a:graphic>
                          </wp:inline>
                        </w:drawing>
                      </w:r>
                      <w:r w:rsidRPr="007C5812">
                        <w:rPr>
                          <w:rFonts w:ascii="Arial" w:hAnsi="Arial" w:cs="Arial"/>
                        </w:rPr>
                        <w:t xml:space="preserve">Wrong blood in tube events continue to be the largest proportion of procedural reports received. </w:t>
                      </w:r>
                      <w:r>
                        <w:rPr>
                          <w:rFonts w:ascii="Arial" w:hAnsi="Arial" w:cs="Arial"/>
                        </w:rPr>
                        <w:t>These are preventable events, that could lead to an ABO incompatible transfusion.</w:t>
                      </w:r>
                    </w:p>
                    <w:p w14:paraId="295F071B" w14:textId="77777777" w:rsidR="00BF78B8" w:rsidRDefault="00BF78B8">
                      <w:pPr>
                        <w:rPr>
                          <w:rFonts w:ascii="Arial" w:hAnsi="Arial" w:cs="Arial"/>
                        </w:rPr>
                      </w:pPr>
                    </w:p>
                    <w:p w14:paraId="3DA06FF9" w14:textId="77777777" w:rsidR="00BF78B8" w:rsidRPr="007C5812" w:rsidRDefault="00BF78B8">
                      <w:pPr>
                        <w:rPr>
                          <w:rFonts w:ascii="Arial" w:hAnsi="Arial" w:cs="Arial"/>
                        </w:rPr>
                      </w:pPr>
                      <w:r>
                        <w:rPr>
                          <w:rFonts w:ascii="Arial" w:hAnsi="Arial" w:cs="Arial"/>
                        </w:rPr>
                        <w:t>Many WBITs are likely never reported as the blood group of the intended patient and the one bled are the same.</w:t>
                      </w:r>
                    </w:p>
                  </w:txbxContent>
                </v:textbox>
                <w10:wrap type="square"/>
              </v:shape>
            </w:pict>
          </mc:Fallback>
        </mc:AlternateContent>
      </w:r>
      <w:r w:rsidR="0010128E" w:rsidRPr="0010128E">
        <w:rPr>
          <w:b/>
        </w:rPr>
        <w:t>Validated procedural events reported to STIR FY19</w:t>
      </w:r>
    </w:p>
    <w:p w14:paraId="3768B67F" w14:textId="14427D33" w:rsidR="00E33061" w:rsidRDefault="00E33061" w:rsidP="00A62D44">
      <w:pPr>
        <w:pStyle w:val="DHHSbody"/>
        <w:rPr>
          <w:lang w:val="fr-FR"/>
        </w:rPr>
      </w:pPr>
      <w:r w:rsidRPr="00E33061">
        <w:rPr>
          <w:noProof/>
          <w:lang w:eastAsia="en-AU"/>
        </w:rPr>
        <w:drawing>
          <wp:inline distT="0" distB="0" distL="0" distR="0" wp14:anchorId="00A23AD4" wp14:editId="3519011A">
            <wp:extent cx="4502150" cy="23246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1232" t="8842" r="1901" b="5876"/>
                    <a:stretch/>
                  </pic:blipFill>
                  <pic:spPr bwMode="auto">
                    <a:xfrm>
                      <a:off x="0" y="0"/>
                      <a:ext cx="4521179" cy="2334516"/>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58B72444" w14:textId="77777777" w:rsidR="007B6C76" w:rsidRDefault="007B6C76" w:rsidP="00A62D44">
      <w:pPr>
        <w:pStyle w:val="DHHSbody"/>
        <w:rPr>
          <w:b/>
          <w:lang w:val="fr-FR"/>
        </w:rPr>
      </w:pPr>
    </w:p>
    <w:p w14:paraId="472DEFB7" w14:textId="1F855268" w:rsidR="0010128E" w:rsidRPr="0010128E" w:rsidRDefault="0010128E" w:rsidP="00A62D44">
      <w:pPr>
        <w:pStyle w:val="DHHSbody"/>
        <w:rPr>
          <w:b/>
          <w:lang w:val="fr-FR"/>
        </w:rPr>
      </w:pPr>
      <w:r w:rsidRPr="0010128E">
        <w:rPr>
          <w:b/>
          <w:lang w:val="fr-FR"/>
        </w:rPr>
        <w:t>Key messages and recom</w:t>
      </w:r>
      <w:r>
        <w:rPr>
          <w:b/>
          <w:lang w:val="fr-FR"/>
        </w:rPr>
        <w:t>m</w:t>
      </w:r>
      <w:r w:rsidRPr="0010128E">
        <w:rPr>
          <w:b/>
          <w:lang w:val="fr-FR"/>
        </w:rPr>
        <w:t>endations</w:t>
      </w:r>
    </w:p>
    <w:tbl>
      <w:tblPr>
        <w:tblStyle w:val="TableGrid"/>
        <w:tblW w:w="0" w:type="auto"/>
        <w:tblLook w:val="04A0" w:firstRow="1" w:lastRow="0" w:firstColumn="1" w:lastColumn="0" w:noHBand="0" w:noVBand="1"/>
      </w:tblPr>
      <w:tblGrid>
        <w:gridCol w:w="10060"/>
      </w:tblGrid>
      <w:tr w:rsidR="0010128E" w:rsidRPr="0010128E" w14:paraId="12C457E4" w14:textId="77777777" w:rsidTr="0010128E">
        <w:tc>
          <w:tcPr>
            <w:tcW w:w="10060" w:type="dxa"/>
            <w:shd w:val="clear" w:color="auto" w:fill="C00000"/>
          </w:tcPr>
          <w:p w14:paraId="4852278E" w14:textId="77777777" w:rsidR="0010128E" w:rsidRPr="0010128E" w:rsidRDefault="0010128E" w:rsidP="0010128E">
            <w:pPr>
              <w:pStyle w:val="DHHSbody"/>
              <w:rPr>
                <w:b/>
              </w:rPr>
            </w:pPr>
            <w:r w:rsidRPr="0010128E">
              <w:rPr>
                <w:b/>
              </w:rPr>
              <w:t>Clinical</w:t>
            </w:r>
          </w:p>
        </w:tc>
      </w:tr>
      <w:tr w:rsidR="0010128E" w:rsidRPr="0010128E" w14:paraId="5F974624" w14:textId="77777777" w:rsidTr="0010128E">
        <w:tc>
          <w:tcPr>
            <w:tcW w:w="10060" w:type="dxa"/>
          </w:tcPr>
          <w:p w14:paraId="116C8F7C" w14:textId="77777777" w:rsidR="00431F72" w:rsidRPr="00431F72" w:rsidRDefault="00431F72" w:rsidP="00431F72">
            <w:pPr>
              <w:pStyle w:val="DHHSbody"/>
            </w:pPr>
            <w:r w:rsidRPr="00431F72">
              <w:t xml:space="preserve">For warfarin reversal, Prothrombinex® is preferred over FFP, and its use should be encouraged for all clinicians, following the </w:t>
            </w:r>
            <w:hyperlink r:id="rId16" w:history="1">
              <w:r w:rsidRPr="00431F72">
                <w:rPr>
                  <w:rStyle w:val="Hyperlink"/>
                </w:rPr>
                <w:t>warfarin reversal guidelines</w:t>
              </w:r>
            </w:hyperlink>
            <w:r w:rsidRPr="00431F72">
              <w:t xml:space="preserve"> &lt;https://www.mja.com.au/journal/2013/198/4/update-consensus-guidelines-warfarin-reversal&gt;. </w:t>
            </w:r>
          </w:p>
          <w:p w14:paraId="0CC950BB" w14:textId="77777777" w:rsidR="00431F72" w:rsidRPr="00431F72" w:rsidRDefault="00431F72" w:rsidP="00431F72">
            <w:pPr>
              <w:pStyle w:val="DHHSbody"/>
            </w:pPr>
            <w:r w:rsidRPr="00431F72">
              <w:t>FFP is not routinely needed in combination with Prothrombinex®, and should only be used according to the guidelines, such as when Prothrombinex® is unavailable</w:t>
            </w:r>
          </w:p>
          <w:p w14:paraId="222AD0C1" w14:textId="77777777" w:rsidR="0010128E" w:rsidRPr="0010128E" w:rsidRDefault="00431F72" w:rsidP="00431F72">
            <w:pPr>
              <w:pStyle w:val="DHHSbody"/>
            </w:pPr>
            <w:r w:rsidRPr="00431F72">
              <w:t>Case study 3: allergic (FFP)</w:t>
            </w:r>
          </w:p>
        </w:tc>
      </w:tr>
      <w:tr w:rsidR="0010128E" w:rsidRPr="0010128E" w14:paraId="7F7E6E94" w14:textId="77777777" w:rsidTr="0010128E">
        <w:tc>
          <w:tcPr>
            <w:tcW w:w="10060" w:type="dxa"/>
          </w:tcPr>
          <w:p w14:paraId="496ABE9A" w14:textId="77777777" w:rsidR="0010128E" w:rsidRPr="0010128E" w:rsidRDefault="0010128E" w:rsidP="0010128E">
            <w:pPr>
              <w:pStyle w:val="DHHSbody"/>
            </w:pPr>
            <w:r w:rsidRPr="0010128E">
              <w:t>Patients undergoing transfusion should be assessed for risk factors for overload and the rate of transfusion adjusted to run at the slowest rate appropriate to the situation. Where possible, a single unit should be administered and the patient assessed for both the need for further transfusion and indications of overload before any further transfusions occur.</w:t>
            </w:r>
          </w:p>
          <w:p w14:paraId="1F1EE686" w14:textId="77777777" w:rsidR="0010128E" w:rsidRPr="0010128E" w:rsidRDefault="0010128E" w:rsidP="0010128E">
            <w:pPr>
              <w:pStyle w:val="DHHSbody"/>
            </w:pPr>
            <w:r w:rsidRPr="0010128E">
              <w:t>Case study 4:</w:t>
            </w:r>
            <w:r w:rsidRPr="0010128E" w:rsidDel="005C2525">
              <w:t xml:space="preserve"> </w:t>
            </w:r>
            <w:r w:rsidRPr="0010128E">
              <w:t>TACO in patient with risk factors</w:t>
            </w:r>
          </w:p>
        </w:tc>
      </w:tr>
      <w:tr w:rsidR="0010128E" w:rsidRPr="0010128E" w14:paraId="332492A3" w14:textId="77777777" w:rsidTr="0010128E">
        <w:tc>
          <w:tcPr>
            <w:tcW w:w="10060" w:type="dxa"/>
            <w:shd w:val="clear" w:color="auto" w:fill="C00000"/>
          </w:tcPr>
          <w:p w14:paraId="3065240B" w14:textId="77777777" w:rsidR="0010128E" w:rsidRPr="0010128E" w:rsidRDefault="0010128E" w:rsidP="0010128E">
            <w:pPr>
              <w:pStyle w:val="DHHSbody"/>
              <w:rPr>
                <w:b/>
              </w:rPr>
            </w:pPr>
            <w:r w:rsidRPr="0010128E">
              <w:rPr>
                <w:b/>
              </w:rPr>
              <w:t>Procedural</w:t>
            </w:r>
          </w:p>
        </w:tc>
      </w:tr>
      <w:tr w:rsidR="0010128E" w:rsidRPr="0010128E" w14:paraId="16004B8A" w14:textId="77777777" w:rsidTr="0010128E">
        <w:tc>
          <w:tcPr>
            <w:tcW w:w="10060" w:type="dxa"/>
          </w:tcPr>
          <w:p w14:paraId="1D1A4C7C" w14:textId="77777777" w:rsidR="0010128E" w:rsidRPr="0010128E" w:rsidRDefault="0010128E" w:rsidP="0010128E">
            <w:pPr>
              <w:pStyle w:val="DHHSbody"/>
            </w:pPr>
            <w:r w:rsidRPr="0010128E">
              <w:t>Positive patient identification (PPID) at each step in the transfusion process is vital, regardless of the situation. This includes asking the patient to state their name and date of birth where possible, use of an interpreter when required and confirmation of stated identity with name band, blood product or labelled specimens and order/prescription.</w:t>
            </w:r>
          </w:p>
          <w:p w14:paraId="14F4FFA6" w14:textId="77777777" w:rsidR="0010128E" w:rsidRPr="0010128E" w:rsidRDefault="0010128E" w:rsidP="0010128E">
            <w:pPr>
              <w:pStyle w:val="DHHSbody"/>
            </w:pPr>
            <w:r w:rsidRPr="0010128E">
              <w:t>Case study 7: WBIT</w:t>
            </w:r>
          </w:p>
        </w:tc>
      </w:tr>
      <w:tr w:rsidR="0010128E" w:rsidRPr="0010128E" w14:paraId="076555AD" w14:textId="77777777" w:rsidTr="0010128E">
        <w:tc>
          <w:tcPr>
            <w:tcW w:w="10060" w:type="dxa"/>
          </w:tcPr>
          <w:p w14:paraId="245EA482" w14:textId="77777777" w:rsidR="0010128E" w:rsidRPr="0010128E" w:rsidRDefault="0010128E" w:rsidP="0010128E">
            <w:pPr>
              <w:pStyle w:val="DHHSbody"/>
            </w:pPr>
            <w:r w:rsidRPr="0010128E">
              <w:t xml:space="preserve">Blood administration must only occur after double independent checking has occurred. This involves both staff performing all checks at the patient side. Both staff should be able to independently confirm that the product to be commenced is intended for the patient and must include checks that blood groups are compatible for both ABO and Rh groupings and that any special requirements are met, </w:t>
            </w:r>
            <w:r w:rsidR="00431F72">
              <w:t>for example</w:t>
            </w:r>
            <w:r w:rsidRPr="0010128E">
              <w:t xml:space="preserve"> irradiation.</w:t>
            </w:r>
          </w:p>
          <w:p w14:paraId="5DD9CB9E" w14:textId="77777777" w:rsidR="0010128E" w:rsidRPr="0010128E" w:rsidRDefault="0010128E" w:rsidP="0010128E">
            <w:pPr>
              <w:pStyle w:val="DHHSbody"/>
            </w:pPr>
            <w:r w:rsidRPr="0010128E">
              <w:t>Case study 5: RhD incompatible red cell units cross matched and transfused</w:t>
            </w:r>
          </w:p>
        </w:tc>
      </w:tr>
      <w:tr w:rsidR="0010128E" w:rsidRPr="0010128E" w14:paraId="3E5FF13F" w14:textId="77777777" w:rsidTr="0010128E">
        <w:tc>
          <w:tcPr>
            <w:tcW w:w="10060" w:type="dxa"/>
            <w:shd w:val="clear" w:color="auto" w:fill="C00000"/>
          </w:tcPr>
          <w:p w14:paraId="55948931" w14:textId="77777777" w:rsidR="0010128E" w:rsidRPr="0010128E" w:rsidRDefault="0010128E" w:rsidP="0010128E">
            <w:pPr>
              <w:pStyle w:val="DHHSbody"/>
              <w:rPr>
                <w:b/>
              </w:rPr>
            </w:pPr>
            <w:r w:rsidRPr="0010128E">
              <w:rPr>
                <w:b/>
              </w:rPr>
              <w:t>General</w:t>
            </w:r>
          </w:p>
        </w:tc>
      </w:tr>
      <w:tr w:rsidR="0010128E" w:rsidRPr="0010128E" w14:paraId="5CD27F83" w14:textId="77777777" w:rsidTr="0010128E">
        <w:tc>
          <w:tcPr>
            <w:tcW w:w="10060" w:type="dxa"/>
          </w:tcPr>
          <w:p w14:paraId="01B6CC91" w14:textId="77777777" w:rsidR="0010128E" w:rsidRPr="0010128E" w:rsidRDefault="0010128E" w:rsidP="0010128E">
            <w:pPr>
              <w:pStyle w:val="DHHSbody"/>
            </w:pPr>
            <w:r w:rsidRPr="0010128E">
              <w:t>Education of all staff involved in the transfusion chain to ensure appropriate handling, ordering and administration is important to address safety issues.</w:t>
            </w:r>
          </w:p>
        </w:tc>
      </w:tr>
      <w:tr w:rsidR="0010128E" w:rsidRPr="0010128E" w14:paraId="037B61DF" w14:textId="77777777" w:rsidTr="0010128E">
        <w:tc>
          <w:tcPr>
            <w:tcW w:w="10060" w:type="dxa"/>
          </w:tcPr>
          <w:p w14:paraId="12729E36" w14:textId="77777777" w:rsidR="0010128E" w:rsidRPr="0010128E" w:rsidRDefault="0010128E" w:rsidP="0010128E">
            <w:pPr>
              <w:pStyle w:val="DHHSbody"/>
            </w:pPr>
            <w:r w:rsidRPr="0010128E">
              <w:t xml:space="preserve">Reporting of reactions to STIR assists in local and national reporting, including to the NBA National haemovigilence report, and the health service requirements for accreditation. </w:t>
            </w:r>
          </w:p>
          <w:p w14:paraId="522C2B06" w14:textId="77777777" w:rsidR="0010128E" w:rsidRPr="0010128E" w:rsidRDefault="0010128E" w:rsidP="0010128E">
            <w:pPr>
              <w:pStyle w:val="DHHSbody"/>
            </w:pPr>
            <w:r w:rsidRPr="0010128E">
              <w:t xml:space="preserve">All incidents and reactions that meet STIR criteria should be reported to STIR in a timely manner. </w:t>
            </w:r>
          </w:p>
        </w:tc>
      </w:tr>
    </w:tbl>
    <w:p w14:paraId="2F664F93" w14:textId="77777777" w:rsidR="0010128E" w:rsidRDefault="0010128E" w:rsidP="00A62D44">
      <w:pPr>
        <w:pStyle w:val="DHHSbody"/>
        <w:rPr>
          <w:lang w:val="fr-FR"/>
        </w:rPr>
      </w:pPr>
    </w:p>
    <w:p w14:paraId="030790A6" w14:textId="77777777" w:rsidR="00954F13" w:rsidRPr="00954F13" w:rsidRDefault="00954F13" w:rsidP="00954F13">
      <w:pPr>
        <w:pStyle w:val="DHHSbody"/>
        <w:rPr>
          <w:b/>
          <w:noProof/>
          <w:sz w:val="24"/>
          <w:szCs w:val="24"/>
        </w:rPr>
      </w:pPr>
      <w:r w:rsidRPr="00954F13">
        <w:rPr>
          <w:b/>
          <w:noProof/>
          <w:sz w:val="24"/>
          <w:szCs w:val="24"/>
        </w:rPr>
        <w:t>The full STIR report is available on the Blood Matters website</w:t>
      </w:r>
    </w:p>
    <w:p w14:paraId="5444E667" w14:textId="77777777" w:rsidR="00954F13" w:rsidRPr="00954F13" w:rsidRDefault="00954F13" w:rsidP="00954F13">
      <w:pPr>
        <w:pStyle w:val="DHHSbody"/>
        <w:rPr>
          <w:b/>
          <w:bCs/>
          <w:noProof/>
          <w:color w:val="C00000"/>
          <w:sz w:val="24"/>
          <w:szCs w:val="24"/>
        </w:rPr>
      </w:pPr>
      <w:r w:rsidRPr="00954F13">
        <w:rPr>
          <w:b/>
          <w:bCs/>
          <w:noProof/>
          <w:color w:val="C00000"/>
          <w:sz w:val="24"/>
          <w:szCs w:val="24"/>
        </w:rPr>
        <w:t>https://www2.health.vic.gov.au/hospitals-and-health-services/patient-care/speciality-diagnostics-therapeutics/blood-matters/serious-transfusion-incidents</w:t>
      </w:r>
    </w:p>
    <w:p w14:paraId="7247DCCD" w14:textId="77777777" w:rsidR="00954F13" w:rsidRDefault="00954F13" w:rsidP="00954F13">
      <w:pPr>
        <w:pStyle w:val="DHHSbody"/>
        <w:rPr>
          <w:noProof/>
          <w:color w:val="FF0000"/>
        </w:rPr>
      </w:pPr>
    </w:p>
    <w:p w14:paraId="49EE9E15" w14:textId="77777777" w:rsidR="00954F13" w:rsidRDefault="00954F13" w:rsidP="00954F13">
      <w:pPr>
        <w:pStyle w:val="DHHSbody"/>
        <w:rPr>
          <w:noProof/>
          <w:color w:val="FF0000"/>
        </w:rPr>
      </w:pPr>
    </w:p>
    <w:p w14:paraId="62335DF9" w14:textId="77777777" w:rsidR="00954F13" w:rsidRPr="00954F13" w:rsidRDefault="00954F13" w:rsidP="00954F13">
      <w:pPr>
        <w:pStyle w:val="DHHSbody"/>
        <w:rPr>
          <w:noProof/>
          <w:color w:val="FF0000"/>
        </w:rPr>
      </w:pPr>
    </w:p>
    <w:p w14:paraId="67A90B32" w14:textId="77777777" w:rsidR="00954F13" w:rsidRPr="00954F13" w:rsidRDefault="00954F13" w:rsidP="00954F13">
      <w:pPr>
        <w:pStyle w:val="DHHSbody"/>
        <w:spacing w:after="0"/>
        <w:rPr>
          <w:noProof/>
        </w:rPr>
      </w:pPr>
      <w:r w:rsidRPr="00954F13">
        <w:rPr>
          <w:noProof/>
        </w:rPr>
        <w:t>Authorised and published by the</w:t>
      </w:r>
    </w:p>
    <w:p w14:paraId="5B1F7306" w14:textId="77777777" w:rsidR="00954F13" w:rsidRPr="00954F13" w:rsidRDefault="00954F13" w:rsidP="00954F13">
      <w:pPr>
        <w:pStyle w:val="DHHSbody"/>
        <w:spacing w:after="0"/>
        <w:rPr>
          <w:noProof/>
        </w:rPr>
      </w:pPr>
      <w:r w:rsidRPr="00954F13">
        <w:rPr>
          <w:noProof/>
        </w:rPr>
        <w:t>Victorian Government, 1 Treasury Place, Melbourne.</w:t>
      </w:r>
    </w:p>
    <w:p w14:paraId="608CA2AA" w14:textId="7C869504" w:rsidR="003976F9" w:rsidRDefault="00954F13" w:rsidP="00954F13">
      <w:pPr>
        <w:pStyle w:val="DHHSbody"/>
        <w:spacing w:after="0"/>
        <w:rPr>
          <w:noProof/>
        </w:rPr>
      </w:pPr>
      <w:r w:rsidRPr="00954F13">
        <w:rPr>
          <w:noProof/>
        </w:rPr>
        <w:t>© State of Victoria,</w:t>
      </w:r>
      <w:r>
        <w:rPr>
          <w:noProof/>
        </w:rPr>
        <w:t xml:space="preserve"> July 2020</w:t>
      </w:r>
    </w:p>
    <w:p w14:paraId="520FAC7E" w14:textId="24B55E1D" w:rsidR="007B6C76" w:rsidRPr="00DD1130" w:rsidRDefault="007B6C76" w:rsidP="00954F13">
      <w:pPr>
        <w:pStyle w:val="DHHSbody"/>
        <w:spacing w:after="0"/>
        <w:rPr>
          <w:lang w:val="fr-FR"/>
        </w:rPr>
      </w:pPr>
      <w:r>
        <w:rPr>
          <w:noProof/>
        </w:rPr>
        <w:t>(2008773)</w:t>
      </w:r>
    </w:p>
    <w:sectPr w:rsidR="007B6C76" w:rsidRPr="00DD1130" w:rsidSect="004013C7">
      <w:headerReference w:type="default" r:id="rId17"/>
      <w:footerReference w:type="default" r:id="rId18"/>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410DC" w14:textId="77777777" w:rsidR="008C75F9" w:rsidRDefault="008C75F9">
      <w:r>
        <w:separator/>
      </w:r>
    </w:p>
  </w:endnote>
  <w:endnote w:type="continuationSeparator" w:id="0">
    <w:p w14:paraId="559BF98B" w14:textId="77777777" w:rsidR="008C75F9" w:rsidRDefault="008C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518EA" w14:textId="0DE071EA" w:rsidR="009D70A4" w:rsidRPr="00A11421" w:rsidRDefault="009D70A4" w:rsidP="0051568D">
    <w:pPr>
      <w:pStyle w:val="DHHSfooter"/>
    </w:pPr>
    <w:r w:rsidRPr="00A11421">
      <w:t xml:space="preserve">Name of </w:t>
    </w:r>
    <w:r w:rsidRPr="0051568D">
      <w:t>document</w:t>
    </w:r>
    <w:r w:rsidR="00FF2A4E">
      <w:ptab w:relativeTo="margin" w:alignment="right" w:leader="none"/>
    </w:r>
    <w:r w:rsidRPr="00A11421">
      <w:fldChar w:fldCharType="begin"/>
    </w:r>
    <w:r w:rsidRPr="00A11421">
      <w:instrText xml:space="preserve"> PAGE </w:instrText>
    </w:r>
    <w:r w:rsidRPr="00A11421">
      <w:fldChar w:fldCharType="separate"/>
    </w:r>
    <w:r w:rsidR="007B6C76">
      <w:rPr>
        <w:noProof/>
      </w:rPr>
      <w:t>2</w:t>
    </w:r>
    <w:r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288CF" w14:textId="77777777" w:rsidR="008C75F9" w:rsidRDefault="008C75F9" w:rsidP="002862F1">
      <w:pPr>
        <w:spacing w:before="120"/>
      </w:pPr>
      <w:r>
        <w:separator/>
      </w:r>
    </w:p>
  </w:footnote>
  <w:footnote w:type="continuationSeparator" w:id="0">
    <w:p w14:paraId="0C900695" w14:textId="77777777" w:rsidR="008C75F9" w:rsidRDefault="008C7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4520D" w14:textId="77777777" w:rsidR="001A46EA" w:rsidRDefault="007A1BE2">
    <w:pPr>
      <w:pStyle w:val="Header"/>
    </w:pPr>
    <w:r>
      <w:rPr>
        <w:noProof/>
        <w:lang w:eastAsia="en-AU"/>
      </w:rPr>
      <w:drawing>
        <wp:anchor distT="0" distB="0" distL="114300" distR="114300" simplePos="0" relativeHeight="251662336" behindDoc="1" locked="1" layoutInCell="1" allowOverlap="1" wp14:anchorId="53CC1513" wp14:editId="575164C0">
          <wp:simplePos x="0" y="0"/>
          <wp:positionH relativeFrom="page">
            <wp:posOffset>0</wp:posOffset>
          </wp:positionH>
          <wp:positionV relativeFrom="page">
            <wp:posOffset>9630410</wp:posOffset>
          </wp:positionV>
          <wp:extent cx="7559040" cy="1060450"/>
          <wp:effectExtent l="0" t="0" r="381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Information sheet Blood Matters footerbranding.png"/>
                  <pic:cNvPicPr/>
                </pic:nvPicPr>
                <pic:blipFill rotWithShape="1">
                  <a:blip r:embed="rId1"/>
                  <a:srcRect t="90081"/>
                  <a:stretch/>
                </pic:blipFill>
                <pic:spPr bwMode="auto">
                  <a:xfrm>
                    <a:off x="0" y="0"/>
                    <a:ext cx="7559040" cy="106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A46EA">
      <w:rPr>
        <w:noProof/>
        <w:lang w:eastAsia="en-AU"/>
      </w:rPr>
      <w:drawing>
        <wp:anchor distT="0" distB="0" distL="114300" distR="114300" simplePos="0" relativeHeight="251661312" behindDoc="1" locked="1" layoutInCell="1" allowOverlap="1" wp14:anchorId="6892F456" wp14:editId="68B4783B">
          <wp:simplePos x="0" y="0"/>
          <wp:positionH relativeFrom="page">
            <wp:posOffset>0</wp:posOffset>
          </wp:positionH>
          <wp:positionV relativeFrom="page">
            <wp:posOffset>0</wp:posOffset>
          </wp:positionV>
          <wp:extent cx="7559040" cy="3165475"/>
          <wp:effectExtent l="0" t="0" r="381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 Information sheet Blood Matters footerbranding.png"/>
                  <pic:cNvPicPr/>
                </pic:nvPicPr>
                <pic:blipFill rotWithShape="1">
                  <a:blip r:embed="rId2"/>
                  <a:srcRect b="70389"/>
                  <a:stretch/>
                </pic:blipFill>
                <pic:spPr bwMode="auto">
                  <a:xfrm>
                    <a:off x="0" y="0"/>
                    <a:ext cx="7559040" cy="3165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EC4D5"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BFD6F758"/>
    <w:numStyleLink w:val="ZZNumbersdigit"/>
  </w:abstractNum>
  <w:abstractNum w:abstractNumId="3"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7B96CDA"/>
    <w:multiLevelType w:val="multilevel"/>
    <w:tmpl w:val="A22CD8F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BFD6F758"/>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AU" w:vendorID="64" w:dllVersion="131078" w:nlCheck="1" w:checkStyle="1"/>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5F9"/>
    <w:rsid w:val="000072B6"/>
    <w:rsid w:val="0001021B"/>
    <w:rsid w:val="00011D89"/>
    <w:rsid w:val="000154FD"/>
    <w:rsid w:val="00024D89"/>
    <w:rsid w:val="000250B6"/>
    <w:rsid w:val="00033D81"/>
    <w:rsid w:val="00041BF0"/>
    <w:rsid w:val="0004536B"/>
    <w:rsid w:val="00046B68"/>
    <w:rsid w:val="000527DD"/>
    <w:rsid w:val="000578B2"/>
    <w:rsid w:val="00060959"/>
    <w:rsid w:val="000663CD"/>
    <w:rsid w:val="000733FE"/>
    <w:rsid w:val="00074219"/>
    <w:rsid w:val="00074ED5"/>
    <w:rsid w:val="0008508E"/>
    <w:rsid w:val="0009113B"/>
    <w:rsid w:val="00093402"/>
    <w:rsid w:val="00094DA3"/>
    <w:rsid w:val="00096CD1"/>
    <w:rsid w:val="000A012C"/>
    <w:rsid w:val="000A0EB9"/>
    <w:rsid w:val="000A186C"/>
    <w:rsid w:val="000A1EA4"/>
    <w:rsid w:val="000B3EDB"/>
    <w:rsid w:val="000B543D"/>
    <w:rsid w:val="000B5BF7"/>
    <w:rsid w:val="000B6BC8"/>
    <w:rsid w:val="000C0303"/>
    <w:rsid w:val="000C42EA"/>
    <w:rsid w:val="000C4546"/>
    <w:rsid w:val="000D1242"/>
    <w:rsid w:val="000E0970"/>
    <w:rsid w:val="000E3CC7"/>
    <w:rsid w:val="000E6BD4"/>
    <w:rsid w:val="000F1F1E"/>
    <w:rsid w:val="000F2259"/>
    <w:rsid w:val="0010128E"/>
    <w:rsid w:val="0010392D"/>
    <w:rsid w:val="0010447F"/>
    <w:rsid w:val="00104FE3"/>
    <w:rsid w:val="00120BD3"/>
    <w:rsid w:val="00122FEA"/>
    <w:rsid w:val="001232BD"/>
    <w:rsid w:val="00124ED5"/>
    <w:rsid w:val="001276FA"/>
    <w:rsid w:val="001447B3"/>
    <w:rsid w:val="00152073"/>
    <w:rsid w:val="00156598"/>
    <w:rsid w:val="00161939"/>
    <w:rsid w:val="00161AA0"/>
    <w:rsid w:val="00162093"/>
    <w:rsid w:val="00172BAF"/>
    <w:rsid w:val="001771DD"/>
    <w:rsid w:val="00177995"/>
    <w:rsid w:val="00177A8C"/>
    <w:rsid w:val="00186B33"/>
    <w:rsid w:val="00192F9D"/>
    <w:rsid w:val="00196EB8"/>
    <w:rsid w:val="00196EFB"/>
    <w:rsid w:val="001979FF"/>
    <w:rsid w:val="00197B17"/>
    <w:rsid w:val="001A1C54"/>
    <w:rsid w:val="001A3ACE"/>
    <w:rsid w:val="001A46EA"/>
    <w:rsid w:val="001C277E"/>
    <w:rsid w:val="001C2A72"/>
    <w:rsid w:val="001D0B75"/>
    <w:rsid w:val="001D3C09"/>
    <w:rsid w:val="001D44E8"/>
    <w:rsid w:val="001D60EC"/>
    <w:rsid w:val="001E44DF"/>
    <w:rsid w:val="001E68A5"/>
    <w:rsid w:val="001E6BB0"/>
    <w:rsid w:val="001F3826"/>
    <w:rsid w:val="001F6E46"/>
    <w:rsid w:val="001F7C91"/>
    <w:rsid w:val="00200BAE"/>
    <w:rsid w:val="00206463"/>
    <w:rsid w:val="00206F2F"/>
    <w:rsid w:val="0021053D"/>
    <w:rsid w:val="002109CD"/>
    <w:rsid w:val="00210A92"/>
    <w:rsid w:val="00216C03"/>
    <w:rsid w:val="00220C04"/>
    <w:rsid w:val="0022278D"/>
    <w:rsid w:val="0022701F"/>
    <w:rsid w:val="002333F5"/>
    <w:rsid w:val="00233724"/>
    <w:rsid w:val="002432E1"/>
    <w:rsid w:val="00246207"/>
    <w:rsid w:val="00246C5E"/>
    <w:rsid w:val="00251343"/>
    <w:rsid w:val="002536A4"/>
    <w:rsid w:val="00254F58"/>
    <w:rsid w:val="002620BC"/>
    <w:rsid w:val="00262802"/>
    <w:rsid w:val="00263A90"/>
    <w:rsid w:val="0026408B"/>
    <w:rsid w:val="00267C3E"/>
    <w:rsid w:val="002709BB"/>
    <w:rsid w:val="00273BAC"/>
    <w:rsid w:val="002763B3"/>
    <w:rsid w:val="002802E3"/>
    <w:rsid w:val="0028213D"/>
    <w:rsid w:val="002862F1"/>
    <w:rsid w:val="00291373"/>
    <w:rsid w:val="0029597D"/>
    <w:rsid w:val="002962C3"/>
    <w:rsid w:val="0029752B"/>
    <w:rsid w:val="002A483C"/>
    <w:rsid w:val="002B0C7C"/>
    <w:rsid w:val="002B1729"/>
    <w:rsid w:val="002B36C7"/>
    <w:rsid w:val="002B4DD4"/>
    <w:rsid w:val="002B5277"/>
    <w:rsid w:val="002B5375"/>
    <w:rsid w:val="002B77C1"/>
    <w:rsid w:val="002C2728"/>
    <w:rsid w:val="002D5006"/>
    <w:rsid w:val="002D56AB"/>
    <w:rsid w:val="002E01D0"/>
    <w:rsid w:val="002E161D"/>
    <w:rsid w:val="002E3100"/>
    <w:rsid w:val="002E6C95"/>
    <w:rsid w:val="002E7C36"/>
    <w:rsid w:val="002F5F31"/>
    <w:rsid w:val="002F5F46"/>
    <w:rsid w:val="00302216"/>
    <w:rsid w:val="00303E53"/>
    <w:rsid w:val="00306E5F"/>
    <w:rsid w:val="00307E14"/>
    <w:rsid w:val="00314054"/>
    <w:rsid w:val="00316F27"/>
    <w:rsid w:val="00322E4B"/>
    <w:rsid w:val="0032528D"/>
    <w:rsid w:val="00327870"/>
    <w:rsid w:val="0033259D"/>
    <w:rsid w:val="003333D2"/>
    <w:rsid w:val="003406C6"/>
    <w:rsid w:val="003418CC"/>
    <w:rsid w:val="003459BD"/>
    <w:rsid w:val="00350D38"/>
    <w:rsid w:val="00351B36"/>
    <w:rsid w:val="00357B4E"/>
    <w:rsid w:val="003716FD"/>
    <w:rsid w:val="0037204B"/>
    <w:rsid w:val="003744CF"/>
    <w:rsid w:val="00374717"/>
    <w:rsid w:val="0037676C"/>
    <w:rsid w:val="00381043"/>
    <w:rsid w:val="003829E5"/>
    <w:rsid w:val="003956CC"/>
    <w:rsid w:val="00395C9A"/>
    <w:rsid w:val="003976F9"/>
    <w:rsid w:val="003A6B67"/>
    <w:rsid w:val="003B13B6"/>
    <w:rsid w:val="003B15E6"/>
    <w:rsid w:val="003C08A2"/>
    <w:rsid w:val="003C2045"/>
    <w:rsid w:val="003C43A1"/>
    <w:rsid w:val="003C4FC0"/>
    <w:rsid w:val="003C55F4"/>
    <w:rsid w:val="003C7897"/>
    <w:rsid w:val="003C7A3F"/>
    <w:rsid w:val="003D2766"/>
    <w:rsid w:val="003D3E8F"/>
    <w:rsid w:val="003D6475"/>
    <w:rsid w:val="003E375C"/>
    <w:rsid w:val="003E4086"/>
    <w:rsid w:val="003F0445"/>
    <w:rsid w:val="003F0CF0"/>
    <w:rsid w:val="003F14B1"/>
    <w:rsid w:val="003F3289"/>
    <w:rsid w:val="004006F3"/>
    <w:rsid w:val="004013C7"/>
    <w:rsid w:val="00401FCF"/>
    <w:rsid w:val="00406285"/>
    <w:rsid w:val="004148F9"/>
    <w:rsid w:val="0042084E"/>
    <w:rsid w:val="00421EEF"/>
    <w:rsid w:val="00424D65"/>
    <w:rsid w:val="00431F72"/>
    <w:rsid w:val="00442C6C"/>
    <w:rsid w:val="00443CBE"/>
    <w:rsid w:val="00443E8A"/>
    <w:rsid w:val="004441BC"/>
    <w:rsid w:val="004468B4"/>
    <w:rsid w:val="0045230A"/>
    <w:rsid w:val="00457337"/>
    <w:rsid w:val="0047372D"/>
    <w:rsid w:val="00473BA3"/>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033"/>
    <w:rsid w:val="004D016B"/>
    <w:rsid w:val="004D1B22"/>
    <w:rsid w:val="004D36F2"/>
    <w:rsid w:val="004E1106"/>
    <w:rsid w:val="004E138F"/>
    <w:rsid w:val="004E4649"/>
    <w:rsid w:val="004E5C2B"/>
    <w:rsid w:val="004F00DD"/>
    <w:rsid w:val="004F2133"/>
    <w:rsid w:val="004F55F1"/>
    <w:rsid w:val="004F6936"/>
    <w:rsid w:val="00503DC6"/>
    <w:rsid w:val="00506F5D"/>
    <w:rsid w:val="00510C37"/>
    <w:rsid w:val="005126D0"/>
    <w:rsid w:val="0051568D"/>
    <w:rsid w:val="00526C15"/>
    <w:rsid w:val="00536499"/>
    <w:rsid w:val="00543903"/>
    <w:rsid w:val="00543F11"/>
    <w:rsid w:val="00546305"/>
    <w:rsid w:val="00547A95"/>
    <w:rsid w:val="00572031"/>
    <w:rsid w:val="00572282"/>
    <w:rsid w:val="00576E84"/>
    <w:rsid w:val="00582B8C"/>
    <w:rsid w:val="0058757E"/>
    <w:rsid w:val="00596A4B"/>
    <w:rsid w:val="00597507"/>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447E"/>
    <w:rsid w:val="005F0775"/>
    <w:rsid w:val="005F0CF5"/>
    <w:rsid w:val="005F21EB"/>
    <w:rsid w:val="00605908"/>
    <w:rsid w:val="00610D7C"/>
    <w:rsid w:val="00613414"/>
    <w:rsid w:val="00620154"/>
    <w:rsid w:val="0062408D"/>
    <w:rsid w:val="006240CC"/>
    <w:rsid w:val="006254F8"/>
    <w:rsid w:val="00627DA7"/>
    <w:rsid w:val="006358B4"/>
    <w:rsid w:val="006419AA"/>
    <w:rsid w:val="00644B1F"/>
    <w:rsid w:val="00644B7E"/>
    <w:rsid w:val="006454E6"/>
    <w:rsid w:val="00646235"/>
    <w:rsid w:val="00646A68"/>
    <w:rsid w:val="006505BD"/>
    <w:rsid w:val="0065092E"/>
    <w:rsid w:val="006557A7"/>
    <w:rsid w:val="00656290"/>
    <w:rsid w:val="006621D7"/>
    <w:rsid w:val="0066302A"/>
    <w:rsid w:val="00667770"/>
    <w:rsid w:val="00670597"/>
    <w:rsid w:val="006706D0"/>
    <w:rsid w:val="00677574"/>
    <w:rsid w:val="0068454C"/>
    <w:rsid w:val="00691B62"/>
    <w:rsid w:val="006933B5"/>
    <w:rsid w:val="00693D14"/>
    <w:rsid w:val="006A18C2"/>
    <w:rsid w:val="006B077C"/>
    <w:rsid w:val="006B6803"/>
    <w:rsid w:val="006D0F16"/>
    <w:rsid w:val="006D2A3F"/>
    <w:rsid w:val="006D2FBC"/>
    <w:rsid w:val="006E138B"/>
    <w:rsid w:val="006F1FDC"/>
    <w:rsid w:val="006F6B8C"/>
    <w:rsid w:val="007013EF"/>
    <w:rsid w:val="007173CA"/>
    <w:rsid w:val="007216AA"/>
    <w:rsid w:val="00721AB5"/>
    <w:rsid w:val="00721CFB"/>
    <w:rsid w:val="00721DEF"/>
    <w:rsid w:val="00724A43"/>
    <w:rsid w:val="00731302"/>
    <w:rsid w:val="007346E4"/>
    <w:rsid w:val="00740B23"/>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1BD7"/>
    <w:rsid w:val="007933F7"/>
    <w:rsid w:val="00796E20"/>
    <w:rsid w:val="00797C32"/>
    <w:rsid w:val="007A11E8"/>
    <w:rsid w:val="007A1BE2"/>
    <w:rsid w:val="007B0914"/>
    <w:rsid w:val="007B1374"/>
    <w:rsid w:val="007B589F"/>
    <w:rsid w:val="007B6186"/>
    <w:rsid w:val="007B6C76"/>
    <w:rsid w:val="007B73BC"/>
    <w:rsid w:val="007C20B9"/>
    <w:rsid w:val="007C5812"/>
    <w:rsid w:val="007C7301"/>
    <w:rsid w:val="007C7859"/>
    <w:rsid w:val="007D2BDE"/>
    <w:rsid w:val="007D2FB6"/>
    <w:rsid w:val="007D49EB"/>
    <w:rsid w:val="007E0DE2"/>
    <w:rsid w:val="007E3B98"/>
    <w:rsid w:val="007E417A"/>
    <w:rsid w:val="007F31B6"/>
    <w:rsid w:val="007F546C"/>
    <w:rsid w:val="007F625F"/>
    <w:rsid w:val="007F665E"/>
    <w:rsid w:val="00800412"/>
    <w:rsid w:val="0080587B"/>
    <w:rsid w:val="00806468"/>
    <w:rsid w:val="008155F0"/>
    <w:rsid w:val="00816735"/>
    <w:rsid w:val="00820141"/>
    <w:rsid w:val="00820E0C"/>
    <w:rsid w:val="0082366F"/>
    <w:rsid w:val="008338A2"/>
    <w:rsid w:val="00841AA9"/>
    <w:rsid w:val="00853EE4"/>
    <w:rsid w:val="00855535"/>
    <w:rsid w:val="00857C5A"/>
    <w:rsid w:val="0086255E"/>
    <w:rsid w:val="008633F0"/>
    <w:rsid w:val="00867D9D"/>
    <w:rsid w:val="00872E0A"/>
    <w:rsid w:val="00875285"/>
    <w:rsid w:val="00884B62"/>
    <w:rsid w:val="0088529C"/>
    <w:rsid w:val="00887903"/>
    <w:rsid w:val="0089270A"/>
    <w:rsid w:val="00893AF6"/>
    <w:rsid w:val="00894BC4"/>
    <w:rsid w:val="008A28A8"/>
    <w:rsid w:val="008A5B32"/>
    <w:rsid w:val="008B2EE4"/>
    <w:rsid w:val="008B4D3D"/>
    <w:rsid w:val="008B57C7"/>
    <w:rsid w:val="008C2F92"/>
    <w:rsid w:val="008C75F9"/>
    <w:rsid w:val="008D2846"/>
    <w:rsid w:val="008D4236"/>
    <w:rsid w:val="008D462F"/>
    <w:rsid w:val="008D6DCF"/>
    <w:rsid w:val="008E4376"/>
    <w:rsid w:val="008E7A0A"/>
    <w:rsid w:val="008E7B49"/>
    <w:rsid w:val="008F59F6"/>
    <w:rsid w:val="00900719"/>
    <w:rsid w:val="009017AC"/>
    <w:rsid w:val="00904A1C"/>
    <w:rsid w:val="00905030"/>
    <w:rsid w:val="00906490"/>
    <w:rsid w:val="009111B2"/>
    <w:rsid w:val="00924AE1"/>
    <w:rsid w:val="009269B1"/>
    <w:rsid w:val="0092724D"/>
    <w:rsid w:val="0093338F"/>
    <w:rsid w:val="00937BD9"/>
    <w:rsid w:val="009475B8"/>
    <w:rsid w:val="00950E2C"/>
    <w:rsid w:val="00951D50"/>
    <w:rsid w:val="009525EB"/>
    <w:rsid w:val="00954874"/>
    <w:rsid w:val="00954F13"/>
    <w:rsid w:val="00961400"/>
    <w:rsid w:val="00963646"/>
    <w:rsid w:val="0096632D"/>
    <w:rsid w:val="0097559F"/>
    <w:rsid w:val="009853E1"/>
    <w:rsid w:val="00986E6B"/>
    <w:rsid w:val="00991769"/>
    <w:rsid w:val="00994386"/>
    <w:rsid w:val="009A13D8"/>
    <w:rsid w:val="009A279E"/>
    <w:rsid w:val="009A4E24"/>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0776B"/>
    <w:rsid w:val="00A11421"/>
    <w:rsid w:val="00A157B1"/>
    <w:rsid w:val="00A22229"/>
    <w:rsid w:val="00A330BB"/>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C6D57"/>
    <w:rsid w:val="00AD0CBA"/>
    <w:rsid w:val="00AD26E2"/>
    <w:rsid w:val="00AD784C"/>
    <w:rsid w:val="00AE126A"/>
    <w:rsid w:val="00AE3005"/>
    <w:rsid w:val="00AE3BD5"/>
    <w:rsid w:val="00AE59A0"/>
    <w:rsid w:val="00AF0C57"/>
    <w:rsid w:val="00AF26F3"/>
    <w:rsid w:val="00AF559D"/>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0E61"/>
    <w:rsid w:val="00B62B50"/>
    <w:rsid w:val="00B635B7"/>
    <w:rsid w:val="00B63AE8"/>
    <w:rsid w:val="00B65950"/>
    <w:rsid w:val="00B66D83"/>
    <w:rsid w:val="00B672C0"/>
    <w:rsid w:val="00B75646"/>
    <w:rsid w:val="00B90729"/>
    <w:rsid w:val="00B907DA"/>
    <w:rsid w:val="00B950BC"/>
    <w:rsid w:val="00B9714C"/>
    <w:rsid w:val="00BA29AD"/>
    <w:rsid w:val="00BA3F8D"/>
    <w:rsid w:val="00BB7A10"/>
    <w:rsid w:val="00BC7468"/>
    <w:rsid w:val="00BC7D4F"/>
    <w:rsid w:val="00BC7ED7"/>
    <w:rsid w:val="00BD2850"/>
    <w:rsid w:val="00BE28D2"/>
    <w:rsid w:val="00BE4A64"/>
    <w:rsid w:val="00BF557D"/>
    <w:rsid w:val="00BF78B8"/>
    <w:rsid w:val="00BF7F58"/>
    <w:rsid w:val="00C01381"/>
    <w:rsid w:val="00C01AB1"/>
    <w:rsid w:val="00C079B8"/>
    <w:rsid w:val="00C10037"/>
    <w:rsid w:val="00C123EA"/>
    <w:rsid w:val="00C12A49"/>
    <w:rsid w:val="00C133EE"/>
    <w:rsid w:val="00C149D0"/>
    <w:rsid w:val="00C26588"/>
    <w:rsid w:val="00C27DE9"/>
    <w:rsid w:val="00C33388"/>
    <w:rsid w:val="00C35484"/>
    <w:rsid w:val="00C4173A"/>
    <w:rsid w:val="00C50EEF"/>
    <w:rsid w:val="00C602FF"/>
    <w:rsid w:val="00C61174"/>
    <w:rsid w:val="00C6148F"/>
    <w:rsid w:val="00C621B1"/>
    <w:rsid w:val="00C62F7A"/>
    <w:rsid w:val="00C63B9C"/>
    <w:rsid w:val="00C6682F"/>
    <w:rsid w:val="00C7275E"/>
    <w:rsid w:val="00C74C5D"/>
    <w:rsid w:val="00C863C4"/>
    <w:rsid w:val="00C920EA"/>
    <w:rsid w:val="00C93C3E"/>
    <w:rsid w:val="00CA12E3"/>
    <w:rsid w:val="00CA6611"/>
    <w:rsid w:val="00CA6AE6"/>
    <w:rsid w:val="00CA782F"/>
    <w:rsid w:val="00CB3285"/>
    <w:rsid w:val="00CC0C72"/>
    <w:rsid w:val="00CC2BFD"/>
    <w:rsid w:val="00CD3476"/>
    <w:rsid w:val="00CD64DF"/>
    <w:rsid w:val="00CF2F50"/>
    <w:rsid w:val="00CF6198"/>
    <w:rsid w:val="00D02919"/>
    <w:rsid w:val="00D04C61"/>
    <w:rsid w:val="00D05B8D"/>
    <w:rsid w:val="00D065A2"/>
    <w:rsid w:val="00D07F00"/>
    <w:rsid w:val="00D17B72"/>
    <w:rsid w:val="00D3185C"/>
    <w:rsid w:val="00D3318E"/>
    <w:rsid w:val="00D33E72"/>
    <w:rsid w:val="00D351B1"/>
    <w:rsid w:val="00D35BD6"/>
    <w:rsid w:val="00D361B5"/>
    <w:rsid w:val="00D37223"/>
    <w:rsid w:val="00D411A2"/>
    <w:rsid w:val="00D4606D"/>
    <w:rsid w:val="00D50B9C"/>
    <w:rsid w:val="00D52D73"/>
    <w:rsid w:val="00D52E58"/>
    <w:rsid w:val="00D56B20"/>
    <w:rsid w:val="00D714CC"/>
    <w:rsid w:val="00D75EA7"/>
    <w:rsid w:val="00D81F21"/>
    <w:rsid w:val="00D95470"/>
    <w:rsid w:val="00DA2619"/>
    <w:rsid w:val="00DA4239"/>
    <w:rsid w:val="00DB0B61"/>
    <w:rsid w:val="00DB1474"/>
    <w:rsid w:val="00DB52FB"/>
    <w:rsid w:val="00DC090B"/>
    <w:rsid w:val="00DC1679"/>
    <w:rsid w:val="00DC2CF1"/>
    <w:rsid w:val="00DC4FCF"/>
    <w:rsid w:val="00DC50E0"/>
    <w:rsid w:val="00DC6386"/>
    <w:rsid w:val="00DD1130"/>
    <w:rsid w:val="00DD1951"/>
    <w:rsid w:val="00DD6628"/>
    <w:rsid w:val="00DD6945"/>
    <w:rsid w:val="00DE3250"/>
    <w:rsid w:val="00DE6028"/>
    <w:rsid w:val="00DE78A3"/>
    <w:rsid w:val="00DF1A71"/>
    <w:rsid w:val="00DF68C7"/>
    <w:rsid w:val="00DF731A"/>
    <w:rsid w:val="00E11332"/>
    <w:rsid w:val="00E11352"/>
    <w:rsid w:val="00E170DC"/>
    <w:rsid w:val="00E26818"/>
    <w:rsid w:val="00E27FFC"/>
    <w:rsid w:val="00E30B15"/>
    <w:rsid w:val="00E33061"/>
    <w:rsid w:val="00E40181"/>
    <w:rsid w:val="00E56A01"/>
    <w:rsid w:val="00E629A1"/>
    <w:rsid w:val="00E6794C"/>
    <w:rsid w:val="00E71591"/>
    <w:rsid w:val="00E80DE3"/>
    <w:rsid w:val="00E82C55"/>
    <w:rsid w:val="00E92AC3"/>
    <w:rsid w:val="00EB00E0"/>
    <w:rsid w:val="00EB133A"/>
    <w:rsid w:val="00EC059F"/>
    <w:rsid w:val="00EC1F24"/>
    <w:rsid w:val="00EC22F6"/>
    <w:rsid w:val="00ED5B9B"/>
    <w:rsid w:val="00ED6BAD"/>
    <w:rsid w:val="00ED7447"/>
    <w:rsid w:val="00EE1488"/>
    <w:rsid w:val="00EE3E24"/>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0CD1"/>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A5A53"/>
    <w:rsid w:val="00FB0B93"/>
    <w:rsid w:val="00FB4769"/>
    <w:rsid w:val="00FB4CDA"/>
    <w:rsid w:val="00FC0F81"/>
    <w:rsid w:val="00FC395C"/>
    <w:rsid w:val="00FD3766"/>
    <w:rsid w:val="00FD47C4"/>
    <w:rsid w:val="00FE2DCF"/>
    <w:rsid w:val="00FE3FA7"/>
    <w:rsid w:val="00FF2A4E"/>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C7E7CA4"/>
  <w15:docId w15:val="{5E642B2E-82FD-4213-8E98-C2A1F03C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4006F3"/>
    <w:rPr>
      <w:rFonts w:ascii="Cambria" w:hAnsi="Cambria"/>
      <w:lang w:eastAsia="en-US"/>
    </w:rPr>
  </w:style>
  <w:style w:type="paragraph" w:styleId="Heading1">
    <w:name w:val="heading 1"/>
    <w:next w:val="DHHSbody"/>
    <w:link w:val="Heading1Char"/>
    <w:uiPriority w:val="1"/>
    <w:qFormat/>
    <w:rsid w:val="00D351B1"/>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D351B1"/>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D351B1"/>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D351B1"/>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351B1"/>
    <w:pPr>
      <w:spacing w:before="0" w:after="200"/>
      <w:outlineLvl w:val="9"/>
    </w:pPr>
  </w:style>
  <w:style w:type="character" w:customStyle="1" w:styleId="DHHSTOCheadingfactsheetChar">
    <w:name w:val="DHHS TOC heading fact sheet Char"/>
    <w:link w:val="DHHSTOCheadingfactsheet"/>
    <w:uiPriority w:val="4"/>
    <w:rsid w:val="00D351B1"/>
    <w:rPr>
      <w:rFonts w:ascii="Arial" w:hAnsi="Arial"/>
      <w:b/>
      <w:color w:val="D50032"/>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1A46EA"/>
    <w:pPr>
      <w:spacing w:line="560" w:lineRule="atLeast"/>
    </w:pPr>
    <w:rPr>
      <w:rFonts w:ascii="Arial" w:hAnsi="Arial"/>
      <w:color w:val="D50032"/>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D351B1"/>
    <w:pPr>
      <w:spacing w:before="80" w:after="60"/>
    </w:pPr>
    <w:rPr>
      <w:rFonts w:ascii="Arial" w:hAnsi="Arial"/>
      <w:b/>
      <w:color w:val="D50032"/>
      <w:lang w:eastAsia="en-US"/>
    </w:rPr>
  </w:style>
  <w:style w:type="paragraph" w:customStyle="1" w:styleId="DHHSbulletafternumbers1">
    <w:name w:val="DHHS bullet after numbers 1"/>
    <w:basedOn w:val="DHHSbody"/>
    <w:uiPriority w:val="4"/>
    <w:rsid w:val="004006F3"/>
    <w:pPr>
      <w:numPr>
        <w:ilvl w:val="2"/>
        <w:numId w:val="2"/>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FB0B93"/>
    <w:rPr>
      <w:rFonts w:ascii="Arial" w:hAnsi="Arial"/>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4006F3"/>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2"/>
      </w:numPr>
    </w:pPr>
  </w:style>
  <w:style w:type="paragraph" w:customStyle="1" w:styleId="DHHSnumberloweralphaindent">
    <w:name w:val="DHHS number lower alpha indent"/>
    <w:basedOn w:val="DHHSbody"/>
    <w:uiPriority w:val="3"/>
    <w:rsid w:val="00721CFB"/>
    <w:pPr>
      <w:numPr>
        <w:ilvl w:val="1"/>
        <w:numId w:val="20"/>
      </w:numPr>
    </w:pPr>
  </w:style>
  <w:style w:type="paragraph" w:customStyle="1" w:styleId="DHHSnumberdigitindent">
    <w:name w:val="DHHS number digit indent"/>
    <w:basedOn w:val="DHHSnumberloweralphaindent"/>
    <w:uiPriority w:val="3"/>
    <w:rsid w:val="004006F3"/>
    <w:pPr>
      <w:numPr>
        <w:numId w:val="2"/>
      </w:numPr>
    </w:pPr>
  </w:style>
  <w:style w:type="paragraph" w:customStyle="1" w:styleId="DHHSnumberloweralpha">
    <w:name w:val="DHHS number lower alpha"/>
    <w:basedOn w:val="DHHSbody"/>
    <w:uiPriority w:val="3"/>
    <w:rsid w:val="00721CFB"/>
    <w:pPr>
      <w:numPr>
        <w:numId w:val="20"/>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4006F3"/>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character" w:customStyle="1" w:styleId="UnresolvedMention">
    <w:name w:val="Unresolved Mention"/>
    <w:basedOn w:val="DefaultParagraphFont"/>
    <w:uiPriority w:val="99"/>
    <w:semiHidden/>
    <w:unhideWhenUsed/>
    <w:rsid w:val="0010128E"/>
    <w:rPr>
      <w:color w:val="605E5C"/>
      <w:shd w:val="clear" w:color="auto" w:fill="E1DFDD"/>
    </w:rPr>
  </w:style>
  <w:style w:type="character" w:styleId="CommentReference">
    <w:name w:val="annotation reference"/>
    <w:basedOn w:val="DefaultParagraphFont"/>
    <w:uiPriority w:val="99"/>
    <w:semiHidden/>
    <w:unhideWhenUsed/>
    <w:rsid w:val="00EB133A"/>
    <w:rPr>
      <w:sz w:val="16"/>
      <w:szCs w:val="16"/>
    </w:rPr>
  </w:style>
  <w:style w:type="paragraph" w:styleId="CommentText">
    <w:name w:val="annotation text"/>
    <w:basedOn w:val="Normal"/>
    <w:link w:val="CommentTextChar"/>
    <w:uiPriority w:val="99"/>
    <w:semiHidden/>
    <w:unhideWhenUsed/>
    <w:rsid w:val="00EB133A"/>
  </w:style>
  <w:style w:type="character" w:customStyle="1" w:styleId="CommentTextChar">
    <w:name w:val="Comment Text Char"/>
    <w:basedOn w:val="DefaultParagraphFont"/>
    <w:link w:val="CommentText"/>
    <w:uiPriority w:val="99"/>
    <w:semiHidden/>
    <w:rsid w:val="00EB133A"/>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EB133A"/>
    <w:rPr>
      <w:b/>
      <w:bCs/>
    </w:rPr>
  </w:style>
  <w:style w:type="character" w:customStyle="1" w:styleId="CommentSubjectChar">
    <w:name w:val="Comment Subject Char"/>
    <w:basedOn w:val="CommentTextChar"/>
    <w:link w:val="CommentSubject"/>
    <w:uiPriority w:val="99"/>
    <w:semiHidden/>
    <w:rsid w:val="00EB133A"/>
    <w:rPr>
      <w:rFonts w:ascii="Cambria" w:hAnsi="Cambria"/>
      <w:b/>
      <w:bCs/>
      <w:lang w:eastAsia="en-US"/>
    </w:rPr>
  </w:style>
  <w:style w:type="paragraph" w:styleId="BalloonText">
    <w:name w:val="Balloon Text"/>
    <w:basedOn w:val="Normal"/>
    <w:link w:val="BalloonTextChar"/>
    <w:uiPriority w:val="99"/>
    <w:semiHidden/>
    <w:unhideWhenUsed/>
    <w:rsid w:val="00EB1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33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mja.com.au/journal/2013/198/4/update-consensus-guidelines-warfarin-reversa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5.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motion\2020\Branding%20and%20templates\BloodMatters_Lifeblood%20brand%20Final\Blood%20Matters%20Factsheet%202%2006%20Pink%20199%20Jan%202020.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sfpsou03\bloodmatters$\STIR\2020\Reports\STIR%20Report%202018-19\Graphs_FY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'Figure1 All Reports'!$A$2</c:f>
              <c:strCache>
                <c:ptCount val="1"/>
                <c:pt idx="0">
                  <c:v>Procedural</c:v>
                </c:pt>
              </c:strCache>
            </c:strRef>
          </c:tx>
          <c:invertIfNegative val="0"/>
          <c:cat>
            <c:strRef>
              <c:f>'Figure1 All Reports'!$B$1:$O$1</c:f>
              <c:strCache>
                <c:ptCount val="14"/>
                <c:pt idx="0">
                  <c:v>FY06</c:v>
                </c:pt>
                <c:pt idx="1">
                  <c:v>FY07</c:v>
                </c:pt>
                <c:pt idx="2">
                  <c:v>FY08</c:v>
                </c:pt>
                <c:pt idx="3">
                  <c:v>FY09</c:v>
                </c:pt>
                <c:pt idx="4">
                  <c:v>FY10</c:v>
                </c:pt>
                <c:pt idx="5">
                  <c:v>FY11</c:v>
                </c:pt>
                <c:pt idx="6">
                  <c:v>FY12</c:v>
                </c:pt>
                <c:pt idx="7">
                  <c:v>FY13</c:v>
                </c:pt>
                <c:pt idx="8">
                  <c:v>FY14</c:v>
                </c:pt>
                <c:pt idx="9">
                  <c:v>FY15</c:v>
                </c:pt>
                <c:pt idx="10">
                  <c:v>FY16</c:v>
                </c:pt>
                <c:pt idx="11">
                  <c:v>FY17</c:v>
                </c:pt>
                <c:pt idx="12">
                  <c:v>FY18</c:v>
                </c:pt>
                <c:pt idx="13">
                  <c:v>FY19</c:v>
                </c:pt>
              </c:strCache>
            </c:strRef>
          </c:cat>
          <c:val>
            <c:numRef>
              <c:f>'Figure1 All Reports'!$B$2:$O$2</c:f>
              <c:numCache>
                <c:formatCode>General</c:formatCode>
                <c:ptCount val="14"/>
                <c:pt idx="0">
                  <c:v>8</c:v>
                </c:pt>
                <c:pt idx="1">
                  <c:v>28</c:v>
                </c:pt>
                <c:pt idx="2">
                  <c:v>60</c:v>
                </c:pt>
                <c:pt idx="3">
                  <c:v>73</c:v>
                </c:pt>
                <c:pt idx="4">
                  <c:v>102</c:v>
                </c:pt>
                <c:pt idx="5">
                  <c:v>88</c:v>
                </c:pt>
                <c:pt idx="6">
                  <c:v>74</c:v>
                </c:pt>
                <c:pt idx="7">
                  <c:v>79</c:v>
                </c:pt>
                <c:pt idx="8">
                  <c:v>96</c:v>
                </c:pt>
                <c:pt idx="9">
                  <c:v>73</c:v>
                </c:pt>
                <c:pt idx="10">
                  <c:v>67</c:v>
                </c:pt>
                <c:pt idx="11">
                  <c:v>50</c:v>
                </c:pt>
                <c:pt idx="12">
                  <c:v>64</c:v>
                </c:pt>
                <c:pt idx="13">
                  <c:v>55</c:v>
                </c:pt>
              </c:numCache>
            </c:numRef>
          </c:val>
          <c:extLst>
            <c:ext xmlns:c16="http://schemas.microsoft.com/office/drawing/2014/chart" uri="{C3380CC4-5D6E-409C-BE32-E72D297353CC}">
              <c16:uniqueId val="{00000000-5273-4983-9E24-B5D8B7CC6A66}"/>
            </c:ext>
          </c:extLst>
        </c:ser>
        <c:ser>
          <c:idx val="1"/>
          <c:order val="1"/>
          <c:tx>
            <c:strRef>
              <c:f>'Figure1 All Reports'!$A$3</c:f>
              <c:strCache>
                <c:ptCount val="1"/>
                <c:pt idx="0">
                  <c:v>Clinical</c:v>
                </c:pt>
              </c:strCache>
            </c:strRef>
          </c:tx>
          <c:invertIfNegative val="0"/>
          <c:cat>
            <c:strRef>
              <c:f>'Figure1 All Reports'!$B$1:$O$1</c:f>
              <c:strCache>
                <c:ptCount val="14"/>
                <c:pt idx="0">
                  <c:v>FY06</c:v>
                </c:pt>
                <c:pt idx="1">
                  <c:v>FY07</c:v>
                </c:pt>
                <c:pt idx="2">
                  <c:v>FY08</c:v>
                </c:pt>
                <c:pt idx="3">
                  <c:v>FY09</c:v>
                </c:pt>
                <c:pt idx="4">
                  <c:v>FY10</c:v>
                </c:pt>
                <c:pt idx="5">
                  <c:v>FY11</c:v>
                </c:pt>
                <c:pt idx="6">
                  <c:v>FY12</c:v>
                </c:pt>
                <c:pt idx="7">
                  <c:v>FY13</c:v>
                </c:pt>
                <c:pt idx="8">
                  <c:v>FY14</c:v>
                </c:pt>
                <c:pt idx="9">
                  <c:v>FY15</c:v>
                </c:pt>
                <c:pt idx="10">
                  <c:v>FY16</c:v>
                </c:pt>
                <c:pt idx="11">
                  <c:v>FY17</c:v>
                </c:pt>
                <c:pt idx="12">
                  <c:v>FY18</c:v>
                </c:pt>
                <c:pt idx="13">
                  <c:v>FY19</c:v>
                </c:pt>
              </c:strCache>
            </c:strRef>
          </c:cat>
          <c:val>
            <c:numRef>
              <c:f>'Figure1 All Reports'!$B$3:$O$3</c:f>
              <c:numCache>
                <c:formatCode>General</c:formatCode>
                <c:ptCount val="14"/>
                <c:pt idx="0">
                  <c:v>14</c:v>
                </c:pt>
                <c:pt idx="1">
                  <c:v>33</c:v>
                </c:pt>
                <c:pt idx="2">
                  <c:v>113</c:v>
                </c:pt>
                <c:pt idx="3">
                  <c:v>114</c:v>
                </c:pt>
                <c:pt idx="4">
                  <c:v>109</c:v>
                </c:pt>
                <c:pt idx="5">
                  <c:v>101</c:v>
                </c:pt>
                <c:pt idx="6">
                  <c:v>97</c:v>
                </c:pt>
                <c:pt idx="7">
                  <c:v>77</c:v>
                </c:pt>
                <c:pt idx="8">
                  <c:v>94</c:v>
                </c:pt>
                <c:pt idx="9">
                  <c:v>64</c:v>
                </c:pt>
                <c:pt idx="10">
                  <c:v>54</c:v>
                </c:pt>
                <c:pt idx="11">
                  <c:v>88</c:v>
                </c:pt>
                <c:pt idx="12">
                  <c:v>70</c:v>
                </c:pt>
                <c:pt idx="13">
                  <c:v>77</c:v>
                </c:pt>
              </c:numCache>
            </c:numRef>
          </c:val>
          <c:extLst>
            <c:ext xmlns:c16="http://schemas.microsoft.com/office/drawing/2014/chart" uri="{C3380CC4-5D6E-409C-BE32-E72D297353CC}">
              <c16:uniqueId val="{00000001-5273-4983-9E24-B5D8B7CC6A66}"/>
            </c:ext>
          </c:extLst>
        </c:ser>
        <c:dLbls>
          <c:showLegendKey val="0"/>
          <c:showVal val="0"/>
          <c:showCatName val="0"/>
          <c:showSerName val="0"/>
          <c:showPercent val="0"/>
          <c:showBubbleSize val="0"/>
        </c:dLbls>
        <c:gapWidth val="150"/>
        <c:overlap val="100"/>
        <c:axId val="44576128"/>
        <c:axId val="44590208"/>
      </c:barChart>
      <c:lineChart>
        <c:grouping val="standard"/>
        <c:varyColors val="0"/>
        <c:ser>
          <c:idx val="2"/>
          <c:order val="2"/>
          <c:tx>
            <c:strRef>
              <c:f>'Figure1 All Reports'!$A$8</c:f>
              <c:strCache>
                <c:ptCount val="1"/>
                <c:pt idx="0">
                  <c:v>Number of 
reporting health services</c:v>
                </c:pt>
              </c:strCache>
            </c:strRef>
          </c:tx>
          <c:marker>
            <c:symbol val="none"/>
          </c:marker>
          <c:cat>
            <c:strRef>
              <c:f>'Figure1 All Reports'!$B$1:$O$1</c:f>
              <c:strCache>
                <c:ptCount val="14"/>
                <c:pt idx="0">
                  <c:v>FY06</c:v>
                </c:pt>
                <c:pt idx="1">
                  <c:v>FY07</c:v>
                </c:pt>
                <c:pt idx="2">
                  <c:v>FY08</c:v>
                </c:pt>
                <c:pt idx="3">
                  <c:v>FY09</c:v>
                </c:pt>
                <c:pt idx="4">
                  <c:v>FY10</c:v>
                </c:pt>
                <c:pt idx="5">
                  <c:v>FY11</c:v>
                </c:pt>
                <c:pt idx="6">
                  <c:v>FY12</c:v>
                </c:pt>
                <c:pt idx="7">
                  <c:v>FY13</c:v>
                </c:pt>
                <c:pt idx="8">
                  <c:v>FY14</c:v>
                </c:pt>
                <c:pt idx="9">
                  <c:v>FY15</c:v>
                </c:pt>
                <c:pt idx="10">
                  <c:v>FY16</c:v>
                </c:pt>
                <c:pt idx="11">
                  <c:v>FY17</c:v>
                </c:pt>
                <c:pt idx="12">
                  <c:v>FY18</c:v>
                </c:pt>
                <c:pt idx="13">
                  <c:v>FY19</c:v>
                </c:pt>
              </c:strCache>
            </c:strRef>
          </c:cat>
          <c:val>
            <c:numRef>
              <c:f>'Figure1 All Reports'!$B$8:$O$8</c:f>
              <c:numCache>
                <c:formatCode>General</c:formatCode>
                <c:ptCount val="14"/>
                <c:pt idx="0">
                  <c:v>6</c:v>
                </c:pt>
                <c:pt idx="1">
                  <c:v>14</c:v>
                </c:pt>
                <c:pt idx="2">
                  <c:v>21</c:v>
                </c:pt>
                <c:pt idx="3">
                  <c:v>27</c:v>
                </c:pt>
                <c:pt idx="4">
                  <c:v>33</c:v>
                </c:pt>
                <c:pt idx="5">
                  <c:v>35</c:v>
                </c:pt>
                <c:pt idx="6">
                  <c:v>32</c:v>
                </c:pt>
                <c:pt idx="7">
                  <c:v>36</c:v>
                </c:pt>
                <c:pt idx="8">
                  <c:v>43</c:v>
                </c:pt>
                <c:pt idx="9">
                  <c:v>33</c:v>
                </c:pt>
                <c:pt idx="10">
                  <c:v>35</c:v>
                </c:pt>
                <c:pt idx="11">
                  <c:v>32</c:v>
                </c:pt>
                <c:pt idx="12">
                  <c:v>34</c:v>
                </c:pt>
                <c:pt idx="13">
                  <c:v>38</c:v>
                </c:pt>
              </c:numCache>
            </c:numRef>
          </c:val>
          <c:smooth val="0"/>
          <c:extLst>
            <c:ext xmlns:c16="http://schemas.microsoft.com/office/drawing/2014/chart" uri="{C3380CC4-5D6E-409C-BE32-E72D297353CC}">
              <c16:uniqueId val="{00000002-5273-4983-9E24-B5D8B7CC6A66}"/>
            </c:ext>
          </c:extLst>
        </c:ser>
        <c:dLbls>
          <c:showLegendKey val="0"/>
          <c:showVal val="0"/>
          <c:showCatName val="0"/>
          <c:showSerName val="0"/>
          <c:showPercent val="0"/>
          <c:showBubbleSize val="0"/>
        </c:dLbls>
        <c:marker val="1"/>
        <c:smooth val="0"/>
        <c:axId val="44598400"/>
        <c:axId val="44592128"/>
      </c:lineChart>
      <c:catAx>
        <c:axId val="44576128"/>
        <c:scaling>
          <c:orientation val="minMax"/>
        </c:scaling>
        <c:delete val="0"/>
        <c:axPos val="b"/>
        <c:numFmt formatCode="General" sourceLinked="0"/>
        <c:majorTickMark val="out"/>
        <c:minorTickMark val="none"/>
        <c:tickLblPos val="nextTo"/>
        <c:txPr>
          <a:bodyPr/>
          <a:lstStyle/>
          <a:p>
            <a:pPr>
              <a:defRPr sz="800"/>
            </a:pPr>
            <a:endParaRPr lang="en-US"/>
          </a:p>
        </c:txPr>
        <c:crossAx val="44590208"/>
        <c:crosses val="autoZero"/>
        <c:auto val="1"/>
        <c:lblAlgn val="ctr"/>
        <c:lblOffset val="100"/>
        <c:noMultiLvlLbl val="0"/>
      </c:catAx>
      <c:valAx>
        <c:axId val="44590208"/>
        <c:scaling>
          <c:orientation val="minMax"/>
        </c:scaling>
        <c:delete val="0"/>
        <c:axPos val="l"/>
        <c:majorGridlines/>
        <c:title>
          <c:tx>
            <c:rich>
              <a:bodyPr rot="-5400000" vert="horz"/>
              <a:lstStyle/>
              <a:p>
                <a:pPr>
                  <a:defRPr sz="900"/>
                </a:pPr>
                <a:r>
                  <a:rPr lang="en-AU" sz="900"/>
                  <a:t>Number of transfusion events reported</a:t>
                </a:r>
              </a:p>
            </c:rich>
          </c:tx>
          <c:layout/>
          <c:overlay val="0"/>
        </c:title>
        <c:numFmt formatCode="General" sourceLinked="1"/>
        <c:majorTickMark val="out"/>
        <c:minorTickMark val="none"/>
        <c:tickLblPos val="nextTo"/>
        <c:crossAx val="44576128"/>
        <c:crosses val="autoZero"/>
        <c:crossBetween val="between"/>
      </c:valAx>
      <c:valAx>
        <c:axId val="44592128"/>
        <c:scaling>
          <c:orientation val="minMax"/>
        </c:scaling>
        <c:delete val="0"/>
        <c:axPos val="r"/>
        <c:title>
          <c:tx>
            <c:rich>
              <a:bodyPr rot="-5400000" vert="horz"/>
              <a:lstStyle/>
              <a:p>
                <a:pPr>
                  <a:defRPr sz="900"/>
                </a:pPr>
                <a:r>
                  <a:rPr lang="en-AU" sz="900"/>
                  <a:t>Number of health services reporting</a:t>
                </a:r>
              </a:p>
            </c:rich>
          </c:tx>
          <c:layout>
            <c:manualLayout>
              <c:xMode val="edge"/>
              <c:yMode val="edge"/>
              <c:x val="0.90597623089983026"/>
              <c:y val="3.8056228548354554E-2"/>
            </c:manualLayout>
          </c:layout>
          <c:overlay val="0"/>
        </c:title>
        <c:numFmt formatCode="General" sourceLinked="1"/>
        <c:majorTickMark val="out"/>
        <c:minorTickMark val="none"/>
        <c:tickLblPos val="nextTo"/>
        <c:crossAx val="44598400"/>
        <c:crosses val="max"/>
        <c:crossBetween val="between"/>
      </c:valAx>
      <c:catAx>
        <c:axId val="44598400"/>
        <c:scaling>
          <c:orientation val="minMax"/>
        </c:scaling>
        <c:delete val="1"/>
        <c:axPos val="b"/>
        <c:numFmt formatCode="General" sourceLinked="1"/>
        <c:majorTickMark val="out"/>
        <c:minorTickMark val="none"/>
        <c:tickLblPos val="nextTo"/>
        <c:crossAx val="44592128"/>
        <c:crosses val="autoZero"/>
        <c:auto val="1"/>
        <c:lblAlgn val="ctr"/>
        <c:lblOffset val="100"/>
        <c:noMultiLvlLbl val="0"/>
      </c:catAx>
    </c:plotArea>
    <c:legend>
      <c:legendPos val="b"/>
      <c:layout/>
      <c:overlay val="0"/>
      <c:txPr>
        <a:bodyPr/>
        <a:lstStyle/>
        <a:p>
          <a:pPr>
            <a:defRPr sz="900"/>
          </a:pPr>
          <a:endParaRPr lang="en-US"/>
        </a:p>
      </c:txPr>
    </c:legend>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Blood Matters Factsheet 2 06 Pink 199 Jan 2020</Template>
  <TotalTime>5</TotalTime>
  <Pages>2</Pages>
  <Words>386</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DHHS Factsheet 06 Pink 199</vt:lpstr>
    </vt:vector>
  </TitlesOfParts>
  <Company>Department of Health and Human Services</Company>
  <LinksUpToDate>false</LinksUpToDate>
  <CharactersWithSpaces>2937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DHHS Factsheet 06 Pink 199</dc:title>
  <dc:creator>Bielby, Linley (VIC)</dc:creator>
  <cp:lastModifiedBy>Linley Bielby</cp:lastModifiedBy>
  <cp:revision>3</cp:revision>
  <cp:lastPrinted>2017-07-07T00:32:00Z</cp:lastPrinted>
  <dcterms:created xsi:type="dcterms:W3CDTF">2020-09-07T05:06:00Z</dcterms:created>
  <dcterms:modified xsi:type="dcterms:W3CDTF">2020-09-07T05:11:00Z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