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A6863" w14:textId="1663B206" w:rsidR="0074696E" w:rsidRPr="004C6EEE" w:rsidRDefault="00A305B2" w:rsidP="00AD784C">
      <w:pPr>
        <w:pStyle w:val="Spacerparatopoffirstpage"/>
      </w:pPr>
      <w:r>
        <w:drawing>
          <wp:anchor distT="0" distB="0" distL="114300" distR="114300" simplePos="0" relativeHeight="251657728" behindDoc="1" locked="1" layoutInCell="0" allowOverlap="1" wp14:anchorId="4FC08B12" wp14:editId="2C2B5B8B">
            <wp:simplePos x="0" y="0"/>
            <wp:positionH relativeFrom="page">
              <wp:posOffset>0</wp:posOffset>
            </wp:positionH>
            <wp:positionV relativeFrom="page">
              <wp:posOffset>0</wp:posOffset>
            </wp:positionV>
            <wp:extent cx="7563485" cy="2072640"/>
            <wp:effectExtent l="0" t="0" r="0" b="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370EA" w14:textId="77777777" w:rsidR="00A62D44" w:rsidRPr="004C6EEE" w:rsidRDefault="00A62D44" w:rsidP="004C6EEE">
      <w:pPr>
        <w:pStyle w:val="Sectionbreakfirstpage"/>
        <w:sectPr w:rsidR="00A62D44" w:rsidRPr="004C6EEE" w:rsidSect="008E1CBD">
          <w:footerReference w:type="default" r:id="rId8"/>
          <w:pgSz w:w="11906" w:h="16838" w:code="9"/>
          <w:pgMar w:top="567" w:right="851" w:bottom="2836"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2E64A5AD" w14:textId="77777777" w:rsidTr="001C277E">
        <w:trPr>
          <w:trHeight w:val="1247"/>
        </w:trPr>
        <w:tc>
          <w:tcPr>
            <w:tcW w:w="8046" w:type="dxa"/>
            <w:shd w:val="clear" w:color="auto" w:fill="auto"/>
            <w:vAlign w:val="bottom"/>
          </w:tcPr>
          <w:p w14:paraId="2A0F7768" w14:textId="291A4B7F" w:rsidR="00AD784C" w:rsidRPr="008E1CBD" w:rsidRDefault="008E1CBD" w:rsidP="008E1CBD">
            <w:pPr>
              <w:pStyle w:val="DHHSmainheading"/>
            </w:pPr>
            <w:r w:rsidRPr="008E1CBD">
              <w:t>Summary STIR Report 2017–18</w:t>
            </w:r>
          </w:p>
        </w:tc>
      </w:tr>
      <w:tr w:rsidR="00AD784C" w14:paraId="0E4F99EF" w14:textId="77777777" w:rsidTr="00357B4E">
        <w:trPr>
          <w:trHeight w:hRule="exact" w:val="1162"/>
        </w:trPr>
        <w:tc>
          <w:tcPr>
            <w:tcW w:w="8046" w:type="dxa"/>
            <w:shd w:val="clear" w:color="auto" w:fill="auto"/>
            <w:tcMar>
              <w:top w:w="170" w:type="dxa"/>
              <w:bottom w:w="510" w:type="dxa"/>
            </w:tcMar>
          </w:tcPr>
          <w:p w14:paraId="6634AFF8" w14:textId="70CF1030" w:rsidR="00357B4E" w:rsidRPr="00AD784C" w:rsidRDefault="00357B4E" w:rsidP="00357B4E">
            <w:pPr>
              <w:pStyle w:val="DHHSmainsubheading"/>
              <w:rPr>
                <w:szCs w:val="28"/>
              </w:rPr>
            </w:pPr>
          </w:p>
        </w:tc>
      </w:tr>
    </w:tbl>
    <w:p w14:paraId="4E0D40A5" w14:textId="77777777" w:rsidR="007173CA" w:rsidRDefault="007173CA" w:rsidP="007173CA">
      <w:pPr>
        <w:pStyle w:val="DHHSbody"/>
        <w:sectPr w:rsidR="007173CA" w:rsidSect="00F01E5F">
          <w:headerReference w:type="default" r:id="rId9"/>
          <w:footerReference w:type="default" r:id="rId10"/>
          <w:type w:val="continuous"/>
          <w:pgSz w:w="11906" w:h="16838" w:code="9"/>
          <w:pgMar w:top="1418" w:right="851" w:bottom="1134" w:left="851" w:header="567" w:footer="510" w:gutter="0"/>
          <w:cols w:space="340"/>
          <w:titlePg/>
          <w:docGrid w:linePitch="360"/>
        </w:sectPr>
      </w:pPr>
      <w:bookmarkStart w:id="0" w:name="_Toc440566508"/>
    </w:p>
    <w:bookmarkEnd w:id="0"/>
    <w:p w14:paraId="3BE11421" w14:textId="7047B7AE" w:rsidR="00615E82" w:rsidRDefault="00615E82" w:rsidP="00615E82">
      <w:pPr>
        <w:pStyle w:val="DHHSbody"/>
      </w:pPr>
      <w:r>
        <w:t xml:space="preserve">Figure 1 (from full report): Number of validated clinical and procedural reports and health services reporting </w:t>
      </w:r>
      <w:r>
        <w:br/>
        <w:t>to STIR each financial year.</w:t>
      </w:r>
    </w:p>
    <w:p w14:paraId="7F0139C6" w14:textId="4297B285" w:rsidR="00A305B2" w:rsidRDefault="00E905D0" w:rsidP="00615E82">
      <w:pPr>
        <w:pStyle w:val="DHHSbody"/>
        <w:rPr>
          <w:noProof/>
        </w:rPr>
      </w:pPr>
      <w:r w:rsidRPr="00D90244">
        <w:rPr>
          <w:noProof/>
        </w:rPr>
        <w:drawing>
          <wp:inline distT="0" distB="0" distL="0" distR="0" wp14:anchorId="05A363AB" wp14:editId="27B80636">
            <wp:extent cx="5898515" cy="2763520"/>
            <wp:effectExtent l="0" t="0" r="0" b="0"/>
            <wp:docPr id="3" name="Picture 7" descr="Figure 1&#10;This figure shows the number of validated reports each ye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1&#10;This figure shows the number of validated reports each yea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8515" cy="2763520"/>
                    </a:xfrm>
                    <a:prstGeom prst="rect">
                      <a:avLst/>
                    </a:prstGeom>
                    <a:noFill/>
                    <a:ln>
                      <a:noFill/>
                    </a:ln>
                  </pic:spPr>
                </pic:pic>
              </a:graphicData>
            </a:graphic>
          </wp:inline>
        </w:drawing>
      </w:r>
    </w:p>
    <w:p w14:paraId="50A87022" w14:textId="68E29DB1" w:rsidR="00250DF3" w:rsidRDefault="00250DF3" w:rsidP="00615E82">
      <w:pPr>
        <w:pStyle w:val="DHHSbody"/>
        <w:rPr>
          <w:noProof/>
        </w:rPr>
      </w:pPr>
    </w:p>
    <w:tbl>
      <w:tblPr>
        <w:tblStyle w:val="TableGrid"/>
        <w:tblW w:w="0" w:type="auto"/>
        <w:tblLook w:val="04A0" w:firstRow="1" w:lastRow="0" w:firstColumn="1" w:lastColumn="0" w:noHBand="0" w:noVBand="1"/>
      </w:tblPr>
      <w:tblGrid>
        <w:gridCol w:w="1305"/>
        <w:gridCol w:w="7875"/>
      </w:tblGrid>
      <w:tr w:rsidR="00250DF3" w:rsidRPr="005178A5" w14:paraId="0454A5C4" w14:textId="77777777" w:rsidTr="00A84FE6">
        <w:trPr>
          <w:tblHeader/>
        </w:trPr>
        <w:tc>
          <w:tcPr>
            <w:tcW w:w="1305" w:type="dxa"/>
          </w:tcPr>
          <w:p w14:paraId="5989F590" w14:textId="77777777" w:rsidR="00250DF3" w:rsidRDefault="00250DF3" w:rsidP="00A84FE6">
            <w:pPr>
              <w:pStyle w:val="DHHStablecolhead"/>
              <w:rPr>
                <w:noProof/>
                <w:lang w:eastAsia="en-AU"/>
              </w:rPr>
            </w:pPr>
            <w:r>
              <w:rPr>
                <w:noProof/>
                <w:lang w:eastAsia="en-AU"/>
              </w:rPr>
              <w:t>Icon</w:t>
            </w:r>
          </w:p>
        </w:tc>
        <w:tc>
          <w:tcPr>
            <w:tcW w:w="7875" w:type="dxa"/>
          </w:tcPr>
          <w:p w14:paraId="1C9E69FC" w14:textId="51D2E706" w:rsidR="00250DF3" w:rsidRPr="005178A5" w:rsidRDefault="00250DF3" w:rsidP="00A84FE6">
            <w:pPr>
              <w:pStyle w:val="DHHStablecolhead"/>
            </w:pPr>
            <w:r>
              <w:t>Information</w:t>
            </w:r>
          </w:p>
        </w:tc>
      </w:tr>
      <w:tr w:rsidR="00250DF3" w14:paraId="136BB214" w14:textId="77777777" w:rsidTr="00A84FE6">
        <w:tc>
          <w:tcPr>
            <w:tcW w:w="1305" w:type="dxa"/>
          </w:tcPr>
          <w:p w14:paraId="3E68130A" w14:textId="64319EAF" w:rsidR="00250DF3" w:rsidRDefault="00250DF3" w:rsidP="00A84FE6">
            <w:pPr>
              <w:pStyle w:val="DHHSbody"/>
            </w:pPr>
            <w:r>
              <w:rPr>
                <w:noProof/>
                <w:lang w:eastAsia="en-AU"/>
              </w:rPr>
              <w:drawing>
                <wp:inline distT="0" distB="0" distL="0" distR="0" wp14:anchorId="39FA35C7" wp14:editId="5EA17909">
                  <wp:extent cx="528320" cy="528320"/>
                  <wp:effectExtent l="0" t="0" r="0" b="0"/>
                  <wp:docPr id="9" name="Picture 2" descr="form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006 - Illustration Library 2014 - Icon_Questionnaire"/>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320" cy="528320"/>
                          </a:xfrm>
                          <a:prstGeom prst="rect">
                            <a:avLst/>
                          </a:prstGeom>
                          <a:noFill/>
                          <a:ln>
                            <a:noFill/>
                          </a:ln>
                        </pic:spPr>
                      </pic:pic>
                    </a:graphicData>
                  </a:graphic>
                </wp:inline>
              </w:drawing>
            </w:r>
          </w:p>
        </w:tc>
        <w:tc>
          <w:tcPr>
            <w:tcW w:w="7875" w:type="dxa"/>
          </w:tcPr>
          <w:p w14:paraId="2E87AB38" w14:textId="77777777" w:rsidR="00250DF3" w:rsidRPr="00250DF3" w:rsidRDefault="00250DF3" w:rsidP="00250DF3">
            <w:pPr>
              <w:pStyle w:val="DHHStabletext"/>
            </w:pPr>
            <w:r w:rsidRPr="00250DF3">
              <w:rPr>
                <w:rStyle w:val="Largeboldwhitetext"/>
                <w:rFonts w:eastAsia="MS Gothic"/>
                <w:b w:val="0"/>
                <w:bCs w:val="0"/>
                <w:sz w:val="20"/>
                <w:szCs w:val="20"/>
              </w:rPr>
              <w:t>159</w:t>
            </w:r>
            <w:r w:rsidRPr="00250DF3">
              <w:t xml:space="preserve"> notifications</w:t>
            </w:r>
          </w:p>
          <w:p w14:paraId="39AF415F" w14:textId="25C05B16" w:rsidR="00250DF3" w:rsidRDefault="00250DF3" w:rsidP="00250DF3">
            <w:pPr>
              <w:pStyle w:val="DHHStabletext"/>
            </w:pPr>
            <w:r w:rsidRPr="00250DF3">
              <w:rPr>
                <w:rStyle w:val="Largeboldwhitetext"/>
                <w:rFonts w:eastAsia="MS Gothic"/>
                <w:b w:val="0"/>
                <w:bCs w:val="0"/>
                <w:sz w:val="20"/>
                <w:szCs w:val="20"/>
              </w:rPr>
              <w:t>10</w:t>
            </w:r>
            <w:r w:rsidRPr="00250DF3">
              <w:t xml:space="preserve"> withdrawn</w:t>
            </w:r>
          </w:p>
        </w:tc>
      </w:tr>
      <w:tr w:rsidR="00250DF3" w14:paraId="2E82B8EA" w14:textId="77777777" w:rsidTr="00A84FE6">
        <w:tc>
          <w:tcPr>
            <w:tcW w:w="1305" w:type="dxa"/>
          </w:tcPr>
          <w:p w14:paraId="259B7791" w14:textId="14FB9E32" w:rsidR="00250DF3" w:rsidRDefault="00250DF3" w:rsidP="00A84FE6">
            <w:pPr>
              <w:pStyle w:val="DHHSbody"/>
            </w:pPr>
            <w:r>
              <w:rPr>
                <w:noProof/>
              </w:rPr>
              <w:drawing>
                <wp:inline distT="0" distB="0" distL="0" distR="0" wp14:anchorId="13F09731" wp14:editId="15E2547D">
                  <wp:extent cx="468000" cy="698196"/>
                  <wp:effectExtent l="0" t="0" r="8255" b="6985"/>
                  <wp:docPr id="2" name="Picture 2" descr="Blood infusion ba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6174" t="45351" r="70138" b="10471"/>
                          <a:stretch/>
                        </pic:blipFill>
                        <pic:spPr bwMode="auto">
                          <a:xfrm>
                            <a:off x="0" y="0"/>
                            <a:ext cx="468000" cy="69819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875" w:type="dxa"/>
          </w:tcPr>
          <w:p w14:paraId="0B1DDF65" w14:textId="42131319" w:rsidR="00250DF3" w:rsidRPr="00250DF3" w:rsidRDefault="00250DF3" w:rsidP="00250DF3">
            <w:pPr>
              <w:pStyle w:val="DHHStabletext"/>
            </w:pPr>
            <w:r w:rsidRPr="00250DF3">
              <w:rPr>
                <w:rStyle w:val="Largeboldwhitetext"/>
                <w:rFonts w:eastAsia="MS Gothic"/>
                <w:b w:val="0"/>
                <w:bCs w:val="0"/>
                <w:sz w:val="20"/>
                <w:szCs w:val="20"/>
              </w:rPr>
              <w:t>149</w:t>
            </w:r>
            <w:r w:rsidRPr="00250DF3">
              <w:t xml:space="preserve"> investigations returned</w:t>
            </w:r>
          </w:p>
          <w:p w14:paraId="5846C865" w14:textId="140FE59C" w:rsidR="00250DF3" w:rsidRDefault="00250DF3" w:rsidP="00250DF3">
            <w:pPr>
              <w:pStyle w:val="DHHStabletext"/>
            </w:pPr>
            <w:r w:rsidRPr="00250DF3">
              <w:rPr>
                <w:rStyle w:val="Largeboldwhitetext"/>
                <w:rFonts w:eastAsia="MS Gothic"/>
                <w:b w:val="0"/>
                <w:bCs w:val="0"/>
                <w:sz w:val="20"/>
                <w:szCs w:val="20"/>
              </w:rPr>
              <w:t>15</w:t>
            </w:r>
            <w:r w:rsidRPr="00250DF3">
              <w:t xml:space="preserve"> excluded</w:t>
            </w:r>
          </w:p>
        </w:tc>
      </w:tr>
    </w:tbl>
    <w:p w14:paraId="58C88B3B" w14:textId="209240E9" w:rsidR="00250DF3" w:rsidRDefault="00250DF3" w:rsidP="00615E82">
      <w:pPr>
        <w:pStyle w:val="DHHSbody"/>
        <w:rPr>
          <w:noProof/>
        </w:rPr>
      </w:pPr>
    </w:p>
    <w:p w14:paraId="25D0E265" w14:textId="77777777" w:rsidR="00250DF3" w:rsidRDefault="00250DF3" w:rsidP="00615E82">
      <w:pPr>
        <w:pStyle w:val="DHHSbody"/>
        <w:rPr>
          <w:noProof/>
        </w:rPr>
      </w:pPr>
    </w:p>
    <w:p w14:paraId="75FF1265" w14:textId="02B39E81" w:rsidR="00250DF3" w:rsidRDefault="00250DF3" w:rsidP="00E905D0">
      <w:pPr>
        <w:pStyle w:val="DHHStablecaption"/>
      </w:pPr>
    </w:p>
    <w:p w14:paraId="16DB9B57" w14:textId="77777777" w:rsidR="00250DF3" w:rsidRPr="00250DF3" w:rsidRDefault="00250DF3" w:rsidP="00250DF3">
      <w:pPr>
        <w:pStyle w:val="DHHSbody"/>
      </w:pPr>
    </w:p>
    <w:p w14:paraId="201D7837" w14:textId="3E4E40C1" w:rsidR="00E905D0" w:rsidRDefault="00E905D0" w:rsidP="00760BA4">
      <w:pPr>
        <w:pStyle w:val="DHHSfigurecaption"/>
      </w:pPr>
      <w:r>
        <w:lastRenderedPageBreak/>
        <w:t>Figure 4 (from full report): Validated clinical events</w:t>
      </w:r>
    </w:p>
    <w:p w14:paraId="5B17105E" w14:textId="1EDBC157" w:rsidR="00515906" w:rsidRPr="00515906" w:rsidRDefault="00515906" w:rsidP="00515906">
      <w:pPr>
        <w:pStyle w:val="DHHSbody"/>
      </w:pPr>
      <w:r>
        <w:rPr>
          <w:b/>
          <w:noProof/>
        </w:rPr>
        <w:drawing>
          <wp:inline distT="0" distB="0" distL="0" distR="0" wp14:anchorId="6F94DC40" wp14:editId="3CD2858D">
            <wp:extent cx="5903988" cy="2560325"/>
            <wp:effectExtent l="0" t="0" r="0" b="0"/>
            <wp:docPr id="15" name="Picture 15" descr="Figure 4&#10;This figure describes that there were 43 acute transfusion reactions made up of 24 febrile non haemolytic, 16 allergic/anaphylactic, 1 acute haemolytic and 2 other. Other clinical events include 1 viral, 1 TRALI, 19 TACO, 4 DSTR and 3 DHT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e 4.png"/>
                    <pic:cNvPicPr/>
                  </pic:nvPicPr>
                  <pic:blipFill>
                    <a:blip r:embed="rId14"/>
                    <a:stretch>
                      <a:fillRect/>
                    </a:stretch>
                  </pic:blipFill>
                  <pic:spPr>
                    <a:xfrm>
                      <a:off x="0" y="0"/>
                      <a:ext cx="5903988" cy="2560325"/>
                    </a:xfrm>
                    <a:prstGeom prst="rect">
                      <a:avLst/>
                    </a:prstGeom>
                  </pic:spPr>
                </pic:pic>
              </a:graphicData>
            </a:graphic>
          </wp:inline>
        </w:drawing>
      </w:r>
    </w:p>
    <w:tbl>
      <w:tblPr>
        <w:tblStyle w:val="PlainTable2"/>
        <w:tblW w:w="10205" w:type="dxa"/>
        <w:tblLayout w:type="fixed"/>
        <w:tblLook w:val="0000" w:firstRow="0" w:lastRow="0" w:firstColumn="0" w:lastColumn="0" w:noHBand="0" w:noVBand="0"/>
      </w:tblPr>
      <w:tblGrid>
        <w:gridCol w:w="10205"/>
      </w:tblGrid>
      <w:tr w:rsidR="00811E3A" w14:paraId="06BA883B" w14:textId="77777777" w:rsidTr="00760BA4">
        <w:trPr>
          <w:trHeight w:hRule="exact" w:val="425"/>
          <w:tblHeader/>
        </w:trPr>
        <w:tc>
          <w:tcPr>
            <w:cnfStyle w:val="000010000000" w:firstRow="0" w:lastRow="0" w:firstColumn="0" w:lastColumn="0" w:oddVBand="1" w:evenVBand="0" w:oddHBand="0" w:evenHBand="0" w:firstRowFirstColumn="0" w:firstRowLastColumn="0" w:lastRowFirstColumn="0" w:lastRowLastColumn="0"/>
            <w:tcW w:w="10205" w:type="dxa"/>
          </w:tcPr>
          <w:p w14:paraId="3A526A08" w14:textId="77777777" w:rsidR="00811E3A" w:rsidRDefault="00811E3A" w:rsidP="00811E3A">
            <w:pPr>
              <w:pStyle w:val="DHHStablecolhead"/>
            </w:pPr>
            <w:r>
              <w:t>Clinical recommendations</w:t>
            </w:r>
          </w:p>
        </w:tc>
      </w:tr>
      <w:tr w:rsidR="00811E3A" w14:paraId="1B44A75B" w14:textId="77777777" w:rsidTr="00760BA4">
        <w:trPr>
          <w:cnfStyle w:val="000000100000" w:firstRow="0" w:lastRow="0" w:firstColumn="0" w:lastColumn="0" w:oddVBand="0" w:evenVBand="0" w:oddHBand="1" w:evenHBand="0" w:firstRowFirstColumn="0" w:firstRowLastColumn="0" w:lastRowFirstColumn="0" w:lastRowLastColumn="0"/>
          <w:trHeight w:val="1190"/>
        </w:trPr>
        <w:tc>
          <w:tcPr>
            <w:cnfStyle w:val="000010000000" w:firstRow="0" w:lastRow="0" w:firstColumn="0" w:lastColumn="0" w:oddVBand="1" w:evenVBand="0" w:oddHBand="0" w:evenHBand="0" w:firstRowFirstColumn="0" w:firstRowLastColumn="0" w:lastRowFirstColumn="0" w:lastRowLastColumn="0"/>
            <w:tcW w:w="10205" w:type="dxa"/>
          </w:tcPr>
          <w:p w14:paraId="3D08F24F" w14:textId="77777777" w:rsidR="00811E3A" w:rsidRDefault="00811E3A" w:rsidP="00811E3A">
            <w:pPr>
              <w:pStyle w:val="DHHStabletext"/>
            </w:pPr>
            <w:r>
              <w:t xml:space="preserve">Always consider a potential transfusion reaction when clinical deterioration is noted in a patient receiving, </w:t>
            </w:r>
            <w:r>
              <w:br/>
              <w:t>or who has received, a blood product. When considering the clinical picture of the deteriorating patient during transfusion, the transfusion should be stopped (with intravenous (IV) access maintained), while the patient is assessed and a transfusion reaction investigated (refer to case study 3 allergic, in full report).</w:t>
            </w:r>
          </w:p>
        </w:tc>
      </w:tr>
      <w:tr w:rsidR="00811E3A" w14:paraId="0CC88088" w14:textId="77777777" w:rsidTr="00760BA4">
        <w:trPr>
          <w:trHeight w:val="733"/>
        </w:trPr>
        <w:tc>
          <w:tcPr>
            <w:cnfStyle w:val="000010000000" w:firstRow="0" w:lastRow="0" w:firstColumn="0" w:lastColumn="0" w:oddVBand="1" w:evenVBand="0" w:oddHBand="0" w:evenHBand="0" w:firstRowFirstColumn="0" w:firstRowLastColumn="0" w:lastRowFirstColumn="0" w:lastRowLastColumn="0"/>
            <w:tcW w:w="10205" w:type="dxa"/>
          </w:tcPr>
          <w:p w14:paraId="33D4FBB1" w14:textId="77777777" w:rsidR="00811E3A" w:rsidRDefault="00811E3A" w:rsidP="00811E3A">
            <w:pPr>
              <w:pStyle w:val="DHHStabletext"/>
            </w:pPr>
            <w:r>
              <w:rPr>
                <w:spacing w:val="-2"/>
              </w:rPr>
              <w:t xml:space="preserve">The routine </w:t>
            </w:r>
            <w:proofErr w:type="gramStart"/>
            <w:r>
              <w:rPr>
                <w:spacing w:val="-2"/>
              </w:rPr>
              <w:t>use</w:t>
            </w:r>
            <w:proofErr w:type="gramEnd"/>
            <w:r>
              <w:rPr>
                <w:spacing w:val="-2"/>
              </w:rPr>
              <w:t xml:space="preserve"> of FFP as replacement for patients undergoing therapeutic plasma exchange is not recommended unless there is a clear indication to replace coagulation factors (refer to case study 4 allergic, in full report).</w:t>
            </w:r>
          </w:p>
        </w:tc>
      </w:tr>
    </w:tbl>
    <w:p w14:paraId="791A3102" w14:textId="77777777" w:rsidR="00760BA4" w:rsidRDefault="00760BA4" w:rsidP="00760BA4">
      <w:pPr>
        <w:pStyle w:val="DHHSfigurecaption"/>
      </w:pPr>
      <w:r>
        <w:t>Figure 7 (from full report): Validated procedural events</w:t>
      </w:r>
    </w:p>
    <w:p w14:paraId="0F6ECC12" w14:textId="61DD9832" w:rsidR="00760BA4" w:rsidRDefault="00760BA4" w:rsidP="00E905D0">
      <w:pPr>
        <w:pStyle w:val="DHHSbody"/>
      </w:pPr>
      <w:r>
        <w:rPr>
          <w:noProof/>
        </w:rPr>
        <w:drawing>
          <wp:inline distT="0" distB="0" distL="0" distR="0" wp14:anchorId="5694AE6F" wp14:editId="20F4CDE4">
            <wp:extent cx="4319025" cy="2420117"/>
            <wp:effectExtent l="0" t="0" r="0" b="0"/>
            <wp:docPr id="17" name="Picture 17" descr="Figure 7&#10;The figure shows procedural events for FY18, including 18 WBIT events, 25 near-miss events, 11 IBCT events and 10 RhD-admin even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e 7.png"/>
                    <pic:cNvPicPr/>
                  </pic:nvPicPr>
                  <pic:blipFill>
                    <a:blip r:embed="rId15"/>
                    <a:stretch>
                      <a:fillRect/>
                    </a:stretch>
                  </pic:blipFill>
                  <pic:spPr>
                    <a:xfrm>
                      <a:off x="0" y="0"/>
                      <a:ext cx="4319025" cy="2420117"/>
                    </a:xfrm>
                    <a:prstGeom prst="rect">
                      <a:avLst/>
                    </a:prstGeom>
                  </pic:spPr>
                </pic:pic>
              </a:graphicData>
            </a:graphic>
          </wp:inline>
        </w:drawing>
      </w:r>
    </w:p>
    <w:p w14:paraId="500249EC" w14:textId="77777777" w:rsidR="00191CE8" w:rsidRDefault="00191CE8" w:rsidP="00191CE8">
      <w:pPr>
        <w:pStyle w:val="Heading2"/>
      </w:pPr>
      <w:r>
        <w:t>Incorrect Blood Component Transfused (IBCT)</w:t>
      </w:r>
    </w:p>
    <w:p w14:paraId="02DAD142" w14:textId="438211D9" w:rsidR="00191CE8" w:rsidRPr="00191CE8" w:rsidRDefault="00191CE8" w:rsidP="00191CE8">
      <w:pPr>
        <w:pStyle w:val="DHHSbody"/>
      </w:pPr>
      <w:r w:rsidRPr="00191CE8">
        <w:t>This year there were two root cause analysis after blood was administered to the wrong patient or did not match the patient blood group. See full report for information from these investigations.</w:t>
      </w:r>
    </w:p>
    <w:p w14:paraId="0D249840" w14:textId="77777777" w:rsidR="00191CE8" w:rsidRPr="00E905D0" w:rsidRDefault="00191CE8" w:rsidP="00E905D0">
      <w:pPr>
        <w:pStyle w:val="DHHSbody"/>
      </w:pPr>
      <w:bookmarkStart w:id="1" w:name="_GoBack"/>
      <w:bookmarkEnd w:id="1"/>
    </w:p>
    <w:tbl>
      <w:tblPr>
        <w:tblStyle w:val="PlainTable2"/>
        <w:tblW w:w="10488" w:type="dxa"/>
        <w:tblLayout w:type="fixed"/>
        <w:tblLook w:val="0000" w:firstRow="0" w:lastRow="0" w:firstColumn="0" w:lastColumn="0" w:noHBand="0" w:noVBand="0"/>
      </w:tblPr>
      <w:tblGrid>
        <w:gridCol w:w="10488"/>
      </w:tblGrid>
      <w:tr w:rsidR="00760BA4" w14:paraId="195CB92A" w14:textId="77777777" w:rsidTr="00760BA4">
        <w:trPr>
          <w:trHeight w:hRule="exact" w:val="425"/>
          <w:tblHeader/>
        </w:trPr>
        <w:tc>
          <w:tcPr>
            <w:cnfStyle w:val="000010000000" w:firstRow="0" w:lastRow="0" w:firstColumn="0" w:lastColumn="0" w:oddVBand="1" w:evenVBand="0" w:oddHBand="0" w:evenHBand="0" w:firstRowFirstColumn="0" w:firstRowLastColumn="0" w:lastRowFirstColumn="0" w:lastRowLastColumn="0"/>
            <w:tcW w:w="10488" w:type="dxa"/>
          </w:tcPr>
          <w:p w14:paraId="641BCB8C" w14:textId="77777777" w:rsidR="00760BA4" w:rsidRDefault="00760BA4" w:rsidP="00760BA4">
            <w:pPr>
              <w:pStyle w:val="DHHStablecolhead"/>
            </w:pPr>
            <w:r>
              <w:lastRenderedPageBreak/>
              <w:t>Procedural recommendations</w:t>
            </w:r>
          </w:p>
        </w:tc>
      </w:tr>
      <w:tr w:rsidR="00760BA4" w14:paraId="2BA37CC0" w14:textId="77777777" w:rsidTr="00760BA4">
        <w:trPr>
          <w:cnfStyle w:val="000000100000" w:firstRow="0" w:lastRow="0" w:firstColumn="0" w:lastColumn="0" w:oddVBand="0" w:evenVBand="0" w:oddHBand="1" w:evenHBand="0" w:firstRowFirstColumn="0" w:firstRowLastColumn="0" w:lastRowFirstColumn="0" w:lastRowLastColumn="0"/>
          <w:trHeight w:val="1177"/>
        </w:trPr>
        <w:tc>
          <w:tcPr>
            <w:cnfStyle w:val="000010000000" w:firstRow="0" w:lastRow="0" w:firstColumn="0" w:lastColumn="0" w:oddVBand="1" w:evenVBand="0" w:oddHBand="0" w:evenHBand="0" w:firstRowFirstColumn="0" w:firstRowLastColumn="0" w:lastRowFirstColumn="0" w:lastRowLastColumn="0"/>
            <w:tcW w:w="10488" w:type="dxa"/>
          </w:tcPr>
          <w:p w14:paraId="15384B0A" w14:textId="6FF39BB4" w:rsidR="00760BA4" w:rsidRDefault="00760BA4" w:rsidP="00760BA4">
            <w:pPr>
              <w:pStyle w:val="DHHStabletext"/>
            </w:pPr>
            <w:r>
              <w:t xml:space="preserve">Positive patient identification (PPID) at each step in the transfusion process is vital, regardless of the situation. </w:t>
            </w:r>
            <w:r>
              <w:br/>
              <w:t>This includes asking the patient to state their name and date of birth where possible, use of an interpreter when required and confirmation of stated identity with name band, blood product or labelled specimens and order/prescription (refer to case studies 11 incorrect blood component transfused (IBCT); 17, 18 and 19  WBIT; 15 near miss, in full report).</w:t>
            </w:r>
          </w:p>
        </w:tc>
      </w:tr>
      <w:tr w:rsidR="00760BA4" w14:paraId="1E5A8D56" w14:textId="77777777" w:rsidTr="00760BA4">
        <w:trPr>
          <w:trHeight w:val="918"/>
        </w:trPr>
        <w:tc>
          <w:tcPr>
            <w:cnfStyle w:val="000010000000" w:firstRow="0" w:lastRow="0" w:firstColumn="0" w:lastColumn="0" w:oddVBand="1" w:evenVBand="0" w:oddHBand="0" w:evenHBand="0" w:firstRowFirstColumn="0" w:firstRowLastColumn="0" w:lastRowFirstColumn="0" w:lastRowLastColumn="0"/>
            <w:tcW w:w="10488" w:type="dxa"/>
          </w:tcPr>
          <w:p w14:paraId="39F59B7B" w14:textId="77777777" w:rsidR="00760BA4" w:rsidRDefault="00760BA4" w:rsidP="00760BA4">
            <w:pPr>
              <w:pStyle w:val="DHHStabletext"/>
            </w:pPr>
            <w:r>
              <w:t>Blood administration must only occur after double independent checking has occurred. This involves both staff performing all checks at the bedside. Both staff should be able to independently confirm that the product to be commenced is intended for the patient (refer to case studies 11 IBCT; 16 near miss, in full report).</w:t>
            </w:r>
          </w:p>
        </w:tc>
      </w:tr>
      <w:tr w:rsidR="00760BA4" w14:paraId="226531F5" w14:textId="77777777" w:rsidTr="00760BA4">
        <w:trPr>
          <w:cnfStyle w:val="000000100000" w:firstRow="0" w:lastRow="0" w:firstColumn="0" w:lastColumn="0" w:oddVBand="0" w:evenVBand="0" w:oddHBand="1" w:evenHBand="0" w:firstRowFirstColumn="0" w:firstRowLastColumn="0" w:lastRowFirstColumn="0" w:lastRowLastColumn="0"/>
          <w:trHeight w:val="1417"/>
        </w:trPr>
        <w:tc>
          <w:tcPr>
            <w:cnfStyle w:val="000010000000" w:firstRow="0" w:lastRow="0" w:firstColumn="0" w:lastColumn="0" w:oddVBand="1" w:evenVBand="0" w:oddHBand="0" w:evenHBand="0" w:firstRowFirstColumn="0" w:firstRowLastColumn="0" w:lastRowFirstColumn="0" w:lastRowLastColumn="0"/>
            <w:tcW w:w="10488" w:type="dxa"/>
          </w:tcPr>
          <w:p w14:paraId="12ECD2F1" w14:textId="77777777" w:rsidR="00760BA4" w:rsidRDefault="00760BA4" w:rsidP="00760BA4">
            <w:pPr>
              <w:pStyle w:val="DHHStabletext"/>
            </w:pPr>
            <w:r>
              <w:t>Health services considering the use of pneumatic chutes for the delivery of blood products must establish processes for verification when collecting the product from a chute, ensure appropriate training of staff in product collection and reporting of adverse events should they occur. Assessment of the risks to patients associated with the collection and incorrect delivery of blood from the pneumatic delivery system needs to be considered, just as much as the risks to the blood product itself (refer to case studies 11 IBCT; 16 near miss, in full report).</w:t>
            </w:r>
          </w:p>
        </w:tc>
      </w:tr>
      <w:tr w:rsidR="00760BA4" w14:paraId="6B190B31" w14:textId="77777777" w:rsidTr="00760BA4">
        <w:trPr>
          <w:trHeight w:val="2853"/>
        </w:trPr>
        <w:tc>
          <w:tcPr>
            <w:cnfStyle w:val="000010000000" w:firstRow="0" w:lastRow="0" w:firstColumn="0" w:lastColumn="0" w:oddVBand="1" w:evenVBand="0" w:oddHBand="0" w:evenHBand="0" w:firstRowFirstColumn="0" w:firstRowLastColumn="0" w:lastRowFirstColumn="0" w:lastRowLastColumn="0"/>
            <w:tcW w:w="10488" w:type="dxa"/>
          </w:tcPr>
          <w:p w14:paraId="1F3A45A5" w14:textId="77777777" w:rsidR="00760BA4" w:rsidRDefault="00760BA4" w:rsidP="00760BA4">
            <w:pPr>
              <w:pStyle w:val="DHHStabletext"/>
            </w:pPr>
            <w:r>
              <w:t xml:space="preserve">Review of incidents reported to STIR has demonstrated that there are some similarities between the incidents we </w:t>
            </w:r>
            <w:r>
              <w:br/>
              <w:t xml:space="preserve">see reported to STIR and those reported to the UK serious hazards of transfusion (SHOT) system. There are some </w:t>
            </w:r>
            <w:r>
              <w:br/>
              <w:t xml:space="preserve">key messages from the SHOT 2017 report, which also apply in our experience. </w:t>
            </w:r>
          </w:p>
          <w:p w14:paraId="198E82EA" w14:textId="77777777" w:rsidR="00760BA4" w:rsidRPr="00760BA4" w:rsidRDefault="00760BA4" w:rsidP="00760BA4">
            <w:pPr>
              <w:pStyle w:val="DHHStabletext"/>
              <w:rPr>
                <w:rStyle w:val="Strong"/>
              </w:rPr>
            </w:pPr>
            <w:r w:rsidRPr="00760BA4">
              <w:rPr>
                <w:rStyle w:val="Strong"/>
              </w:rPr>
              <w:t>From SHOT 2017:</w:t>
            </w:r>
          </w:p>
          <w:p w14:paraId="0B4118C9" w14:textId="77777777" w:rsidR="00760BA4" w:rsidRDefault="00760BA4" w:rsidP="00760BA4">
            <w:pPr>
              <w:pStyle w:val="DHHStabletext"/>
            </w:pPr>
            <w:r>
              <w:t>Do not assume, verify: At each step in the transfusion process, do not assume that no errors have been made in previous steps; verify each step, particularly patient identification.</w:t>
            </w:r>
          </w:p>
          <w:p w14:paraId="5B609F53" w14:textId="77777777" w:rsidR="00760BA4" w:rsidRDefault="00760BA4" w:rsidP="00760BA4">
            <w:pPr>
              <w:pStyle w:val="DHHStabletext"/>
            </w:pPr>
            <w:r>
              <w:t xml:space="preserve">Human factors: Failure of communication, distractions, interruptions, wrong assumptions, poor handovers </w:t>
            </w:r>
            <w:r>
              <w:br/>
              <w:t>and overriding alerts in the laboratory information systems are all important contributory factors.</w:t>
            </w:r>
          </w:p>
          <w:p w14:paraId="24CD17DC" w14:textId="77777777" w:rsidR="00760BA4" w:rsidRDefault="00760BA4" w:rsidP="00760BA4">
            <w:pPr>
              <w:pStyle w:val="DHHStabletext"/>
            </w:pPr>
            <w:r>
              <w:t>It is the clinician’s responsibility to determine, document and communicate the patient’s specific transfusion requirements.</w:t>
            </w:r>
          </w:p>
        </w:tc>
      </w:tr>
    </w:tbl>
    <w:p w14:paraId="6A799125" w14:textId="02B1A294" w:rsidR="00173F19" w:rsidRDefault="00173F19" w:rsidP="00173F19">
      <w:pPr>
        <w:pStyle w:val="DHHSbodyaftertablefigure"/>
      </w:pPr>
      <w:r>
        <w:t xml:space="preserve">The full STIR report is available on the </w:t>
      </w:r>
      <w:hyperlink r:id="rId16" w:history="1">
        <w:r>
          <w:rPr>
            <w:rStyle w:val="Hyperlink"/>
          </w:rPr>
          <w:t>Blood Matters website on the Serious Transfusion Incident Reporting system page</w:t>
        </w:r>
      </w:hyperlink>
      <w:r>
        <w:t xml:space="preserve"> &lt;https://www2.health.vic.gov.au/hospitals-and-health-services/</w:t>
      </w:r>
      <w:r>
        <w:br/>
        <w:t>patient-care/speciality-diagnostics-therapeutics/blood-matters/serious-transfusion-incidents&gt;</w:t>
      </w:r>
    </w:p>
    <w:p w14:paraId="3A409E3A" w14:textId="77777777" w:rsidR="008E1CBD" w:rsidRPr="00B621F7" w:rsidRDefault="008E1CBD" w:rsidP="00B621F7">
      <w:pPr>
        <w:pStyle w:val="DHHSbodyaftertablefigure"/>
      </w:pPr>
    </w:p>
    <w:tbl>
      <w:tblPr>
        <w:tblW w:w="4800" w:type="pct"/>
        <w:tblInd w:w="113" w:type="dxa"/>
        <w:tblCellMar>
          <w:top w:w="113" w:type="dxa"/>
          <w:bottom w:w="57" w:type="dxa"/>
        </w:tblCellMar>
        <w:tblLook w:val="00A0" w:firstRow="1" w:lastRow="0" w:firstColumn="1" w:lastColumn="0" w:noHBand="0" w:noVBand="0"/>
      </w:tblPr>
      <w:tblGrid>
        <w:gridCol w:w="9786"/>
      </w:tblGrid>
      <w:tr w:rsidR="002802E3" w:rsidRPr="002802E3" w14:paraId="39F506E3" w14:textId="77777777" w:rsidTr="00254F58">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26D2DC8D" w14:textId="77777777" w:rsidR="00902BC7" w:rsidRPr="004262A7" w:rsidRDefault="00902BC7" w:rsidP="00902BC7">
            <w:pPr>
              <w:spacing w:after="200" w:line="300" w:lineRule="atLeast"/>
              <w:rPr>
                <w:rFonts w:ascii="Arial" w:eastAsia="Times" w:hAnsi="Arial"/>
                <w:color w:val="000000" w:themeColor="text1"/>
                <w:sz w:val="24"/>
                <w:szCs w:val="19"/>
              </w:rPr>
            </w:pPr>
            <w:r w:rsidRPr="004262A7">
              <w:rPr>
                <w:rFonts w:ascii="Arial" w:eastAsia="Times" w:hAnsi="Arial"/>
                <w:color w:val="000000" w:themeColor="text1"/>
                <w:sz w:val="24"/>
                <w:szCs w:val="19"/>
              </w:rPr>
              <w:t xml:space="preserve">To receive this publication in an accessible format phone </w:t>
            </w:r>
            <w:r>
              <w:rPr>
                <w:rFonts w:ascii="Arial" w:eastAsia="Times" w:hAnsi="Arial"/>
                <w:color w:val="000000" w:themeColor="text1"/>
                <w:sz w:val="24"/>
                <w:szCs w:val="19"/>
              </w:rPr>
              <w:t>9694 0102</w:t>
            </w:r>
            <w:r w:rsidRPr="004262A7">
              <w:rPr>
                <w:rFonts w:ascii="Arial" w:eastAsia="Times" w:hAnsi="Arial"/>
                <w:color w:val="000000" w:themeColor="text1"/>
                <w:sz w:val="24"/>
                <w:szCs w:val="19"/>
              </w:rPr>
              <w:t>, using the National Relay Service 13 36 77 if required, or email</w:t>
            </w:r>
            <w:r>
              <w:rPr>
                <w:rFonts w:ascii="Arial" w:eastAsia="Times" w:hAnsi="Arial"/>
                <w:color w:val="000000" w:themeColor="text1"/>
                <w:sz w:val="24"/>
                <w:szCs w:val="19"/>
              </w:rPr>
              <w:t xml:space="preserve"> </w:t>
            </w:r>
            <w:hyperlink r:id="rId17" w:history="1">
              <w:r w:rsidRPr="004262A7">
                <w:rPr>
                  <w:rStyle w:val="Hyperlink"/>
                  <w:rFonts w:ascii="Arial" w:eastAsia="Times" w:hAnsi="Arial"/>
                  <w:sz w:val="24"/>
                  <w:szCs w:val="19"/>
                </w:rPr>
                <w:t>STIR</w:t>
              </w:r>
            </w:hyperlink>
            <w:r w:rsidRPr="004262A7">
              <w:rPr>
                <w:rFonts w:ascii="Arial" w:eastAsia="Times" w:hAnsi="Arial"/>
                <w:color w:val="000000" w:themeColor="text1"/>
                <w:sz w:val="24"/>
                <w:szCs w:val="19"/>
              </w:rPr>
              <w:t xml:space="preserve"> </w:t>
            </w:r>
            <w:r>
              <w:rPr>
                <w:rFonts w:ascii="Arial" w:eastAsia="Times" w:hAnsi="Arial"/>
                <w:color w:val="000000" w:themeColor="text1"/>
                <w:sz w:val="24"/>
                <w:szCs w:val="19"/>
              </w:rPr>
              <w:t>&lt;stir@redcrossblood.org.au&gt;</w:t>
            </w:r>
          </w:p>
          <w:p w14:paraId="73904827" w14:textId="77777777" w:rsidR="00254F58" w:rsidRPr="00254F58" w:rsidRDefault="00254F58" w:rsidP="00254F58">
            <w:pPr>
              <w:pStyle w:val="DHHSbody"/>
            </w:pPr>
            <w:r w:rsidRPr="00254F58">
              <w:t>Authorised and published by the Victorian Governmen</w:t>
            </w:r>
            <w:r w:rsidR="001F3826">
              <w:t>t, 1 Treasury Place, Melbourne.</w:t>
            </w:r>
          </w:p>
          <w:p w14:paraId="012D0864" w14:textId="46F93164" w:rsidR="00254F58" w:rsidRPr="00254F58" w:rsidRDefault="00254F58" w:rsidP="00254F58">
            <w:pPr>
              <w:pStyle w:val="DHHSbody"/>
            </w:pPr>
            <w:r w:rsidRPr="00254F58">
              <w:t xml:space="preserve">© State of </w:t>
            </w:r>
            <w:r w:rsidR="00A854EB">
              <w:t>Victoria, Department of Health and</w:t>
            </w:r>
            <w:r w:rsidRPr="00254F58">
              <w:t xml:space="preserve"> Human </w:t>
            </w:r>
            <w:proofErr w:type="gramStart"/>
            <w:r w:rsidRPr="00254F58">
              <w:t>Services</w:t>
            </w:r>
            <w:r w:rsidRPr="00BA3F8D">
              <w:rPr>
                <w:color w:val="008950"/>
              </w:rPr>
              <w:t xml:space="preserve"> </w:t>
            </w:r>
            <w:r w:rsidR="00B621F7">
              <w:t>,</w:t>
            </w:r>
            <w:proofErr w:type="gramEnd"/>
            <w:r w:rsidR="00B621F7">
              <w:t xml:space="preserve"> November, 2019</w:t>
            </w:r>
          </w:p>
          <w:p w14:paraId="441AD15A" w14:textId="77777777" w:rsidR="00902BC7" w:rsidRDefault="00902BC7" w:rsidP="00902BC7">
            <w:pPr>
              <w:pStyle w:val="DHHSbody"/>
            </w:pPr>
            <w:r>
              <w:t xml:space="preserve">ISSN 2651-8872 – Online (pdf / word) </w:t>
            </w:r>
          </w:p>
          <w:p w14:paraId="21480AB0" w14:textId="57C46160" w:rsidR="00902BC7" w:rsidRDefault="00902BC7" w:rsidP="00902BC7">
            <w:pPr>
              <w:pStyle w:val="DHHSbody"/>
              <w:rPr>
                <w:color w:val="000000" w:themeColor="text1"/>
              </w:rPr>
            </w:pPr>
            <w:r w:rsidRPr="004262A7">
              <w:rPr>
                <w:color w:val="000000" w:themeColor="text1"/>
                <w:szCs w:val="19"/>
              </w:rPr>
              <w:t xml:space="preserve">Available </w:t>
            </w:r>
            <w:r>
              <w:rPr>
                <w:color w:val="000000" w:themeColor="text1"/>
                <w:szCs w:val="19"/>
              </w:rPr>
              <w:t xml:space="preserve">on the </w:t>
            </w:r>
            <w:hyperlink r:id="rId18" w:history="1">
              <w:r w:rsidRPr="004262A7">
                <w:rPr>
                  <w:rStyle w:val="Hyperlink"/>
                  <w:szCs w:val="19"/>
                </w:rPr>
                <w:t>Blood Matters website</w:t>
              </w:r>
            </w:hyperlink>
            <w:r w:rsidRPr="004262A7">
              <w:rPr>
                <w:color w:val="000000" w:themeColor="text1"/>
                <w:szCs w:val="19"/>
              </w:rPr>
              <w:t xml:space="preserve"> </w:t>
            </w:r>
            <w:r w:rsidRPr="00902BC7">
              <w:t>&lt;https://www2.health.vic.gov.au/hospitals-and-health-services/patient-care/speciality-diagnostics-therapeutics/blood-matters&gt;</w:t>
            </w:r>
          </w:p>
          <w:p w14:paraId="17F1FFF5" w14:textId="62364F29" w:rsidR="00B621F7" w:rsidRPr="002802E3" w:rsidRDefault="00B621F7" w:rsidP="001F28E0">
            <w:pPr>
              <w:pStyle w:val="DHHSbody"/>
            </w:pPr>
            <w:r>
              <w:t>(1910524)</w:t>
            </w:r>
          </w:p>
        </w:tc>
      </w:tr>
    </w:tbl>
    <w:p w14:paraId="081604BD" w14:textId="77777777" w:rsidR="00B2752E" w:rsidRPr="00906490" w:rsidRDefault="00B2752E" w:rsidP="00FF6D9D">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FCC56" w14:textId="77777777" w:rsidR="00D97972" w:rsidRDefault="00D97972">
      <w:r>
        <w:separator/>
      </w:r>
    </w:p>
  </w:endnote>
  <w:endnote w:type="continuationSeparator" w:id="0">
    <w:p w14:paraId="290811CA" w14:textId="77777777" w:rsidR="00D97972" w:rsidRDefault="00D9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7"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VIC-Medium">
    <w:altName w:val="Calibri"/>
    <w:panose1 w:val="00000000000000000000"/>
    <w:charset w:val="4D"/>
    <w:family w:val="auto"/>
    <w:notTrueType/>
    <w:pitch w:val="default"/>
    <w:sig w:usb0="00000003" w:usb1="00000000" w:usb2="00000000" w:usb3="00000000" w:csb0="00000001" w:csb1="00000000"/>
  </w:font>
  <w:font w:name="VIC-Regular">
    <w:altName w:val="Calibri"/>
    <w:panose1 w:val="00000000000000000000"/>
    <w:charset w:val="4D"/>
    <w:family w:val="auto"/>
    <w:notTrueType/>
    <w:pitch w:val="default"/>
    <w:sig w:usb0="00000003" w:usb1="00000000" w:usb2="00000000" w:usb3="00000000" w:csb0="00000001" w:csb1="00000000"/>
  </w:font>
  <w:font w:name="VIC-Semi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B1A94" w14:textId="549344BE" w:rsidR="009D70A4" w:rsidRPr="00F65AA9" w:rsidRDefault="00A305B2" w:rsidP="0051568D">
    <w:pPr>
      <w:pStyle w:val="DHHSfooter"/>
    </w:pPr>
    <w:r>
      <w:rPr>
        <w:noProof/>
      </w:rPr>
      <w:drawing>
        <wp:anchor distT="0" distB="0" distL="114300" distR="114300" simplePos="0" relativeHeight="251659776" behindDoc="1" locked="0" layoutInCell="1" allowOverlap="1" wp14:anchorId="35462CD3" wp14:editId="706B045D">
          <wp:simplePos x="0" y="0"/>
          <wp:positionH relativeFrom="column">
            <wp:posOffset>3996690</wp:posOffset>
          </wp:positionH>
          <wp:positionV relativeFrom="paragraph">
            <wp:posOffset>-1022350</wp:posOffset>
          </wp:positionV>
          <wp:extent cx="2486025" cy="1176655"/>
          <wp:effectExtent l="0" t="0" r="0" b="0"/>
          <wp:wrapNone/>
          <wp:docPr id="19" name="Picture 6" descr="Blood Matters&#10;Australian Red Cross Blood Service&#10;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ood Matters&#10;Australian Red Cross Blood Service&#10;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t="3889"/>
                  <a:stretch>
                    <a:fillRect/>
                  </a:stretch>
                </pic:blipFill>
                <pic:spPr bwMode="auto">
                  <a:xfrm>
                    <a:off x="0" y="0"/>
                    <a:ext cx="2486025" cy="1176655"/>
                  </a:xfrm>
                  <a:prstGeom prst="rect">
                    <a:avLst/>
                  </a:prstGeom>
                  <a:noFill/>
                  <a:ln>
                    <a:noFill/>
                  </a:ln>
                </pic:spPr>
              </pic:pic>
            </a:graphicData>
          </a:graphic>
          <wp14:sizeRelH relativeFrom="page">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2F05D" w14:textId="0EBA3E8E" w:rsidR="009D70A4" w:rsidRPr="00A11421" w:rsidRDefault="00527AA9" w:rsidP="0051568D">
    <w:pPr>
      <w:pStyle w:val="DHHSfooter"/>
    </w:pPr>
    <w:r w:rsidRPr="00527AA9">
      <w:t>Summary STIR Report 2017–18</w:t>
    </w:r>
    <w:r w:rsidR="009D70A4" w:rsidRPr="00A11421">
      <w:tab/>
    </w:r>
    <w:r w:rsidR="009D70A4" w:rsidRPr="00A11421">
      <w:fldChar w:fldCharType="begin"/>
    </w:r>
    <w:r w:rsidR="009D70A4" w:rsidRPr="00A11421">
      <w:instrText xml:space="preserve"> PAGE </w:instrText>
    </w:r>
    <w:r w:rsidR="009D70A4" w:rsidRPr="00A11421">
      <w:fldChar w:fldCharType="separate"/>
    </w:r>
    <w:r w:rsidR="00DB3B30">
      <w:rPr>
        <w:noProof/>
      </w:rPr>
      <w:t>4</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40529" w14:textId="77777777" w:rsidR="00D97972" w:rsidRDefault="00D97972" w:rsidP="002862F1">
      <w:pPr>
        <w:spacing w:before="120"/>
      </w:pPr>
      <w:r>
        <w:separator/>
      </w:r>
    </w:p>
  </w:footnote>
  <w:footnote w:type="continuationSeparator" w:id="0">
    <w:p w14:paraId="7C92C41B" w14:textId="77777777" w:rsidR="00D97972" w:rsidRDefault="00D97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ED45"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efaultTableStyle w:val="TableGrid"/>
  <w:drawingGridHorizontalSpacing w:val="181"/>
  <w:drawingGridVerticalSpacing w:val="181"/>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5C"/>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3F19"/>
    <w:rsid w:val="001771DD"/>
    <w:rsid w:val="00177995"/>
    <w:rsid w:val="00177A8C"/>
    <w:rsid w:val="00186B33"/>
    <w:rsid w:val="00191CE8"/>
    <w:rsid w:val="00192F9D"/>
    <w:rsid w:val="00196EB8"/>
    <w:rsid w:val="001979FF"/>
    <w:rsid w:val="00197B17"/>
    <w:rsid w:val="001A3ACE"/>
    <w:rsid w:val="001C277E"/>
    <w:rsid w:val="001C2A72"/>
    <w:rsid w:val="001D0B75"/>
    <w:rsid w:val="001D3C09"/>
    <w:rsid w:val="001D44E8"/>
    <w:rsid w:val="001D60EC"/>
    <w:rsid w:val="001E44DF"/>
    <w:rsid w:val="001E68A5"/>
    <w:rsid w:val="001E6BB0"/>
    <w:rsid w:val="001F28E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C5E"/>
    <w:rsid w:val="00250DF3"/>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176E"/>
    <w:rsid w:val="003C2045"/>
    <w:rsid w:val="003C43A1"/>
    <w:rsid w:val="003C4FC0"/>
    <w:rsid w:val="003C55F4"/>
    <w:rsid w:val="003C7A3F"/>
    <w:rsid w:val="003D2766"/>
    <w:rsid w:val="003D3E8F"/>
    <w:rsid w:val="003D6475"/>
    <w:rsid w:val="003E375C"/>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15906"/>
    <w:rsid w:val="00526C15"/>
    <w:rsid w:val="00527AA9"/>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15E82"/>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0BA4"/>
    <w:rsid w:val="00763139"/>
    <w:rsid w:val="00770F37"/>
    <w:rsid w:val="007711A0"/>
    <w:rsid w:val="00772D5E"/>
    <w:rsid w:val="00776928"/>
    <w:rsid w:val="00785677"/>
    <w:rsid w:val="00786F16"/>
    <w:rsid w:val="00796E20"/>
    <w:rsid w:val="00797C32"/>
    <w:rsid w:val="007A567B"/>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1E3A"/>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4236"/>
    <w:rsid w:val="008D462F"/>
    <w:rsid w:val="008D6DCF"/>
    <w:rsid w:val="008E1CBD"/>
    <w:rsid w:val="008E4376"/>
    <w:rsid w:val="008E7A0A"/>
    <w:rsid w:val="00900719"/>
    <w:rsid w:val="009017AC"/>
    <w:rsid w:val="00902BC7"/>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673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305B2"/>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0706"/>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21F7"/>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97972"/>
    <w:rsid w:val="00DA2619"/>
    <w:rsid w:val="00DA4239"/>
    <w:rsid w:val="00DB0B61"/>
    <w:rsid w:val="00DB3B30"/>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629A1"/>
    <w:rsid w:val="00E71591"/>
    <w:rsid w:val="00E82C55"/>
    <w:rsid w:val="00E905D0"/>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411C44E7"/>
  <w15:chartTrackingRefBased/>
  <w15:docId w15:val="{C0921DCC-3191-4401-875A-07F6EDC4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5C0955"/>
    <w:rPr>
      <w:rFonts w:ascii="Cambria" w:hAnsi="Cambria"/>
      <w:lang w:val="en-AU"/>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val="en-AU"/>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val="en-AU"/>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val="en-AU"/>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val="en-AU"/>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val="en-AU"/>
    </w:rPr>
  </w:style>
  <w:style w:type="character" w:customStyle="1" w:styleId="Heading1Char">
    <w:name w:val="Heading 1 Char"/>
    <w:link w:val="Heading1"/>
    <w:uiPriority w:val="9"/>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val="en-AU"/>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val="en-AU"/>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val="en-AU"/>
    </w:rPr>
  </w:style>
  <w:style w:type="paragraph" w:customStyle="1" w:styleId="DHHStabletext">
    <w:name w:val="DHHS table text"/>
    <w:uiPriority w:val="3"/>
    <w:qFormat/>
    <w:rsid w:val="00DA2619"/>
    <w:pPr>
      <w:spacing w:before="80" w:after="60"/>
    </w:pPr>
    <w:rPr>
      <w:rFonts w:ascii="Arial" w:hAnsi="Arial"/>
      <w:lang w:val="en-AU"/>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val="en-AU"/>
    </w:rPr>
  </w:style>
  <w:style w:type="paragraph" w:customStyle="1" w:styleId="DHHSmainheading">
    <w:name w:val="DHHS main heading"/>
    <w:uiPriority w:val="8"/>
    <w:rsid w:val="004946F4"/>
    <w:pPr>
      <w:spacing w:line="560" w:lineRule="atLeast"/>
    </w:pPr>
    <w:rPr>
      <w:rFonts w:ascii="Arial" w:hAnsi="Arial"/>
      <w:color w:val="FFFFFF"/>
      <w:sz w:val="50"/>
      <w:szCs w:val="50"/>
      <w:lang w:val="en-AU"/>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val="en-AU"/>
    </w:rPr>
  </w:style>
  <w:style w:type="paragraph" w:customStyle="1" w:styleId="DHHSfigurecaption">
    <w:name w:val="DHHS figure caption"/>
    <w:next w:val="DHHSbody"/>
    <w:rsid w:val="00770F37"/>
    <w:pPr>
      <w:keepNext/>
      <w:keepLines/>
      <w:spacing w:before="240" w:after="120"/>
    </w:pPr>
    <w:rPr>
      <w:rFonts w:ascii="Arial" w:hAnsi="Arial"/>
      <w:b/>
      <w:lang w:val="en-AU"/>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8E1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CBD"/>
    <w:rPr>
      <w:rFonts w:ascii="Segoe UI" w:hAnsi="Segoe UI" w:cs="Segoe UI"/>
      <w:sz w:val="18"/>
      <w:szCs w:val="18"/>
      <w:lang w:val="en-AU"/>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Heading1MastheadHeadings">
    <w:name w:val="Heading 1 Masthead (Headings)"/>
    <w:basedOn w:val="Normal"/>
    <w:uiPriority w:val="99"/>
    <w:rsid w:val="008E1CBD"/>
    <w:pPr>
      <w:keepLines/>
      <w:autoSpaceDE w:val="0"/>
      <w:autoSpaceDN w:val="0"/>
      <w:adjustRightInd w:val="0"/>
      <w:spacing w:line="560" w:lineRule="atLeast"/>
      <w:textAlignment w:val="center"/>
    </w:pPr>
    <w:rPr>
      <w:rFonts w:ascii="Times-Roman" w:hAnsi="Times-Roman" w:cs="Times-Roman"/>
      <w:b/>
      <w:bCs/>
      <w:color w:val="FFFFFF"/>
      <w:spacing w:val="5"/>
      <w:sz w:val="50"/>
      <w:szCs w:val="50"/>
      <w:lang w:val="en-GB"/>
    </w:rPr>
  </w:style>
  <w:style w:type="paragraph" w:customStyle="1" w:styleId="TableHeading2Tables">
    <w:name w:val="Table Heading 2  (Tables)"/>
    <w:basedOn w:val="Normal"/>
    <w:uiPriority w:val="99"/>
    <w:rsid w:val="00615E82"/>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40" w:lineRule="atLeast"/>
      <w:textAlignment w:val="center"/>
    </w:pPr>
    <w:rPr>
      <w:rFonts w:ascii="VIC-Medium" w:hAnsi="VIC-Medium" w:cs="VIC-Medium"/>
      <w:color w:val="000000"/>
      <w:sz w:val="19"/>
      <w:szCs w:val="19"/>
      <w:lang w:val="en-GB"/>
    </w:rPr>
  </w:style>
  <w:style w:type="paragraph" w:customStyle="1" w:styleId="DHHStablecolhead">
    <w:name w:val="DHHS table col head"/>
    <w:uiPriority w:val="3"/>
    <w:qFormat/>
    <w:rsid w:val="0029752B"/>
    <w:pPr>
      <w:spacing w:before="80" w:after="60"/>
    </w:pPr>
    <w:rPr>
      <w:rFonts w:ascii="Arial" w:hAnsi="Arial"/>
      <w:b/>
      <w:color w:val="D50032"/>
      <w:lang w:val="en-AU"/>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val="en-AU"/>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LargebodytextBody">
    <w:name w:val="Large body text (Body)"/>
    <w:basedOn w:val="Normal"/>
    <w:uiPriority w:val="99"/>
    <w:rsid w:val="00250DF3"/>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340" w:lineRule="atLeast"/>
      <w:textAlignment w:val="center"/>
    </w:pPr>
    <w:rPr>
      <w:rFonts w:ascii="VIC-Medium" w:hAnsi="VIC-Medium" w:cs="VIC-Medium"/>
      <w:color w:val="FFFFFF"/>
      <w:sz w:val="28"/>
      <w:szCs w:val="28"/>
      <w:lang w:val="en-GB"/>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val="en-AU"/>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val="en-AU"/>
    </w:rPr>
  </w:style>
  <w:style w:type="paragraph" w:customStyle="1" w:styleId="DHHSheader">
    <w:name w:val="DHHS header"/>
    <w:basedOn w:val="DHHSfooter"/>
    <w:uiPriority w:val="11"/>
    <w:rsid w:val="0051568D"/>
  </w:style>
  <w:style w:type="character" w:customStyle="1" w:styleId="Largeboldwhitetext">
    <w:name w:val="Large bold white text"/>
    <w:uiPriority w:val="99"/>
    <w:rsid w:val="00250DF3"/>
    <w:rPr>
      <w:b/>
      <w:bCs/>
      <w:sz w:val="36"/>
      <w:szCs w:val="36"/>
    </w:rPr>
  </w:style>
  <w:style w:type="paragraph" w:customStyle="1" w:styleId="TableBodyTables">
    <w:name w:val="Table Body (Tables)"/>
    <w:basedOn w:val="Normal"/>
    <w:uiPriority w:val="99"/>
    <w:rsid w:val="00811E3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40" w:lineRule="atLeast"/>
      <w:textAlignment w:val="center"/>
    </w:pPr>
    <w:rPr>
      <w:rFonts w:ascii="VIC-Regular" w:hAnsi="VIC-Regular" w:cs="VIC-Regular"/>
      <w:color w:val="000000"/>
      <w:sz w:val="18"/>
      <w:szCs w:val="18"/>
      <w:lang w:val="en-GB"/>
    </w:rPr>
  </w:style>
  <w:style w:type="paragraph" w:customStyle="1" w:styleId="TableHeading1RevTables">
    <w:name w:val="Table Heading 1 Rev (Tables)"/>
    <w:basedOn w:val="TableBodyTables"/>
    <w:uiPriority w:val="99"/>
    <w:rsid w:val="00811E3A"/>
    <w:rPr>
      <w:color w:val="FFFFFF"/>
      <w:sz w:val="19"/>
      <w:szCs w:val="19"/>
    </w:rPr>
  </w:style>
  <w:style w:type="table" w:styleId="PlainTable2">
    <w:name w:val="Plain Table 2"/>
    <w:basedOn w:val="TableNormal"/>
    <w:uiPriority w:val="42"/>
    <w:rsid w:val="00811E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asicParagraph">
    <w:name w:val="[Basic Paragraph]"/>
    <w:basedOn w:val="Normal"/>
    <w:uiPriority w:val="99"/>
    <w:rsid w:val="00173F19"/>
    <w:pPr>
      <w:autoSpaceDE w:val="0"/>
      <w:autoSpaceDN w:val="0"/>
      <w:adjustRightInd w:val="0"/>
      <w:spacing w:line="288" w:lineRule="auto"/>
      <w:textAlignment w:val="center"/>
    </w:pPr>
    <w:rPr>
      <w:rFonts w:ascii="Times-Roman" w:hAnsi="Times-Roman" w:cs="Times-Roman"/>
      <w:color w:val="000000"/>
      <w:sz w:val="24"/>
      <w:szCs w:val="24"/>
      <w:lang w:val="en-GB"/>
    </w:rPr>
  </w:style>
  <w:style w:type="character" w:styleId="UnresolvedMention">
    <w:name w:val="Unresolved Mention"/>
    <w:basedOn w:val="DefaultParagraphFont"/>
    <w:uiPriority w:val="99"/>
    <w:semiHidden/>
    <w:unhideWhenUsed/>
    <w:rsid w:val="00173F19"/>
    <w:rPr>
      <w:color w:val="605E5C"/>
      <w:shd w:val="clear" w:color="auto" w:fill="E1DFDD"/>
    </w:rPr>
  </w:style>
  <w:style w:type="paragraph" w:customStyle="1" w:styleId="BodyBoldBody">
    <w:name w:val="Body Bold (Body)"/>
    <w:basedOn w:val="Normal"/>
    <w:uiPriority w:val="99"/>
    <w:rsid w:val="00191CE8"/>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SemiBold" w:hAnsi="VIC-SemiBold" w:cs="VIC-SemiBold"/>
      <w:b/>
      <w:bCs/>
      <w:color w:val="000000"/>
      <w:sz w:val="19"/>
      <w:szCs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s://www2.health.vic.gov.au/hospitals-and-health-services/patient-care/speciality-diagnostics-therapeutics/blood-matte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mailto:stir@redcrossblood.org.au" TargetMode="External"/><Relationship Id="rId2" Type="http://schemas.openxmlformats.org/officeDocument/2006/relationships/styles" Target="styles.xml"/><Relationship Id="rId16" Type="http://schemas.openxmlformats.org/officeDocument/2006/relationships/hyperlink" Target="https://www2.health.vic.gov.au/hospitals-and-health-servic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610</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Summary STIR Report 2017–18</vt:lpstr>
    </vt:vector>
  </TitlesOfParts>
  <Company>Department of Health and Human Services</Company>
  <LinksUpToDate>false</LinksUpToDate>
  <CharactersWithSpaces>4621</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STIR Report 2017–18</dc:title>
  <dc:subject/>
  <dc:creator>Medical Research and International Health Branch, Australian Red Cross Blood Service</dc:creator>
  <cp:keywords/>
  <cp:lastModifiedBy>Samuel Macgeorge</cp:lastModifiedBy>
  <cp:revision>17</cp:revision>
  <cp:lastPrinted>2015-08-21T04:17:00Z</cp:lastPrinted>
  <dcterms:created xsi:type="dcterms:W3CDTF">2019-11-10T22:57:00Z</dcterms:created>
  <dcterms:modified xsi:type="dcterms:W3CDTF">2019-11-11T01:05:00Z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