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01677A" w:rsidP="00EC40D5">
      <w:pPr>
        <w:pStyle w:val="Sectionbreakfirstpage"/>
      </w:pPr>
      <w:r>
        <w:drawing>
          <wp:anchor distT="0" distB="0" distL="114300" distR="114300" simplePos="0" relativeHeight="251658240" behindDoc="1" locked="1" layoutInCell="1" allowOverlap="1" wp14:anchorId="38C5210F" wp14:editId="27F7BF47">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Tr="00B07FF7">
        <w:trPr>
          <w:trHeight w:val="622"/>
        </w:trPr>
        <w:tc>
          <w:tcPr>
            <w:tcW w:w="10348" w:type="dxa"/>
            <w:tcMar>
              <w:top w:w="1531" w:type="dxa"/>
              <w:left w:w="0" w:type="dxa"/>
              <w:right w:w="0" w:type="dxa"/>
            </w:tcMar>
          </w:tcPr>
          <w:p w:rsidR="003B5733" w:rsidRPr="003B5733" w:rsidRDefault="00A32002" w:rsidP="003B5733">
            <w:pPr>
              <w:pStyle w:val="Documenttitle"/>
            </w:pPr>
            <w:r w:rsidRPr="00A32002">
              <w:t>Summary STIR Report 2019-20</w:t>
            </w:r>
          </w:p>
        </w:tc>
      </w:tr>
      <w:tr w:rsidR="003B5733" w:rsidTr="00B07FF7">
        <w:tc>
          <w:tcPr>
            <w:tcW w:w="10348" w:type="dxa"/>
          </w:tcPr>
          <w:p w:rsidR="003B5733" w:rsidRPr="00A1389F" w:rsidRDefault="003B5733" w:rsidP="005F44C0">
            <w:pPr>
              <w:pStyle w:val="Documentsubtitle"/>
            </w:pPr>
          </w:p>
        </w:tc>
      </w:tr>
      <w:tr w:rsidR="003B5733" w:rsidTr="00B07FF7">
        <w:tc>
          <w:tcPr>
            <w:tcW w:w="10348" w:type="dxa"/>
          </w:tcPr>
          <w:p w:rsidR="003B5733" w:rsidRPr="001E5058" w:rsidRDefault="006F361C" w:rsidP="001E5058">
            <w:pPr>
              <w:pStyle w:val="Bannermarking"/>
            </w:pPr>
            <w:fldSimple w:instr=" FILLIN  &quot;Type the protective marking&quot; \d OFFICIAL \o  \* MERGEFORMAT ">
              <w:r w:rsidR="008328E0">
                <w:t>OFFICIAL</w:t>
              </w:r>
            </w:fldSimple>
          </w:p>
        </w:tc>
      </w:tr>
    </w:tbl>
    <w:p w:rsidR="007173CA" w:rsidRPr="00A32002" w:rsidRDefault="00A32002" w:rsidP="00D079AA">
      <w:pPr>
        <w:pStyle w:val="Body"/>
        <w:rPr>
          <w:b/>
        </w:rPr>
      </w:pPr>
      <w:r w:rsidRPr="00A32002">
        <w:rPr>
          <w:rFonts w:ascii="Cambria" w:eastAsia="Times New Roman" w:hAnsi="Cambria"/>
          <w:b/>
          <w:noProof/>
          <w:sz w:val="20"/>
          <w:lang w:eastAsia="en-AU"/>
        </w:rPr>
        <mc:AlternateContent>
          <mc:Choice Requires="wps">
            <w:drawing>
              <wp:anchor distT="45720" distB="45720" distL="114300" distR="114300" simplePos="0" relativeHeight="251660288" behindDoc="0" locked="0" layoutInCell="1" allowOverlap="1" wp14:anchorId="689CC002" wp14:editId="607F04C3">
                <wp:simplePos x="0" y="0"/>
                <wp:positionH relativeFrom="column">
                  <wp:posOffset>3999865</wp:posOffset>
                </wp:positionH>
                <wp:positionV relativeFrom="paragraph">
                  <wp:posOffset>325120</wp:posOffset>
                </wp:positionV>
                <wp:extent cx="2324100" cy="2222500"/>
                <wp:effectExtent l="0" t="0" r="19050"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222500"/>
                        </a:xfrm>
                        <a:prstGeom prst="rect">
                          <a:avLst/>
                        </a:prstGeom>
                        <a:solidFill>
                          <a:srgbClr val="FFFFFF"/>
                        </a:solidFill>
                        <a:ln w="9525">
                          <a:solidFill>
                            <a:sysClr val="window" lastClr="FFFFFF"/>
                          </a:solidFill>
                          <a:miter lim="800000"/>
                          <a:headEnd/>
                          <a:tailEnd/>
                        </a:ln>
                      </wps:spPr>
                      <wps:txbx>
                        <w:txbxContent>
                          <w:p w:rsidR="00A32002" w:rsidRDefault="00A32002" w:rsidP="00A32002">
                            <w:pPr>
                              <w:rPr>
                                <w:rFonts w:ascii="Arial" w:hAnsi="Arial" w:cs="Arial"/>
                              </w:rPr>
                            </w:pPr>
                            <w:r w:rsidRPr="0010128E">
                              <w:rPr>
                                <w:noProof/>
                                <w:lang w:eastAsia="en-AU"/>
                              </w:rPr>
                              <w:drawing>
                                <wp:inline distT="0" distB="0" distL="0" distR="0" wp14:anchorId="18AD0E50" wp14:editId="420ADE24">
                                  <wp:extent cx="7239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Pr>
                                <w:rFonts w:ascii="Arial" w:hAnsi="Arial" w:cs="Arial"/>
                              </w:rPr>
                              <w:t>214 notifications from health    services</w:t>
                            </w:r>
                          </w:p>
                          <w:p w:rsidR="00A32002" w:rsidRPr="004B4B03" w:rsidRDefault="00A32002" w:rsidP="00A32002">
                            <w:pPr>
                              <w:rPr>
                                <w:rFonts w:ascii="Arial" w:hAnsi="Arial" w:cs="Arial"/>
                              </w:rPr>
                            </w:pPr>
                            <w:r w:rsidRPr="004B4B03">
                              <w:rPr>
                                <w:rFonts w:ascii="Arial" w:hAnsi="Arial" w:cs="Arial"/>
                              </w:rPr>
                              <w:t xml:space="preserve">26 withdrawn </w:t>
                            </w:r>
                          </w:p>
                          <w:p w:rsidR="00A32002" w:rsidRDefault="00A32002" w:rsidP="00A32002">
                            <w:pPr>
                              <w:rPr>
                                <w:rFonts w:ascii="Arial" w:hAnsi="Arial" w:cs="Arial"/>
                                <w:noProof/>
                                <w:lang w:eastAsia="en-AU"/>
                              </w:rPr>
                            </w:pPr>
                            <w:r w:rsidRPr="0010128E">
                              <w:rPr>
                                <w:noProof/>
                                <w:lang w:eastAsia="en-AU"/>
                              </w:rPr>
                              <w:drawing>
                                <wp:inline distT="0" distB="0" distL="0" distR="0" wp14:anchorId="35F8E511" wp14:editId="28789CC9">
                                  <wp:extent cx="701675" cy="701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Pr>
                                <w:rFonts w:ascii="Arial" w:hAnsi="Arial" w:cs="Arial"/>
                                <w:noProof/>
                                <w:lang w:eastAsia="en-AU"/>
                              </w:rPr>
                              <w:t>166 investigations returned</w:t>
                            </w:r>
                          </w:p>
                          <w:p w:rsidR="00A32002" w:rsidRPr="004B4B03" w:rsidRDefault="00A32002" w:rsidP="00A32002">
                            <w:pPr>
                              <w:rPr>
                                <w:rFonts w:ascii="Arial" w:hAnsi="Arial" w:cs="Arial"/>
                              </w:rPr>
                            </w:pPr>
                            <w:r>
                              <w:rPr>
                                <w:rFonts w:ascii="Arial" w:hAnsi="Arial" w:cs="Arial"/>
                              </w:rPr>
                              <w:t>22 excluded by expert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002" id="_x0000_t202" coordsize="21600,21600" o:spt="202" path="m,l,21600r21600,l21600,xe">
                <v:stroke joinstyle="miter"/>
                <v:path gradientshapeok="t" o:connecttype="rect"/>
              </v:shapetype>
              <v:shape id="Text Box 2" o:spid="_x0000_s1026" type="#_x0000_t202" style="position:absolute;margin-left:314.95pt;margin-top:25.6pt;width:183pt;height: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bdLAIAAFYEAAAOAAAAZHJzL2Uyb0RvYy54bWysVNtu2zAMfR+wfxD0vviyZGuNOEWXLsOA&#10;7gK0+wBFkmNhkqhJauzs60fJaZpuwB6G+UEgReqQPCS9vBqNJnvpgwLb0mpWUiItB6HsrqXf7jev&#10;LigJkVnBNFjZ0oMM9Gr18sVycI2soQctpCcIYkMzuJb2MbqmKALvpWFhBk5aNHbgDYuo+l0hPBsQ&#10;3eiiLss3xQBeOA9choC3N5ORrjJ+10kev3RdkJHolmJuMZ8+n9t0Fqsla3aeuV7xYxrsH7IwTFkM&#10;eoK6YZGRB6/+gDKKewjQxRkHU0DXKS5zDVhNVf5WzV3PnMy1IDnBnWgK/w+Wf95/9USJltYVJZYZ&#10;7NG9HCN5ByOpEz2DCw163Tn0iyNeY5tzqcHdAv8eiIV1z+xOXnsPQy+ZwPSq9LI4ezrhhASyHT6B&#10;wDDsIUIGGjtvEnfIBkF0bNPh1JqUCsfL+nU9r0o0cbTV+C1QSTFY8/jc+RA/SDAkCS312PsMz/a3&#10;IU6ujy4pWgCtxEZpnRW/2661J3uGc7LJ3xH9mZu2ZGjp5aJeTAw8gziEEwIOqICBEs1CxMu/QRoV&#10;cQG0Mi29KNOX4rIm8fjeiixHpvQkY7XaHolNXE6sxnE7omNiewvigBR7mAYdFxOFHvxPSgYc8paG&#10;Hw/MS8zso8U2XVbzedqKrMwXb2tU/Llle25hliNUSyMlk7iOeZNSvhausZ2dykQ/ZXLMFYc3t+q4&#10;aGk7zvXs9fQ7WP0CAAD//wMAUEsDBBQABgAIAAAAIQCzsy093QAAAAoBAAAPAAAAZHJzL2Rvd25y&#10;ZXYueG1sTI/BToNAEIbvJr7DZky82aVUGkGWpiH2iInUi7eFHYHIzhJ229K373jS4/zz5Z9v8t1i&#10;R3HG2Q+OFKxXEQik1pmBOgWfx8PTCwgfNBk9OkIFV/SwK+7vcp0Zd6EPPNehE1xCPtMK+hCmTErf&#10;9mi1X7kJiXffbrY68Dh30sz6wuV2lHEUbaXVA/GFXk9Y9tj+1Cer4NCU06Tf67evarPxTULVHstK&#10;qceHZf8KIuAS/mD41Wd1KNipcScyXowKtnGaMqogWccgGEjThINGwXPEiSxy+f+F4gYAAP//AwBQ&#10;SwECLQAUAAYACAAAACEAtoM4kv4AAADhAQAAEwAAAAAAAAAAAAAAAAAAAAAAW0NvbnRlbnRfVHlw&#10;ZXNdLnhtbFBLAQItABQABgAIAAAAIQA4/SH/1gAAAJQBAAALAAAAAAAAAAAAAAAAAC8BAABfcmVs&#10;cy8ucmVsc1BLAQItABQABgAIAAAAIQBH8MbdLAIAAFYEAAAOAAAAAAAAAAAAAAAAAC4CAABkcnMv&#10;ZTJvRG9jLnhtbFBLAQItABQABgAIAAAAIQCzsy093QAAAAoBAAAPAAAAAAAAAAAAAAAAAIYEAABk&#10;cnMvZG93bnJldi54bWxQSwUGAAAAAAQABADzAAAAkAUAAAAA&#10;" strokecolor="window">
                <v:textbox>
                  <w:txbxContent>
                    <w:p w:rsidR="00A32002" w:rsidRDefault="00A32002" w:rsidP="00A32002">
                      <w:pPr>
                        <w:rPr>
                          <w:rFonts w:ascii="Arial" w:hAnsi="Arial" w:cs="Arial"/>
                        </w:rPr>
                      </w:pPr>
                      <w:r w:rsidRPr="0010128E">
                        <w:rPr>
                          <w:noProof/>
                          <w:lang w:eastAsia="en-AU"/>
                        </w:rPr>
                        <w:drawing>
                          <wp:inline distT="0" distB="0" distL="0" distR="0" wp14:anchorId="18AD0E50" wp14:editId="420ADE24">
                            <wp:extent cx="7239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Pr>
                          <w:rFonts w:ascii="Arial" w:hAnsi="Arial" w:cs="Arial"/>
                        </w:rPr>
                        <w:t>214 notifications from health    services</w:t>
                      </w:r>
                    </w:p>
                    <w:p w:rsidR="00A32002" w:rsidRPr="004B4B03" w:rsidRDefault="00A32002" w:rsidP="00A32002">
                      <w:pPr>
                        <w:rPr>
                          <w:rFonts w:ascii="Arial" w:hAnsi="Arial" w:cs="Arial"/>
                        </w:rPr>
                      </w:pPr>
                      <w:r w:rsidRPr="004B4B03">
                        <w:rPr>
                          <w:rFonts w:ascii="Arial" w:hAnsi="Arial" w:cs="Arial"/>
                        </w:rPr>
                        <w:t xml:space="preserve">26 withdrawn </w:t>
                      </w:r>
                    </w:p>
                    <w:p w:rsidR="00A32002" w:rsidRDefault="00A32002" w:rsidP="00A32002">
                      <w:pPr>
                        <w:rPr>
                          <w:rFonts w:ascii="Arial" w:hAnsi="Arial" w:cs="Arial"/>
                          <w:noProof/>
                          <w:lang w:eastAsia="en-AU"/>
                        </w:rPr>
                      </w:pPr>
                      <w:r w:rsidRPr="0010128E">
                        <w:rPr>
                          <w:noProof/>
                          <w:lang w:eastAsia="en-AU"/>
                        </w:rPr>
                        <w:drawing>
                          <wp:inline distT="0" distB="0" distL="0" distR="0" wp14:anchorId="35F8E511" wp14:editId="28789CC9">
                            <wp:extent cx="701675" cy="701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Pr>
                          <w:rFonts w:ascii="Arial" w:hAnsi="Arial" w:cs="Arial"/>
                          <w:noProof/>
                          <w:lang w:eastAsia="en-AU"/>
                        </w:rPr>
                        <w:t>166 investigations returned</w:t>
                      </w:r>
                    </w:p>
                    <w:p w:rsidR="00A32002" w:rsidRPr="004B4B03" w:rsidRDefault="00A32002" w:rsidP="00A32002">
                      <w:pPr>
                        <w:rPr>
                          <w:rFonts w:ascii="Arial" w:hAnsi="Arial" w:cs="Arial"/>
                        </w:rPr>
                      </w:pPr>
                      <w:r>
                        <w:rPr>
                          <w:rFonts w:ascii="Arial" w:hAnsi="Arial" w:cs="Arial"/>
                        </w:rPr>
                        <w:t>22 excluded by expert review</w:t>
                      </w:r>
                    </w:p>
                  </w:txbxContent>
                </v:textbox>
                <w10:wrap type="square"/>
              </v:shape>
            </w:pict>
          </mc:Fallback>
        </mc:AlternateContent>
      </w:r>
      <w:r w:rsidRPr="00A32002">
        <w:rPr>
          <w:b/>
        </w:rPr>
        <w:t>Number of validated clinical and procedural reports and health services reporting each financial year:           FY2006- FY2020</w:t>
      </w:r>
    </w:p>
    <w:p w:rsidR="00580394" w:rsidRPr="00B519CD" w:rsidRDefault="00A32002" w:rsidP="007173CA">
      <w:pPr>
        <w:pStyle w:val="Body"/>
        <w:sectPr w:rsidR="00580394" w:rsidRPr="00B519CD" w:rsidSect="00E62622">
          <w:headerReference w:type="default" r:id="rId19"/>
          <w:type w:val="continuous"/>
          <w:pgSz w:w="11906" w:h="16838" w:code="9"/>
          <w:pgMar w:top="1418" w:right="851" w:bottom="1418" w:left="851" w:header="851" w:footer="851" w:gutter="0"/>
          <w:cols w:space="340"/>
          <w:titlePg/>
          <w:docGrid w:linePitch="360"/>
        </w:sectPr>
      </w:pPr>
      <w:r>
        <w:rPr>
          <w:noProof/>
        </w:rPr>
        <w:drawing>
          <wp:inline distT="0" distB="0" distL="0" distR="0" wp14:anchorId="66DFB974" wp14:editId="2FDA8403">
            <wp:extent cx="3715385" cy="1720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08001" cy="1763681"/>
                    </a:xfrm>
                    <a:prstGeom prst="rect">
                      <a:avLst/>
                    </a:prstGeom>
                  </pic:spPr>
                </pic:pic>
              </a:graphicData>
            </a:graphic>
          </wp:inline>
        </w:drawing>
      </w:r>
    </w:p>
    <w:p w:rsidR="00A32002" w:rsidRDefault="00A32002" w:rsidP="00A32002">
      <w:pPr>
        <w:pStyle w:val="Body"/>
      </w:pPr>
    </w:p>
    <w:p w:rsidR="00A32002" w:rsidRDefault="00A32002" w:rsidP="00A32002">
      <w:pPr>
        <w:pStyle w:val="Body"/>
      </w:pPr>
    </w:p>
    <w:p w:rsidR="00A32002" w:rsidRPr="0010128E" w:rsidRDefault="00A32002" w:rsidP="00A32002">
      <w:pPr>
        <w:pStyle w:val="DHHSbody"/>
        <w:spacing w:line="120" w:lineRule="atLeast"/>
        <w:rPr>
          <w:b/>
          <w:noProof/>
        </w:rPr>
      </w:pPr>
      <w:r w:rsidRPr="00954F13">
        <w:rPr>
          <w:b/>
          <w:noProof/>
          <w:lang w:eastAsia="en-AU"/>
        </w:rPr>
        <mc:AlternateContent>
          <mc:Choice Requires="wps">
            <w:drawing>
              <wp:anchor distT="45720" distB="45720" distL="114300" distR="114300" simplePos="0" relativeHeight="251662336" behindDoc="0" locked="0" layoutInCell="1" allowOverlap="1" wp14:anchorId="1FE65E97" wp14:editId="63C7965A">
                <wp:simplePos x="0" y="0"/>
                <wp:positionH relativeFrom="column">
                  <wp:posOffset>4717415</wp:posOffset>
                </wp:positionH>
                <wp:positionV relativeFrom="paragraph">
                  <wp:posOffset>171450</wp:posOffset>
                </wp:positionV>
                <wp:extent cx="1606550" cy="15621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562100"/>
                        </a:xfrm>
                        <a:prstGeom prst="rect">
                          <a:avLst/>
                        </a:prstGeom>
                        <a:solidFill>
                          <a:srgbClr val="FFFFFF"/>
                        </a:solidFill>
                        <a:ln w="9525">
                          <a:solidFill>
                            <a:srgbClr val="000000"/>
                          </a:solidFill>
                          <a:miter lim="800000"/>
                          <a:headEnd/>
                          <a:tailEnd/>
                        </a:ln>
                      </wps:spPr>
                      <wps:txbx>
                        <w:txbxContent>
                          <w:p w:rsidR="00A32002" w:rsidRPr="00954F13" w:rsidRDefault="00A32002" w:rsidP="00A32002">
                            <w:pPr>
                              <w:rPr>
                                <w:rFonts w:ascii="Arial" w:hAnsi="Arial" w:cs="Arial"/>
                              </w:rPr>
                            </w:pPr>
                            <w:r>
                              <w:rPr>
                                <w:noProof/>
                                <w:lang w:eastAsia="en-AU"/>
                              </w:rPr>
                              <w:drawing>
                                <wp:inline distT="0" distB="0" distL="0" distR="0" wp14:anchorId="7484E50A" wp14:editId="2953AA78">
                                  <wp:extent cx="400050" cy="400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Fonts w:ascii="Arial" w:hAnsi="Arial" w:cs="Arial"/>
                              </w:rPr>
                              <w:t xml:space="preserve"> Positive patient identification at ALL stages of the transfusion process reduce the risk of an acute haemolytic reaction due to an incorrect product being administered.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65E97" id="_x0000_s1027" type="#_x0000_t202" style="position:absolute;margin-left:371.45pt;margin-top:13.5pt;width:126.5pt;height:1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eOJwIAAE4EAAAOAAAAZHJzL2Uyb0RvYy54bWysVNtu2zAMfR+wfxD0vviCJG2NOkWXLsOA&#10;rhvQ7gNkWY6FSaImKbGzrx8lp2nQbS/D/CCIInV0eEj6+mbUiuyF8xJMTYtZTokwHFpptjX99rR5&#10;d0mJD8y0TIERNT0IT29Wb99cD7YSJfSgWuEIghhfDbamfQi2yjLPe6GZn4EVBp0dOM0Cmm6btY4N&#10;iK5VVub5MhvAtdYBF97j6d3kpKuE33WChy9d50UgqqbILaTVpbWJa7a6ZtXWMdtLfqTB/oGFZtLg&#10;oyeoOxYY2Tn5G5SW3IGHLsw46Ay6TnKRcsBsivxVNo89syLlguJ4e5LJ/z9Y/rD/6ohsa1oWF5QY&#10;prFIT2IM5D2MpIz6DNZXGPZoMTCMeIx1Trl6ew/8uycG1j0zW3HrHAy9YC3yK+LN7OzqhOMjSDN8&#10;hhafYbsACWjsnI7ioRwE0bFOh1NtIhUen1zmy8UCXRx9xWJZFnmqXsaq5+vW+fBRgCZxU1OHxU/w&#10;bH/vQ6TDqueQ+JoHJduNVCoZbtuslSN7ho2ySV/K4FWYMmSo6dWiXEwK/BUiT9+fILQM2PFK6ppe&#10;noJYFXX7YNrUj4FJNe2RsjJHIaN2k4phbMZUs6RyFLmB9oDKOpgaHAcSNz24n5QM2Nw19T92zAlK&#10;1CeD1bkq5vM4DcmYLy5KNNy5pzn3MMMRqqaBkmm7DmmCom4GbrGKnUz6vjA5UsamTbIfByxOxbmd&#10;ol5+A6tfAAAA//8DAFBLAwQUAAYACAAAACEAen6eI98AAAAKAQAADwAAAGRycy9kb3ducmV2Lnht&#10;bEyPy07DMBBF90j8gzVIbBB1SEvThDgVQgLRHRQEWzeeJhHxONhuGv6e6QqWc+foPsr1ZHsxog+d&#10;IwU3swQEUu1MR42C97fH6xWIEDUZ3TtCBT8YYF2dn5W6MO5IrzhuYyPYhEKhFbQxDoWUoW7R6jBz&#10;AxL/9s5bHfn0jTReH9nc9jJNkqW0uiNOaPWADy3WX9uDVbBaPI+fYTN/+aiX+z6PV9n49O2VuryY&#10;7u9ARJziHwyn+lwdKu60cwcyQfQKskWaM6ogzXgTA3l+y8LuJMwTkFUp/0+ofgEAAP//AwBQSwEC&#10;LQAUAAYACAAAACEAtoM4kv4AAADhAQAAEwAAAAAAAAAAAAAAAAAAAAAAW0NvbnRlbnRfVHlwZXNd&#10;LnhtbFBLAQItABQABgAIAAAAIQA4/SH/1gAAAJQBAAALAAAAAAAAAAAAAAAAAC8BAABfcmVscy8u&#10;cmVsc1BLAQItABQABgAIAAAAIQBFMkeOJwIAAE4EAAAOAAAAAAAAAAAAAAAAAC4CAABkcnMvZTJv&#10;RG9jLnhtbFBLAQItABQABgAIAAAAIQB6fp4j3wAAAAoBAAAPAAAAAAAAAAAAAAAAAIEEAABkcnMv&#10;ZG93bnJldi54bWxQSwUGAAAAAAQABADzAAAAjQUAAAAA&#10;">
                <v:textbox>
                  <w:txbxContent>
                    <w:p w:rsidR="00A32002" w:rsidRPr="00954F13" w:rsidRDefault="00A32002" w:rsidP="00A32002">
                      <w:pPr>
                        <w:rPr>
                          <w:rFonts w:ascii="Arial" w:hAnsi="Arial" w:cs="Arial"/>
                        </w:rPr>
                      </w:pPr>
                      <w:r>
                        <w:rPr>
                          <w:noProof/>
                          <w:lang w:eastAsia="en-AU"/>
                        </w:rPr>
                        <w:drawing>
                          <wp:inline distT="0" distB="0" distL="0" distR="0" wp14:anchorId="7484E50A" wp14:editId="2953AA78">
                            <wp:extent cx="400050" cy="400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Fonts w:ascii="Arial" w:hAnsi="Arial" w:cs="Arial"/>
                        </w:rPr>
                        <w:t xml:space="preserve"> Positive patient identification at ALL stages of the transfusion process reduce the risk of an acute haemolytic reaction due to an incorrect product being administered.</w:t>
                      </w:r>
                    </w:p>
                  </w:txbxContent>
                </v:textbox>
                <w10:wrap type="square"/>
              </v:shape>
            </w:pict>
          </mc:Fallback>
        </mc:AlternateContent>
      </w:r>
      <w:r w:rsidRPr="0010128E">
        <w:rPr>
          <w:b/>
          <w:noProof/>
        </w:rPr>
        <w:t>Validate clinical events reported to STIR FY</w:t>
      </w:r>
      <w:r>
        <w:rPr>
          <w:b/>
          <w:noProof/>
        </w:rPr>
        <w:t>20</w:t>
      </w:r>
    </w:p>
    <w:p w:rsidR="00A32002" w:rsidRDefault="00AF1E27" w:rsidP="00A32002">
      <w:pPr>
        <w:pStyle w:val="Body"/>
      </w:pPr>
      <w:r w:rsidRPr="007C5812">
        <w:rPr>
          <w:noProof/>
          <w:lang w:eastAsia="en-AU"/>
        </w:rPr>
        <mc:AlternateContent>
          <mc:Choice Requires="wps">
            <w:drawing>
              <wp:anchor distT="45720" distB="45720" distL="114300" distR="114300" simplePos="0" relativeHeight="251664384" behindDoc="0" locked="0" layoutInCell="1" allowOverlap="1" wp14:anchorId="720D35BD" wp14:editId="7FD38A91">
                <wp:simplePos x="0" y="0"/>
                <wp:positionH relativeFrom="column">
                  <wp:posOffset>0</wp:posOffset>
                </wp:positionH>
                <wp:positionV relativeFrom="paragraph">
                  <wp:posOffset>2098040</wp:posOffset>
                </wp:positionV>
                <wp:extent cx="2237105" cy="2240915"/>
                <wp:effectExtent l="0" t="0" r="10795" b="260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2240915"/>
                        </a:xfrm>
                        <a:prstGeom prst="rect">
                          <a:avLst/>
                        </a:prstGeom>
                        <a:solidFill>
                          <a:srgbClr val="FFFFFF"/>
                        </a:solidFill>
                        <a:ln w="9525">
                          <a:solidFill>
                            <a:srgbClr val="000000"/>
                          </a:solidFill>
                          <a:miter lim="800000"/>
                          <a:headEnd/>
                          <a:tailEnd/>
                        </a:ln>
                      </wps:spPr>
                      <wps:txbx>
                        <w:txbxContent>
                          <w:p w:rsidR="00AF1E27" w:rsidRDefault="00AF1E27" w:rsidP="00AF1E27">
                            <w:pPr>
                              <w:rPr>
                                <w:rFonts w:ascii="Arial" w:hAnsi="Arial" w:cs="Arial"/>
                              </w:rPr>
                            </w:pPr>
                            <w:r>
                              <w:rPr>
                                <w:noProof/>
                                <w:lang w:eastAsia="en-AU"/>
                              </w:rPr>
                              <w:drawing>
                                <wp:inline distT="0" distB="0" distL="0" distR="0" wp14:anchorId="31B7603B" wp14:editId="62F3795E">
                                  <wp:extent cx="449580" cy="44958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192" cy="462192"/>
                                          </a:xfrm>
                                          <a:prstGeom prst="rect">
                                            <a:avLst/>
                                          </a:prstGeom>
                                          <a:noFill/>
                                          <a:ln>
                                            <a:noFill/>
                                          </a:ln>
                                        </pic:spPr>
                                      </pic:pic>
                                    </a:graphicData>
                                  </a:graphic>
                                </wp:inline>
                              </w:drawing>
                            </w:r>
                            <w:r w:rsidRPr="007C5812">
                              <w:rPr>
                                <w:rFonts w:ascii="Arial" w:hAnsi="Arial" w:cs="Arial"/>
                              </w:rPr>
                              <w:t xml:space="preserve">Wrong blood in tube events continue to be the largest proportion of procedural reports received. </w:t>
                            </w:r>
                          </w:p>
                          <w:p w:rsidR="00AF1E27" w:rsidRDefault="00AF1E27" w:rsidP="00AF1E27">
                            <w:pPr>
                              <w:rPr>
                                <w:rFonts w:ascii="Arial" w:hAnsi="Arial" w:cs="Arial"/>
                              </w:rPr>
                            </w:pPr>
                          </w:p>
                          <w:p w:rsidR="00AF1E27" w:rsidRPr="007C5812" w:rsidRDefault="00AF1E27" w:rsidP="00AF1E27">
                            <w:pPr>
                              <w:rPr>
                                <w:rFonts w:ascii="Arial" w:hAnsi="Arial" w:cs="Arial"/>
                              </w:rPr>
                            </w:pPr>
                            <w:proofErr w:type="spellStart"/>
                            <w:r>
                              <w:rPr>
                                <w:rFonts w:ascii="Arial" w:hAnsi="Arial" w:cs="Arial"/>
                              </w:rPr>
                              <w:t>RhD</w:t>
                            </w:r>
                            <w:proofErr w:type="spellEnd"/>
                            <w:r>
                              <w:rPr>
                                <w:rFonts w:ascii="Arial" w:hAnsi="Arial" w:cs="Arial"/>
                              </w:rPr>
                              <w:t xml:space="preserve"> administration errors continue to occur regularly and where doses are missed, put future pregnancies at risk. Health services need to have good processes in place to check the need for and administration of </w:t>
                            </w:r>
                            <w:proofErr w:type="spellStart"/>
                            <w:r>
                              <w:rPr>
                                <w:rFonts w:ascii="Arial" w:hAnsi="Arial" w:cs="Arial"/>
                              </w:rPr>
                              <w:t>RhD</w:t>
                            </w:r>
                            <w:proofErr w:type="spellEnd"/>
                            <w:r>
                              <w:rPr>
                                <w:rFonts w:ascii="Arial" w:hAnsi="Arial" w:cs="Arial"/>
                              </w:rPr>
                              <w:t xml:space="preserve"> immunoglobulin.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D35BD" id="_x0000_s1028" type="#_x0000_t202" style="position:absolute;margin-left:0;margin-top:165.2pt;width:176.15pt;height:176.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K9JwIAAE0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YLSgzT&#10;2KMHMQTyFgZSRHp660v0urfoFwa8xjanUr29A/7NEwObjpmduHEO+k6wBtObxpfZxdMRx0eQuv8I&#10;DYZh+wAJaGidjtwhGwTRsU3Hc2tiKhwvi+L1YprPKeFoK4pZvpzOUwxWPj23zof3AjSJQkUd9j7B&#10;s8OdDzEdVj65xGgelGy2UqmkuF29UY4cGM7JNn0n9J/clCF9RZfzYj4y8FeIPH1/gtAy4MArqSt6&#10;dXZiZeTtnWnSOAYm1ShjysqciIzcjSyGoR7GlsUAkeQamiMy62Ccb9xHFDpwPyjpcbYr6r/vmROU&#10;qA8Gu7OczmZxGZIymy8KVNylpb60MMMRqqKBklHchLRAkTcDN9jFViZ+nzM5pYwzm2g/7Vdciks9&#10;eT3/BdaPAAAA//8DAFBLAwQUAAYACAAAACEAgLpHzt4AAAAIAQAADwAAAGRycy9kb3ducmV2Lnht&#10;bEyPwU7DMBBE70j8g7VIXBB1qEsIIZsKIYHgBgXB1Y23SUS8Drabhr/HnOA4mtHMm2o920FM5EPv&#10;GOFikYEgbpzpuUV4e70/L0CEqNnowTEhfFOAdX18VOnSuAO/0LSJrUglHEqN0MU4llKGpiOrw8KN&#10;xMnbOW91TNK30nh9SOV2kMssy6XVPaeFTo9011HzudlbhGL1OH2EJ/X83uS74TqeXU0PXx7x9GS+&#10;vQERaY5/YfjFT+hQJ6at27MJYkBIRyKCUtkKRLLV5VKB2CLkhVIg60r+P1D/AAAA//8DAFBLAQIt&#10;ABQABgAIAAAAIQC2gziS/gAAAOEBAAATAAAAAAAAAAAAAAAAAAAAAABbQ29udGVudF9UeXBlc10u&#10;eG1sUEsBAi0AFAAGAAgAAAAhADj9If/WAAAAlAEAAAsAAAAAAAAAAAAAAAAALwEAAF9yZWxzLy5y&#10;ZWxzUEsBAi0AFAAGAAgAAAAhAKxxgr0nAgAATQQAAA4AAAAAAAAAAAAAAAAALgIAAGRycy9lMm9E&#10;b2MueG1sUEsBAi0AFAAGAAgAAAAhAIC6R87eAAAACAEAAA8AAAAAAAAAAAAAAAAAgQQAAGRycy9k&#10;b3ducmV2LnhtbFBLBQYAAAAABAAEAPMAAACMBQAAAAA=&#10;">
                <v:textbox>
                  <w:txbxContent>
                    <w:p w:rsidR="00AF1E27" w:rsidRDefault="00AF1E27" w:rsidP="00AF1E27">
                      <w:pPr>
                        <w:rPr>
                          <w:rFonts w:ascii="Arial" w:hAnsi="Arial" w:cs="Arial"/>
                        </w:rPr>
                      </w:pPr>
                      <w:r>
                        <w:rPr>
                          <w:noProof/>
                          <w:lang w:eastAsia="en-AU"/>
                        </w:rPr>
                        <w:drawing>
                          <wp:inline distT="0" distB="0" distL="0" distR="0" wp14:anchorId="31B7603B" wp14:editId="62F3795E">
                            <wp:extent cx="449580" cy="44958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192" cy="462192"/>
                                    </a:xfrm>
                                    <a:prstGeom prst="rect">
                                      <a:avLst/>
                                    </a:prstGeom>
                                    <a:noFill/>
                                    <a:ln>
                                      <a:noFill/>
                                    </a:ln>
                                  </pic:spPr>
                                </pic:pic>
                              </a:graphicData>
                            </a:graphic>
                          </wp:inline>
                        </w:drawing>
                      </w:r>
                      <w:r w:rsidRPr="007C5812">
                        <w:rPr>
                          <w:rFonts w:ascii="Arial" w:hAnsi="Arial" w:cs="Arial"/>
                        </w:rPr>
                        <w:t xml:space="preserve">Wrong blood in tube events continue to be the largest proportion of procedural reports received. </w:t>
                      </w:r>
                    </w:p>
                    <w:p w:rsidR="00AF1E27" w:rsidRDefault="00AF1E27" w:rsidP="00AF1E27">
                      <w:pPr>
                        <w:rPr>
                          <w:rFonts w:ascii="Arial" w:hAnsi="Arial" w:cs="Arial"/>
                        </w:rPr>
                      </w:pPr>
                    </w:p>
                    <w:p w:rsidR="00AF1E27" w:rsidRPr="007C5812" w:rsidRDefault="00AF1E27" w:rsidP="00AF1E27">
                      <w:pPr>
                        <w:rPr>
                          <w:rFonts w:ascii="Arial" w:hAnsi="Arial" w:cs="Arial"/>
                        </w:rPr>
                      </w:pPr>
                      <w:proofErr w:type="spellStart"/>
                      <w:r>
                        <w:rPr>
                          <w:rFonts w:ascii="Arial" w:hAnsi="Arial" w:cs="Arial"/>
                        </w:rPr>
                        <w:t>RhD</w:t>
                      </w:r>
                      <w:proofErr w:type="spellEnd"/>
                      <w:r>
                        <w:rPr>
                          <w:rFonts w:ascii="Arial" w:hAnsi="Arial" w:cs="Arial"/>
                        </w:rPr>
                        <w:t xml:space="preserve"> administration errors continue to occur regularly and where doses are missed, put future pregnancies at risk. Health services need to have good processes in place to check the need for and administration of </w:t>
                      </w:r>
                      <w:proofErr w:type="spellStart"/>
                      <w:r>
                        <w:rPr>
                          <w:rFonts w:ascii="Arial" w:hAnsi="Arial" w:cs="Arial"/>
                        </w:rPr>
                        <w:t>RhD</w:t>
                      </w:r>
                      <w:proofErr w:type="spellEnd"/>
                      <w:r>
                        <w:rPr>
                          <w:rFonts w:ascii="Arial" w:hAnsi="Arial" w:cs="Arial"/>
                        </w:rPr>
                        <w:t xml:space="preserve"> immunoglobulin.</w:t>
                      </w:r>
                    </w:p>
                  </w:txbxContent>
                </v:textbox>
                <w10:wrap type="square"/>
              </v:shape>
            </w:pict>
          </mc:Fallback>
        </mc:AlternateContent>
      </w:r>
      <w:r w:rsidR="00A32002" w:rsidRPr="004B4B03">
        <w:rPr>
          <w:noProof/>
        </w:rPr>
        <w:drawing>
          <wp:inline distT="0" distB="0" distL="0" distR="0" wp14:anchorId="213FFC98" wp14:editId="2ECA24D1">
            <wp:extent cx="4589436" cy="20383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89436" cy="2038350"/>
                    </a:xfrm>
                    <a:prstGeom prst="rect">
                      <a:avLst/>
                    </a:prstGeom>
                  </pic:spPr>
                </pic:pic>
              </a:graphicData>
            </a:graphic>
          </wp:inline>
        </w:drawing>
      </w:r>
    </w:p>
    <w:p w:rsidR="00A32002" w:rsidRPr="00A32002" w:rsidRDefault="00A32002" w:rsidP="00A32002">
      <w:pPr>
        <w:pStyle w:val="Body"/>
        <w:rPr>
          <w:b/>
        </w:rPr>
      </w:pPr>
      <w:r w:rsidRPr="00A32002">
        <w:rPr>
          <w:b/>
        </w:rPr>
        <w:t>Validated procedural events reported to STIR FY20</w:t>
      </w:r>
    </w:p>
    <w:p w:rsidR="00200176" w:rsidRDefault="00A32002" w:rsidP="00200176">
      <w:pPr>
        <w:pStyle w:val="Body"/>
        <w:rPr>
          <w:b/>
        </w:rPr>
      </w:pPr>
      <w:r w:rsidRPr="00CA2BB2">
        <w:rPr>
          <w:noProof/>
        </w:rPr>
        <w:drawing>
          <wp:inline distT="0" distB="0" distL="0" distR="0" wp14:anchorId="591FB62B" wp14:editId="309C8170">
            <wp:extent cx="3143250" cy="17545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45116" cy="1867283"/>
                    </a:xfrm>
                    <a:prstGeom prst="rect">
                      <a:avLst/>
                    </a:prstGeom>
                  </pic:spPr>
                </pic:pic>
              </a:graphicData>
            </a:graphic>
          </wp:inline>
        </w:drawing>
      </w:r>
    </w:p>
    <w:p w:rsidR="00AF1E27" w:rsidRPr="00A32002" w:rsidRDefault="00AF1E27" w:rsidP="00200176">
      <w:pPr>
        <w:pStyle w:val="Body"/>
        <w:rPr>
          <w:b/>
        </w:rPr>
      </w:pPr>
    </w:p>
    <w:p w:rsidR="00A32002" w:rsidRPr="0010128E" w:rsidRDefault="00A32002" w:rsidP="00A32002">
      <w:pPr>
        <w:pStyle w:val="DHHSbody"/>
        <w:rPr>
          <w:b/>
          <w:lang w:val="fr-FR"/>
        </w:rPr>
      </w:pPr>
      <w:r w:rsidRPr="0010128E">
        <w:rPr>
          <w:b/>
          <w:lang w:val="fr-FR"/>
        </w:rPr>
        <w:lastRenderedPageBreak/>
        <w:t>Key messages and recom</w:t>
      </w:r>
      <w:r>
        <w:rPr>
          <w:b/>
          <w:lang w:val="fr-FR"/>
        </w:rPr>
        <w:t>me</w:t>
      </w:r>
      <w:r w:rsidRPr="0010128E">
        <w:rPr>
          <w:b/>
          <w:lang w:val="fr-FR"/>
        </w:rPr>
        <w:t>ndations</w:t>
      </w:r>
      <w:r>
        <w:rPr>
          <w:b/>
          <w:lang w:val="fr-FR"/>
        </w:rPr>
        <w:t>:</w:t>
      </w:r>
    </w:p>
    <w:tbl>
      <w:tblPr>
        <w:tblStyle w:val="TableGrid"/>
        <w:tblW w:w="9351" w:type="dxa"/>
        <w:tblLook w:val="04A0" w:firstRow="1" w:lastRow="0" w:firstColumn="1" w:lastColumn="0" w:noHBand="0" w:noVBand="1"/>
      </w:tblPr>
      <w:tblGrid>
        <w:gridCol w:w="2405"/>
        <w:gridCol w:w="6946"/>
      </w:tblGrid>
      <w:tr w:rsidR="001A1368" w:rsidRPr="001A1368" w:rsidTr="006F7332">
        <w:tc>
          <w:tcPr>
            <w:tcW w:w="2405" w:type="dxa"/>
          </w:tcPr>
          <w:p w:rsidR="001A1368" w:rsidRPr="001A1368" w:rsidRDefault="001A1368" w:rsidP="001A1368">
            <w:pPr>
              <w:spacing w:before="80" w:after="60"/>
              <w:rPr>
                <w:rFonts w:ascii="Arial" w:hAnsi="Arial"/>
                <w:b/>
                <w:color w:val="53565A"/>
                <w:sz w:val="21"/>
              </w:rPr>
            </w:pPr>
            <w:r w:rsidRPr="001A1368">
              <w:rPr>
                <w:rFonts w:ascii="Arial" w:hAnsi="Arial"/>
                <w:b/>
                <w:color w:val="53565A"/>
                <w:sz w:val="21"/>
              </w:rPr>
              <w:t>Area</w:t>
            </w:r>
          </w:p>
        </w:tc>
        <w:tc>
          <w:tcPr>
            <w:tcW w:w="6946" w:type="dxa"/>
          </w:tcPr>
          <w:p w:rsidR="001A1368" w:rsidRPr="001A1368" w:rsidRDefault="001A1368" w:rsidP="001A1368">
            <w:pPr>
              <w:spacing w:before="80" w:after="60"/>
              <w:rPr>
                <w:rFonts w:ascii="Arial" w:hAnsi="Arial"/>
                <w:b/>
                <w:color w:val="53565A"/>
                <w:sz w:val="21"/>
              </w:rPr>
            </w:pPr>
            <w:r w:rsidRPr="001A1368">
              <w:rPr>
                <w:rFonts w:ascii="Arial" w:hAnsi="Arial"/>
                <w:b/>
                <w:color w:val="53565A"/>
                <w:sz w:val="21"/>
              </w:rPr>
              <w:t>Recommendation</w:t>
            </w:r>
          </w:p>
        </w:tc>
      </w:tr>
      <w:tr w:rsidR="001A1368" w:rsidRPr="001A1368" w:rsidTr="006F7332">
        <w:tc>
          <w:tcPr>
            <w:tcW w:w="2405" w:type="dxa"/>
          </w:tcPr>
          <w:p w:rsidR="001A1368" w:rsidRPr="001A1368" w:rsidRDefault="001A1368" w:rsidP="001A1368">
            <w:pPr>
              <w:spacing w:before="80" w:after="60"/>
              <w:rPr>
                <w:rFonts w:ascii="Arial" w:hAnsi="Arial"/>
                <w:sz w:val="21"/>
              </w:rPr>
            </w:pPr>
            <w:r w:rsidRPr="001A1368">
              <w:rPr>
                <w:rFonts w:ascii="Arial" w:hAnsi="Arial"/>
                <w:sz w:val="21"/>
              </w:rPr>
              <w:t>Governance</w:t>
            </w:r>
          </w:p>
        </w:tc>
        <w:tc>
          <w:tcPr>
            <w:tcW w:w="6946" w:type="dxa"/>
          </w:tcPr>
          <w:p w:rsidR="001A1368" w:rsidRPr="001A1368" w:rsidRDefault="001A1368" w:rsidP="001A1368">
            <w:pPr>
              <w:spacing w:before="80" w:after="60"/>
              <w:rPr>
                <w:rFonts w:ascii="Arial" w:hAnsi="Arial"/>
                <w:sz w:val="21"/>
              </w:rPr>
            </w:pPr>
            <w:r w:rsidRPr="001A1368">
              <w:rPr>
                <w:rFonts w:ascii="Arial" w:hAnsi="Arial"/>
                <w:sz w:val="21"/>
              </w:rPr>
              <w:t>Health services should have a clear process to report and investigate transfusion reactions using both laboratory and clinical investigation.</w:t>
            </w:r>
          </w:p>
        </w:tc>
      </w:tr>
      <w:tr w:rsidR="001A1368" w:rsidRPr="001A1368" w:rsidTr="006F7332">
        <w:tc>
          <w:tcPr>
            <w:tcW w:w="2405" w:type="dxa"/>
          </w:tcPr>
          <w:p w:rsidR="001A1368" w:rsidRPr="001A1368" w:rsidRDefault="001A1368" w:rsidP="001A1368">
            <w:pPr>
              <w:spacing w:before="80" w:after="60"/>
              <w:rPr>
                <w:rFonts w:ascii="Arial" w:hAnsi="Arial"/>
                <w:sz w:val="21"/>
              </w:rPr>
            </w:pPr>
            <w:r w:rsidRPr="001A1368">
              <w:rPr>
                <w:rFonts w:ascii="Arial" w:hAnsi="Arial"/>
                <w:sz w:val="21"/>
              </w:rPr>
              <w:t>Clinical</w:t>
            </w:r>
          </w:p>
        </w:tc>
        <w:tc>
          <w:tcPr>
            <w:tcW w:w="6946" w:type="dxa"/>
          </w:tcPr>
          <w:p w:rsidR="001A1368" w:rsidRPr="001A1368" w:rsidRDefault="001A1368" w:rsidP="001A1368">
            <w:pPr>
              <w:spacing w:before="80" w:after="60"/>
              <w:rPr>
                <w:rFonts w:ascii="Arial" w:hAnsi="Arial"/>
                <w:sz w:val="21"/>
              </w:rPr>
            </w:pPr>
            <w:r w:rsidRPr="001A1368">
              <w:rPr>
                <w:rFonts w:ascii="Arial" w:hAnsi="Arial"/>
                <w:sz w:val="21"/>
              </w:rPr>
              <w:t>Blood products should only be administered where there is a clear indication for their use and benefit to the patient (case study 3).</w:t>
            </w:r>
          </w:p>
          <w:p w:rsidR="001A1368" w:rsidRPr="001A1368" w:rsidRDefault="001A1368" w:rsidP="001A1368">
            <w:pPr>
              <w:spacing w:before="80" w:after="60"/>
              <w:rPr>
                <w:rFonts w:ascii="Arial" w:hAnsi="Arial"/>
                <w:sz w:val="21"/>
              </w:rPr>
            </w:pPr>
            <w:r w:rsidRPr="001A1368">
              <w:rPr>
                <w:rFonts w:ascii="Arial" w:hAnsi="Arial"/>
                <w:sz w:val="21"/>
              </w:rPr>
              <w:t>A unit of blood disconnected from the patient for any reason should not be recommenced. This is both an infection-control risk as well as a risk of recommencing on the wrong patient if identity checks are not re-performed (case study 13).</w:t>
            </w:r>
          </w:p>
        </w:tc>
      </w:tr>
      <w:tr w:rsidR="001A1368" w:rsidRPr="001A1368" w:rsidTr="006F7332">
        <w:tc>
          <w:tcPr>
            <w:tcW w:w="2405" w:type="dxa"/>
          </w:tcPr>
          <w:p w:rsidR="001A1368" w:rsidRPr="001A1368" w:rsidRDefault="001A1368" w:rsidP="001A1368">
            <w:pPr>
              <w:spacing w:before="80" w:after="60"/>
              <w:rPr>
                <w:rFonts w:ascii="Arial" w:hAnsi="Arial"/>
                <w:sz w:val="21"/>
              </w:rPr>
            </w:pPr>
            <w:r w:rsidRPr="001A1368">
              <w:rPr>
                <w:rFonts w:ascii="Arial" w:hAnsi="Arial"/>
                <w:sz w:val="21"/>
              </w:rPr>
              <w:t>Procedural</w:t>
            </w:r>
          </w:p>
        </w:tc>
        <w:tc>
          <w:tcPr>
            <w:tcW w:w="6946" w:type="dxa"/>
          </w:tcPr>
          <w:p w:rsidR="001A1368" w:rsidRPr="001A1368" w:rsidRDefault="001A1368" w:rsidP="001A1368">
            <w:pPr>
              <w:spacing w:before="80" w:after="60"/>
              <w:rPr>
                <w:rFonts w:ascii="Arial" w:hAnsi="Arial"/>
                <w:sz w:val="21"/>
              </w:rPr>
            </w:pPr>
            <w:r w:rsidRPr="001A1368">
              <w:rPr>
                <w:rFonts w:ascii="Arial" w:hAnsi="Arial"/>
                <w:sz w:val="21"/>
              </w:rPr>
              <w:t>Staff should be educated to inform the laboratory when a WBIT is identified, so that all specimens/results can be withdrawn, for both patients involved in the error. It is important to ensure wrong or misleading results do not remain in affected patients’ records.</w:t>
            </w:r>
          </w:p>
          <w:p w:rsidR="001A1368" w:rsidRPr="001A1368" w:rsidRDefault="001A1368" w:rsidP="001A1368">
            <w:pPr>
              <w:spacing w:before="80" w:after="60"/>
              <w:rPr>
                <w:rFonts w:ascii="Arial" w:hAnsi="Arial"/>
                <w:sz w:val="21"/>
              </w:rPr>
            </w:pPr>
            <w:r w:rsidRPr="001A1368">
              <w:rPr>
                <w:rFonts w:ascii="Arial" w:hAnsi="Arial"/>
                <w:sz w:val="21"/>
              </w:rPr>
              <w:t xml:space="preserve">When determining the need for </w:t>
            </w:r>
            <w:proofErr w:type="spellStart"/>
            <w:r w:rsidRPr="001A1368">
              <w:rPr>
                <w:rFonts w:ascii="Arial" w:hAnsi="Arial"/>
                <w:sz w:val="21"/>
              </w:rPr>
              <w:t>RhD</w:t>
            </w:r>
            <w:proofErr w:type="spellEnd"/>
            <w:r w:rsidRPr="001A1368">
              <w:rPr>
                <w:rFonts w:ascii="Arial" w:hAnsi="Arial"/>
                <w:sz w:val="21"/>
              </w:rPr>
              <w:t xml:space="preserve"> immunoglobulin for women, clinicians should refer to the laboratory information on blood group and not rely on information transcribed into the patient record or in letters or care plans. Transcription errors can cause missed doses of immunoglobulin, putting subsequent pregnancies at risk (case study 18).</w:t>
            </w:r>
          </w:p>
          <w:p w:rsidR="001A1368" w:rsidRPr="001A1368" w:rsidRDefault="001A1368" w:rsidP="001A1368">
            <w:pPr>
              <w:spacing w:before="80" w:after="60"/>
              <w:rPr>
                <w:rFonts w:ascii="Arial" w:hAnsi="Arial"/>
                <w:sz w:val="21"/>
              </w:rPr>
            </w:pPr>
            <w:r w:rsidRPr="001A1368">
              <w:rPr>
                <w:rFonts w:ascii="Arial" w:hAnsi="Arial"/>
                <w:sz w:val="21"/>
              </w:rPr>
              <w:t>This year, there were fewer near-miss events reported. One explanation for this may be because staff see this as something that does not need reporting due to a perceived lack of harm to the patient. However, this is an opportunity to learn how our systems are functioning, where things could potentially go wrong and how we can prevent them. Staff should be educated to report near-miss events.</w:t>
            </w:r>
          </w:p>
        </w:tc>
      </w:tr>
      <w:tr w:rsidR="001A1368" w:rsidRPr="001A1368" w:rsidTr="006F7332">
        <w:tc>
          <w:tcPr>
            <w:tcW w:w="2405" w:type="dxa"/>
          </w:tcPr>
          <w:p w:rsidR="001A1368" w:rsidRPr="001A1368" w:rsidRDefault="001A1368" w:rsidP="001A1368">
            <w:pPr>
              <w:spacing w:before="80" w:after="60"/>
              <w:rPr>
                <w:rFonts w:ascii="Arial" w:hAnsi="Arial"/>
                <w:sz w:val="21"/>
              </w:rPr>
            </w:pPr>
            <w:r w:rsidRPr="001A1368">
              <w:rPr>
                <w:rFonts w:ascii="Arial" w:hAnsi="Arial"/>
                <w:sz w:val="21"/>
              </w:rPr>
              <w:t>Patient identification</w:t>
            </w:r>
          </w:p>
        </w:tc>
        <w:tc>
          <w:tcPr>
            <w:tcW w:w="6946" w:type="dxa"/>
          </w:tcPr>
          <w:p w:rsidR="001A1368" w:rsidRPr="001A1368" w:rsidRDefault="001A1368" w:rsidP="001A1368">
            <w:pPr>
              <w:spacing w:before="80" w:after="60"/>
              <w:rPr>
                <w:rFonts w:ascii="Arial" w:hAnsi="Arial"/>
                <w:sz w:val="21"/>
              </w:rPr>
            </w:pPr>
            <w:r w:rsidRPr="001A1368">
              <w:rPr>
                <w:rFonts w:ascii="Arial" w:hAnsi="Arial"/>
                <w:sz w:val="21"/>
              </w:rPr>
              <w:t>Positive patient identification is crucial at every step in the transfusion process (case studies 11 and 12).</w:t>
            </w:r>
          </w:p>
          <w:p w:rsidR="001A1368" w:rsidRPr="001A1368" w:rsidRDefault="001A1368" w:rsidP="001A1368">
            <w:pPr>
              <w:spacing w:before="80" w:after="60"/>
              <w:rPr>
                <w:rFonts w:ascii="Arial" w:hAnsi="Arial"/>
                <w:sz w:val="21"/>
              </w:rPr>
            </w:pPr>
            <w:r w:rsidRPr="001A1368">
              <w:rPr>
                <w:rFonts w:ascii="Arial" w:hAnsi="Arial"/>
                <w:sz w:val="21"/>
              </w:rPr>
              <w:t>Health services should ensure that procedures for the identification and registration of patients are consistent and meet minimum requirements for identification to prevent registration errors that confuse patient details. (case studies 15; 16)</w:t>
            </w:r>
          </w:p>
        </w:tc>
      </w:tr>
    </w:tbl>
    <w:p w:rsidR="00A32002" w:rsidRDefault="00A32002" w:rsidP="00200176">
      <w:pPr>
        <w:pStyle w:val="Body"/>
      </w:pPr>
      <w:bookmarkStart w:id="0" w:name="_GoBack"/>
      <w:bookmarkEnd w:id="0"/>
    </w:p>
    <w:p w:rsidR="00A32002" w:rsidRPr="00AF1E27" w:rsidRDefault="00A32002" w:rsidP="00A32002">
      <w:pPr>
        <w:pStyle w:val="DHHSbody"/>
        <w:rPr>
          <w:b/>
          <w:noProof/>
          <w:sz w:val="22"/>
          <w:szCs w:val="24"/>
        </w:rPr>
      </w:pPr>
      <w:r w:rsidRPr="00AF1E27">
        <w:rPr>
          <w:b/>
          <w:noProof/>
          <w:sz w:val="22"/>
          <w:szCs w:val="24"/>
        </w:rPr>
        <w:t>The full STIR report is available on the Blood Matters website</w:t>
      </w:r>
    </w:p>
    <w:p w:rsidR="00A32002" w:rsidRPr="00AF1E27" w:rsidRDefault="00A32002" w:rsidP="00A32002">
      <w:pPr>
        <w:pStyle w:val="DHHSbody"/>
        <w:rPr>
          <w:b/>
          <w:bCs/>
          <w:noProof/>
          <w:color w:val="C00000"/>
          <w:sz w:val="22"/>
          <w:szCs w:val="24"/>
        </w:rPr>
      </w:pPr>
      <w:r w:rsidRPr="00AF1E27">
        <w:rPr>
          <w:b/>
          <w:bCs/>
          <w:noProof/>
          <w:color w:val="C00000"/>
          <w:sz w:val="22"/>
          <w:szCs w:val="24"/>
        </w:rPr>
        <w:t>https://www2.health.vic.gov.au/hospitals-and-health-services/patient-care/speciality-diagnostics-therapeutics/blood-matters/serious-transfusion-incidents</w:t>
      </w:r>
    </w:p>
    <w:p w:rsidR="00A32002" w:rsidRPr="00200176" w:rsidRDefault="00A32002"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rsidTr="00EC40D5">
        <w:tc>
          <w:tcPr>
            <w:tcW w:w="10194" w:type="dxa"/>
          </w:tcPr>
          <w:p w:rsidR="00AF1E27" w:rsidRPr="00AF1E27" w:rsidRDefault="00AF1E27" w:rsidP="00AF1E27">
            <w:pPr>
              <w:autoSpaceDE w:val="0"/>
              <w:autoSpaceDN w:val="0"/>
              <w:adjustRightInd w:val="0"/>
              <w:rPr>
                <w:rFonts w:ascii="Arial" w:hAnsi="Arial" w:cs="Arial"/>
                <w:color w:val="000000"/>
                <w:sz w:val="19"/>
                <w:szCs w:val="19"/>
                <w:lang w:eastAsia="en-AU"/>
              </w:rPr>
            </w:pPr>
            <w:bookmarkStart w:id="1" w:name="_Hlk37240926"/>
            <w:r w:rsidRPr="00AF1E27">
              <w:rPr>
                <w:rFonts w:ascii="Arial" w:hAnsi="Arial" w:cs="Arial"/>
                <w:color w:val="000000"/>
                <w:sz w:val="19"/>
                <w:szCs w:val="19"/>
                <w:lang w:eastAsia="en-AU"/>
              </w:rPr>
              <w:t>To receive this document in another format, phone 03 9694 0102,</w:t>
            </w:r>
            <w:r>
              <w:rPr>
                <w:rFonts w:ascii="Arial" w:hAnsi="Arial" w:cs="Arial"/>
                <w:color w:val="000000"/>
                <w:sz w:val="19"/>
                <w:szCs w:val="19"/>
                <w:lang w:eastAsia="en-AU"/>
              </w:rPr>
              <w:t xml:space="preserve"> </w:t>
            </w:r>
            <w:r w:rsidRPr="00AF1E27">
              <w:rPr>
                <w:rFonts w:ascii="Arial" w:hAnsi="Arial" w:cs="Arial"/>
                <w:color w:val="000000"/>
                <w:sz w:val="19"/>
                <w:szCs w:val="19"/>
                <w:lang w:eastAsia="en-AU"/>
              </w:rPr>
              <w:t>using the National Relay Service 13 36 77 if required, or email</w:t>
            </w:r>
            <w:r>
              <w:rPr>
                <w:rFonts w:ascii="Arial" w:hAnsi="Arial" w:cs="Arial"/>
                <w:color w:val="000000"/>
                <w:sz w:val="19"/>
                <w:szCs w:val="19"/>
                <w:lang w:eastAsia="en-AU"/>
              </w:rPr>
              <w:t xml:space="preserve"> </w:t>
            </w:r>
            <w:r w:rsidRPr="00AF1E27">
              <w:rPr>
                <w:rFonts w:ascii="Arial" w:hAnsi="Arial" w:cs="Arial"/>
                <w:color w:val="000000"/>
                <w:sz w:val="19"/>
                <w:szCs w:val="19"/>
                <w:lang w:eastAsia="en-AU"/>
              </w:rPr>
              <w:t xml:space="preserve">Blood Matters </w:t>
            </w:r>
            <w:r w:rsidRPr="00AF1E27">
              <w:rPr>
                <w:rFonts w:ascii="Arial" w:hAnsi="Arial" w:cs="Arial"/>
                <w:color w:val="BB0000"/>
                <w:sz w:val="19"/>
                <w:szCs w:val="19"/>
                <w:lang w:eastAsia="en-AU"/>
              </w:rPr>
              <w:t>bloodmattters@redcrossblood.org.au</w:t>
            </w:r>
            <w:r w:rsidRPr="00AF1E27">
              <w:rPr>
                <w:rFonts w:ascii="Arial" w:hAnsi="Arial" w:cs="Arial"/>
                <w:color w:val="000000"/>
                <w:sz w:val="19"/>
                <w:szCs w:val="19"/>
                <w:lang w:eastAsia="en-AU"/>
              </w:rPr>
              <w:t>.</w:t>
            </w:r>
          </w:p>
          <w:p w:rsidR="00AF1E27" w:rsidRPr="00AF1E27" w:rsidRDefault="00AF1E27" w:rsidP="00AF1E27">
            <w:pPr>
              <w:autoSpaceDE w:val="0"/>
              <w:autoSpaceDN w:val="0"/>
              <w:adjustRightInd w:val="0"/>
              <w:rPr>
                <w:rFonts w:ascii="Arial" w:hAnsi="Arial" w:cs="Arial"/>
                <w:color w:val="000000"/>
                <w:sz w:val="16"/>
                <w:szCs w:val="16"/>
                <w:lang w:eastAsia="en-AU"/>
              </w:rPr>
            </w:pPr>
            <w:r w:rsidRPr="00AF1E27">
              <w:rPr>
                <w:rFonts w:ascii="Arial" w:hAnsi="Arial" w:cs="Arial"/>
                <w:color w:val="000000"/>
                <w:sz w:val="16"/>
                <w:szCs w:val="16"/>
                <w:lang w:eastAsia="en-AU"/>
              </w:rPr>
              <w:t>Authorised and published by the Victorian Government, 1 Treasury Place, Melbourne.</w:t>
            </w:r>
            <w:r>
              <w:rPr>
                <w:rFonts w:ascii="Arial" w:hAnsi="Arial" w:cs="Arial"/>
                <w:color w:val="000000"/>
                <w:sz w:val="16"/>
                <w:szCs w:val="16"/>
                <w:lang w:eastAsia="en-AU"/>
              </w:rPr>
              <w:t xml:space="preserve"> </w:t>
            </w:r>
            <w:r w:rsidRPr="00AF1E27">
              <w:rPr>
                <w:rFonts w:ascii="Arial" w:hAnsi="Arial" w:cs="Arial"/>
                <w:color w:val="000000"/>
                <w:sz w:val="16"/>
                <w:szCs w:val="16"/>
                <w:lang w:eastAsia="en-AU"/>
              </w:rPr>
              <w:t>© State of Victoria, Australia, Department of Health, September 2021.</w:t>
            </w:r>
          </w:p>
          <w:p w:rsidR="00AF1E27" w:rsidRPr="00AF1E27" w:rsidRDefault="00AF1E27" w:rsidP="00AF1E27">
            <w:pPr>
              <w:autoSpaceDE w:val="0"/>
              <w:autoSpaceDN w:val="0"/>
              <w:adjustRightInd w:val="0"/>
              <w:rPr>
                <w:rFonts w:ascii="Arial" w:hAnsi="Arial" w:cs="Arial"/>
                <w:color w:val="000000"/>
                <w:sz w:val="16"/>
                <w:szCs w:val="16"/>
                <w:lang w:eastAsia="en-AU"/>
              </w:rPr>
            </w:pPr>
            <w:r w:rsidRPr="00AF1E27">
              <w:rPr>
                <w:rFonts w:ascii="Arial" w:hAnsi="Arial" w:cs="Arial"/>
                <w:color w:val="000000"/>
                <w:sz w:val="16"/>
                <w:szCs w:val="16"/>
                <w:lang w:eastAsia="en-AU"/>
              </w:rPr>
              <w:t>ISSN 2651-8872 – Online (pdf / word) format</w:t>
            </w:r>
          </w:p>
          <w:p w:rsidR="00AF1E27" w:rsidRPr="00AF1E27" w:rsidRDefault="00AF1E27" w:rsidP="00AF1E27">
            <w:pPr>
              <w:autoSpaceDE w:val="0"/>
              <w:autoSpaceDN w:val="0"/>
              <w:adjustRightInd w:val="0"/>
              <w:rPr>
                <w:rFonts w:ascii="Arial" w:hAnsi="Arial" w:cs="Arial"/>
                <w:color w:val="BB0000"/>
                <w:sz w:val="16"/>
                <w:szCs w:val="16"/>
                <w:lang w:eastAsia="en-AU"/>
              </w:rPr>
            </w:pPr>
            <w:r w:rsidRPr="00AF1E27">
              <w:rPr>
                <w:rFonts w:ascii="Arial" w:hAnsi="Arial" w:cs="Arial"/>
                <w:color w:val="000000"/>
                <w:sz w:val="16"/>
                <w:szCs w:val="16"/>
                <w:lang w:eastAsia="en-AU"/>
              </w:rPr>
              <w:t>Available at Blood Matters &lt;</w:t>
            </w:r>
            <w:r w:rsidRPr="00AF1E27">
              <w:rPr>
                <w:rFonts w:ascii="Arial" w:hAnsi="Arial" w:cs="Arial"/>
                <w:color w:val="BB0000"/>
                <w:sz w:val="16"/>
                <w:szCs w:val="16"/>
                <w:lang w:eastAsia="en-AU"/>
              </w:rPr>
              <w:t>https://www2.health.vic.gov.au/hospitals-and-healthservices/patient-care/speciality-diagnostics-therapeutics/blood-matters</w:t>
            </w:r>
            <w:r w:rsidRPr="00AF1E27">
              <w:rPr>
                <w:rFonts w:ascii="Arial" w:hAnsi="Arial" w:cs="Arial"/>
                <w:color w:val="000000"/>
                <w:sz w:val="16"/>
                <w:szCs w:val="16"/>
                <w:lang w:eastAsia="en-AU"/>
              </w:rPr>
              <w:t>&gt;</w:t>
            </w:r>
          </w:p>
          <w:p w:rsidR="0055119B" w:rsidRDefault="00AF1E27" w:rsidP="00AF1E27">
            <w:pPr>
              <w:pStyle w:val="Imprint"/>
            </w:pPr>
            <w:r w:rsidRPr="00AF1E27">
              <w:rPr>
                <w:rFonts w:cs="Arial"/>
                <w:color w:val="000000"/>
                <w:sz w:val="16"/>
                <w:szCs w:val="16"/>
                <w:lang w:eastAsia="en-AU"/>
              </w:rPr>
              <w:t>(DH 2109105)</w:t>
            </w:r>
          </w:p>
        </w:tc>
      </w:tr>
      <w:bookmarkEnd w:id="1"/>
    </w:tbl>
    <w:p w:rsidR="00162CA9" w:rsidRDefault="00162CA9" w:rsidP="00162CA9">
      <w:pPr>
        <w:pStyle w:val="Body"/>
      </w:pPr>
    </w:p>
    <w:sectPr w:rsidR="00162CA9" w:rsidSect="0001677A">
      <w:footerReference w:type="default" r:id="rId25"/>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8E0" w:rsidRDefault="008328E0">
      <w:r>
        <w:separator/>
      </w:r>
    </w:p>
  </w:endnote>
  <w:endnote w:type="continuationSeparator" w:id="0">
    <w:p w:rsidR="008328E0" w:rsidRDefault="0083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5A1D7F30" wp14:editId="4A1AE4E2">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8E609C2" wp14:editId="654CEAF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Default="00E261B3">
    <w:pPr>
      <w:pStyle w:val="Footer"/>
    </w:pPr>
    <w:r>
      <w:rPr>
        <w:noProof/>
      </w:rPr>
      <mc:AlternateContent>
        <mc:Choice Requires="wps">
          <w:drawing>
            <wp:anchor distT="0" distB="0" distL="114300" distR="114300" simplePos="0" relativeHeight="251670016" behindDoc="0" locked="0" layoutInCell="0" allowOverlap="1" wp14:anchorId="2EA8939E" wp14:editId="1433DAF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VwcWhhcDAAA+BgAADgAAAAAAAAAAAAAA&#10;AAAuAgAAZHJzL2Uyb0RvYy54bWxQSwECLQAUAAYACAAAACEAL5BIl+AAAAALAQAADwAAAAAAAAAA&#10;AAAAAABxBQAAZHJzL2Rvd25yZXYueG1sUEsFBgAAAAAEAAQA8wAAAH4GA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5E102397" wp14:editId="12708F72">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19CFE74E" wp14:editId="689A266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CFE74E" id="_x0000_t202" coordsize="21600,21600" o:spt="202" path="m,l,21600r21600,l21600,xe">
              <v:stroke joinstyle="miter"/>
              <v:path gradientshapeok="t" o:connecttype="rect"/>
            </v:shapetype>
            <v:shape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CeGAMAADwGAAAOAAAAZHJzL2Uyb0RvYy54bWysVE1v2zAMvQ/YfzB02Gmp7cRxbK9OkabI&#10;ViBtA6RDz4osx8JsyZWUxFnR/z5KttOP7TAMu0gUSVHk4xPPL5qqdPZUKiZ4ivwzDzmUE5Exvk3R&#10;9/vFIEKO0phnuBScpuhIFbqYfvxwfqgTOhSFKDMqHQjCVXKoU1RoXSeuq0hBK6zORE05GHMhK6zh&#10;KLduJvEBolelO/S80D0ImdVSEKoUaK9aI5ra+HlOib7Lc0W1U6YIctN2lXbdmNWdnuNkK3FdMNKl&#10;gf8hiwozDo+eQl1hjZ2dZL+FqhiRQolcnxFRuSLPGaG2BqjG995Vsy5wTW0tAI6qTzCp/xeW3O5X&#10;0mFZiibI4biCFt2sr1fzmzyYjIJRmOEoimIAmmbjMIgoYJhRRQDBp0+PO6G/fMOqmIuMtqck9oLJ&#10;OBqF/ufOTNm20J0xCoAgneGBZbro9ON4fNKvSkxoRXl/p3VZCKGpbOUuwDXPaNMFaLeVZBWWxzde&#10;a2AAULPzG3V370XdabzTw0ua92+C8tkw41CrBABa1wCRbi5FAwzv9QqUpuFNLiuzQysdsAM+xxOv&#10;aKMdAsrJOPRGPpgI2Ea+P4nGJoz7cruWSn+lonKMkCIJWVs64f1S6da1dzGPcbFgZWm5W3LnkKJw&#10;NPbshZMFgpfc+EISEKOTWk4+xf4w8C6H8WARRpNBsAjGg3jiRQPPjy/j0Avi4GrxbOL5QVKwLKN8&#10;yTjt/4cf/B3/up/aMtv+kDepKlGyzNRhcjPVzUvp7DF81A1w4EeH0Csv9206FkCort9tla7pWdsb&#10;I+lm01h2D/u+bUR2hHZKATBDR1RNFgzeXmKlV1jC3wclzDN9B0teCsBWdBJyCiF//klv/AESsCLn&#10;ALMkRepxhyVFTnnN4bPGfhBAWG0PIMjX2k2v5btqLqB632ZlReOry17MpageYNzNzGtgwpzAmwBX&#10;L841nMAA45LQ2czKMGZqrJd8XRMTusf6vnnAsu7opgHFW9FPG5y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RlZAnhgDAAA8BgAADgAAAAAAAAAAAAAA&#10;AAAuAgAAZHJzL2Uyb0RvYy54bWxQSwECLQAUAAYACAAAACEASA1emt8AAAALAQAADwAAAAAAAAAA&#10;AAAAAAByBQAAZHJzL2Rvd25yZXYueG1sUEsFBgAAAAAEAAQA8wAAAH4GAAAAAA==&#10;" o:allowincell="f" filled="f" stroked="f" strokeweight=".5pt">
              <v:textbox inset=",0,,0">
                <w:txbxContent>
                  <w:p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8E0" w:rsidRDefault="008328E0" w:rsidP="002862F1">
      <w:pPr>
        <w:spacing w:before="120"/>
      </w:pPr>
      <w:r>
        <w:separator/>
      </w:r>
    </w:p>
  </w:footnote>
  <w:footnote w:type="continuationSeparator" w:id="0">
    <w:p w:rsidR="008328E0" w:rsidRDefault="0083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E0"/>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6DF"/>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368"/>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361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8E0"/>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200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1E2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EE572B2-02D4-47D7-87CB-F830316A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A32002"/>
    <w:rPr>
      <w:rFonts w:ascii="Cambria" w:hAnsi="Cambria"/>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qFormat/>
    <w:rsid w:val="00A32002"/>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0.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0.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0.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1\Branding%20and%20templates\New%20templates%20July%202021\Blood%20Matters%20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www.w3.org/XML/1998/namespace"/>
    <ds:schemaRef ds:uri="http://schemas.microsoft.com/office/2006/documentManagement/types"/>
    <ds:schemaRef ds:uri="http://purl.org/dc/terms/"/>
    <ds:schemaRef ds:uri="http://schemas.microsoft.com/office/2006/metadata/properties"/>
    <ds:schemaRef ds:uri="f9efe166-4f28-4f85-8235-ea2c89133434"/>
    <ds:schemaRef ds:uri="71bad440-a7e7-46c6-81bd-18ed54663c6a"/>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B5F5BEA-9AF9-49DA-A727-E773DB11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Blood Matters DH red factsheet</Template>
  <TotalTime>2</TotalTime>
  <Pages>2</Pages>
  <Words>413</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Blood Matters DH red factsheet</vt:lpstr>
    </vt:vector>
  </TitlesOfParts>
  <Manager/>
  <Company>Victoria State Government, Department of Health, Blood Matters</Company>
  <LinksUpToDate>false</LinksUpToDate>
  <CharactersWithSpaces>3094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DH red factsheet</dc:title>
  <dc:subject/>
  <dc:creator>Bielby, Linley (VIC)</dc:creator>
  <cp:keywords/>
  <dc:description/>
  <cp:lastModifiedBy>Linley Bielby</cp:lastModifiedBy>
  <cp:revision>3</cp:revision>
  <cp:lastPrinted>2020-03-30T03:28:00Z</cp:lastPrinted>
  <dcterms:created xsi:type="dcterms:W3CDTF">2021-10-27T02:49:00Z</dcterms:created>
  <dcterms:modified xsi:type="dcterms:W3CDTF">2021-10-27T02:51:00Z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