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FC543" w14:textId="77777777" w:rsidR="00002990" w:rsidRPr="003072C6" w:rsidRDefault="00AF20D7" w:rsidP="00A55989">
      <w:pPr>
        <w:pStyle w:val="DHHSbodynospace"/>
      </w:pPr>
      <w:r>
        <w:rPr>
          <w:noProof/>
          <w:lang w:eastAsia="en-AU"/>
        </w:rPr>
        <w:drawing>
          <wp:anchor distT="0" distB="0" distL="114300" distR="114300" simplePos="0" relativeHeight="251658240" behindDoc="1" locked="1" layoutInCell="1" allowOverlap="1" wp14:anchorId="7836508A" wp14:editId="11689C49">
            <wp:simplePos x="0" y="0"/>
            <wp:positionH relativeFrom="page">
              <wp:posOffset>0</wp:posOffset>
            </wp:positionH>
            <wp:positionV relativeFrom="page">
              <wp:posOffset>0</wp:posOffset>
            </wp:positionV>
            <wp:extent cx="7560000" cy="10692000"/>
            <wp:effectExtent l="0" t="0" r="3175" b="0"/>
            <wp:wrapNone/>
            <wp:docPr id="5" name="Picture 5">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tbl>
      <w:tblPr>
        <w:tblW w:w="7938" w:type="dxa"/>
        <w:tblInd w:w="113" w:type="dxa"/>
        <w:tblCellMar>
          <w:left w:w="0" w:type="dxa"/>
          <w:right w:w="0" w:type="dxa"/>
        </w:tblCellMar>
        <w:tblLook w:val="0600" w:firstRow="0" w:lastRow="0" w:firstColumn="0" w:lastColumn="0" w:noHBand="1" w:noVBand="1"/>
      </w:tblPr>
      <w:tblGrid>
        <w:gridCol w:w="7938"/>
      </w:tblGrid>
      <w:tr w:rsidR="001817CD" w:rsidRPr="003072C6" w14:paraId="03E634EC" w14:textId="77777777" w:rsidTr="00C0160A">
        <w:trPr>
          <w:trHeight w:val="3988"/>
        </w:trPr>
        <w:tc>
          <w:tcPr>
            <w:tcW w:w="7938" w:type="dxa"/>
            <w:shd w:val="clear" w:color="auto" w:fill="auto"/>
          </w:tcPr>
          <w:p w14:paraId="655F6418" w14:textId="77777777" w:rsidR="0088429D" w:rsidRDefault="0088429D" w:rsidP="00E91933">
            <w:pPr>
              <w:pStyle w:val="DHHSreportsubtitleblack"/>
              <w:rPr>
                <w:color w:val="D50032"/>
                <w:sz w:val="50"/>
                <w:szCs w:val="50"/>
              </w:rPr>
            </w:pPr>
            <w:r w:rsidRPr="0088429D">
              <w:rPr>
                <w:color w:val="D50032"/>
                <w:sz w:val="50"/>
                <w:szCs w:val="50"/>
              </w:rPr>
              <w:t>STIR annual report 2018–19</w:t>
            </w:r>
          </w:p>
          <w:p w14:paraId="178FD4DF" w14:textId="77777777" w:rsidR="00444D82" w:rsidRPr="003072C6" w:rsidRDefault="0088429D" w:rsidP="00E91933">
            <w:pPr>
              <w:pStyle w:val="DHHSreportsubtitleblack"/>
            </w:pPr>
            <w:r>
              <w:t>Blood Matters program</w:t>
            </w:r>
          </w:p>
        </w:tc>
      </w:tr>
      <w:tr w:rsidR="001817CD" w:rsidRPr="003072C6" w14:paraId="70E8AB1E" w14:textId="77777777" w:rsidTr="00C0160A">
        <w:trPr>
          <w:trHeight w:val="4664"/>
        </w:trPr>
        <w:tc>
          <w:tcPr>
            <w:tcW w:w="10252" w:type="dxa"/>
            <w:shd w:val="clear" w:color="auto" w:fill="auto"/>
          </w:tcPr>
          <w:p w14:paraId="31890745" w14:textId="77777777" w:rsidR="00502B8F" w:rsidRPr="003072C6" w:rsidRDefault="00502B8F" w:rsidP="00502B8F">
            <w:pPr>
              <w:pStyle w:val="Coverinstructions"/>
            </w:pPr>
          </w:p>
        </w:tc>
      </w:tr>
    </w:tbl>
    <w:p w14:paraId="28F9A1ED" w14:textId="77777777" w:rsidR="0069374A" w:rsidRPr="00256E7C" w:rsidRDefault="0069374A" w:rsidP="00256E7C">
      <w:pPr>
        <w:pStyle w:val="DHHSbody"/>
      </w:pPr>
    </w:p>
    <w:p w14:paraId="0BC5B6AD" w14:textId="77777777" w:rsidR="00C51B1C" w:rsidRPr="00256E7C" w:rsidRDefault="00C51B1C" w:rsidP="00256E7C">
      <w:pPr>
        <w:pStyle w:val="DHHSbody"/>
        <w:sectPr w:rsidR="00C51B1C" w:rsidRPr="00256E7C" w:rsidSect="00A55989">
          <w:footerReference w:type="default" r:id="rId9"/>
          <w:type w:val="oddPage"/>
          <w:pgSz w:w="11906" w:h="16838"/>
          <w:pgMar w:top="3969" w:right="1304" w:bottom="1134" w:left="1304" w:header="454" w:footer="567" w:gutter="0"/>
          <w:cols w:space="720"/>
          <w:docGrid w:linePitch="360"/>
        </w:sectPr>
      </w:pPr>
    </w:p>
    <w:p w14:paraId="3AFDB974" w14:textId="77777777" w:rsidR="00256E7C" w:rsidRPr="00256E7C" w:rsidRDefault="00256E7C" w:rsidP="00256E7C">
      <w:pPr>
        <w:pStyle w:val="DHHSbody"/>
      </w:pPr>
      <w:r w:rsidRPr="00256E7C">
        <w:lastRenderedPageBreak/>
        <w:br w:type="page"/>
      </w:r>
    </w:p>
    <w:tbl>
      <w:tblPr>
        <w:tblW w:w="0" w:type="auto"/>
        <w:tblInd w:w="1701" w:type="dxa"/>
        <w:tblCellMar>
          <w:left w:w="0" w:type="dxa"/>
          <w:right w:w="0" w:type="dxa"/>
        </w:tblCellMar>
        <w:tblLook w:val="0600" w:firstRow="0" w:lastRow="0" w:firstColumn="0" w:lastColumn="0" w:noHBand="1" w:noVBand="1"/>
      </w:tblPr>
      <w:tblGrid>
        <w:gridCol w:w="7597"/>
      </w:tblGrid>
      <w:tr w:rsidR="00DE24E6" w:rsidRPr="003072C6" w14:paraId="25DB6E0B" w14:textId="77777777" w:rsidTr="00DE7B07">
        <w:trPr>
          <w:trHeight w:val="7402"/>
        </w:trPr>
        <w:tc>
          <w:tcPr>
            <w:tcW w:w="7597" w:type="dxa"/>
            <w:shd w:val="clear" w:color="auto" w:fill="auto"/>
            <w:vAlign w:val="center"/>
          </w:tcPr>
          <w:p w14:paraId="32C0703B" w14:textId="77777777" w:rsidR="0088429D" w:rsidRDefault="0088429D" w:rsidP="00630937">
            <w:pPr>
              <w:pStyle w:val="DHHSreportsubtitle"/>
              <w:rPr>
                <w:color w:val="D50032"/>
                <w:sz w:val="50"/>
                <w:szCs w:val="24"/>
              </w:rPr>
            </w:pPr>
            <w:r w:rsidRPr="0088429D">
              <w:rPr>
                <w:color w:val="D50032"/>
                <w:sz w:val="50"/>
                <w:szCs w:val="24"/>
              </w:rPr>
              <w:lastRenderedPageBreak/>
              <w:t>STIR annual report 2018–</w:t>
            </w:r>
            <w:r>
              <w:rPr>
                <w:color w:val="D50032"/>
                <w:sz w:val="50"/>
                <w:szCs w:val="24"/>
              </w:rPr>
              <w:t>1</w:t>
            </w:r>
            <w:r w:rsidRPr="0088429D">
              <w:rPr>
                <w:color w:val="D50032"/>
                <w:sz w:val="50"/>
                <w:szCs w:val="24"/>
              </w:rPr>
              <w:t>9</w:t>
            </w:r>
          </w:p>
          <w:p w14:paraId="1B9E6027" w14:textId="77777777" w:rsidR="005338EA" w:rsidRPr="003072C6" w:rsidRDefault="0088429D" w:rsidP="0088429D">
            <w:pPr>
              <w:pStyle w:val="DHHSreportsubtitle"/>
            </w:pPr>
            <w:r>
              <w:t>Blood Matters program</w:t>
            </w:r>
          </w:p>
        </w:tc>
      </w:tr>
      <w:tr w:rsidR="009906C7" w:rsidRPr="003072C6" w14:paraId="5F7D1EED" w14:textId="77777777" w:rsidTr="00DE7B07">
        <w:tc>
          <w:tcPr>
            <w:tcW w:w="7597" w:type="dxa"/>
            <w:shd w:val="clear" w:color="auto" w:fill="auto"/>
            <w:vAlign w:val="center"/>
          </w:tcPr>
          <w:p w14:paraId="6E196679" w14:textId="77777777" w:rsidR="009906C7" w:rsidRPr="003072C6" w:rsidRDefault="009906C7" w:rsidP="009906C7">
            <w:pPr>
              <w:pStyle w:val="DHHSbody"/>
            </w:pPr>
          </w:p>
        </w:tc>
      </w:tr>
    </w:tbl>
    <w:p w14:paraId="5E184462" w14:textId="77777777"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600" w:firstRow="0" w:lastRow="0" w:firstColumn="0" w:lastColumn="0" w:noHBand="1" w:noVBand="1"/>
      </w:tblPr>
      <w:tblGrid>
        <w:gridCol w:w="9298"/>
      </w:tblGrid>
      <w:tr w:rsidR="00564E8F" w:rsidRPr="003072C6" w14:paraId="16C08FA8" w14:textId="77777777" w:rsidTr="00DE7B07">
        <w:trPr>
          <w:trHeight w:val="4313"/>
        </w:trPr>
        <w:tc>
          <w:tcPr>
            <w:tcW w:w="9401" w:type="dxa"/>
          </w:tcPr>
          <w:p w14:paraId="64045F15" w14:textId="77777777" w:rsidR="00564E8F" w:rsidRPr="00912C19" w:rsidRDefault="00564E8F" w:rsidP="00031263">
            <w:pPr>
              <w:pStyle w:val="DHHSbody"/>
              <w:rPr>
                <w:color w:val="007B4B"/>
                <w:sz w:val="26"/>
                <w:szCs w:val="26"/>
              </w:rPr>
            </w:pPr>
          </w:p>
        </w:tc>
      </w:tr>
      <w:tr w:rsidR="00564E8F" w:rsidRPr="003072C6" w14:paraId="3565AE96" w14:textId="77777777" w:rsidTr="00DE7B07">
        <w:trPr>
          <w:trHeight w:val="5387"/>
        </w:trPr>
        <w:tc>
          <w:tcPr>
            <w:tcW w:w="9401" w:type="dxa"/>
            <w:vAlign w:val="bottom"/>
          </w:tcPr>
          <w:p w14:paraId="7453F080" w14:textId="3F66AB3A" w:rsidR="009D4AA8" w:rsidRDefault="009D4AA8" w:rsidP="009D4AA8">
            <w:pPr>
              <w:spacing w:after="200" w:line="300" w:lineRule="atLeast"/>
              <w:rPr>
                <w:rFonts w:ascii="Arial" w:eastAsia="Times" w:hAnsi="Arial"/>
                <w:sz w:val="24"/>
                <w:szCs w:val="19"/>
              </w:rPr>
            </w:pPr>
            <w:r>
              <w:rPr>
                <w:rFonts w:ascii="Arial" w:eastAsia="Times" w:hAnsi="Arial"/>
                <w:sz w:val="24"/>
                <w:szCs w:val="19"/>
              </w:rPr>
              <w:t xml:space="preserve">To receive this publication in an accessible format phone </w:t>
            </w:r>
            <w:r w:rsidR="003D0E75">
              <w:rPr>
                <w:rFonts w:ascii="Arial" w:eastAsia="Times" w:hAnsi="Arial"/>
                <w:color w:val="007B4B"/>
                <w:sz w:val="24"/>
                <w:szCs w:val="19"/>
              </w:rPr>
              <w:t>03 9694 0102</w:t>
            </w:r>
            <w:r>
              <w:rPr>
                <w:rFonts w:ascii="Arial" w:eastAsia="Times" w:hAnsi="Arial"/>
                <w:sz w:val="24"/>
                <w:szCs w:val="19"/>
              </w:rPr>
              <w:t xml:space="preserve">, using the National Relay Service 13 36 77 if required, or email </w:t>
            </w:r>
            <w:r w:rsidR="003D0E75">
              <w:rPr>
                <w:rFonts w:ascii="Arial" w:eastAsia="Times" w:hAnsi="Arial"/>
                <w:color w:val="007B4B"/>
                <w:sz w:val="24"/>
                <w:szCs w:val="19"/>
              </w:rPr>
              <w:t>STIR</w:t>
            </w:r>
            <w:r>
              <w:rPr>
                <w:rFonts w:ascii="Arial" w:eastAsia="Times" w:hAnsi="Arial"/>
                <w:sz w:val="24"/>
                <w:szCs w:val="19"/>
              </w:rPr>
              <w:t>&lt;</w:t>
            </w:r>
            <w:r w:rsidR="003D0E75">
              <w:rPr>
                <w:rFonts w:ascii="Arial" w:eastAsia="Times" w:hAnsi="Arial"/>
                <w:color w:val="007B4B"/>
                <w:sz w:val="24"/>
                <w:szCs w:val="19"/>
              </w:rPr>
              <w:t>STIR@redcrossblood.org.au</w:t>
            </w:r>
            <w:r>
              <w:rPr>
                <w:rFonts w:ascii="Arial" w:eastAsia="Times" w:hAnsi="Arial"/>
                <w:sz w:val="24"/>
                <w:szCs w:val="19"/>
              </w:rPr>
              <w:t>&gt;.</w:t>
            </w:r>
          </w:p>
          <w:p w14:paraId="533E61D9" w14:textId="77777777" w:rsidR="00551789" w:rsidRPr="00C31117" w:rsidRDefault="00551789" w:rsidP="00551789">
            <w:pPr>
              <w:pStyle w:val="DHHSbody"/>
            </w:pPr>
            <w:r w:rsidRPr="00C31117">
              <w:t>Authorised and published by the Victorian Government, 1 Treasury Place, Melbourne.</w:t>
            </w:r>
          </w:p>
          <w:p w14:paraId="1B3CABB5" w14:textId="60C3ADCE" w:rsidR="00551789" w:rsidRPr="00C31117" w:rsidRDefault="00551789" w:rsidP="00551789">
            <w:pPr>
              <w:pStyle w:val="DHHSbody"/>
            </w:pPr>
            <w:r w:rsidRPr="00C31117">
              <w:t>© State of Victoria, Australia, Department of Health and Human Services</w:t>
            </w:r>
            <w:r w:rsidRPr="00C31117">
              <w:rPr>
                <w:color w:val="008950"/>
              </w:rPr>
              <w:t xml:space="preserve"> </w:t>
            </w:r>
            <w:r w:rsidR="00006922">
              <w:rPr>
                <w:color w:val="007B4B"/>
              </w:rPr>
              <w:t>August 2020</w:t>
            </w:r>
            <w:r w:rsidRPr="00C31117">
              <w:t>.</w:t>
            </w:r>
          </w:p>
          <w:p w14:paraId="6E31F459" w14:textId="77777777" w:rsidR="00F1796C" w:rsidRDefault="00006922" w:rsidP="00551789">
            <w:pPr>
              <w:pStyle w:val="DHHSbody"/>
            </w:pPr>
            <w:r w:rsidRPr="00006922">
              <w:rPr>
                <w:b/>
                <w:bCs/>
              </w:rPr>
              <w:t xml:space="preserve">ISSN </w:t>
            </w:r>
            <w:r w:rsidRPr="00006922">
              <w:t>2651-8872</w:t>
            </w:r>
            <w:r w:rsidRPr="00006922">
              <w:rPr>
                <w:b/>
                <w:bCs/>
              </w:rPr>
              <w:t>  - Online (pdf / word)</w:t>
            </w:r>
            <w:r w:rsidRPr="00006922">
              <w:t xml:space="preserve"> format </w:t>
            </w:r>
          </w:p>
          <w:p w14:paraId="27894786" w14:textId="759848E8" w:rsidR="00551789" w:rsidRPr="006254F8" w:rsidRDefault="00551789" w:rsidP="00551789">
            <w:pPr>
              <w:pStyle w:val="DHHSbody"/>
              <w:rPr>
                <w:color w:val="000000"/>
                <w:szCs w:val="19"/>
              </w:rPr>
            </w:pPr>
            <w:r w:rsidRPr="00C31117">
              <w:rPr>
                <w:szCs w:val="19"/>
              </w:rPr>
              <w:t xml:space="preserve">Available at </w:t>
            </w:r>
            <w:r w:rsidRPr="006254F8">
              <w:rPr>
                <w:color w:val="000000"/>
              </w:rPr>
              <w:t>&lt;</w:t>
            </w:r>
            <w:hyperlink r:id="rId10" w:history="1">
              <w:r w:rsidR="003D0E75" w:rsidRPr="003D0E75">
                <w:rPr>
                  <w:rStyle w:val="Hyperlink"/>
                </w:rPr>
                <w:t>https://www2.health.vic.gov.au/hospitals-and-health-services/patient-care/speciality-diagnostics-therapeutics/blood-matters/serious-transfusion-incidents</w:t>
              </w:r>
            </w:hyperlink>
            <w:r w:rsidRPr="006254F8">
              <w:rPr>
                <w:color w:val="000000"/>
              </w:rPr>
              <w:t>&gt;</w:t>
            </w:r>
          </w:p>
          <w:p w14:paraId="5889B15A" w14:textId="02727AD9" w:rsidR="00564E8F" w:rsidRPr="003072C6" w:rsidRDefault="001C3BDA" w:rsidP="00551789">
            <w:pPr>
              <w:pStyle w:val="DHHSbody"/>
            </w:pPr>
            <w:r>
              <w:t>(2008773)</w:t>
            </w:r>
          </w:p>
        </w:tc>
      </w:tr>
      <w:tr w:rsidR="009906C7" w:rsidRPr="003072C6" w14:paraId="06288B41" w14:textId="77777777" w:rsidTr="00DE7B07">
        <w:tc>
          <w:tcPr>
            <w:tcW w:w="9401" w:type="dxa"/>
            <w:vAlign w:val="bottom"/>
          </w:tcPr>
          <w:p w14:paraId="18E78D68" w14:textId="77777777" w:rsidR="009906C7" w:rsidRPr="003072C6" w:rsidRDefault="009906C7" w:rsidP="003741AD">
            <w:pPr>
              <w:pStyle w:val="DHHSbodynospace"/>
            </w:pPr>
          </w:p>
        </w:tc>
      </w:tr>
    </w:tbl>
    <w:p w14:paraId="5C72E021" w14:textId="77777777" w:rsidR="00ED4D17" w:rsidRPr="003072C6" w:rsidRDefault="00ED4D17" w:rsidP="003072C6">
      <w:pPr>
        <w:pStyle w:val="DHHSbody"/>
      </w:pPr>
    </w:p>
    <w:p w14:paraId="3E0D2F93" w14:textId="77777777" w:rsidR="00AC0C3B" w:rsidRPr="00711B0C" w:rsidRDefault="00AC0C3B" w:rsidP="00711B0C">
      <w:pPr>
        <w:pStyle w:val="DHHSTOCheadingreport"/>
      </w:pPr>
      <w:r w:rsidRPr="00711B0C">
        <w:lastRenderedPageBreak/>
        <w:t>Contents</w:t>
      </w:r>
    </w:p>
    <w:p w14:paraId="4DFF1A24" w14:textId="0879D50E" w:rsidR="005C2F7C"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6304632" w:history="1">
        <w:r w:rsidR="005C2F7C" w:rsidRPr="001E1412">
          <w:rPr>
            <w:rStyle w:val="Hyperlink"/>
            <w:rFonts w:eastAsia="Times"/>
          </w:rPr>
          <w:t>Acknowledgements</w:t>
        </w:r>
        <w:r w:rsidR="005C2F7C">
          <w:rPr>
            <w:webHidden/>
          </w:rPr>
          <w:tab/>
        </w:r>
        <w:r w:rsidR="005C2F7C">
          <w:rPr>
            <w:webHidden/>
          </w:rPr>
          <w:fldChar w:fldCharType="begin"/>
        </w:r>
        <w:r w:rsidR="005C2F7C">
          <w:rPr>
            <w:webHidden/>
          </w:rPr>
          <w:instrText xml:space="preserve"> PAGEREF _Toc46304632 \h </w:instrText>
        </w:r>
        <w:r w:rsidR="005C2F7C">
          <w:rPr>
            <w:webHidden/>
          </w:rPr>
        </w:r>
        <w:r w:rsidR="005C2F7C">
          <w:rPr>
            <w:webHidden/>
          </w:rPr>
          <w:fldChar w:fldCharType="separate"/>
        </w:r>
        <w:r w:rsidR="005C2F7C">
          <w:rPr>
            <w:webHidden/>
          </w:rPr>
          <w:t>6</w:t>
        </w:r>
        <w:r w:rsidR="005C2F7C">
          <w:rPr>
            <w:webHidden/>
          </w:rPr>
          <w:fldChar w:fldCharType="end"/>
        </w:r>
      </w:hyperlink>
    </w:p>
    <w:p w14:paraId="4E9AB423" w14:textId="10FE24BB" w:rsidR="005C2F7C" w:rsidRDefault="007F664A">
      <w:pPr>
        <w:pStyle w:val="TOC1"/>
        <w:rPr>
          <w:rFonts w:asciiTheme="minorHAnsi" w:eastAsiaTheme="minorEastAsia" w:hAnsiTheme="minorHAnsi" w:cstheme="minorBidi"/>
          <w:b w:val="0"/>
          <w:sz w:val="22"/>
          <w:szCs w:val="22"/>
          <w:lang w:eastAsia="en-AU"/>
        </w:rPr>
      </w:pPr>
      <w:hyperlink w:anchor="_Toc46304633" w:history="1">
        <w:r w:rsidR="005C2F7C" w:rsidRPr="001E1412">
          <w:rPr>
            <w:rStyle w:val="Hyperlink"/>
            <w:rFonts w:eastAsia="Times"/>
          </w:rPr>
          <w:t>Abbreviations and acronyms</w:t>
        </w:r>
        <w:r w:rsidR="005C2F7C">
          <w:rPr>
            <w:webHidden/>
          </w:rPr>
          <w:tab/>
        </w:r>
        <w:r w:rsidR="005C2F7C">
          <w:rPr>
            <w:webHidden/>
          </w:rPr>
          <w:fldChar w:fldCharType="begin"/>
        </w:r>
        <w:r w:rsidR="005C2F7C">
          <w:rPr>
            <w:webHidden/>
          </w:rPr>
          <w:instrText xml:space="preserve"> PAGEREF _Toc46304633 \h </w:instrText>
        </w:r>
        <w:r w:rsidR="005C2F7C">
          <w:rPr>
            <w:webHidden/>
          </w:rPr>
        </w:r>
        <w:r w:rsidR="005C2F7C">
          <w:rPr>
            <w:webHidden/>
          </w:rPr>
          <w:fldChar w:fldCharType="separate"/>
        </w:r>
        <w:r w:rsidR="005C2F7C">
          <w:rPr>
            <w:webHidden/>
          </w:rPr>
          <w:t>7</w:t>
        </w:r>
        <w:r w:rsidR="005C2F7C">
          <w:rPr>
            <w:webHidden/>
          </w:rPr>
          <w:fldChar w:fldCharType="end"/>
        </w:r>
      </w:hyperlink>
    </w:p>
    <w:p w14:paraId="1FFD937C" w14:textId="248A41F9" w:rsidR="005C2F7C" w:rsidRDefault="007F664A">
      <w:pPr>
        <w:pStyle w:val="TOC1"/>
        <w:rPr>
          <w:rFonts w:asciiTheme="minorHAnsi" w:eastAsiaTheme="minorEastAsia" w:hAnsiTheme="minorHAnsi" w:cstheme="minorBidi"/>
          <w:b w:val="0"/>
          <w:sz w:val="22"/>
          <w:szCs w:val="22"/>
          <w:lang w:eastAsia="en-AU"/>
        </w:rPr>
      </w:pPr>
      <w:hyperlink w:anchor="_Toc46304634" w:history="1">
        <w:r w:rsidR="005C2F7C" w:rsidRPr="001E1412">
          <w:rPr>
            <w:rStyle w:val="Hyperlink"/>
            <w:rFonts w:eastAsia="Times"/>
          </w:rPr>
          <w:t>Executive summary</w:t>
        </w:r>
        <w:r w:rsidR="005C2F7C">
          <w:rPr>
            <w:webHidden/>
          </w:rPr>
          <w:tab/>
        </w:r>
        <w:r w:rsidR="005C2F7C">
          <w:rPr>
            <w:webHidden/>
          </w:rPr>
          <w:fldChar w:fldCharType="begin"/>
        </w:r>
        <w:r w:rsidR="005C2F7C">
          <w:rPr>
            <w:webHidden/>
          </w:rPr>
          <w:instrText xml:space="preserve"> PAGEREF _Toc46304634 \h </w:instrText>
        </w:r>
        <w:r w:rsidR="005C2F7C">
          <w:rPr>
            <w:webHidden/>
          </w:rPr>
        </w:r>
        <w:r w:rsidR="005C2F7C">
          <w:rPr>
            <w:webHidden/>
          </w:rPr>
          <w:fldChar w:fldCharType="separate"/>
        </w:r>
        <w:r w:rsidR="005C2F7C">
          <w:rPr>
            <w:webHidden/>
          </w:rPr>
          <w:t>9</w:t>
        </w:r>
        <w:r w:rsidR="005C2F7C">
          <w:rPr>
            <w:webHidden/>
          </w:rPr>
          <w:fldChar w:fldCharType="end"/>
        </w:r>
      </w:hyperlink>
    </w:p>
    <w:p w14:paraId="5E0FBDAF" w14:textId="03A372DC" w:rsidR="005C2F7C" w:rsidRDefault="007F664A">
      <w:pPr>
        <w:pStyle w:val="TOC2"/>
        <w:rPr>
          <w:rFonts w:asciiTheme="minorHAnsi" w:eastAsiaTheme="minorEastAsia" w:hAnsiTheme="minorHAnsi" w:cstheme="minorBidi"/>
          <w:sz w:val="22"/>
          <w:szCs w:val="22"/>
          <w:lang w:eastAsia="en-AU"/>
        </w:rPr>
      </w:pPr>
      <w:hyperlink w:anchor="_Toc46304635" w:history="1">
        <w:r w:rsidR="005C2F7C" w:rsidRPr="001E1412">
          <w:rPr>
            <w:rStyle w:val="Hyperlink"/>
            <w:rFonts w:eastAsia="Times"/>
          </w:rPr>
          <w:t>Key messages and recommendations</w:t>
        </w:r>
        <w:r w:rsidR="005C2F7C">
          <w:rPr>
            <w:webHidden/>
          </w:rPr>
          <w:tab/>
        </w:r>
        <w:r w:rsidR="005C2F7C">
          <w:rPr>
            <w:webHidden/>
          </w:rPr>
          <w:fldChar w:fldCharType="begin"/>
        </w:r>
        <w:r w:rsidR="005C2F7C">
          <w:rPr>
            <w:webHidden/>
          </w:rPr>
          <w:instrText xml:space="preserve"> PAGEREF _Toc46304635 \h </w:instrText>
        </w:r>
        <w:r w:rsidR="005C2F7C">
          <w:rPr>
            <w:webHidden/>
          </w:rPr>
        </w:r>
        <w:r w:rsidR="005C2F7C">
          <w:rPr>
            <w:webHidden/>
          </w:rPr>
          <w:fldChar w:fldCharType="separate"/>
        </w:r>
        <w:r w:rsidR="005C2F7C">
          <w:rPr>
            <w:webHidden/>
          </w:rPr>
          <w:t>10</w:t>
        </w:r>
        <w:r w:rsidR="005C2F7C">
          <w:rPr>
            <w:webHidden/>
          </w:rPr>
          <w:fldChar w:fldCharType="end"/>
        </w:r>
      </w:hyperlink>
    </w:p>
    <w:p w14:paraId="1CECC0E9" w14:textId="2CDA1247" w:rsidR="005C2F7C" w:rsidRDefault="007F664A">
      <w:pPr>
        <w:pStyle w:val="TOC1"/>
        <w:rPr>
          <w:rFonts w:asciiTheme="minorHAnsi" w:eastAsiaTheme="minorEastAsia" w:hAnsiTheme="minorHAnsi" w:cstheme="minorBidi"/>
          <w:b w:val="0"/>
          <w:sz w:val="22"/>
          <w:szCs w:val="22"/>
          <w:lang w:eastAsia="en-AU"/>
        </w:rPr>
      </w:pPr>
      <w:hyperlink w:anchor="_Toc46304636" w:history="1">
        <w:r w:rsidR="005C2F7C" w:rsidRPr="001E1412">
          <w:rPr>
            <w:rStyle w:val="Hyperlink"/>
            <w:rFonts w:eastAsia="Times"/>
          </w:rPr>
          <w:t>Introduction</w:t>
        </w:r>
        <w:r w:rsidR="005C2F7C">
          <w:rPr>
            <w:webHidden/>
          </w:rPr>
          <w:tab/>
        </w:r>
        <w:r w:rsidR="005C2F7C">
          <w:rPr>
            <w:webHidden/>
          </w:rPr>
          <w:fldChar w:fldCharType="begin"/>
        </w:r>
        <w:r w:rsidR="005C2F7C">
          <w:rPr>
            <w:webHidden/>
          </w:rPr>
          <w:instrText xml:space="preserve"> PAGEREF _Toc46304636 \h </w:instrText>
        </w:r>
        <w:r w:rsidR="005C2F7C">
          <w:rPr>
            <w:webHidden/>
          </w:rPr>
        </w:r>
        <w:r w:rsidR="005C2F7C">
          <w:rPr>
            <w:webHidden/>
          </w:rPr>
          <w:fldChar w:fldCharType="separate"/>
        </w:r>
        <w:r w:rsidR="005C2F7C">
          <w:rPr>
            <w:webHidden/>
          </w:rPr>
          <w:t>11</w:t>
        </w:r>
        <w:r w:rsidR="005C2F7C">
          <w:rPr>
            <w:webHidden/>
          </w:rPr>
          <w:fldChar w:fldCharType="end"/>
        </w:r>
      </w:hyperlink>
    </w:p>
    <w:p w14:paraId="41B1786C" w14:textId="61DA72A9" w:rsidR="005C2F7C" w:rsidRDefault="007F664A">
      <w:pPr>
        <w:pStyle w:val="TOC2"/>
        <w:rPr>
          <w:rFonts w:asciiTheme="minorHAnsi" w:eastAsiaTheme="minorEastAsia" w:hAnsiTheme="minorHAnsi" w:cstheme="minorBidi"/>
          <w:sz w:val="22"/>
          <w:szCs w:val="22"/>
          <w:lang w:eastAsia="en-AU"/>
        </w:rPr>
      </w:pPr>
      <w:hyperlink w:anchor="_Toc46304637" w:history="1">
        <w:r w:rsidR="005C2F7C" w:rsidRPr="001E1412">
          <w:rPr>
            <w:rStyle w:val="Hyperlink"/>
            <w:rFonts w:eastAsia="Times"/>
          </w:rPr>
          <w:t>Method</w:t>
        </w:r>
        <w:r w:rsidR="005C2F7C">
          <w:rPr>
            <w:webHidden/>
          </w:rPr>
          <w:tab/>
        </w:r>
        <w:r w:rsidR="005C2F7C">
          <w:rPr>
            <w:webHidden/>
          </w:rPr>
          <w:fldChar w:fldCharType="begin"/>
        </w:r>
        <w:r w:rsidR="005C2F7C">
          <w:rPr>
            <w:webHidden/>
          </w:rPr>
          <w:instrText xml:space="preserve"> PAGEREF _Toc46304637 \h </w:instrText>
        </w:r>
        <w:r w:rsidR="005C2F7C">
          <w:rPr>
            <w:webHidden/>
          </w:rPr>
        </w:r>
        <w:r w:rsidR="005C2F7C">
          <w:rPr>
            <w:webHidden/>
          </w:rPr>
          <w:fldChar w:fldCharType="separate"/>
        </w:r>
        <w:r w:rsidR="005C2F7C">
          <w:rPr>
            <w:webHidden/>
          </w:rPr>
          <w:t>12</w:t>
        </w:r>
        <w:r w:rsidR="005C2F7C">
          <w:rPr>
            <w:webHidden/>
          </w:rPr>
          <w:fldChar w:fldCharType="end"/>
        </w:r>
      </w:hyperlink>
    </w:p>
    <w:p w14:paraId="50658F8A" w14:textId="6CF350A1" w:rsidR="005C2F7C" w:rsidRDefault="007F664A">
      <w:pPr>
        <w:pStyle w:val="TOC2"/>
        <w:rPr>
          <w:rFonts w:asciiTheme="minorHAnsi" w:eastAsiaTheme="minorEastAsia" w:hAnsiTheme="minorHAnsi" w:cstheme="minorBidi"/>
          <w:sz w:val="22"/>
          <w:szCs w:val="22"/>
          <w:lang w:eastAsia="en-AU"/>
        </w:rPr>
      </w:pPr>
      <w:hyperlink w:anchor="_Toc46304638" w:history="1">
        <w:r w:rsidR="005C2F7C" w:rsidRPr="001E1412">
          <w:rPr>
            <w:rStyle w:val="Hyperlink"/>
            <w:rFonts w:eastAsia="Times"/>
          </w:rPr>
          <w:t>Withdrawn reports</w:t>
        </w:r>
        <w:r w:rsidR="005C2F7C">
          <w:rPr>
            <w:webHidden/>
          </w:rPr>
          <w:tab/>
        </w:r>
        <w:r w:rsidR="005C2F7C">
          <w:rPr>
            <w:webHidden/>
          </w:rPr>
          <w:fldChar w:fldCharType="begin"/>
        </w:r>
        <w:r w:rsidR="005C2F7C">
          <w:rPr>
            <w:webHidden/>
          </w:rPr>
          <w:instrText xml:space="preserve"> PAGEREF _Toc46304638 \h </w:instrText>
        </w:r>
        <w:r w:rsidR="005C2F7C">
          <w:rPr>
            <w:webHidden/>
          </w:rPr>
        </w:r>
        <w:r w:rsidR="005C2F7C">
          <w:rPr>
            <w:webHidden/>
          </w:rPr>
          <w:fldChar w:fldCharType="separate"/>
        </w:r>
        <w:r w:rsidR="005C2F7C">
          <w:rPr>
            <w:webHidden/>
          </w:rPr>
          <w:t>13</w:t>
        </w:r>
        <w:r w:rsidR="005C2F7C">
          <w:rPr>
            <w:webHidden/>
          </w:rPr>
          <w:fldChar w:fldCharType="end"/>
        </w:r>
      </w:hyperlink>
    </w:p>
    <w:p w14:paraId="634085D6" w14:textId="5E3A6FA4" w:rsidR="005C2F7C" w:rsidRDefault="007F664A">
      <w:pPr>
        <w:pStyle w:val="TOC2"/>
        <w:rPr>
          <w:rFonts w:asciiTheme="minorHAnsi" w:eastAsiaTheme="minorEastAsia" w:hAnsiTheme="minorHAnsi" w:cstheme="minorBidi"/>
          <w:sz w:val="22"/>
          <w:szCs w:val="22"/>
          <w:lang w:eastAsia="en-AU"/>
        </w:rPr>
      </w:pPr>
      <w:hyperlink w:anchor="_Toc46304639" w:history="1">
        <w:r w:rsidR="005C2F7C" w:rsidRPr="001E1412">
          <w:rPr>
            <w:rStyle w:val="Hyperlink"/>
            <w:rFonts w:eastAsia="Times"/>
          </w:rPr>
          <w:t>Validation and Reconciliation</w:t>
        </w:r>
        <w:r w:rsidR="005C2F7C">
          <w:rPr>
            <w:webHidden/>
          </w:rPr>
          <w:tab/>
        </w:r>
        <w:r w:rsidR="005C2F7C">
          <w:rPr>
            <w:webHidden/>
          </w:rPr>
          <w:fldChar w:fldCharType="begin"/>
        </w:r>
        <w:r w:rsidR="005C2F7C">
          <w:rPr>
            <w:webHidden/>
          </w:rPr>
          <w:instrText xml:space="preserve"> PAGEREF _Toc46304639 \h </w:instrText>
        </w:r>
        <w:r w:rsidR="005C2F7C">
          <w:rPr>
            <w:webHidden/>
          </w:rPr>
        </w:r>
        <w:r w:rsidR="005C2F7C">
          <w:rPr>
            <w:webHidden/>
          </w:rPr>
          <w:fldChar w:fldCharType="separate"/>
        </w:r>
        <w:r w:rsidR="005C2F7C">
          <w:rPr>
            <w:webHidden/>
          </w:rPr>
          <w:t>13</w:t>
        </w:r>
        <w:r w:rsidR="005C2F7C">
          <w:rPr>
            <w:webHidden/>
          </w:rPr>
          <w:fldChar w:fldCharType="end"/>
        </w:r>
      </w:hyperlink>
    </w:p>
    <w:p w14:paraId="3D5B4161" w14:textId="2201EBD9" w:rsidR="005C2F7C" w:rsidRDefault="007F664A">
      <w:pPr>
        <w:pStyle w:val="TOC2"/>
        <w:rPr>
          <w:rFonts w:asciiTheme="minorHAnsi" w:eastAsiaTheme="minorEastAsia" w:hAnsiTheme="minorHAnsi" w:cstheme="minorBidi"/>
          <w:sz w:val="22"/>
          <w:szCs w:val="22"/>
          <w:lang w:eastAsia="en-AU"/>
        </w:rPr>
      </w:pPr>
      <w:hyperlink w:anchor="_Toc46304640" w:history="1">
        <w:r w:rsidR="005C2F7C" w:rsidRPr="001E1412">
          <w:rPr>
            <w:rStyle w:val="Hyperlink"/>
            <w:rFonts w:eastAsia="Times"/>
          </w:rPr>
          <w:t>Demographics</w:t>
        </w:r>
        <w:r w:rsidR="005C2F7C">
          <w:rPr>
            <w:webHidden/>
          </w:rPr>
          <w:tab/>
        </w:r>
        <w:r w:rsidR="005C2F7C">
          <w:rPr>
            <w:webHidden/>
          </w:rPr>
          <w:fldChar w:fldCharType="begin"/>
        </w:r>
        <w:r w:rsidR="005C2F7C">
          <w:rPr>
            <w:webHidden/>
          </w:rPr>
          <w:instrText xml:space="preserve"> PAGEREF _Toc46304640 \h </w:instrText>
        </w:r>
        <w:r w:rsidR="005C2F7C">
          <w:rPr>
            <w:webHidden/>
          </w:rPr>
        </w:r>
        <w:r w:rsidR="005C2F7C">
          <w:rPr>
            <w:webHidden/>
          </w:rPr>
          <w:fldChar w:fldCharType="separate"/>
        </w:r>
        <w:r w:rsidR="005C2F7C">
          <w:rPr>
            <w:webHidden/>
          </w:rPr>
          <w:t>16</w:t>
        </w:r>
        <w:r w:rsidR="005C2F7C">
          <w:rPr>
            <w:webHidden/>
          </w:rPr>
          <w:fldChar w:fldCharType="end"/>
        </w:r>
      </w:hyperlink>
    </w:p>
    <w:p w14:paraId="70E7E985" w14:textId="049AE43F" w:rsidR="005C2F7C" w:rsidRDefault="007F664A">
      <w:pPr>
        <w:pStyle w:val="TOC1"/>
        <w:rPr>
          <w:rFonts w:asciiTheme="minorHAnsi" w:eastAsiaTheme="minorEastAsia" w:hAnsiTheme="minorHAnsi" w:cstheme="minorBidi"/>
          <w:b w:val="0"/>
          <w:sz w:val="22"/>
          <w:szCs w:val="22"/>
          <w:lang w:eastAsia="en-AU"/>
        </w:rPr>
      </w:pPr>
      <w:hyperlink w:anchor="_Toc46304641" w:history="1">
        <w:r w:rsidR="005C2F7C" w:rsidRPr="001E1412">
          <w:rPr>
            <w:rStyle w:val="Hyperlink"/>
            <w:rFonts w:eastAsia="Times"/>
          </w:rPr>
          <w:t>Clinical reports</w:t>
        </w:r>
        <w:r w:rsidR="005C2F7C">
          <w:rPr>
            <w:webHidden/>
          </w:rPr>
          <w:tab/>
        </w:r>
        <w:r w:rsidR="005C2F7C">
          <w:rPr>
            <w:webHidden/>
          </w:rPr>
          <w:fldChar w:fldCharType="begin"/>
        </w:r>
        <w:r w:rsidR="005C2F7C">
          <w:rPr>
            <w:webHidden/>
          </w:rPr>
          <w:instrText xml:space="preserve"> PAGEREF _Toc46304641 \h </w:instrText>
        </w:r>
        <w:r w:rsidR="005C2F7C">
          <w:rPr>
            <w:webHidden/>
          </w:rPr>
        </w:r>
        <w:r w:rsidR="005C2F7C">
          <w:rPr>
            <w:webHidden/>
          </w:rPr>
          <w:fldChar w:fldCharType="separate"/>
        </w:r>
        <w:r w:rsidR="005C2F7C">
          <w:rPr>
            <w:webHidden/>
          </w:rPr>
          <w:t>17</w:t>
        </w:r>
        <w:r w:rsidR="005C2F7C">
          <w:rPr>
            <w:webHidden/>
          </w:rPr>
          <w:fldChar w:fldCharType="end"/>
        </w:r>
      </w:hyperlink>
    </w:p>
    <w:p w14:paraId="0BF697DE" w14:textId="3842BA73" w:rsidR="005C2F7C" w:rsidRDefault="007F664A">
      <w:pPr>
        <w:pStyle w:val="TOC2"/>
        <w:rPr>
          <w:rFonts w:asciiTheme="minorHAnsi" w:eastAsiaTheme="minorEastAsia" w:hAnsiTheme="minorHAnsi" w:cstheme="minorBidi"/>
          <w:sz w:val="22"/>
          <w:szCs w:val="22"/>
          <w:lang w:eastAsia="en-AU"/>
        </w:rPr>
      </w:pPr>
      <w:hyperlink w:anchor="_Toc46304642" w:history="1">
        <w:r w:rsidR="005C2F7C" w:rsidRPr="001E1412">
          <w:rPr>
            <w:rStyle w:val="Hyperlink"/>
            <w:rFonts w:eastAsia="Times"/>
          </w:rPr>
          <w:t>Febrile non-haemolytic transfusion reaction (FNHTR)</w:t>
        </w:r>
        <w:r w:rsidR="005C2F7C">
          <w:rPr>
            <w:webHidden/>
          </w:rPr>
          <w:tab/>
        </w:r>
        <w:r w:rsidR="005C2F7C">
          <w:rPr>
            <w:webHidden/>
          </w:rPr>
          <w:fldChar w:fldCharType="begin"/>
        </w:r>
        <w:r w:rsidR="005C2F7C">
          <w:rPr>
            <w:webHidden/>
          </w:rPr>
          <w:instrText xml:space="preserve"> PAGEREF _Toc46304642 \h </w:instrText>
        </w:r>
        <w:r w:rsidR="005C2F7C">
          <w:rPr>
            <w:webHidden/>
          </w:rPr>
        </w:r>
        <w:r w:rsidR="005C2F7C">
          <w:rPr>
            <w:webHidden/>
          </w:rPr>
          <w:fldChar w:fldCharType="separate"/>
        </w:r>
        <w:r w:rsidR="005C2F7C">
          <w:rPr>
            <w:webHidden/>
          </w:rPr>
          <w:t>17</w:t>
        </w:r>
        <w:r w:rsidR="005C2F7C">
          <w:rPr>
            <w:webHidden/>
          </w:rPr>
          <w:fldChar w:fldCharType="end"/>
        </w:r>
      </w:hyperlink>
    </w:p>
    <w:p w14:paraId="0E2CDF91" w14:textId="42E27666" w:rsidR="005C2F7C" w:rsidRDefault="007F664A">
      <w:pPr>
        <w:pStyle w:val="TOC2"/>
        <w:rPr>
          <w:rFonts w:asciiTheme="minorHAnsi" w:eastAsiaTheme="minorEastAsia" w:hAnsiTheme="minorHAnsi" w:cstheme="minorBidi"/>
          <w:sz w:val="22"/>
          <w:szCs w:val="22"/>
          <w:lang w:eastAsia="en-AU"/>
        </w:rPr>
      </w:pPr>
      <w:hyperlink w:anchor="_Toc46304643" w:history="1">
        <w:r w:rsidR="005C2F7C" w:rsidRPr="001E1412">
          <w:rPr>
            <w:rStyle w:val="Hyperlink"/>
            <w:rFonts w:eastAsia="Times"/>
          </w:rPr>
          <w:t>Allergic</w:t>
        </w:r>
        <w:r w:rsidR="005C2F7C">
          <w:rPr>
            <w:webHidden/>
          </w:rPr>
          <w:tab/>
        </w:r>
        <w:r w:rsidR="005C2F7C">
          <w:rPr>
            <w:webHidden/>
          </w:rPr>
          <w:fldChar w:fldCharType="begin"/>
        </w:r>
        <w:r w:rsidR="005C2F7C">
          <w:rPr>
            <w:webHidden/>
          </w:rPr>
          <w:instrText xml:space="preserve"> PAGEREF _Toc46304643 \h </w:instrText>
        </w:r>
        <w:r w:rsidR="005C2F7C">
          <w:rPr>
            <w:webHidden/>
          </w:rPr>
        </w:r>
        <w:r w:rsidR="005C2F7C">
          <w:rPr>
            <w:webHidden/>
          </w:rPr>
          <w:fldChar w:fldCharType="separate"/>
        </w:r>
        <w:r w:rsidR="005C2F7C">
          <w:rPr>
            <w:webHidden/>
          </w:rPr>
          <w:t>19</w:t>
        </w:r>
        <w:r w:rsidR="005C2F7C">
          <w:rPr>
            <w:webHidden/>
          </w:rPr>
          <w:fldChar w:fldCharType="end"/>
        </w:r>
      </w:hyperlink>
    </w:p>
    <w:p w14:paraId="6A896ED4" w14:textId="51957135" w:rsidR="005C2F7C" w:rsidRDefault="007F664A">
      <w:pPr>
        <w:pStyle w:val="TOC2"/>
        <w:rPr>
          <w:rFonts w:asciiTheme="minorHAnsi" w:eastAsiaTheme="minorEastAsia" w:hAnsiTheme="minorHAnsi" w:cstheme="minorBidi"/>
          <w:sz w:val="22"/>
          <w:szCs w:val="22"/>
          <w:lang w:eastAsia="en-AU"/>
        </w:rPr>
      </w:pPr>
      <w:hyperlink w:anchor="_Toc46304644" w:history="1">
        <w:r w:rsidR="005C2F7C" w:rsidRPr="001E1412">
          <w:rPr>
            <w:rStyle w:val="Hyperlink"/>
            <w:rFonts w:eastAsia="Times"/>
          </w:rPr>
          <w:t>Acute haemolytic transfusion reaction (AHTR)</w:t>
        </w:r>
        <w:r w:rsidR="005C2F7C">
          <w:rPr>
            <w:webHidden/>
          </w:rPr>
          <w:tab/>
        </w:r>
        <w:r w:rsidR="005C2F7C">
          <w:rPr>
            <w:webHidden/>
          </w:rPr>
          <w:fldChar w:fldCharType="begin"/>
        </w:r>
        <w:r w:rsidR="005C2F7C">
          <w:rPr>
            <w:webHidden/>
          </w:rPr>
          <w:instrText xml:space="preserve"> PAGEREF _Toc46304644 \h </w:instrText>
        </w:r>
        <w:r w:rsidR="005C2F7C">
          <w:rPr>
            <w:webHidden/>
          </w:rPr>
        </w:r>
        <w:r w:rsidR="005C2F7C">
          <w:rPr>
            <w:webHidden/>
          </w:rPr>
          <w:fldChar w:fldCharType="separate"/>
        </w:r>
        <w:r w:rsidR="005C2F7C">
          <w:rPr>
            <w:webHidden/>
          </w:rPr>
          <w:t>20</w:t>
        </w:r>
        <w:r w:rsidR="005C2F7C">
          <w:rPr>
            <w:webHidden/>
          </w:rPr>
          <w:fldChar w:fldCharType="end"/>
        </w:r>
      </w:hyperlink>
    </w:p>
    <w:p w14:paraId="356D9ADA" w14:textId="66481EAD" w:rsidR="005C2F7C" w:rsidRDefault="007F664A">
      <w:pPr>
        <w:pStyle w:val="TOC2"/>
        <w:rPr>
          <w:rFonts w:asciiTheme="minorHAnsi" w:eastAsiaTheme="minorEastAsia" w:hAnsiTheme="minorHAnsi" w:cstheme="minorBidi"/>
          <w:sz w:val="22"/>
          <w:szCs w:val="22"/>
          <w:lang w:eastAsia="en-AU"/>
        </w:rPr>
      </w:pPr>
      <w:hyperlink w:anchor="_Toc46304645" w:history="1">
        <w:r w:rsidR="005C2F7C" w:rsidRPr="001E1412">
          <w:rPr>
            <w:rStyle w:val="Hyperlink"/>
            <w:rFonts w:eastAsia="Times"/>
          </w:rPr>
          <w:t>Delayed haemolytic transfusion reaction (DHTR)</w:t>
        </w:r>
        <w:r w:rsidR="005C2F7C">
          <w:rPr>
            <w:webHidden/>
          </w:rPr>
          <w:tab/>
        </w:r>
        <w:r w:rsidR="005C2F7C">
          <w:rPr>
            <w:webHidden/>
          </w:rPr>
          <w:fldChar w:fldCharType="begin"/>
        </w:r>
        <w:r w:rsidR="005C2F7C">
          <w:rPr>
            <w:webHidden/>
          </w:rPr>
          <w:instrText xml:space="preserve"> PAGEREF _Toc46304645 \h </w:instrText>
        </w:r>
        <w:r w:rsidR="005C2F7C">
          <w:rPr>
            <w:webHidden/>
          </w:rPr>
        </w:r>
        <w:r w:rsidR="005C2F7C">
          <w:rPr>
            <w:webHidden/>
          </w:rPr>
          <w:fldChar w:fldCharType="separate"/>
        </w:r>
        <w:r w:rsidR="005C2F7C">
          <w:rPr>
            <w:webHidden/>
          </w:rPr>
          <w:t>21</w:t>
        </w:r>
        <w:r w:rsidR="005C2F7C">
          <w:rPr>
            <w:webHidden/>
          </w:rPr>
          <w:fldChar w:fldCharType="end"/>
        </w:r>
      </w:hyperlink>
    </w:p>
    <w:p w14:paraId="48DA5CE2" w14:textId="1D853004" w:rsidR="005C2F7C" w:rsidRDefault="007F664A">
      <w:pPr>
        <w:pStyle w:val="TOC2"/>
        <w:rPr>
          <w:rFonts w:asciiTheme="minorHAnsi" w:eastAsiaTheme="minorEastAsia" w:hAnsiTheme="minorHAnsi" w:cstheme="minorBidi"/>
          <w:sz w:val="22"/>
          <w:szCs w:val="22"/>
          <w:lang w:eastAsia="en-AU"/>
        </w:rPr>
      </w:pPr>
      <w:hyperlink w:anchor="_Toc46304646" w:history="1">
        <w:r w:rsidR="005C2F7C" w:rsidRPr="001E1412">
          <w:rPr>
            <w:rStyle w:val="Hyperlink"/>
            <w:rFonts w:eastAsia="Times"/>
          </w:rPr>
          <w:t>Delayed serologic transfusion reaction (DSTR)</w:t>
        </w:r>
        <w:r w:rsidR="005C2F7C">
          <w:rPr>
            <w:webHidden/>
          </w:rPr>
          <w:tab/>
        </w:r>
        <w:r w:rsidR="005C2F7C">
          <w:rPr>
            <w:webHidden/>
          </w:rPr>
          <w:fldChar w:fldCharType="begin"/>
        </w:r>
        <w:r w:rsidR="005C2F7C">
          <w:rPr>
            <w:webHidden/>
          </w:rPr>
          <w:instrText xml:space="preserve"> PAGEREF _Toc46304646 \h </w:instrText>
        </w:r>
        <w:r w:rsidR="005C2F7C">
          <w:rPr>
            <w:webHidden/>
          </w:rPr>
        </w:r>
        <w:r w:rsidR="005C2F7C">
          <w:rPr>
            <w:webHidden/>
          </w:rPr>
          <w:fldChar w:fldCharType="separate"/>
        </w:r>
        <w:r w:rsidR="005C2F7C">
          <w:rPr>
            <w:webHidden/>
          </w:rPr>
          <w:t>22</w:t>
        </w:r>
        <w:r w:rsidR="005C2F7C">
          <w:rPr>
            <w:webHidden/>
          </w:rPr>
          <w:fldChar w:fldCharType="end"/>
        </w:r>
      </w:hyperlink>
    </w:p>
    <w:p w14:paraId="7C2A3313" w14:textId="6E39960E" w:rsidR="005C2F7C" w:rsidRDefault="007F664A">
      <w:pPr>
        <w:pStyle w:val="TOC2"/>
        <w:rPr>
          <w:rFonts w:asciiTheme="minorHAnsi" w:eastAsiaTheme="minorEastAsia" w:hAnsiTheme="minorHAnsi" w:cstheme="minorBidi"/>
          <w:sz w:val="22"/>
          <w:szCs w:val="22"/>
          <w:lang w:eastAsia="en-AU"/>
        </w:rPr>
      </w:pPr>
      <w:hyperlink w:anchor="_Toc46304647" w:history="1">
        <w:r w:rsidR="005C2F7C" w:rsidRPr="001E1412">
          <w:rPr>
            <w:rStyle w:val="Hyperlink"/>
            <w:rFonts w:eastAsia="Times"/>
          </w:rPr>
          <w:t>Transfusion</w:t>
        </w:r>
        <w:r w:rsidR="00C24C20">
          <w:rPr>
            <w:rStyle w:val="Hyperlink"/>
            <w:rFonts w:eastAsia="Times"/>
          </w:rPr>
          <w:t>-</w:t>
        </w:r>
        <w:r w:rsidR="005C2F7C" w:rsidRPr="001E1412">
          <w:rPr>
            <w:rStyle w:val="Hyperlink"/>
            <w:rFonts w:eastAsia="Times"/>
          </w:rPr>
          <w:t>associated circulatory overload (TACO)</w:t>
        </w:r>
        <w:r w:rsidR="005C2F7C">
          <w:rPr>
            <w:webHidden/>
          </w:rPr>
          <w:tab/>
        </w:r>
        <w:r w:rsidR="005C2F7C">
          <w:rPr>
            <w:webHidden/>
          </w:rPr>
          <w:fldChar w:fldCharType="begin"/>
        </w:r>
        <w:r w:rsidR="005C2F7C">
          <w:rPr>
            <w:webHidden/>
          </w:rPr>
          <w:instrText xml:space="preserve"> PAGEREF _Toc46304647 \h </w:instrText>
        </w:r>
        <w:r w:rsidR="005C2F7C">
          <w:rPr>
            <w:webHidden/>
          </w:rPr>
        </w:r>
        <w:r w:rsidR="005C2F7C">
          <w:rPr>
            <w:webHidden/>
          </w:rPr>
          <w:fldChar w:fldCharType="separate"/>
        </w:r>
        <w:r w:rsidR="005C2F7C">
          <w:rPr>
            <w:webHidden/>
          </w:rPr>
          <w:t>23</w:t>
        </w:r>
        <w:r w:rsidR="005C2F7C">
          <w:rPr>
            <w:webHidden/>
          </w:rPr>
          <w:fldChar w:fldCharType="end"/>
        </w:r>
      </w:hyperlink>
    </w:p>
    <w:p w14:paraId="79F64C18" w14:textId="4E35C79A" w:rsidR="005C2F7C" w:rsidRDefault="007F664A">
      <w:pPr>
        <w:pStyle w:val="TOC2"/>
        <w:rPr>
          <w:rFonts w:asciiTheme="minorHAnsi" w:eastAsiaTheme="minorEastAsia" w:hAnsiTheme="minorHAnsi" w:cstheme="minorBidi"/>
          <w:sz w:val="22"/>
          <w:szCs w:val="22"/>
          <w:lang w:eastAsia="en-AU"/>
        </w:rPr>
      </w:pPr>
      <w:hyperlink w:anchor="_Toc46304648" w:history="1">
        <w:r w:rsidR="005C2F7C" w:rsidRPr="001E1412">
          <w:rPr>
            <w:rStyle w:val="Hyperlink"/>
            <w:rFonts w:eastAsia="Times"/>
          </w:rPr>
          <w:t>Transfusion related acute lung injury (TRALI)</w:t>
        </w:r>
        <w:r w:rsidR="005C2F7C">
          <w:rPr>
            <w:webHidden/>
          </w:rPr>
          <w:tab/>
        </w:r>
        <w:r w:rsidR="005C2F7C">
          <w:rPr>
            <w:webHidden/>
          </w:rPr>
          <w:fldChar w:fldCharType="begin"/>
        </w:r>
        <w:r w:rsidR="005C2F7C">
          <w:rPr>
            <w:webHidden/>
          </w:rPr>
          <w:instrText xml:space="preserve"> PAGEREF _Toc46304648 \h </w:instrText>
        </w:r>
        <w:r w:rsidR="005C2F7C">
          <w:rPr>
            <w:webHidden/>
          </w:rPr>
        </w:r>
        <w:r w:rsidR="005C2F7C">
          <w:rPr>
            <w:webHidden/>
          </w:rPr>
          <w:fldChar w:fldCharType="separate"/>
        </w:r>
        <w:r w:rsidR="005C2F7C">
          <w:rPr>
            <w:webHidden/>
          </w:rPr>
          <w:t>24</w:t>
        </w:r>
        <w:r w:rsidR="005C2F7C">
          <w:rPr>
            <w:webHidden/>
          </w:rPr>
          <w:fldChar w:fldCharType="end"/>
        </w:r>
      </w:hyperlink>
    </w:p>
    <w:p w14:paraId="78D24002" w14:textId="323E8AED" w:rsidR="005C2F7C" w:rsidRDefault="007F664A">
      <w:pPr>
        <w:pStyle w:val="TOC2"/>
        <w:rPr>
          <w:rFonts w:asciiTheme="minorHAnsi" w:eastAsiaTheme="minorEastAsia" w:hAnsiTheme="minorHAnsi" w:cstheme="minorBidi"/>
          <w:sz w:val="22"/>
          <w:szCs w:val="22"/>
          <w:lang w:eastAsia="en-AU"/>
        </w:rPr>
      </w:pPr>
      <w:hyperlink w:anchor="_Toc46304649" w:history="1">
        <w:r w:rsidR="005C2F7C" w:rsidRPr="001E1412">
          <w:rPr>
            <w:rStyle w:val="Hyperlink"/>
          </w:rPr>
          <w:t>Transfusion</w:t>
        </w:r>
        <w:r w:rsidR="00C24C20">
          <w:rPr>
            <w:rStyle w:val="Hyperlink"/>
          </w:rPr>
          <w:t>-</w:t>
        </w:r>
        <w:r w:rsidR="005C2F7C" w:rsidRPr="001E1412">
          <w:rPr>
            <w:rStyle w:val="Hyperlink"/>
          </w:rPr>
          <w:t>associated dyspnoea (TAD)</w:t>
        </w:r>
        <w:r w:rsidR="005C2F7C">
          <w:rPr>
            <w:webHidden/>
          </w:rPr>
          <w:tab/>
        </w:r>
        <w:r w:rsidR="005C2F7C">
          <w:rPr>
            <w:webHidden/>
          </w:rPr>
          <w:fldChar w:fldCharType="begin"/>
        </w:r>
        <w:r w:rsidR="005C2F7C">
          <w:rPr>
            <w:webHidden/>
          </w:rPr>
          <w:instrText xml:space="preserve"> PAGEREF _Toc46304649 \h </w:instrText>
        </w:r>
        <w:r w:rsidR="005C2F7C">
          <w:rPr>
            <w:webHidden/>
          </w:rPr>
        </w:r>
        <w:r w:rsidR="005C2F7C">
          <w:rPr>
            <w:webHidden/>
          </w:rPr>
          <w:fldChar w:fldCharType="separate"/>
        </w:r>
        <w:r w:rsidR="005C2F7C">
          <w:rPr>
            <w:webHidden/>
          </w:rPr>
          <w:t>25</w:t>
        </w:r>
        <w:r w:rsidR="005C2F7C">
          <w:rPr>
            <w:webHidden/>
          </w:rPr>
          <w:fldChar w:fldCharType="end"/>
        </w:r>
      </w:hyperlink>
    </w:p>
    <w:p w14:paraId="34EE8058" w14:textId="2464790C" w:rsidR="005C2F7C" w:rsidRDefault="007F664A">
      <w:pPr>
        <w:pStyle w:val="TOC2"/>
        <w:rPr>
          <w:rFonts w:asciiTheme="minorHAnsi" w:eastAsiaTheme="minorEastAsia" w:hAnsiTheme="minorHAnsi" w:cstheme="minorBidi"/>
          <w:sz w:val="22"/>
          <w:szCs w:val="22"/>
          <w:lang w:eastAsia="en-AU"/>
        </w:rPr>
      </w:pPr>
      <w:hyperlink w:anchor="_Toc46304650" w:history="1">
        <w:r w:rsidR="005C2F7C" w:rsidRPr="001E1412">
          <w:rPr>
            <w:rStyle w:val="Hyperlink"/>
          </w:rPr>
          <w:t>Transfusion</w:t>
        </w:r>
        <w:r w:rsidR="00C24C20">
          <w:rPr>
            <w:rStyle w:val="Hyperlink"/>
          </w:rPr>
          <w:t>-</w:t>
        </w:r>
        <w:r w:rsidR="005C2F7C" w:rsidRPr="001E1412">
          <w:rPr>
            <w:rStyle w:val="Hyperlink"/>
          </w:rPr>
          <w:t>associated graft vs host disease (TAGVHD)</w:t>
        </w:r>
        <w:r w:rsidR="005C2F7C">
          <w:rPr>
            <w:webHidden/>
          </w:rPr>
          <w:tab/>
        </w:r>
        <w:r w:rsidR="005C2F7C">
          <w:rPr>
            <w:webHidden/>
          </w:rPr>
          <w:fldChar w:fldCharType="begin"/>
        </w:r>
        <w:r w:rsidR="005C2F7C">
          <w:rPr>
            <w:webHidden/>
          </w:rPr>
          <w:instrText xml:space="preserve"> PAGEREF _Toc46304650 \h </w:instrText>
        </w:r>
        <w:r w:rsidR="005C2F7C">
          <w:rPr>
            <w:webHidden/>
          </w:rPr>
        </w:r>
        <w:r w:rsidR="005C2F7C">
          <w:rPr>
            <w:webHidden/>
          </w:rPr>
          <w:fldChar w:fldCharType="separate"/>
        </w:r>
        <w:r w:rsidR="005C2F7C">
          <w:rPr>
            <w:webHidden/>
          </w:rPr>
          <w:t>25</w:t>
        </w:r>
        <w:r w:rsidR="005C2F7C">
          <w:rPr>
            <w:webHidden/>
          </w:rPr>
          <w:fldChar w:fldCharType="end"/>
        </w:r>
      </w:hyperlink>
    </w:p>
    <w:p w14:paraId="3CBE6DEF" w14:textId="3D8477C2" w:rsidR="005C2F7C" w:rsidRDefault="007F664A">
      <w:pPr>
        <w:pStyle w:val="TOC2"/>
        <w:rPr>
          <w:rFonts w:asciiTheme="minorHAnsi" w:eastAsiaTheme="minorEastAsia" w:hAnsiTheme="minorHAnsi" w:cstheme="minorBidi"/>
          <w:sz w:val="22"/>
          <w:szCs w:val="22"/>
          <w:lang w:eastAsia="en-AU"/>
        </w:rPr>
      </w:pPr>
      <w:hyperlink w:anchor="_Toc46304651" w:history="1">
        <w:r w:rsidR="005C2F7C" w:rsidRPr="001E1412">
          <w:rPr>
            <w:rStyle w:val="Hyperlink"/>
          </w:rPr>
          <w:t>Posttransfusion purpura (PTP)</w:t>
        </w:r>
        <w:r w:rsidR="005C2F7C">
          <w:rPr>
            <w:webHidden/>
          </w:rPr>
          <w:tab/>
        </w:r>
        <w:r w:rsidR="005C2F7C">
          <w:rPr>
            <w:webHidden/>
          </w:rPr>
          <w:fldChar w:fldCharType="begin"/>
        </w:r>
        <w:r w:rsidR="005C2F7C">
          <w:rPr>
            <w:webHidden/>
          </w:rPr>
          <w:instrText xml:space="preserve"> PAGEREF _Toc46304651 \h </w:instrText>
        </w:r>
        <w:r w:rsidR="005C2F7C">
          <w:rPr>
            <w:webHidden/>
          </w:rPr>
        </w:r>
        <w:r w:rsidR="005C2F7C">
          <w:rPr>
            <w:webHidden/>
          </w:rPr>
          <w:fldChar w:fldCharType="separate"/>
        </w:r>
        <w:r w:rsidR="005C2F7C">
          <w:rPr>
            <w:webHidden/>
          </w:rPr>
          <w:t>25</w:t>
        </w:r>
        <w:r w:rsidR="005C2F7C">
          <w:rPr>
            <w:webHidden/>
          </w:rPr>
          <w:fldChar w:fldCharType="end"/>
        </w:r>
      </w:hyperlink>
    </w:p>
    <w:p w14:paraId="708C4BFA" w14:textId="45E5D0D4" w:rsidR="005C2F7C" w:rsidRDefault="007F664A">
      <w:pPr>
        <w:pStyle w:val="TOC2"/>
        <w:rPr>
          <w:rFonts w:asciiTheme="minorHAnsi" w:eastAsiaTheme="minorEastAsia" w:hAnsiTheme="minorHAnsi" w:cstheme="minorBidi"/>
          <w:sz w:val="22"/>
          <w:szCs w:val="22"/>
          <w:lang w:eastAsia="en-AU"/>
        </w:rPr>
      </w:pPr>
      <w:hyperlink w:anchor="_Toc46304652" w:history="1">
        <w:r w:rsidR="005C2F7C" w:rsidRPr="001E1412">
          <w:rPr>
            <w:rStyle w:val="Hyperlink"/>
          </w:rPr>
          <w:t>Other–ATR</w:t>
        </w:r>
        <w:r w:rsidR="005C2F7C">
          <w:rPr>
            <w:webHidden/>
          </w:rPr>
          <w:tab/>
        </w:r>
        <w:r w:rsidR="005C2F7C">
          <w:rPr>
            <w:webHidden/>
          </w:rPr>
          <w:fldChar w:fldCharType="begin"/>
        </w:r>
        <w:r w:rsidR="005C2F7C">
          <w:rPr>
            <w:webHidden/>
          </w:rPr>
          <w:instrText xml:space="preserve"> PAGEREF _Toc46304652 \h </w:instrText>
        </w:r>
        <w:r w:rsidR="005C2F7C">
          <w:rPr>
            <w:webHidden/>
          </w:rPr>
        </w:r>
        <w:r w:rsidR="005C2F7C">
          <w:rPr>
            <w:webHidden/>
          </w:rPr>
          <w:fldChar w:fldCharType="separate"/>
        </w:r>
        <w:r w:rsidR="005C2F7C">
          <w:rPr>
            <w:webHidden/>
          </w:rPr>
          <w:t>25</w:t>
        </w:r>
        <w:r w:rsidR="005C2F7C">
          <w:rPr>
            <w:webHidden/>
          </w:rPr>
          <w:fldChar w:fldCharType="end"/>
        </w:r>
      </w:hyperlink>
    </w:p>
    <w:p w14:paraId="514BB413" w14:textId="3633BFF2" w:rsidR="005C2F7C" w:rsidRDefault="007F664A">
      <w:pPr>
        <w:pStyle w:val="TOC1"/>
        <w:rPr>
          <w:rFonts w:asciiTheme="minorHAnsi" w:eastAsiaTheme="minorEastAsia" w:hAnsiTheme="minorHAnsi" w:cstheme="minorBidi"/>
          <w:b w:val="0"/>
          <w:sz w:val="22"/>
          <w:szCs w:val="22"/>
          <w:lang w:eastAsia="en-AU"/>
        </w:rPr>
      </w:pPr>
      <w:hyperlink w:anchor="_Toc46304653" w:history="1">
        <w:r w:rsidR="005C2F7C" w:rsidRPr="001E1412">
          <w:rPr>
            <w:rStyle w:val="Hyperlink"/>
          </w:rPr>
          <w:t>Procedural reports</w:t>
        </w:r>
        <w:r w:rsidR="005C2F7C">
          <w:rPr>
            <w:webHidden/>
          </w:rPr>
          <w:tab/>
        </w:r>
        <w:r w:rsidR="005C2F7C">
          <w:rPr>
            <w:webHidden/>
          </w:rPr>
          <w:fldChar w:fldCharType="begin"/>
        </w:r>
        <w:r w:rsidR="005C2F7C">
          <w:rPr>
            <w:webHidden/>
          </w:rPr>
          <w:instrText xml:space="preserve"> PAGEREF _Toc46304653 \h </w:instrText>
        </w:r>
        <w:r w:rsidR="005C2F7C">
          <w:rPr>
            <w:webHidden/>
          </w:rPr>
        </w:r>
        <w:r w:rsidR="005C2F7C">
          <w:rPr>
            <w:webHidden/>
          </w:rPr>
          <w:fldChar w:fldCharType="separate"/>
        </w:r>
        <w:r w:rsidR="005C2F7C">
          <w:rPr>
            <w:webHidden/>
          </w:rPr>
          <w:t>26</w:t>
        </w:r>
        <w:r w:rsidR="005C2F7C">
          <w:rPr>
            <w:webHidden/>
          </w:rPr>
          <w:fldChar w:fldCharType="end"/>
        </w:r>
      </w:hyperlink>
    </w:p>
    <w:p w14:paraId="6048194A" w14:textId="06D5B88C" w:rsidR="005C2F7C" w:rsidRDefault="007F664A">
      <w:pPr>
        <w:pStyle w:val="TOC2"/>
        <w:rPr>
          <w:rFonts w:asciiTheme="minorHAnsi" w:eastAsiaTheme="minorEastAsia" w:hAnsiTheme="minorHAnsi" w:cstheme="minorBidi"/>
          <w:sz w:val="22"/>
          <w:szCs w:val="22"/>
          <w:lang w:eastAsia="en-AU"/>
        </w:rPr>
      </w:pPr>
      <w:hyperlink w:anchor="_Toc46304654" w:history="1">
        <w:r w:rsidR="005C2F7C" w:rsidRPr="001E1412">
          <w:rPr>
            <w:rStyle w:val="Hyperlink"/>
          </w:rPr>
          <w:t>Incorrect blood component transfused (IBCT)</w:t>
        </w:r>
        <w:r w:rsidR="005C2F7C">
          <w:rPr>
            <w:webHidden/>
          </w:rPr>
          <w:tab/>
        </w:r>
        <w:r w:rsidR="005C2F7C">
          <w:rPr>
            <w:webHidden/>
          </w:rPr>
          <w:fldChar w:fldCharType="begin"/>
        </w:r>
        <w:r w:rsidR="005C2F7C">
          <w:rPr>
            <w:webHidden/>
          </w:rPr>
          <w:instrText xml:space="preserve"> PAGEREF _Toc46304654 \h </w:instrText>
        </w:r>
        <w:r w:rsidR="005C2F7C">
          <w:rPr>
            <w:webHidden/>
          </w:rPr>
        </w:r>
        <w:r w:rsidR="005C2F7C">
          <w:rPr>
            <w:webHidden/>
          </w:rPr>
          <w:fldChar w:fldCharType="separate"/>
        </w:r>
        <w:r w:rsidR="005C2F7C">
          <w:rPr>
            <w:webHidden/>
          </w:rPr>
          <w:t>26</w:t>
        </w:r>
        <w:r w:rsidR="005C2F7C">
          <w:rPr>
            <w:webHidden/>
          </w:rPr>
          <w:fldChar w:fldCharType="end"/>
        </w:r>
      </w:hyperlink>
    </w:p>
    <w:p w14:paraId="48FF044C" w14:textId="1921D23A" w:rsidR="005C2F7C" w:rsidRDefault="007F664A">
      <w:pPr>
        <w:pStyle w:val="TOC2"/>
        <w:rPr>
          <w:rFonts w:asciiTheme="minorHAnsi" w:eastAsiaTheme="minorEastAsia" w:hAnsiTheme="minorHAnsi" w:cstheme="minorBidi"/>
          <w:sz w:val="22"/>
          <w:szCs w:val="22"/>
          <w:lang w:eastAsia="en-AU"/>
        </w:rPr>
      </w:pPr>
      <w:hyperlink w:anchor="_Toc46304655" w:history="1">
        <w:r w:rsidR="005C2F7C" w:rsidRPr="001E1412">
          <w:rPr>
            <w:rStyle w:val="Hyperlink"/>
          </w:rPr>
          <w:t>Near miss</w:t>
        </w:r>
        <w:r w:rsidR="005C2F7C">
          <w:rPr>
            <w:webHidden/>
          </w:rPr>
          <w:tab/>
        </w:r>
        <w:r w:rsidR="005C2F7C">
          <w:rPr>
            <w:webHidden/>
          </w:rPr>
          <w:fldChar w:fldCharType="begin"/>
        </w:r>
        <w:r w:rsidR="005C2F7C">
          <w:rPr>
            <w:webHidden/>
          </w:rPr>
          <w:instrText xml:space="preserve"> PAGEREF _Toc46304655 \h </w:instrText>
        </w:r>
        <w:r w:rsidR="005C2F7C">
          <w:rPr>
            <w:webHidden/>
          </w:rPr>
        </w:r>
        <w:r w:rsidR="005C2F7C">
          <w:rPr>
            <w:webHidden/>
          </w:rPr>
          <w:fldChar w:fldCharType="separate"/>
        </w:r>
        <w:r w:rsidR="005C2F7C">
          <w:rPr>
            <w:webHidden/>
          </w:rPr>
          <w:t>29</w:t>
        </w:r>
        <w:r w:rsidR="005C2F7C">
          <w:rPr>
            <w:webHidden/>
          </w:rPr>
          <w:fldChar w:fldCharType="end"/>
        </w:r>
      </w:hyperlink>
    </w:p>
    <w:p w14:paraId="7A54BE55" w14:textId="436F44E2" w:rsidR="005C2F7C" w:rsidRDefault="007F664A">
      <w:pPr>
        <w:pStyle w:val="TOC2"/>
        <w:rPr>
          <w:rFonts w:asciiTheme="minorHAnsi" w:eastAsiaTheme="minorEastAsia" w:hAnsiTheme="minorHAnsi" w:cstheme="minorBidi"/>
          <w:sz w:val="22"/>
          <w:szCs w:val="22"/>
          <w:lang w:eastAsia="en-AU"/>
        </w:rPr>
      </w:pPr>
      <w:hyperlink w:anchor="_Toc46304656" w:history="1">
        <w:r w:rsidR="005C2F7C" w:rsidRPr="001E1412">
          <w:rPr>
            <w:rStyle w:val="Hyperlink"/>
          </w:rPr>
          <w:t>Wrong blood in tube (WBIT)</w:t>
        </w:r>
        <w:r w:rsidR="005C2F7C">
          <w:rPr>
            <w:webHidden/>
          </w:rPr>
          <w:tab/>
        </w:r>
        <w:r w:rsidR="005C2F7C">
          <w:rPr>
            <w:webHidden/>
          </w:rPr>
          <w:fldChar w:fldCharType="begin"/>
        </w:r>
        <w:r w:rsidR="005C2F7C">
          <w:rPr>
            <w:webHidden/>
          </w:rPr>
          <w:instrText xml:space="preserve"> PAGEREF _Toc46304656 \h </w:instrText>
        </w:r>
        <w:r w:rsidR="005C2F7C">
          <w:rPr>
            <w:webHidden/>
          </w:rPr>
        </w:r>
        <w:r w:rsidR="005C2F7C">
          <w:rPr>
            <w:webHidden/>
          </w:rPr>
          <w:fldChar w:fldCharType="separate"/>
        </w:r>
        <w:r w:rsidR="005C2F7C">
          <w:rPr>
            <w:webHidden/>
          </w:rPr>
          <w:t>30</w:t>
        </w:r>
        <w:r w:rsidR="005C2F7C">
          <w:rPr>
            <w:webHidden/>
          </w:rPr>
          <w:fldChar w:fldCharType="end"/>
        </w:r>
      </w:hyperlink>
    </w:p>
    <w:p w14:paraId="2016C435" w14:textId="7056ADBF" w:rsidR="005C2F7C" w:rsidRDefault="007F664A">
      <w:pPr>
        <w:pStyle w:val="TOC2"/>
        <w:rPr>
          <w:rFonts w:asciiTheme="minorHAnsi" w:eastAsiaTheme="minorEastAsia" w:hAnsiTheme="minorHAnsi" w:cstheme="minorBidi"/>
          <w:sz w:val="22"/>
          <w:szCs w:val="22"/>
          <w:lang w:eastAsia="en-AU"/>
        </w:rPr>
      </w:pPr>
      <w:hyperlink w:anchor="_Toc46304657" w:history="1">
        <w:r w:rsidR="005C2F7C" w:rsidRPr="001E1412">
          <w:rPr>
            <w:rStyle w:val="Hyperlink"/>
          </w:rPr>
          <w:t>RhD immunoglobulin (Ig) administration</w:t>
        </w:r>
        <w:r w:rsidR="005C2F7C">
          <w:rPr>
            <w:webHidden/>
          </w:rPr>
          <w:tab/>
        </w:r>
        <w:r w:rsidR="005C2F7C">
          <w:rPr>
            <w:webHidden/>
          </w:rPr>
          <w:fldChar w:fldCharType="begin"/>
        </w:r>
        <w:r w:rsidR="005C2F7C">
          <w:rPr>
            <w:webHidden/>
          </w:rPr>
          <w:instrText xml:space="preserve"> PAGEREF _Toc46304657 \h </w:instrText>
        </w:r>
        <w:r w:rsidR="005C2F7C">
          <w:rPr>
            <w:webHidden/>
          </w:rPr>
        </w:r>
        <w:r w:rsidR="005C2F7C">
          <w:rPr>
            <w:webHidden/>
          </w:rPr>
          <w:fldChar w:fldCharType="separate"/>
        </w:r>
        <w:r w:rsidR="005C2F7C">
          <w:rPr>
            <w:webHidden/>
          </w:rPr>
          <w:t>32</w:t>
        </w:r>
        <w:r w:rsidR="005C2F7C">
          <w:rPr>
            <w:webHidden/>
          </w:rPr>
          <w:fldChar w:fldCharType="end"/>
        </w:r>
      </w:hyperlink>
    </w:p>
    <w:p w14:paraId="2471EC83" w14:textId="21933B12" w:rsidR="005C2F7C" w:rsidRDefault="007F664A">
      <w:pPr>
        <w:pStyle w:val="TOC2"/>
        <w:rPr>
          <w:rFonts w:asciiTheme="minorHAnsi" w:eastAsiaTheme="minorEastAsia" w:hAnsiTheme="minorHAnsi" w:cstheme="minorBidi"/>
          <w:sz w:val="22"/>
          <w:szCs w:val="22"/>
          <w:lang w:eastAsia="en-AU"/>
        </w:rPr>
      </w:pPr>
      <w:hyperlink w:anchor="_Toc46304658" w:history="1">
        <w:r w:rsidR="005C2F7C" w:rsidRPr="001E1412">
          <w:rPr>
            <w:rStyle w:val="Hyperlink"/>
          </w:rPr>
          <w:t>Cell salvage</w:t>
        </w:r>
        <w:r w:rsidR="005C2F7C">
          <w:rPr>
            <w:webHidden/>
          </w:rPr>
          <w:tab/>
        </w:r>
        <w:r w:rsidR="005C2F7C">
          <w:rPr>
            <w:webHidden/>
          </w:rPr>
          <w:fldChar w:fldCharType="begin"/>
        </w:r>
        <w:r w:rsidR="005C2F7C">
          <w:rPr>
            <w:webHidden/>
          </w:rPr>
          <w:instrText xml:space="preserve"> PAGEREF _Toc46304658 \h </w:instrText>
        </w:r>
        <w:r w:rsidR="005C2F7C">
          <w:rPr>
            <w:webHidden/>
          </w:rPr>
        </w:r>
        <w:r w:rsidR="005C2F7C">
          <w:rPr>
            <w:webHidden/>
          </w:rPr>
          <w:fldChar w:fldCharType="separate"/>
        </w:r>
        <w:r w:rsidR="005C2F7C">
          <w:rPr>
            <w:webHidden/>
          </w:rPr>
          <w:t>33</w:t>
        </w:r>
        <w:r w:rsidR="005C2F7C">
          <w:rPr>
            <w:webHidden/>
          </w:rPr>
          <w:fldChar w:fldCharType="end"/>
        </w:r>
      </w:hyperlink>
    </w:p>
    <w:p w14:paraId="418B2D77" w14:textId="4B7549DB" w:rsidR="005C2F7C" w:rsidRDefault="007F664A">
      <w:pPr>
        <w:pStyle w:val="TOC2"/>
        <w:rPr>
          <w:rFonts w:asciiTheme="minorHAnsi" w:eastAsiaTheme="minorEastAsia" w:hAnsiTheme="minorHAnsi" w:cstheme="minorBidi"/>
          <w:sz w:val="22"/>
          <w:szCs w:val="22"/>
          <w:lang w:eastAsia="en-AU"/>
        </w:rPr>
      </w:pPr>
      <w:hyperlink w:anchor="_Toc46304659" w:history="1">
        <w:r w:rsidR="005C2F7C" w:rsidRPr="001E1412">
          <w:rPr>
            <w:rStyle w:val="Hyperlink"/>
          </w:rPr>
          <w:t>Sentinel events</w:t>
        </w:r>
        <w:r w:rsidR="005C2F7C">
          <w:rPr>
            <w:webHidden/>
          </w:rPr>
          <w:tab/>
        </w:r>
        <w:r w:rsidR="005C2F7C">
          <w:rPr>
            <w:webHidden/>
          </w:rPr>
          <w:fldChar w:fldCharType="begin"/>
        </w:r>
        <w:r w:rsidR="005C2F7C">
          <w:rPr>
            <w:webHidden/>
          </w:rPr>
          <w:instrText xml:space="preserve"> PAGEREF _Toc46304659 \h </w:instrText>
        </w:r>
        <w:r w:rsidR="005C2F7C">
          <w:rPr>
            <w:webHidden/>
          </w:rPr>
        </w:r>
        <w:r w:rsidR="005C2F7C">
          <w:rPr>
            <w:webHidden/>
          </w:rPr>
          <w:fldChar w:fldCharType="separate"/>
        </w:r>
        <w:r w:rsidR="005C2F7C">
          <w:rPr>
            <w:webHidden/>
          </w:rPr>
          <w:t>33</w:t>
        </w:r>
        <w:r w:rsidR="005C2F7C">
          <w:rPr>
            <w:webHidden/>
          </w:rPr>
          <w:fldChar w:fldCharType="end"/>
        </w:r>
      </w:hyperlink>
    </w:p>
    <w:p w14:paraId="135BF9D6" w14:textId="592630EE" w:rsidR="005C2F7C" w:rsidRDefault="007F664A">
      <w:pPr>
        <w:pStyle w:val="TOC1"/>
        <w:rPr>
          <w:rFonts w:asciiTheme="minorHAnsi" w:eastAsiaTheme="minorEastAsia" w:hAnsiTheme="minorHAnsi" w:cstheme="minorBidi"/>
          <w:b w:val="0"/>
          <w:sz w:val="22"/>
          <w:szCs w:val="22"/>
          <w:lang w:eastAsia="en-AU"/>
        </w:rPr>
      </w:pPr>
      <w:hyperlink w:anchor="_Toc46304660" w:history="1">
        <w:r w:rsidR="005C2F7C" w:rsidRPr="001E1412">
          <w:rPr>
            <w:rStyle w:val="Hyperlink"/>
          </w:rPr>
          <w:t>Future</w:t>
        </w:r>
        <w:r w:rsidR="005C2F7C">
          <w:rPr>
            <w:webHidden/>
          </w:rPr>
          <w:tab/>
        </w:r>
        <w:r w:rsidR="005C2F7C">
          <w:rPr>
            <w:webHidden/>
          </w:rPr>
          <w:fldChar w:fldCharType="begin"/>
        </w:r>
        <w:r w:rsidR="005C2F7C">
          <w:rPr>
            <w:webHidden/>
          </w:rPr>
          <w:instrText xml:space="preserve"> PAGEREF _Toc46304660 \h </w:instrText>
        </w:r>
        <w:r w:rsidR="005C2F7C">
          <w:rPr>
            <w:webHidden/>
          </w:rPr>
        </w:r>
        <w:r w:rsidR="005C2F7C">
          <w:rPr>
            <w:webHidden/>
          </w:rPr>
          <w:fldChar w:fldCharType="separate"/>
        </w:r>
        <w:r w:rsidR="005C2F7C">
          <w:rPr>
            <w:webHidden/>
          </w:rPr>
          <w:t>33</w:t>
        </w:r>
        <w:r w:rsidR="005C2F7C">
          <w:rPr>
            <w:webHidden/>
          </w:rPr>
          <w:fldChar w:fldCharType="end"/>
        </w:r>
      </w:hyperlink>
    </w:p>
    <w:p w14:paraId="4A8C44C8" w14:textId="245BA423" w:rsidR="005C2F7C" w:rsidRDefault="007F664A">
      <w:pPr>
        <w:pStyle w:val="TOC1"/>
        <w:rPr>
          <w:rFonts w:asciiTheme="minorHAnsi" w:eastAsiaTheme="minorEastAsia" w:hAnsiTheme="minorHAnsi" w:cstheme="minorBidi"/>
          <w:b w:val="0"/>
          <w:sz w:val="22"/>
          <w:szCs w:val="22"/>
          <w:lang w:eastAsia="en-AU"/>
        </w:rPr>
      </w:pPr>
      <w:hyperlink w:anchor="_Toc46304661" w:history="1">
        <w:r w:rsidR="005C2F7C" w:rsidRPr="001E1412">
          <w:rPr>
            <w:rStyle w:val="Hyperlink"/>
          </w:rPr>
          <w:t>References</w:t>
        </w:r>
        <w:r w:rsidR="005C2F7C">
          <w:rPr>
            <w:webHidden/>
          </w:rPr>
          <w:tab/>
        </w:r>
        <w:r w:rsidR="005C2F7C">
          <w:rPr>
            <w:webHidden/>
          </w:rPr>
          <w:fldChar w:fldCharType="begin"/>
        </w:r>
        <w:r w:rsidR="005C2F7C">
          <w:rPr>
            <w:webHidden/>
          </w:rPr>
          <w:instrText xml:space="preserve"> PAGEREF _Toc46304661 \h </w:instrText>
        </w:r>
        <w:r w:rsidR="005C2F7C">
          <w:rPr>
            <w:webHidden/>
          </w:rPr>
        </w:r>
        <w:r w:rsidR="005C2F7C">
          <w:rPr>
            <w:webHidden/>
          </w:rPr>
          <w:fldChar w:fldCharType="separate"/>
        </w:r>
        <w:r w:rsidR="005C2F7C">
          <w:rPr>
            <w:webHidden/>
          </w:rPr>
          <w:t>34</w:t>
        </w:r>
        <w:r w:rsidR="005C2F7C">
          <w:rPr>
            <w:webHidden/>
          </w:rPr>
          <w:fldChar w:fldCharType="end"/>
        </w:r>
      </w:hyperlink>
    </w:p>
    <w:p w14:paraId="023795C9" w14:textId="79F897EF" w:rsidR="005C2F7C" w:rsidRDefault="007F664A">
      <w:pPr>
        <w:pStyle w:val="TOC1"/>
        <w:rPr>
          <w:rFonts w:asciiTheme="minorHAnsi" w:eastAsiaTheme="minorEastAsia" w:hAnsiTheme="minorHAnsi" w:cstheme="minorBidi"/>
          <w:b w:val="0"/>
          <w:sz w:val="22"/>
          <w:szCs w:val="22"/>
          <w:lang w:eastAsia="en-AU"/>
        </w:rPr>
      </w:pPr>
      <w:hyperlink w:anchor="_Toc46304662" w:history="1">
        <w:r w:rsidR="005C2F7C" w:rsidRPr="001E1412">
          <w:rPr>
            <w:rStyle w:val="Hyperlink"/>
          </w:rPr>
          <w:t>Appendix 1–Expert group members</w:t>
        </w:r>
        <w:r w:rsidR="005C2F7C">
          <w:rPr>
            <w:webHidden/>
          </w:rPr>
          <w:tab/>
        </w:r>
        <w:r w:rsidR="005C2F7C">
          <w:rPr>
            <w:webHidden/>
          </w:rPr>
          <w:fldChar w:fldCharType="begin"/>
        </w:r>
        <w:r w:rsidR="005C2F7C">
          <w:rPr>
            <w:webHidden/>
          </w:rPr>
          <w:instrText xml:space="preserve"> PAGEREF _Toc46304662 \h </w:instrText>
        </w:r>
        <w:r w:rsidR="005C2F7C">
          <w:rPr>
            <w:webHidden/>
          </w:rPr>
        </w:r>
        <w:r w:rsidR="005C2F7C">
          <w:rPr>
            <w:webHidden/>
          </w:rPr>
          <w:fldChar w:fldCharType="separate"/>
        </w:r>
        <w:r w:rsidR="005C2F7C">
          <w:rPr>
            <w:webHidden/>
          </w:rPr>
          <w:t>35</w:t>
        </w:r>
        <w:r w:rsidR="005C2F7C">
          <w:rPr>
            <w:webHidden/>
          </w:rPr>
          <w:fldChar w:fldCharType="end"/>
        </w:r>
      </w:hyperlink>
    </w:p>
    <w:p w14:paraId="2979ED6E" w14:textId="7D803F17" w:rsidR="005C2F7C" w:rsidRDefault="007F664A">
      <w:pPr>
        <w:pStyle w:val="TOC1"/>
        <w:rPr>
          <w:rFonts w:asciiTheme="minorHAnsi" w:eastAsiaTheme="minorEastAsia" w:hAnsiTheme="minorHAnsi" w:cstheme="minorBidi"/>
          <w:b w:val="0"/>
          <w:sz w:val="22"/>
          <w:szCs w:val="22"/>
          <w:lang w:eastAsia="en-AU"/>
        </w:rPr>
      </w:pPr>
      <w:hyperlink w:anchor="_Toc46304663" w:history="1">
        <w:r w:rsidR="005C2F7C" w:rsidRPr="001E1412">
          <w:rPr>
            <w:rStyle w:val="Hyperlink"/>
          </w:rPr>
          <w:t>Appendix 2–STIR publications and promotions</w:t>
        </w:r>
        <w:r w:rsidR="005C2F7C">
          <w:rPr>
            <w:webHidden/>
          </w:rPr>
          <w:tab/>
        </w:r>
        <w:r w:rsidR="005C2F7C">
          <w:rPr>
            <w:webHidden/>
          </w:rPr>
          <w:fldChar w:fldCharType="begin"/>
        </w:r>
        <w:r w:rsidR="005C2F7C">
          <w:rPr>
            <w:webHidden/>
          </w:rPr>
          <w:instrText xml:space="preserve"> PAGEREF _Toc46304663 \h </w:instrText>
        </w:r>
        <w:r w:rsidR="005C2F7C">
          <w:rPr>
            <w:webHidden/>
          </w:rPr>
        </w:r>
        <w:r w:rsidR="005C2F7C">
          <w:rPr>
            <w:webHidden/>
          </w:rPr>
          <w:fldChar w:fldCharType="separate"/>
        </w:r>
        <w:r w:rsidR="005C2F7C">
          <w:rPr>
            <w:webHidden/>
          </w:rPr>
          <w:t>36</w:t>
        </w:r>
        <w:r w:rsidR="005C2F7C">
          <w:rPr>
            <w:webHidden/>
          </w:rPr>
          <w:fldChar w:fldCharType="end"/>
        </w:r>
      </w:hyperlink>
    </w:p>
    <w:p w14:paraId="45964B49" w14:textId="1200E400" w:rsidR="005C2F7C" w:rsidRDefault="007F664A">
      <w:pPr>
        <w:pStyle w:val="TOC1"/>
        <w:rPr>
          <w:rFonts w:asciiTheme="minorHAnsi" w:eastAsiaTheme="minorEastAsia" w:hAnsiTheme="minorHAnsi" w:cstheme="minorBidi"/>
          <w:b w:val="0"/>
          <w:sz w:val="22"/>
          <w:szCs w:val="22"/>
          <w:lang w:eastAsia="en-AU"/>
        </w:rPr>
      </w:pPr>
      <w:hyperlink w:anchor="_Toc46304664" w:history="1">
        <w:r w:rsidR="005C2F7C" w:rsidRPr="001E1412">
          <w:rPr>
            <w:rStyle w:val="Hyperlink"/>
          </w:rPr>
          <w:t>Appendix 3–Imputability and severity scores</w:t>
        </w:r>
        <w:r w:rsidR="005C2F7C">
          <w:rPr>
            <w:webHidden/>
          </w:rPr>
          <w:tab/>
        </w:r>
        <w:r w:rsidR="005C2F7C">
          <w:rPr>
            <w:webHidden/>
          </w:rPr>
          <w:fldChar w:fldCharType="begin"/>
        </w:r>
        <w:r w:rsidR="005C2F7C">
          <w:rPr>
            <w:webHidden/>
          </w:rPr>
          <w:instrText xml:space="preserve"> PAGEREF _Toc46304664 \h </w:instrText>
        </w:r>
        <w:r w:rsidR="005C2F7C">
          <w:rPr>
            <w:webHidden/>
          </w:rPr>
        </w:r>
        <w:r w:rsidR="005C2F7C">
          <w:rPr>
            <w:webHidden/>
          </w:rPr>
          <w:fldChar w:fldCharType="separate"/>
        </w:r>
        <w:r w:rsidR="005C2F7C">
          <w:rPr>
            <w:webHidden/>
          </w:rPr>
          <w:t>37</w:t>
        </w:r>
        <w:r w:rsidR="005C2F7C">
          <w:rPr>
            <w:webHidden/>
          </w:rPr>
          <w:fldChar w:fldCharType="end"/>
        </w:r>
      </w:hyperlink>
    </w:p>
    <w:p w14:paraId="31D31473" w14:textId="68E1E6DF" w:rsidR="005C2F7C" w:rsidRDefault="007F664A">
      <w:pPr>
        <w:pStyle w:val="TOC1"/>
        <w:rPr>
          <w:rFonts w:asciiTheme="minorHAnsi" w:eastAsiaTheme="minorEastAsia" w:hAnsiTheme="minorHAnsi" w:cstheme="minorBidi"/>
          <w:b w:val="0"/>
          <w:sz w:val="22"/>
          <w:szCs w:val="22"/>
          <w:lang w:eastAsia="en-AU"/>
        </w:rPr>
      </w:pPr>
      <w:hyperlink w:anchor="_Toc46304665" w:history="1">
        <w:r w:rsidR="005C2F7C" w:rsidRPr="001E1412">
          <w:rPr>
            <w:rStyle w:val="Hyperlink"/>
          </w:rPr>
          <w:t>Appendix 4–STIR timeline</w:t>
        </w:r>
        <w:r w:rsidR="005C2F7C">
          <w:rPr>
            <w:webHidden/>
          </w:rPr>
          <w:tab/>
        </w:r>
        <w:r w:rsidR="005C2F7C">
          <w:rPr>
            <w:webHidden/>
          </w:rPr>
          <w:fldChar w:fldCharType="begin"/>
        </w:r>
        <w:r w:rsidR="005C2F7C">
          <w:rPr>
            <w:webHidden/>
          </w:rPr>
          <w:instrText xml:space="preserve"> PAGEREF _Toc46304665 \h </w:instrText>
        </w:r>
        <w:r w:rsidR="005C2F7C">
          <w:rPr>
            <w:webHidden/>
          </w:rPr>
        </w:r>
        <w:r w:rsidR="005C2F7C">
          <w:rPr>
            <w:webHidden/>
          </w:rPr>
          <w:fldChar w:fldCharType="separate"/>
        </w:r>
        <w:r w:rsidR="005C2F7C">
          <w:rPr>
            <w:webHidden/>
          </w:rPr>
          <w:t>38</w:t>
        </w:r>
        <w:r w:rsidR="005C2F7C">
          <w:rPr>
            <w:webHidden/>
          </w:rPr>
          <w:fldChar w:fldCharType="end"/>
        </w:r>
      </w:hyperlink>
    </w:p>
    <w:p w14:paraId="068F7A29" w14:textId="3EEE1096" w:rsidR="003E2E12" w:rsidRPr="003072C6" w:rsidRDefault="00E15DA9" w:rsidP="00213772">
      <w:pPr>
        <w:pStyle w:val="TOC2"/>
        <w:rPr>
          <w:noProof w:val="0"/>
        </w:rPr>
      </w:pPr>
      <w:r w:rsidRPr="003072C6">
        <w:rPr>
          <w:noProof w:val="0"/>
        </w:rPr>
        <w:fldChar w:fldCharType="end"/>
      </w:r>
    </w:p>
    <w:p w14:paraId="494E2D4B" w14:textId="77777777" w:rsidR="0088429D" w:rsidRPr="0088429D" w:rsidRDefault="003E2E12" w:rsidP="0088429D">
      <w:pPr>
        <w:pStyle w:val="DHHSbody"/>
      </w:pPr>
      <w:r w:rsidRPr="00256E7C">
        <w:br w:type="page"/>
      </w:r>
    </w:p>
    <w:p w14:paraId="572C6B24" w14:textId="77777777" w:rsidR="0088429D" w:rsidRPr="0088429D" w:rsidRDefault="0088429D" w:rsidP="005B6D53">
      <w:pPr>
        <w:pStyle w:val="Heading1"/>
        <w:rPr>
          <w:rFonts w:eastAsia="Times"/>
        </w:rPr>
      </w:pPr>
      <w:bookmarkStart w:id="0" w:name="_Toc46304632"/>
      <w:r w:rsidRPr="0088429D">
        <w:rPr>
          <w:rFonts w:eastAsia="Times"/>
        </w:rPr>
        <w:lastRenderedPageBreak/>
        <w:t>Acknowledgements</w:t>
      </w:r>
      <w:bookmarkEnd w:id="0"/>
    </w:p>
    <w:p w14:paraId="5E171633" w14:textId="77777777" w:rsidR="0088429D" w:rsidRPr="0088429D" w:rsidRDefault="0088429D" w:rsidP="0088429D">
      <w:pPr>
        <w:pStyle w:val="DHHSbody"/>
      </w:pPr>
      <w:r w:rsidRPr="0088429D">
        <w:t>The Blood Matters program is a collaboration between the Victorian Department of Health and Human Services and the Australian Red Cross Lifeblood. It is founded on the expectation that providing haemovigilance information supports the community by promoting better transfusion practice.</w:t>
      </w:r>
    </w:p>
    <w:p w14:paraId="36BB7F5D" w14:textId="77777777" w:rsidR="0088429D" w:rsidRPr="0088429D" w:rsidRDefault="0088429D" w:rsidP="0088429D">
      <w:pPr>
        <w:pStyle w:val="DHHSbody"/>
      </w:pPr>
      <w:r w:rsidRPr="0088429D">
        <w:t xml:space="preserve">The Serious Transfusion Incident Reporting (STIR) program thanks the participating Victorian, Tasmanian, Australian Capital Territory and Northern Territory public and private health services for their contribution to the program. </w:t>
      </w:r>
    </w:p>
    <w:p w14:paraId="4E66A18C" w14:textId="137A68A3" w:rsidR="0088429D" w:rsidRPr="0088429D" w:rsidRDefault="0088429D" w:rsidP="0088429D">
      <w:pPr>
        <w:pStyle w:val="DHHSbody"/>
        <w:rPr>
          <w:b/>
        </w:rPr>
      </w:pPr>
      <w:r w:rsidRPr="0088429D">
        <w:t>Blood Matters recognises and appreciates the generous in-kind support of the STIR Expert Group, whose input is invaluable in reviewing the incidents and providing recommendations and direction for the work.</w:t>
      </w:r>
    </w:p>
    <w:p w14:paraId="52505033" w14:textId="77777777" w:rsidR="0088429D" w:rsidRPr="0088429D" w:rsidRDefault="0088429D" w:rsidP="0088429D">
      <w:pPr>
        <w:pStyle w:val="DHHSbody"/>
        <w:rPr>
          <w:b/>
        </w:rPr>
      </w:pPr>
      <w:r w:rsidRPr="0088429D">
        <w:rPr>
          <w:b/>
        </w:rPr>
        <w:br w:type="page"/>
      </w:r>
    </w:p>
    <w:p w14:paraId="6E219449" w14:textId="77777777" w:rsidR="0088429D" w:rsidRPr="0088429D" w:rsidRDefault="0088429D" w:rsidP="005B6D53">
      <w:pPr>
        <w:pStyle w:val="Heading1"/>
        <w:rPr>
          <w:rFonts w:eastAsia="Times"/>
        </w:rPr>
      </w:pPr>
      <w:bookmarkStart w:id="1" w:name="_Toc46304633"/>
      <w:r w:rsidRPr="0088429D">
        <w:rPr>
          <w:rFonts w:eastAsia="Times"/>
        </w:rPr>
        <w:lastRenderedPageBreak/>
        <w:t>Abbreviations and acronyms</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870"/>
      </w:tblGrid>
      <w:tr w:rsidR="00360322" w:rsidRPr="007031D6" w14:paraId="0C270FAC" w14:textId="77777777" w:rsidTr="00F1796C">
        <w:tc>
          <w:tcPr>
            <w:tcW w:w="1418" w:type="dxa"/>
          </w:tcPr>
          <w:p w14:paraId="60CCDF9F" w14:textId="77777777" w:rsidR="00360322" w:rsidRPr="007031D6" w:rsidRDefault="00360322" w:rsidP="00360322">
            <w:pPr>
              <w:pStyle w:val="DHHSbody"/>
            </w:pPr>
            <w:r w:rsidRPr="007031D6">
              <w:t>ABO</w:t>
            </w:r>
          </w:p>
        </w:tc>
        <w:tc>
          <w:tcPr>
            <w:tcW w:w="7870" w:type="dxa"/>
          </w:tcPr>
          <w:p w14:paraId="2EABB40C" w14:textId="77777777" w:rsidR="00360322" w:rsidRPr="007031D6" w:rsidRDefault="00360322" w:rsidP="00360322">
            <w:pPr>
              <w:pStyle w:val="DHHSbody"/>
            </w:pPr>
            <w:r w:rsidRPr="007031D6">
              <w:t>major human blood group system</w:t>
            </w:r>
          </w:p>
        </w:tc>
      </w:tr>
      <w:tr w:rsidR="00360322" w:rsidRPr="007031D6" w14:paraId="4FB42566" w14:textId="77777777" w:rsidTr="00F1796C">
        <w:tc>
          <w:tcPr>
            <w:tcW w:w="1418" w:type="dxa"/>
          </w:tcPr>
          <w:p w14:paraId="5190EEC2" w14:textId="77777777" w:rsidR="00360322" w:rsidRPr="007031D6" w:rsidRDefault="00360322" w:rsidP="00360322">
            <w:pPr>
              <w:pStyle w:val="DHHSbody"/>
            </w:pPr>
            <w:r w:rsidRPr="007031D6">
              <w:t>AHTR</w:t>
            </w:r>
          </w:p>
        </w:tc>
        <w:tc>
          <w:tcPr>
            <w:tcW w:w="7870" w:type="dxa"/>
          </w:tcPr>
          <w:p w14:paraId="402467EF" w14:textId="77777777" w:rsidR="00360322" w:rsidRPr="007031D6" w:rsidRDefault="00360322" w:rsidP="00360322">
            <w:pPr>
              <w:pStyle w:val="DHHSbody"/>
            </w:pPr>
            <w:r w:rsidRPr="007031D6">
              <w:t>acute haemolytic transfusion reaction</w:t>
            </w:r>
          </w:p>
        </w:tc>
      </w:tr>
      <w:tr w:rsidR="00360322" w:rsidRPr="007031D6" w14:paraId="1D564281" w14:textId="77777777" w:rsidTr="00F1796C">
        <w:tc>
          <w:tcPr>
            <w:tcW w:w="1418" w:type="dxa"/>
          </w:tcPr>
          <w:p w14:paraId="4D0B9145" w14:textId="77777777" w:rsidR="00360322" w:rsidRPr="007031D6" w:rsidRDefault="00360322" w:rsidP="00360322">
            <w:pPr>
              <w:pStyle w:val="DHHSbody"/>
            </w:pPr>
            <w:r w:rsidRPr="007031D6">
              <w:t>BloodNet</w:t>
            </w:r>
          </w:p>
        </w:tc>
        <w:tc>
          <w:tcPr>
            <w:tcW w:w="7870" w:type="dxa"/>
          </w:tcPr>
          <w:p w14:paraId="4FD0EE64" w14:textId="77777777" w:rsidR="00360322" w:rsidRPr="007031D6" w:rsidRDefault="00360322" w:rsidP="00360322">
            <w:pPr>
              <w:pStyle w:val="DHHSbody"/>
            </w:pPr>
            <w:r w:rsidRPr="007031D6">
              <w:t>a web-based system through which staff in health facilities across Australia can order blood and blood products from the Australian Red Cross Lifeblood in a standardised, secure and efficient way</w:t>
            </w:r>
          </w:p>
        </w:tc>
      </w:tr>
      <w:tr w:rsidR="00360322" w:rsidRPr="007031D6" w14:paraId="765AE648" w14:textId="77777777" w:rsidTr="00F1796C">
        <w:tc>
          <w:tcPr>
            <w:tcW w:w="1418" w:type="dxa"/>
          </w:tcPr>
          <w:p w14:paraId="11420FFB" w14:textId="77777777" w:rsidR="00360322" w:rsidRPr="007031D6" w:rsidRDefault="00360322" w:rsidP="00360322">
            <w:pPr>
              <w:pStyle w:val="DHHSbody"/>
            </w:pPr>
            <w:r w:rsidRPr="007031D6">
              <w:t>BP</w:t>
            </w:r>
          </w:p>
        </w:tc>
        <w:tc>
          <w:tcPr>
            <w:tcW w:w="7870" w:type="dxa"/>
          </w:tcPr>
          <w:p w14:paraId="2E6BBDBE" w14:textId="77777777" w:rsidR="00360322" w:rsidRPr="007031D6" w:rsidRDefault="00360322" w:rsidP="00360322">
            <w:pPr>
              <w:pStyle w:val="DHHSbody"/>
            </w:pPr>
            <w:r w:rsidRPr="007031D6">
              <w:t>blood pressure</w:t>
            </w:r>
          </w:p>
        </w:tc>
      </w:tr>
      <w:tr w:rsidR="00360322" w:rsidRPr="007031D6" w14:paraId="780B5442" w14:textId="77777777" w:rsidTr="00F1796C">
        <w:tc>
          <w:tcPr>
            <w:tcW w:w="1418" w:type="dxa"/>
          </w:tcPr>
          <w:p w14:paraId="18414435" w14:textId="77777777" w:rsidR="00360322" w:rsidRPr="007031D6" w:rsidRDefault="00360322" w:rsidP="00360322">
            <w:pPr>
              <w:pStyle w:val="DHHSbody"/>
            </w:pPr>
            <w:r w:rsidRPr="007031D6">
              <w:t>DHTR</w:t>
            </w:r>
          </w:p>
        </w:tc>
        <w:tc>
          <w:tcPr>
            <w:tcW w:w="7870" w:type="dxa"/>
          </w:tcPr>
          <w:p w14:paraId="1AE25609" w14:textId="77777777" w:rsidR="00360322" w:rsidRPr="007031D6" w:rsidRDefault="00360322" w:rsidP="00360322">
            <w:pPr>
              <w:pStyle w:val="DHHSbody"/>
            </w:pPr>
            <w:r w:rsidRPr="007031D6">
              <w:t>delayed haemolytic transfusion reaction</w:t>
            </w:r>
          </w:p>
        </w:tc>
      </w:tr>
      <w:tr w:rsidR="00360322" w:rsidRPr="007031D6" w14:paraId="331692F4" w14:textId="77777777" w:rsidTr="00F1796C">
        <w:tc>
          <w:tcPr>
            <w:tcW w:w="1418" w:type="dxa"/>
          </w:tcPr>
          <w:p w14:paraId="65AC62A2" w14:textId="77777777" w:rsidR="00360322" w:rsidRPr="007031D6" w:rsidRDefault="00360322" w:rsidP="00360322">
            <w:pPr>
              <w:pStyle w:val="DHHSbody"/>
            </w:pPr>
            <w:r w:rsidRPr="007031D6">
              <w:t>DSTR</w:t>
            </w:r>
          </w:p>
        </w:tc>
        <w:tc>
          <w:tcPr>
            <w:tcW w:w="7870" w:type="dxa"/>
          </w:tcPr>
          <w:p w14:paraId="2150C808" w14:textId="77777777" w:rsidR="00360322" w:rsidRPr="007031D6" w:rsidRDefault="00360322" w:rsidP="00360322">
            <w:pPr>
              <w:pStyle w:val="DHHSbody"/>
            </w:pPr>
            <w:r w:rsidRPr="007031D6">
              <w:t>delayed serologic transfusion reaction</w:t>
            </w:r>
          </w:p>
        </w:tc>
      </w:tr>
      <w:tr w:rsidR="00360322" w:rsidRPr="007031D6" w14:paraId="30CFAFE2" w14:textId="77777777" w:rsidTr="00F1796C">
        <w:tc>
          <w:tcPr>
            <w:tcW w:w="1418" w:type="dxa"/>
          </w:tcPr>
          <w:p w14:paraId="04106F63" w14:textId="77777777" w:rsidR="00360322" w:rsidRPr="007031D6" w:rsidRDefault="00360322" w:rsidP="00360322">
            <w:pPr>
              <w:pStyle w:val="DHHSbody"/>
            </w:pPr>
            <w:r w:rsidRPr="007031D6">
              <w:t>ED</w:t>
            </w:r>
          </w:p>
        </w:tc>
        <w:tc>
          <w:tcPr>
            <w:tcW w:w="7870" w:type="dxa"/>
          </w:tcPr>
          <w:p w14:paraId="058DED27" w14:textId="77777777" w:rsidR="00360322" w:rsidRPr="007031D6" w:rsidRDefault="00360322" w:rsidP="00360322">
            <w:pPr>
              <w:pStyle w:val="DHHSbody"/>
            </w:pPr>
            <w:r w:rsidRPr="007031D6">
              <w:t>emergency department</w:t>
            </w:r>
          </w:p>
        </w:tc>
      </w:tr>
      <w:tr w:rsidR="00360322" w:rsidRPr="007031D6" w14:paraId="6192593C" w14:textId="77777777" w:rsidTr="00F1796C">
        <w:tc>
          <w:tcPr>
            <w:tcW w:w="1418" w:type="dxa"/>
          </w:tcPr>
          <w:p w14:paraId="2A9B4C37" w14:textId="5A0CEBB0" w:rsidR="00360322" w:rsidRPr="007031D6" w:rsidRDefault="00360322" w:rsidP="00360322">
            <w:pPr>
              <w:pStyle w:val="DHHSbody"/>
            </w:pPr>
            <w:r w:rsidRPr="007031D6">
              <w:t xml:space="preserve">EMR </w:t>
            </w:r>
          </w:p>
        </w:tc>
        <w:tc>
          <w:tcPr>
            <w:tcW w:w="7870" w:type="dxa"/>
          </w:tcPr>
          <w:p w14:paraId="22C7AF07" w14:textId="77777777" w:rsidR="00360322" w:rsidRPr="007031D6" w:rsidRDefault="00360322" w:rsidP="00360322">
            <w:pPr>
              <w:pStyle w:val="DHHSbody"/>
            </w:pPr>
            <w:r w:rsidRPr="007031D6">
              <w:t>electronic medical record</w:t>
            </w:r>
          </w:p>
        </w:tc>
      </w:tr>
      <w:tr w:rsidR="00360322" w:rsidRPr="007031D6" w14:paraId="49C1C387" w14:textId="77777777" w:rsidTr="00F1796C">
        <w:tc>
          <w:tcPr>
            <w:tcW w:w="1418" w:type="dxa"/>
          </w:tcPr>
          <w:p w14:paraId="46764DC1" w14:textId="77777777" w:rsidR="00360322" w:rsidRPr="007031D6" w:rsidRDefault="00360322" w:rsidP="00360322">
            <w:pPr>
              <w:pStyle w:val="DHHSbody"/>
            </w:pPr>
            <w:r w:rsidRPr="007031D6">
              <w:t>FNHTR</w:t>
            </w:r>
          </w:p>
        </w:tc>
        <w:tc>
          <w:tcPr>
            <w:tcW w:w="7870" w:type="dxa"/>
          </w:tcPr>
          <w:p w14:paraId="4391C1BA" w14:textId="77777777" w:rsidR="00360322" w:rsidRPr="007031D6" w:rsidRDefault="00360322" w:rsidP="00360322">
            <w:pPr>
              <w:pStyle w:val="DHHSbody"/>
            </w:pPr>
            <w:r w:rsidRPr="007031D6">
              <w:t>febrile non-haemolytic transfusion reaction</w:t>
            </w:r>
          </w:p>
        </w:tc>
      </w:tr>
      <w:tr w:rsidR="00360322" w:rsidRPr="007031D6" w14:paraId="1BE4808E" w14:textId="77777777" w:rsidTr="00F1796C">
        <w:tc>
          <w:tcPr>
            <w:tcW w:w="1418" w:type="dxa"/>
          </w:tcPr>
          <w:p w14:paraId="2976EC68" w14:textId="77777777" w:rsidR="00360322" w:rsidRPr="007031D6" w:rsidRDefault="00360322" w:rsidP="00360322">
            <w:pPr>
              <w:pStyle w:val="DHHSbody"/>
            </w:pPr>
            <w:r w:rsidRPr="007031D6">
              <w:t>FFP</w:t>
            </w:r>
          </w:p>
        </w:tc>
        <w:tc>
          <w:tcPr>
            <w:tcW w:w="7870" w:type="dxa"/>
          </w:tcPr>
          <w:p w14:paraId="52582DDE" w14:textId="77777777" w:rsidR="00360322" w:rsidRPr="007031D6" w:rsidRDefault="00360322" w:rsidP="00360322">
            <w:pPr>
              <w:pStyle w:val="DHHSbody"/>
            </w:pPr>
            <w:r w:rsidRPr="007031D6">
              <w:t>fresh frozen plasma</w:t>
            </w:r>
          </w:p>
        </w:tc>
      </w:tr>
      <w:tr w:rsidR="00360322" w:rsidRPr="007031D6" w14:paraId="46162194" w14:textId="77777777" w:rsidTr="00F1796C">
        <w:tc>
          <w:tcPr>
            <w:tcW w:w="1418" w:type="dxa"/>
          </w:tcPr>
          <w:p w14:paraId="2824986F" w14:textId="77777777" w:rsidR="00360322" w:rsidRPr="007031D6" w:rsidRDefault="00360322" w:rsidP="00360322">
            <w:pPr>
              <w:pStyle w:val="DHHSbody"/>
            </w:pPr>
            <w:r w:rsidRPr="007031D6">
              <w:t>FY19</w:t>
            </w:r>
          </w:p>
        </w:tc>
        <w:tc>
          <w:tcPr>
            <w:tcW w:w="7870" w:type="dxa"/>
          </w:tcPr>
          <w:p w14:paraId="1EF8B3CA" w14:textId="77777777" w:rsidR="00360322" w:rsidRPr="007031D6" w:rsidRDefault="00360322" w:rsidP="00360322">
            <w:pPr>
              <w:pStyle w:val="DHHSbody"/>
            </w:pPr>
            <w:r w:rsidRPr="007031D6">
              <w:t>period 1 July 2018 to 30 June 2019</w:t>
            </w:r>
          </w:p>
        </w:tc>
      </w:tr>
      <w:tr w:rsidR="00360322" w:rsidRPr="007031D6" w14:paraId="62F81624" w14:textId="77777777" w:rsidTr="00F1796C">
        <w:tc>
          <w:tcPr>
            <w:tcW w:w="1418" w:type="dxa"/>
          </w:tcPr>
          <w:p w14:paraId="5A12F265" w14:textId="77777777" w:rsidR="00360322" w:rsidRPr="007031D6" w:rsidRDefault="00360322" w:rsidP="00360322">
            <w:pPr>
              <w:pStyle w:val="DHHSbody"/>
            </w:pPr>
            <w:proofErr w:type="spellStart"/>
            <w:r w:rsidRPr="007031D6">
              <w:t>Hb</w:t>
            </w:r>
            <w:proofErr w:type="spellEnd"/>
          </w:p>
        </w:tc>
        <w:tc>
          <w:tcPr>
            <w:tcW w:w="7870" w:type="dxa"/>
          </w:tcPr>
          <w:p w14:paraId="23E9FF69" w14:textId="77777777" w:rsidR="00360322" w:rsidRPr="007031D6" w:rsidRDefault="00360322" w:rsidP="00360322">
            <w:pPr>
              <w:pStyle w:val="DHHSbody"/>
            </w:pPr>
            <w:r w:rsidRPr="007031D6">
              <w:t>haemoglobin</w:t>
            </w:r>
          </w:p>
        </w:tc>
      </w:tr>
      <w:tr w:rsidR="00360322" w:rsidRPr="007031D6" w14:paraId="7BA18A3B" w14:textId="77777777" w:rsidTr="00F1796C">
        <w:tc>
          <w:tcPr>
            <w:tcW w:w="1418" w:type="dxa"/>
          </w:tcPr>
          <w:p w14:paraId="6276495A" w14:textId="77777777" w:rsidR="00360322" w:rsidRPr="007031D6" w:rsidRDefault="00360322" w:rsidP="00360322">
            <w:pPr>
              <w:pStyle w:val="DHHSbody"/>
            </w:pPr>
            <w:r w:rsidRPr="007031D6">
              <w:t>IBCT</w:t>
            </w:r>
          </w:p>
        </w:tc>
        <w:tc>
          <w:tcPr>
            <w:tcW w:w="7870" w:type="dxa"/>
          </w:tcPr>
          <w:p w14:paraId="6EE8FF93" w14:textId="77777777" w:rsidR="00360322" w:rsidRPr="007031D6" w:rsidRDefault="00360322" w:rsidP="00360322">
            <w:pPr>
              <w:pStyle w:val="DHHSbody"/>
            </w:pPr>
            <w:r w:rsidRPr="007031D6">
              <w:t>incorrect blood component transfused</w:t>
            </w:r>
          </w:p>
        </w:tc>
      </w:tr>
      <w:tr w:rsidR="00360322" w:rsidRPr="007031D6" w14:paraId="4CE19ADE" w14:textId="77777777" w:rsidTr="00F1796C">
        <w:tc>
          <w:tcPr>
            <w:tcW w:w="1418" w:type="dxa"/>
          </w:tcPr>
          <w:p w14:paraId="7F4105EC" w14:textId="77777777" w:rsidR="00360322" w:rsidRPr="007031D6" w:rsidRDefault="00360322" w:rsidP="00360322">
            <w:pPr>
              <w:pStyle w:val="DHHSbody"/>
            </w:pPr>
            <w:r w:rsidRPr="007031D6">
              <w:t>ICU</w:t>
            </w:r>
          </w:p>
        </w:tc>
        <w:tc>
          <w:tcPr>
            <w:tcW w:w="7870" w:type="dxa"/>
          </w:tcPr>
          <w:p w14:paraId="7C8D1EC0" w14:textId="77777777" w:rsidR="00360322" w:rsidRPr="007031D6" w:rsidRDefault="00360322" w:rsidP="00360322">
            <w:pPr>
              <w:pStyle w:val="DHHSbody"/>
            </w:pPr>
            <w:r w:rsidRPr="007031D6">
              <w:t>intensive care unit</w:t>
            </w:r>
          </w:p>
        </w:tc>
      </w:tr>
      <w:tr w:rsidR="00360322" w:rsidRPr="007031D6" w14:paraId="4D573306" w14:textId="77777777" w:rsidTr="00F1796C">
        <w:tc>
          <w:tcPr>
            <w:tcW w:w="1418" w:type="dxa"/>
          </w:tcPr>
          <w:p w14:paraId="05FF1EE1" w14:textId="77777777" w:rsidR="00360322" w:rsidRPr="007031D6" w:rsidRDefault="00360322" w:rsidP="00360322">
            <w:pPr>
              <w:pStyle w:val="DHHSbody"/>
            </w:pPr>
            <w:r w:rsidRPr="007031D6">
              <w:t>IM</w:t>
            </w:r>
          </w:p>
        </w:tc>
        <w:tc>
          <w:tcPr>
            <w:tcW w:w="7870" w:type="dxa"/>
          </w:tcPr>
          <w:p w14:paraId="27504441" w14:textId="77777777" w:rsidR="00360322" w:rsidRPr="007031D6" w:rsidRDefault="00360322" w:rsidP="00360322">
            <w:pPr>
              <w:pStyle w:val="DHHSbody"/>
            </w:pPr>
            <w:r w:rsidRPr="007031D6">
              <w:t>intramuscular</w:t>
            </w:r>
          </w:p>
        </w:tc>
      </w:tr>
      <w:tr w:rsidR="00360322" w:rsidRPr="007031D6" w14:paraId="794232C3" w14:textId="77777777" w:rsidTr="00F1796C">
        <w:tc>
          <w:tcPr>
            <w:tcW w:w="1418" w:type="dxa"/>
          </w:tcPr>
          <w:p w14:paraId="254D5CFA" w14:textId="77777777" w:rsidR="00360322" w:rsidRPr="007031D6" w:rsidRDefault="00360322" w:rsidP="00360322">
            <w:pPr>
              <w:pStyle w:val="DHHSbody"/>
            </w:pPr>
            <w:r w:rsidRPr="007031D6">
              <w:t>IV</w:t>
            </w:r>
          </w:p>
        </w:tc>
        <w:tc>
          <w:tcPr>
            <w:tcW w:w="7870" w:type="dxa"/>
          </w:tcPr>
          <w:p w14:paraId="23F49699" w14:textId="77777777" w:rsidR="00360322" w:rsidRPr="007031D6" w:rsidRDefault="00360322" w:rsidP="00360322">
            <w:pPr>
              <w:pStyle w:val="DHHSbody"/>
            </w:pPr>
            <w:r w:rsidRPr="007031D6">
              <w:t>intravenous</w:t>
            </w:r>
          </w:p>
        </w:tc>
      </w:tr>
      <w:tr w:rsidR="00360322" w:rsidRPr="007031D6" w14:paraId="0D81D42B" w14:textId="77777777" w:rsidTr="00F1796C">
        <w:tc>
          <w:tcPr>
            <w:tcW w:w="1418" w:type="dxa"/>
          </w:tcPr>
          <w:p w14:paraId="7BA2521B" w14:textId="5459B010" w:rsidR="00360322" w:rsidRPr="007031D6" w:rsidRDefault="00360322" w:rsidP="00360322">
            <w:pPr>
              <w:pStyle w:val="DHHSbody"/>
            </w:pPr>
            <w:r w:rsidRPr="007031D6">
              <w:t>Lifeblood</w:t>
            </w:r>
          </w:p>
        </w:tc>
        <w:tc>
          <w:tcPr>
            <w:tcW w:w="7870" w:type="dxa"/>
          </w:tcPr>
          <w:p w14:paraId="1D34CBF9" w14:textId="566FAC81" w:rsidR="00360322" w:rsidRPr="007031D6" w:rsidRDefault="00501741" w:rsidP="00360322">
            <w:pPr>
              <w:pStyle w:val="DHHSbody"/>
            </w:pPr>
            <w:r w:rsidRPr="007031D6">
              <w:t>Australian Red Cross Lifeblood, formerly Blood Service</w:t>
            </w:r>
          </w:p>
        </w:tc>
      </w:tr>
      <w:tr w:rsidR="00360322" w:rsidRPr="007031D6" w14:paraId="4F8DD0E7" w14:textId="77777777" w:rsidTr="00F1796C">
        <w:tc>
          <w:tcPr>
            <w:tcW w:w="1418" w:type="dxa"/>
          </w:tcPr>
          <w:p w14:paraId="48B53EC0" w14:textId="77777777" w:rsidR="00360322" w:rsidRPr="007031D6" w:rsidRDefault="00360322" w:rsidP="00360322">
            <w:pPr>
              <w:pStyle w:val="DHHSbody"/>
            </w:pPr>
            <w:r w:rsidRPr="007031D6">
              <w:t>MET</w:t>
            </w:r>
          </w:p>
        </w:tc>
        <w:tc>
          <w:tcPr>
            <w:tcW w:w="7870" w:type="dxa"/>
          </w:tcPr>
          <w:p w14:paraId="6C353060" w14:textId="77777777" w:rsidR="00360322" w:rsidRPr="007031D6" w:rsidRDefault="00360322" w:rsidP="00360322">
            <w:pPr>
              <w:pStyle w:val="DHHSbody"/>
            </w:pPr>
            <w:r w:rsidRPr="007031D6">
              <w:t>medical emergency team</w:t>
            </w:r>
          </w:p>
        </w:tc>
      </w:tr>
      <w:tr w:rsidR="00360322" w:rsidRPr="007031D6" w14:paraId="173DB8E5" w14:textId="77777777" w:rsidTr="00F1796C">
        <w:tc>
          <w:tcPr>
            <w:tcW w:w="1418" w:type="dxa"/>
          </w:tcPr>
          <w:p w14:paraId="0E941BD7" w14:textId="77777777" w:rsidR="00360322" w:rsidRPr="007031D6" w:rsidRDefault="00360322" w:rsidP="00360322">
            <w:pPr>
              <w:pStyle w:val="DHHSbody"/>
            </w:pPr>
            <w:r w:rsidRPr="007031D6">
              <w:t>NBA</w:t>
            </w:r>
          </w:p>
        </w:tc>
        <w:tc>
          <w:tcPr>
            <w:tcW w:w="7870" w:type="dxa"/>
          </w:tcPr>
          <w:p w14:paraId="62FCCC7D" w14:textId="77777777" w:rsidR="00360322" w:rsidRPr="007031D6" w:rsidRDefault="00360322" w:rsidP="00360322">
            <w:pPr>
              <w:pStyle w:val="DHHSbody"/>
            </w:pPr>
            <w:r w:rsidRPr="007031D6">
              <w:t xml:space="preserve">National Blood Authority </w:t>
            </w:r>
          </w:p>
        </w:tc>
      </w:tr>
      <w:tr w:rsidR="00360322" w:rsidRPr="007031D6" w14:paraId="6503A688" w14:textId="77777777" w:rsidTr="00F1796C">
        <w:tc>
          <w:tcPr>
            <w:tcW w:w="1418" w:type="dxa"/>
          </w:tcPr>
          <w:p w14:paraId="35EAE8BB" w14:textId="77777777" w:rsidR="00360322" w:rsidRPr="007031D6" w:rsidRDefault="00360322" w:rsidP="00360322">
            <w:pPr>
              <w:pStyle w:val="DHHSbody"/>
            </w:pPr>
            <w:r w:rsidRPr="007031D6">
              <w:t>NSQHS</w:t>
            </w:r>
          </w:p>
        </w:tc>
        <w:tc>
          <w:tcPr>
            <w:tcW w:w="7870" w:type="dxa"/>
          </w:tcPr>
          <w:p w14:paraId="0FEF28FA" w14:textId="28EA4863" w:rsidR="00360322" w:rsidRPr="007031D6" w:rsidRDefault="00360322" w:rsidP="00360322">
            <w:pPr>
              <w:pStyle w:val="DHHSbody"/>
            </w:pPr>
            <w:r w:rsidRPr="007031D6">
              <w:t>National Safety and Quality Health Service</w:t>
            </w:r>
          </w:p>
        </w:tc>
      </w:tr>
      <w:tr w:rsidR="00360322" w:rsidRPr="007031D6" w14:paraId="3FCF596B" w14:textId="77777777" w:rsidTr="00F1796C">
        <w:tc>
          <w:tcPr>
            <w:tcW w:w="1418" w:type="dxa"/>
          </w:tcPr>
          <w:p w14:paraId="13F15DD1" w14:textId="77777777" w:rsidR="00360322" w:rsidRPr="007031D6" w:rsidRDefault="00360322" w:rsidP="00360322">
            <w:pPr>
              <w:pStyle w:val="DHHSbody"/>
            </w:pPr>
            <w:r w:rsidRPr="007031D6">
              <w:t>PCC</w:t>
            </w:r>
          </w:p>
        </w:tc>
        <w:tc>
          <w:tcPr>
            <w:tcW w:w="7870" w:type="dxa"/>
          </w:tcPr>
          <w:p w14:paraId="2DA8CD0E" w14:textId="77777777" w:rsidR="00360322" w:rsidRPr="007031D6" w:rsidRDefault="00360322" w:rsidP="00360322">
            <w:pPr>
              <w:pStyle w:val="DHHSbody"/>
            </w:pPr>
            <w:r w:rsidRPr="007031D6">
              <w:t>prothrombin complex concentrate</w:t>
            </w:r>
          </w:p>
        </w:tc>
      </w:tr>
      <w:tr w:rsidR="00360322" w:rsidRPr="007031D6" w14:paraId="03411D26" w14:textId="77777777" w:rsidTr="00F1796C">
        <w:tc>
          <w:tcPr>
            <w:tcW w:w="1418" w:type="dxa"/>
          </w:tcPr>
          <w:p w14:paraId="10A634B7" w14:textId="3CBA9ACD" w:rsidR="00360322" w:rsidRPr="007031D6" w:rsidRDefault="00360322" w:rsidP="00360322">
            <w:pPr>
              <w:pStyle w:val="DHHSbody"/>
            </w:pPr>
            <w:r w:rsidRPr="007031D6">
              <w:t xml:space="preserve">PTP </w:t>
            </w:r>
          </w:p>
        </w:tc>
        <w:tc>
          <w:tcPr>
            <w:tcW w:w="7870" w:type="dxa"/>
          </w:tcPr>
          <w:p w14:paraId="534117F6" w14:textId="5DD17879" w:rsidR="00360322" w:rsidRPr="007031D6" w:rsidRDefault="00360322" w:rsidP="00360322">
            <w:pPr>
              <w:pStyle w:val="DHHSbody"/>
            </w:pPr>
            <w:proofErr w:type="spellStart"/>
            <w:r w:rsidRPr="007031D6">
              <w:t>posttransfusion</w:t>
            </w:r>
            <w:proofErr w:type="spellEnd"/>
            <w:r w:rsidRPr="007031D6">
              <w:t xml:space="preserve"> purpura</w:t>
            </w:r>
          </w:p>
        </w:tc>
      </w:tr>
      <w:tr w:rsidR="00360322" w:rsidRPr="007031D6" w14:paraId="1BE0D33F" w14:textId="77777777" w:rsidTr="00F1796C">
        <w:tc>
          <w:tcPr>
            <w:tcW w:w="1418" w:type="dxa"/>
          </w:tcPr>
          <w:p w14:paraId="7407FA0B" w14:textId="77777777" w:rsidR="00360322" w:rsidRPr="007031D6" w:rsidRDefault="00360322" w:rsidP="00360322">
            <w:pPr>
              <w:pStyle w:val="DHHSbody"/>
            </w:pPr>
            <w:r w:rsidRPr="007031D6">
              <w:t>RCA</w:t>
            </w:r>
          </w:p>
        </w:tc>
        <w:tc>
          <w:tcPr>
            <w:tcW w:w="7870" w:type="dxa"/>
          </w:tcPr>
          <w:p w14:paraId="71105D86" w14:textId="77777777" w:rsidR="00360322" w:rsidRPr="007031D6" w:rsidRDefault="00360322" w:rsidP="00360322">
            <w:pPr>
              <w:pStyle w:val="DHHSbody"/>
            </w:pPr>
            <w:r w:rsidRPr="007031D6">
              <w:t>root cause analysis</w:t>
            </w:r>
          </w:p>
        </w:tc>
      </w:tr>
      <w:tr w:rsidR="00360322" w:rsidRPr="007031D6" w14:paraId="22220E1D" w14:textId="77777777" w:rsidTr="00F1796C">
        <w:tc>
          <w:tcPr>
            <w:tcW w:w="1418" w:type="dxa"/>
          </w:tcPr>
          <w:p w14:paraId="1B14CB37" w14:textId="77777777" w:rsidR="00360322" w:rsidRPr="007031D6" w:rsidRDefault="00360322" w:rsidP="00360322">
            <w:pPr>
              <w:pStyle w:val="DHHSbody"/>
            </w:pPr>
            <w:proofErr w:type="spellStart"/>
            <w:r w:rsidRPr="007031D6">
              <w:t>RhD</w:t>
            </w:r>
            <w:proofErr w:type="spellEnd"/>
          </w:p>
        </w:tc>
        <w:tc>
          <w:tcPr>
            <w:tcW w:w="7870" w:type="dxa"/>
          </w:tcPr>
          <w:p w14:paraId="07C4C0B8" w14:textId="77777777" w:rsidR="00360322" w:rsidRPr="007031D6" w:rsidRDefault="00360322" w:rsidP="00360322">
            <w:pPr>
              <w:pStyle w:val="DHHSbody"/>
            </w:pPr>
            <w:r w:rsidRPr="007031D6">
              <w:t>Rh blood group D</w:t>
            </w:r>
          </w:p>
        </w:tc>
      </w:tr>
      <w:tr w:rsidR="00360322" w:rsidRPr="007031D6" w14:paraId="7A5E0049" w14:textId="77777777" w:rsidTr="00F1796C">
        <w:tc>
          <w:tcPr>
            <w:tcW w:w="1418" w:type="dxa"/>
          </w:tcPr>
          <w:p w14:paraId="0F843C04" w14:textId="77777777" w:rsidR="00360322" w:rsidRPr="007031D6" w:rsidRDefault="00360322" w:rsidP="00360322">
            <w:pPr>
              <w:pStyle w:val="DHHSbody"/>
            </w:pPr>
            <w:r w:rsidRPr="007031D6">
              <w:t>SCV</w:t>
            </w:r>
          </w:p>
        </w:tc>
        <w:tc>
          <w:tcPr>
            <w:tcW w:w="7870" w:type="dxa"/>
          </w:tcPr>
          <w:p w14:paraId="5EFF11E2" w14:textId="77777777" w:rsidR="00360322" w:rsidRPr="007031D6" w:rsidRDefault="00360322" w:rsidP="00360322">
            <w:pPr>
              <w:pStyle w:val="DHHSbody"/>
            </w:pPr>
            <w:r w:rsidRPr="007031D6">
              <w:t>Safer Care Victoria</w:t>
            </w:r>
          </w:p>
        </w:tc>
      </w:tr>
      <w:tr w:rsidR="00360322" w:rsidRPr="007031D6" w14:paraId="47533631" w14:textId="77777777" w:rsidTr="00F1796C">
        <w:tc>
          <w:tcPr>
            <w:tcW w:w="1418" w:type="dxa"/>
          </w:tcPr>
          <w:p w14:paraId="033DF406" w14:textId="77777777" w:rsidR="00360322" w:rsidRPr="007031D6" w:rsidRDefault="00360322" w:rsidP="00360322">
            <w:pPr>
              <w:pStyle w:val="DHHSbody"/>
            </w:pPr>
            <w:r w:rsidRPr="007031D6">
              <w:t>SR</w:t>
            </w:r>
          </w:p>
        </w:tc>
        <w:tc>
          <w:tcPr>
            <w:tcW w:w="7870" w:type="dxa"/>
          </w:tcPr>
          <w:p w14:paraId="7AC73543" w14:textId="77777777" w:rsidR="00360322" w:rsidRPr="007031D6" w:rsidRDefault="00360322" w:rsidP="00360322">
            <w:pPr>
              <w:pStyle w:val="DHHSbody"/>
            </w:pPr>
            <w:r w:rsidRPr="007031D6">
              <w:t>severity rating</w:t>
            </w:r>
          </w:p>
        </w:tc>
      </w:tr>
      <w:tr w:rsidR="00360322" w:rsidRPr="007031D6" w14:paraId="162569DB" w14:textId="77777777" w:rsidTr="00F1796C">
        <w:tc>
          <w:tcPr>
            <w:tcW w:w="1418" w:type="dxa"/>
          </w:tcPr>
          <w:p w14:paraId="5E52C11A" w14:textId="77777777" w:rsidR="00360322" w:rsidRPr="007031D6" w:rsidRDefault="00360322" w:rsidP="00360322">
            <w:pPr>
              <w:pStyle w:val="DHHSbody"/>
            </w:pPr>
            <w:r w:rsidRPr="007031D6">
              <w:t>STIR</w:t>
            </w:r>
          </w:p>
        </w:tc>
        <w:tc>
          <w:tcPr>
            <w:tcW w:w="7870" w:type="dxa"/>
          </w:tcPr>
          <w:p w14:paraId="27C6F157" w14:textId="77777777" w:rsidR="00360322" w:rsidRPr="007031D6" w:rsidRDefault="00360322" w:rsidP="00360322">
            <w:pPr>
              <w:pStyle w:val="DHHSbody"/>
            </w:pPr>
            <w:r w:rsidRPr="007031D6">
              <w:t xml:space="preserve">Serious Transfusion Incident Reporting </w:t>
            </w:r>
          </w:p>
        </w:tc>
      </w:tr>
      <w:tr w:rsidR="00360322" w:rsidRPr="007031D6" w14:paraId="687BEBFB" w14:textId="77777777" w:rsidTr="00F1796C">
        <w:tc>
          <w:tcPr>
            <w:tcW w:w="1418" w:type="dxa"/>
          </w:tcPr>
          <w:p w14:paraId="345AA278" w14:textId="77777777" w:rsidR="00360322" w:rsidRPr="007031D6" w:rsidRDefault="00360322" w:rsidP="00360322">
            <w:pPr>
              <w:pStyle w:val="DHHSbody"/>
            </w:pPr>
            <w:r w:rsidRPr="007031D6">
              <w:t>TACO</w:t>
            </w:r>
          </w:p>
        </w:tc>
        <w:tc>
          <w:tcPr>
            <w:tcW w:w="7870" w:type="dxa"/>
          </w:tcPr>
          <w:p w14:paraId="14179A02" w14:textId="77777777" w:rsidR="00360322" w:rsidRPr="007031D6" w:rsidRDefault="00360322" w:rsidP="00360322">
            <w:pPr>
              <w:pStyle w:val="DHHSbody"/>
            </w:pPr>
            <w:r w:rsidRPr="007031D6">
              <w:t>transfusion-associated circulatory overload</w:t>
            </w:r>
          </w:p>
        </w:tc>
      </w:tr>
      <w:tr w:rsidR="00360322" w:rsidRPr="007031D6" w14:paraId="34EF95F0" w14:textId="77777777" w:rsidTr="00F1796C">
        <w:tc>
          <w:tcPr>
            <w:tcW w:w="1418" w:type="dxa"/>
          </w:tcPr>
          <w:p w14:paraId="7518F14B" w14:textId="77777777" w:rsidR="00360322" w:rsidRPr="007031D6" w:rsidRDefault="00360322" w:rsidP="00360322">
            <w:pPr>
              <w:pStyle w:val="DHHSbody"/>
            </w:pPr>
            <w:r w:rsidRPr="007031D6">
              <w:t xml:space="preserve">TAD </w:t>
            </w:r>
          </w:p>
        </w:tc>
        <w:tc>
          <w:tcPr>
            <w:tcW w:w="7870" w:type="dxa"/>
          </w:tcPr>
          <w:p w14:paraId="58EDC6C7" w14:textId="77777777" w:rsidR="00360322" w:rsidRPr="007031D6" w:rsidRDefault="00360322" w:rsidP="00360322">
            <w:pPr>
              <w:pStyle w:val="DHHSbody"/>
            </w:pPr>
            <w:r w:rsidRPr="007031D6">
              <w:t>transfusion-associated dyspnoea</w:t>
            </w:r>
          </w:p>
        </w:tc>
      </w:tr>
      <w:tr w:rsidR="00360322" w:rsidRPr="007031D6" w14:paraId="789A42E8" w14:textId="77777777" w:rsidTr="00F1796C">
        <w:tc>
          <w:tcPr>
            <w:tcW w:w="1418" w:type="dxa"/>
          </w:tcPr>
          <w:p w14:paraId="6657E343" w14:textId="77777777" w:rsidR="00360322" w:rsidRPr="007031D6" w:rsidRDefault="00360322" w:rsidP="00360322">
            <w:pPr>
              <w:pStyle w:val="DHHSbody"/>
            </w:pPr>
            <w:r w:rsidRPr="007031D6">
              <w:t>TAGVHD</w:t>
            </w:r>
          </w:p>
        </w:tc>
        <w:tc>
          <w:tcPr>
            <w:tcW w:w="7870" w:type="dxa"/>
          </w:tcPr>
          <w:p w14:paraId="54B681B1" w14:textId="77777777" w:rsidR="00360322" w:rsidRPr="007031D6" w:rsidRDefault="00360322" w:rsidP="00360322">
            <w:pPr>
              <w:pStyle w:val="DHHSbody"/>
            </w:pPr>
            <w:r w:rsidRPr="007031D6">
              <w:t>transfusion-associated graft versus host disease</w:t>
            </w:r>
          </w:p>
        </w:tc>
      </w:tr>
      <w:tr w:rsidR="00360322" w:rsidRPr="007031D6" w14:paraId="43978CC9" w14:textId="77777777" w:rsidTr="00F1796C">
        <w:tc>
          <w:tcPr>
            <w:tcW w:w="1418" w:type="dxa"/>
          </w:tcPr>
          <w:p w14:paraId="5105B5CB" w14:textId="77777777" w:rsidR="00360322" w:rsidRPr="007031D6" w:rsidRDefault="00360322" w:rsidP="00360322">
            <w:pPr>
              <w:pStyle w:val="DHHSbody"/>
            </w:pPr>
            <w:r w:rsidRPr="007031D6">
              <w:t>TRALI</w:t>
            </w:r>
          </w:p>
        </w:tc>
        <w:tc>
          <w:tcPr>
            <w:tcW w:w="7870" w:type="dxa"/>
          </w:tcPr>
          <w:p w14:paraId="631BFBCB" w14:textId="77777777" w:rsidR="00360322" w:rsidRPr="007031D6" w:rsidRDefault="00360322" w:rsidP="00360322">
            <w:pPr>
              <w:pStyle w:val="DHHSbody"/>
            </w:pPr>
            <w:r w:rsidRPr="007031D6">
              <w:t xml:space="preserve">transfusion-related acute lung injury </w:t>
            </w:r>
          </w:p>
        </w:tc>
      </w:tr>
      <w:tr w:rsidR="00360322" w:rsidRPr="007031D6" w14:paraId="4422E406" w14:textId="77777777" w:rsidTr="00F1796C">
        <w:tc>
          <w:tcPr>
            <w:tcW w:w="1418" w:type="dxa"/>
          </w:tcPr>
          <w:p w14:paraId="2800E665" w14:textId="77777777" w:rsidR="00360322" w:rsidRPr="007031D6" w:rsidRDefault="00360322" w:rsidP="00360322">
            <w:pPr>
              <w:pStyle w:val="DHHSbody"/>
            </w:pPr>
            <w:r w:rsidRPr="007031D6">
              <w:t>TTI</w:t>
            </w:r>
          </w:p>
        </w:tc>
        <w:tc>
          <w:tcPr>
            <w:tcW w:w="7870" w:type="dxa"/>
          </w:tcPr>
          <w:p w14:paraId="45936F55" w14:textId="77777777" w:rsidR="00360322" w:rsidRPr="007031D6" w:rsidRDefault="00360322" w:rsidP="00360322">
            <w:pPr>
              <w:pStyle w:val="DHHSbody"/>
            </w:pPr>
            <w:r w:rsidRPr="007031D6">
              <w:t>transfusion-transmitted infection</w:t>
            </w:r>
          </w:p>
        </w:tc>
      </w:tr>
      <w:tr w:rsidR="00360322" w:rsidRPr="007031D6" w14:paraId="3973BCC9" w14:textId="77777777" w:rsidTr="00F1796C">
        <w:tc>
          <w:tcPr>
            <w:tcW w:w="1418" w:type="dxa"/>
          </w:tcPr>
          <w:p w14:paraId="09929359" w14:textId="77777777" w:rsidR="00360322" w:rsidRPr="007031D6" w:rsidRDefault="00360322" w:rsidP="00360322">
            <w:pPr>
              <w:pStyle w:val="DHHSbody"/>
            </w:pPr>
            <w:r w:rsidRPr="007031D6">
              <w:lastRenderedPageBreak/>
              <w:t>VHIMS</w:t>
            </w:r>
          </w:p>
        </w:tc>
        <w:tc>
          <w:tcPr>
            <w:tcW w:w="7870" w:type="dxa"/>
          </w:tcPr>
          <w:p w14:paraId="572B76A7" w14:textId="77777777" w:rsidR="00360322" w:rsidRPr="007031D6" w:rsidRDefault="00360322" w:rsidP="00360322">
            <w:pPr>
              <w:pStyle w:val="DHHSbody"/>
            </w:pPr>
            <w:r w:rsidRPr="007031D6">
              <w:t>Victorian health incident management system</w:t>
            </w:r>
          </w:p>
        </w:tc>
      </w:tr>
      <w:tr w:rsidR="00360322" w:rsidRPr="007031D6" w14:paraId="33904F7A" w14:textId="77777777" w:rsidTr="00F1796C">
        <w:tc>
          <w:tcPr>
            <w:tcW w:w="1418" w:type="dxa"/>
          </w:tcPr>
          <w:p w14:paraId="281E35E0" w14:textId="77777777" w:rsidR="00360322" w:rsidRPr="007031D6" w:rsidRDefault="00360322" w:rsidP="00360322">
            <w:pPr>
              <w:pStyle w:val="DHHSbody"/>
            </w:pPr>
            <w:r w:rsidRPr="007031D6">
              <w:t>WBIT</w:t>
            </w:r>
          </w:p>
        </w:tc>
        <w:tc>
          <w:tcPr>
            <w:tcW w:w="7870" w:type="dxa"/>
          </w:tcPr>
          <w:p w14:paraId="2A059776" w14:textId="77777777" w:rsidR="00360322" w:rsidRPr="007031D6" w:rsidRDefault="00360322" w:rsidP="00360322">
            <w:pPr>
              <w:pStyle w:val="DHHSbody"/>
            </w:pPr>
            <w:r w:rsidRPr="007031D6">
              <w:t>wrong blood in tube</w:t>
            </w:r>
          </w:p>
        </w:tc>
      </w:tr>
    </w:tbl>
    <w:p w14:paraId="16E849E2" w14:textId="77777777" w:rsidR="0088429D" w:rsidRDefault="0088429D">
      <w:pPr>
        <w:rPr>
          <w:rFonts w:ascii="Arial" w:eastAsia="Times" w:hAnsi="Arial"/>
          <w:b/>
        </w:rPr>
      </w:pPr>
      <w:r>
        <w:rPr>
          <w:b/>
        </w:rPr>
        <w:br w:type="page"/>
      </w:r>
    </w:p>
    <w:p w14:paraId="686717ED" w14:textId="77777777" w:rsidR="0088429D" w:rsidRPr="0088429D" w:rsidRDefault="0088429D" w:rsidP="0088429D">
      <w:pPr>
        <w:pStyle w:val="Heading1"/>
        <w:rPr>
          <w:rFonts w:eastAsia="Times"/>
        </w:rPr>
      </w:pPr>
      <w:bookmarkStart w:id="2" w:name="_Toc46304634"/>
      <w:r w:rsidRPr="0088429D">
        <w:rPr>
          <w:rFonts w:eastAsia="Times"/>
        </w:rPr>
        <w:lastRenderedPageBreak/>
        <w:t>Executive summary</w:t>
      </w:r>
      <w:bookmarkEnd w:id="2"/>
    </w:p>
    <w:p w14:paraId="560DBB1C" w14:textId="77777777" w:rsidR="0088429D" w:rsidRPr="0088429D" w:rsidRDefault="0088429D" w:rsidP="0088429D">
      <w:pPr>
        <w:pStyle w:val="DHHSbody"/>
      </w:pPr>
      <w:r w:rsidRPr="0088429D">
        <w:t>The Serious Transfusion Incident Report (STIR) program is part of a larger program of work to help health services improve the care of patients receiving blood and blood products. The Blood Matters program, under which STIR functions, provides education, audit and benchmarking activities, and clinical expertise to health services in four jurisdictions. This report provides information on the serious transfusion reactions and incidents that occur in those jurisdictions. We encourage all health services to register and report as appropriate to STIR.</w:t>
      </w:r>
    </w:p>
    <w:p w14:paraId="67CFFD1B" w14:textId="663F24F6" w:rsidR="0088429D" w:rsidRPr="0088429D" w:rsidRDefault="0088429D" w:rsidP="0088429D">
      <w:pPr>
        <w:pStyle w:val="DHHSbody"/>
      </w:pPr>
      <w:r w:rsidRPr="0088429D">
        <w:t xml:space="preserve">This year 171 notifications were received with 25 withdrawn by the health service and </w:t>
      </w:r>
      <w:r w:rsidR="00EC1408">
        <w:t>14</w:t>
      </w:r>
      <w:r w:rsidR="00EC1408" w:rsidRPr="0088429D">
        <w:t xml:space="preserve"> </w:t>
      </w:r>
      <w:r w:rsidRPr="0088429D">
        <w:t xml:space="preserve">excluded by the </w:t>
      </w:r>
      <w:r w:rsidR="00C24C20">
        <w:t>E</w:t>
      </w:r>
      <w:r w:rsidRPr="0088429D">
        <w:t xml:space="preserve">xpert </w:t>
      </w:r>
      <w:r w:rsidR="00C24C20">
        <w:t>G</w:t>
      </w:r>
      <w:r w:rsidRPr="0088429D">
        <w:t>roup, leaving a total of 13</w:t>
      </w:r>
      <w:r w:rsidR="00EC1408">
        <w:t>2</w:t>
      </w:r>
      <w:r w:rsidRPr="0088429D">
        <w:t xml:space="preserve"> investigations completed for this annual report. Of the 100 health services registered with STIR, 38 (38 per cent) submitted reports. It is unknown how many non-submitting health services had reactions or incidents that could have been reported. We know from discussions with health service personnel and reconciliation with Lifeblood reports that there are a number of reactions occurring in health services that are not being reported to STIR. Although reporting through to </w:t>
      </w:r>
      <w:bookmarkStart w:id="3" w:name="_Hlk37835343"/>
      <w:r w:rsidRPr="0088429D">
        <w:t>STIR is voluntary, the NSQHS standards, Blood Management Standard does require participation in haemovigilance activities and reporting in accordance with national guidelines</w:t>
      </w:r>
      <w:bookmarkEnd w:id="3"/>
      <w:r w:rsidRPr="0088429D">
        <w:t xml:space="preserve">. </w:t>
      </w:r>
    </w:p>
    <w:p w14:paraId="312DF024" w14:textId="77777777" w:rsidR="0088429D" w:rsidRPr="0088429D" w:rsidRDefault="0088429D" w:rsidP="0088429D">
      <w:pPr>
        <w:pStyle w:val="DHHSbody"/>
      </w:pPr>
      <w:r w:rsidRPr="0088429D">
        <w:t xml:space="preserve">This year clinical reactions to blood products, often unavoidable, are the largest proportion of the investigations received (59 per cent). A focus on patient blood management in health services, thereby reducing the number of transfusions, may assist in reducing the number of clinical reactions to blood products. </w:t>
      </w:r>
    </w:p>
    <w:p w14:paraId="4A626E2B" w14:textId="1F79D121" w:rsidR="0088429D" w:rsidRPr="0088429D" w:rsidRDefault="0088429D" w:rsidP="0088429D">
      <w:pPr>
        <w:pStyle w:val="DHHSbody"/>
      </w:pPr>
      <w:r w:rsidRPr="0088429D">
        <w:t xml:space="preserve">In the past several years, procedural errors represented </w:t>
      </w:r>
      <w:r w:rsidR="00490DC2">
        <w:t>more than</w:t>
      </w:r>
      <w:r w:rsidR="00490DC2" w:rsidRPr="0088429D">
        <w:t xml:space="preserve"> </w:t>
      </w:r>
      <w:r w:rsidRPr="0088429D">
        <w:t>50 per cent of all reports received. These are almost universally preventable</w:t>
      </w:r>
      <w:r w:rsidR="00490DC2">
        <w:t>,</w:t>
      </w:r>
      <w:r w:rsidRPr="0088429D">
        <w:t xml:space="preserve"> and it is encouraging to see these dropping back to less than 50 per cent of received investigations. It is fortunate that the majority of these reports cause no actual harm to the patient. However, the potential for harm remains. We can learn from these errors and put in place procedures, education and systems that promote and assist clinical and laboratory staff to ensure they are handling and using blood products correctly. </w:t>
      </w:r>
    </w:p>
    <w:p w14:paraId="0DE90004" w14:textId="178B5BA8" w:rsidR="0088429D" w:rsidRPr="0088429D" w:rsidRDefault="0088429D" w:rsidP="0088429D">
      <w:pPr>
        <w:pStyle w:val="DHHSbody"/>
      </w:pPr>
      <w:r w:rsidRPr="0088429D">
        <w:t>Many health services are moving to electronic medical record systems (EMR); some incorporate systems for patient identification for both specimen collection and blood administration. Anecdotally, some health services have reported concerns re increased errors in labelling (Wrong Blood in Tube events). Currently, STIR investigation forms do not explicitly enquire about the role EMR played in the error. Consequently, investigation forms are currently being reviewed to include questions to better identify how EMR systems contributed to the event, if at all.</w:t>
      </w:r>
    </w:p>
    <w:p w14:paraId="3EB25B51" w14:textId="77777777" w:rsidR="0088429D" w:rsidRPr="0088429D" w:rsidRDefault="0088429D" w:rsidP="0088429D">
      <w:pPr>
        <w:rPr>
          <w:rFonts w:ascii="Arial" w:eastAsia="Times" w:hAnsi="Arial"/>
        </w:rPr>
      </w:pPr>
      <w:r>
        <w:br w:type="page"/>
      </w:r>
    </w:p>
    <w:p w14:paraId="5B65FF4D" w14:textId="77777777" w:rsidR="0088429D" w:rsidRPr="0088429D" w:rsidRDefault="0088429D" w:rsidP="0088429D">
      <w:pPr>
        <w:pStyle w:val="Heading2"/>
        <w:rPr>
          <w:rFonts w:eastAsia="Times"/>
        </w:rPr>
      </w:pPr>
      <w:bookmarkStart w:id="4" w:name="_Toc46304635"/>
      <w:r w:rsidRPr="0088429D">
        <w:rPr>
          <w:rFonts w:eastAsia="Times"/>
        </w:rPr>
        <w:lastRenderedPageBreak/>
        <w:t>Key messages and recommendations</w:t>
      </w:r>
      <w:bookmarkEnd w:id="4"/>
    </w:p>
    <w:tbl>
      <w:tblPr>
        <w:tblStyle w:val="TableGrid"/>
        <w:tblW w:w="0" w:type="auto"/>
        <w:tblLook w:val="04A0" w:firstRow="1" w:lastRow="0" w:firstColumn="1" w:lastColumn="0" w:noHBand="0" w:noVBand="1"/>
      </w:tblPr>
      <w:tblGrid>
        <w:gridCol w:w="9016"/>
      </w:tblGrid>
      <w:tr w:rsidR="0088429D" w:rsidRPr="0088429D" w14:paraId="6528D32E" w14:textId="77777777" w:rsidTr="0088429D">
        <w:tc>
          <w:tcPr>
            <w:tcW w:w="9016" w:type="dxa"/>
          </w:tcPr>
          <w:p w14:paraId="730014BF" w14:textId="77777777" w:rsidR="0088429D" w:rsidRPr="0088429D" w:rsidRDefault="0088429D" w:rsidP="0088429D">
            <w:pPr>
              <w:pStyle w:val="DHHSbody"/>
              <w:rPr>
                <w:b/>
              </w:rPr>
            </w:pPr>
            <w:r w:rsidRPr="0088429D">
              <w:rPr>
                <w:b/>
              </w:rPr>
              <w:t>Clinical</w:t>
            </w:r>
          </w:p>
        </w:tc>
      </w:tr>
      <w:tr w:rsidR="0088429D" w:rsidRPr="0088429D" w14:paraId="650FA02A" w14:textId="77777777" w:rsidTr="0088429D">
        <w:tc>
          <w:tcPr>
            <w:tcW w:w="9016" w:type="dxa"/>
          </w:tcPr>
          <w:p w14:paraId="6A3A65D9" w14:textId="7DC33C9F" w:rsidR="0088429D" w:rsidRPr="0088429D" w:rsidRDefault="0088429D" w:rsidP="0088429D">
            <w:pPr>
              <w:pStyle w:val="DHHSbody"/>
            </w:pPr>
            <w:r w:rsidRPr="0088429D">
              <w:t xml:space="preserve">For warfarin reversal, </w:t>
            </w:r>
            <w:proofErr w:type="spellStart"/>
            <w:r w:rsidRPr="0088429D">
              <w:t>Prothrombinex</w:t>
            </w:r>
            <w:proofErr w:type="spellEnd"/>
            <w:r w:rsidRPr="0088429D">
              <w:t xml:space="preserve">® is preferred over FFP, and its use should be encouraged for all clinicians, following the </w:t>
            </w:r>
            <w:hyperlink r:id="rId11" w:history="1">
              <w:r w:rsidR="00834B4C">
                <w:rPr>
                  <w:rStyle w:val="Hyperlink"/>
                </w:rPr>
                <w:t>wa</w:t>
              </w:r>
              <w:r w:rsidRPr="00834B4C">
                <w:rPr>
                  <w:rStyle w:val="Hyperlink"/>
                </w:rPr>
                <w:t>rfarin reversal guidelines</w:t>
              </w:r>
            </w:hyperlink>
            <w:r w:rsidR="00834B4C">
              <w:t xml:space="preserve"> &lt;</w:t>
            </w:r>
            <w:r w:rsidR="00834B4C" w:rsidRPr="00F1796C">
              <w:t>https://www.mja.com.au/journal/2013/198/4/update-consensus-guidelines-warfarin-reversal</w:t>
            </w:r>
            <w:r w:rsidR="00834B4C">
              <w:t>&gt;.</w:t>
            </w:r>
            <w:r w:rsidRPr="0088429D">
              <w:t xml:space="preserve"> </w:t>
            </w:r>
          </w:p>
          <w:p w14:paraId="5D622360" w14:textId="77777777" w:rsidR="0088429D" w:rsidRPr="0088429D" w:rsidRDefault="0088429D" w:rsidP="0088429D">
            <w:pPr>
              <w:pStyle w:val="DHHSbody"/>
            </w:pPr>
            <w:r w:rsidRPr="0088429D">
              <w:t xml:space="preserve">FFP is not routinely needed in combination with </w:t>
            </w:r>
            <w:proofErr w:type="spellStart"/>
            <w:r w:rsidRPr="0088429D">
              <w:t>Prothrombinex</w:t>
            </w:r>
            <w:proofErr w:type="spellEnd"/>
            <w:r w:rsidRPr="0088429D">
              <w:t xml:space="preserve">®, and should only be used according to the guidelines, such as when </w:t>
            </w:r>
            <w:proofErr w:type="spellStart"/>
            <w:r w:rsidRPr="0088429D">
              <w:t>Prothrombinex</w:t>
            </w:r>
            <w:proofErr w:type="spellEnd"/>
            <w:r w:rsidRPr="0088429D">
              <w:t>® is unavailable</w:t>
            </w:r>
          </w:p>
          <w:p w14:paraId="18F40925" w14:textId="77777777" w:rsidR="0088429D" w:rsidRPr="0088429D" w:rsidRDefault="0088429D" w:rsidP="0088429D">
            <w:pPr>
              <w:pStyle w:val="DHHSbody"/>
            </w:pPr>
            <w:r w:rsidRPr="0088429D">
              <w:t>Case study 3: allergic (FFP)</w:t>
            </w:r>
          </w:p>
        </w:tc>
      </w:tr>
      <w:tr w:rsidR="0088429D" w:rsidRPr="0088429D" w14:paraId="089D83A3" w14:textId="77777777" w:rsidTr="0088429D">
        <w:tc>
          <w:tcPr>
            <w:tcW w:w="9016" w:type="dxa"/>
          </w:tcPr>
          <w:p w14:paraId="23804F4A" w14:textId="77777777" w:rsidR="0088429D" w:rsidRPr="0088429D" w:rsidRDefault="0088429D" w:rsidP="0088429D">
            <w:pPr>
              <w:pStyle w:val="DHHSbody"/>
            </w:pPr>
            <w:r w:rsidRPr="0088429D">
              <w:t>Patients undergoing transfusion should be assessed for risk factors for overload and the rate of transfusion adjusted to run at the slowest rate appropriate to the situation. Where possible, a single unit should be administered and the patient assessed for both the need for further transfusion and indications of overload before any further transfusions occur.</w:t>
            </w:r>
          </w:p>
          <w:p w14:paraId="0C6E902B" w14:textId="77777777" w:rsidR="0088429D" w:rsidRPr="0088429D" w:rsidRDefault="0088429D" w:rsidP="0088429D">
            <w:pPr>
              <w:pStyle w:val="DHHSbody"/>
            </w:pPr>
            <w:r w:rsidRPr="0088429D">
              <w:t>Case study 4:</w:t>
            </w:r>
            <w:r w:rsidRPr="0088429D" w:rsidDel="005C2525">
              <w:t xml:space="preserve"> </w:t>
            </w:r>
            <w:r w:rsidRPr="0088429D">
              <w:t>TACO in patient with risk factors</w:t>
            </w:r>
          </w:p>
        </w:tc>
      </w:tr>
      <w:tr w:rsidR="0088429D" w:rsidRPr="0088429D" w14:paraId="44EC314B" w14:textId="77777777" w:rsidTr="0088429D">
        <w:tc>
          <w:tcPr>
            <w:tcW w:w="9016" w:type="dxa"/>
          </w:tcPr>
          <w:p w14:paraId="1DCFB8AB" w14:textId="77777777" w:rsidR="0088429D" w:rsidRPr="0088429D" w:rsidRDefault="0088429D" w:rsidP="0088429D">
            <w:pPr>
              <w:pStyle w:val="DHHSbody"/>
              <w:rPr>
                <w:b/>
              </w:rPr>
            </w:pPr>
            <w:r w:rsidRPr="0088429D">
              <w:rPr>
                <w:b/>
              </w:rPr>
              <w:t>Procedural</w:t>
            </w:r>
          </w:p>
        </w:tc>
      </w:tr>
      <w:tr w:rsidR="0088429D" w:rsidRPr="0088429D" w14:paraId="469C6D00" w14:textId="77777777" w:rsidTr="0088429D">
        <w:tc>
          <w:tcPr>
            <w:tcW w:w="9016" w:type="dxa"/>
          </w:tcPr>
          <w:p w14:paraId="342BD46D" w14:textId="77777777" w:rsidR="0088429D" w:rsidRPr="0088429D" w:rsidRDefault="0088429D" w:rsidP="0088429D">
            <w:pPr>
              <w:pStyle w:val="DHHSbody"/>
            </w:pPr>
            <w:r w:rsidRPr="0088429D">
              <w:t>Positive patient identification (PPID) at each step in the transfusion process is vital, regardless of the situation. This includes asking the patient to state their name and date of birth where possible, use of an interpreter when required and confirmation of stated identity with name band, blood product or labelled specimens and order/prescription.</w:t>
            </w:r>
          </w:p>
          <w:p w14:paraId="10812CB2" w14:textId="6695FF09" w:rsidR="0088429D" w:rsidRPr="0088429D" w:rsidRDefault="0088429D" w:rsidP="00EC1408">
            <w:pPr>
              <w:pStyle w:val="DHHSbody"/>
            </w:pPr>
            <w:r w:rsidRPr="0088429D">
              <w:t xml:space="preserve">Case study </w:t>
            </w:r>
            <w:r w:rsidR="00EC1408">
              <w:t>7</w:t>
            </w:r>
            <w:r w:rsidRPr="0088429D">
              <w:t>: WBIT</w:t>
            </w:r>
          </w:p>
        </w:tc>
      </w:tr>
      <w:tr w:rsidR="0088429D" w:rsidRPr="0088429D" w14:paraId="66F5A613" w14:textId="77777777" w:rsidTr="0088429D">
        <w:tc>
          <w:tcPr>
            <w:tcW w:w="9016" w:type="dxa"/>
          </w:tcPr>
          <w:p w14:paraId="7A0E65A6" w14:textId="45F990AE" w:rsidR="0088429D" w:rsidRPr="0088429D" w:rsidRDefault="0088429D" w:rsidP="0088429D">
            <w:pPr>
              <w:pStyle w:val="DHHSbody"/>
            </w:pPr>
            <w:r w:rsidRPr="0088429D">
              <w:t xml:space="preserve">Blood administration must only occur after double independent checking has occurred. This involves both staff performing all checks at the patient side. Both staff should be able to independently confirm that the product to be commenced is intended for the patient and must include checks that blood groups are compatible for both ABO and Rh groupings and that any special requirements are met, </w:t>
            </w:r>
            <w:r w:rsidR="00834B4C">
              <w:t>for example,</w:t>
            </w:r>
            <w:r w:rsidRPr="0088429D">
              <w:t xml:space="preserve"> irradiation.</w:t>
            </w:r>
          </w:p>
          <w:p w14:paraId="155E8A8B" w14:textId="77777777" w:rsidR="0088429D" w:rsidRPr="0088429D" w:rsidRDefault="0088429D" w:rsidP="0088429D">
            <w:pPr>
              <w:pStyle w:val="DHHSbody"/>
            </w:pPr>
            <w:r w:rsidRPr="0088429D">
              <w:t xml:space="preserve">Case study 5: </w:t>
            </w:r>
            <w:proofErr w:type="spellStart"/>
            <w:r w:rsidRPr="0088429D">
              <w:t>RhD</w:t>
            </w:r>
            <w:proofErr w:type="spellEnd"/>
            <w:r w:rsidRPr="0088429D">
              <w:t xml:space="preserve"> incompatible red cell units cross matched and transfused</w:t>
            </w:r>
          </w:p>
        </w:tc>
      </w:tr>
      <w:tr w:rsidR="0088429D" w:rsidRPr="0088429D" w14:paraId="52AD5410" w14:textId="77777777" w:rsidTr="0088429D">
        <w:tc>
          <w:tcPr>
            <w:tcW w:w="9016" w:type="dxa"/>
          </w:tcPr>
          <w:p w14:paraId="78F10DDA" w14:textId="77777777" w:rsidR="0088429D" w:rsidRPr="0088429D" w:rsidRDefault="0088429D" w:rsidP="0088429D">
            <w:pPr>
              <w:pStyle w:val="DHHSbody"/>
              <w:rPr>
                <w:b/>
              </w:rPr>
            </w:pPr>
            <w:r w:rsidRPr="0088429D">
              <w:rPr>
                <w:b/>
              </w:rPr>
              <w:t>General</w:t>
            </w:r>
          </w:p>
        </w:tc>
      </w:tr>
      <w:tr w:rsidR="0088429D" w:rsidRPr="0088429D" w14:paraId="413E62AB" w14:textId="77777777" w:rsidTr="0088429D">
        <w:tc>
          <w:tcPr>
            <w:tcW w:w="9016" w:type="dxa"/>
          </w:tcPr>
          <w:p w14:paraId="5E7ECAFE" w14:textId="77777777" w:rsidR="0088429D" w:rsidRPr="0088429D" w:rsidRDefault="0088429D" w:rsidP="0088429D">
            <w:pPr>
              <w:pStyle w:val="DHHSbody"/>
            </w:pPr>
            <w:r w:rsidRPr="0088429D">
              <w:t>Education of all staff involved in the transfusion chain to ensure appropriate handling, ordering and administration is important to address safety issues.</w:t>
            </w:r>
          </w:p>
        </w:tc>
      </w:tr>
      <w:tr w:rsidR="0088429D" w:rsidRPr="0088429D" w14:paraId="407CAD33" w14:textId="77777777" w:rsidTr="0088429D">
        <w:tc>
          <w:tcPr>
            <w:tcW w:w="9016" w:type="dxa"/>
          </w:tcPr>
          <w:p w14:paraId="115BFF48" w14:textId="77777777" w:rsidR="0088429D" w:rsidRPr="0088429D" w:rsidRDefault="0088429D" w:rsidP="0088429D">
            <w:pPr>
              <w:pStyle w:val="DHHSbody"/>
            </w:pPr>
            <w:r w:rsidRPr="0088429D">
              <w:t xml:space="preserve">Reporting of reactions to STIR assists in local and national reporting, including to the NBA National </w:t>
            </w:r>
            <w:proofErr w:type="spellStart"/>
            <w:r w:rsidRPr="0088429D">
              <w:t>haemovigilence</w:t>
            </w:r>
            <w:proofErr w:type="spellEnd"/>
            <w:r w:rsidRPr="0088429D">
              <w:t xml:space="preserve"> report, and the health service requirements for accreditation. </w:t>
            </w:r>
          </w:p>
          <w:p w14:paraId="115D39BC" w14:textId="77777777" w:rsidR="0088429D" w:rsidRPr="0088429D" w:rsidRDefault="0088429D" w:rsidP="0088429D">
            <w:pPr>
              <w:pStyle w:val="DHHSbody"/>
            </w:pPr>
            <w:r w:rsidRPr="0088429D">
              <w:t xml:space="preserve">All incidents and reactions that meet STIR criteria should be reported to STIR in a timely manner. </w:t>
            </w:r>
          </w:p>
        </w:tc>
      </w:tr>
    </w:tbl>
    <w:p w14:paraId="082326FD" w14:textId="77777777" w:rsidR="00834B4C" w:rsidRDefault="00834B4C">
      <w:pPr>
        <w:rPr>
          <w:rFonts w:ascii="Arial" w:eastAsia="Times" w:hAnsi="Arial"/>
          <w:bCs/>
          <w:color w:val="D50032"/>
          <w:sz w:val="44"/>
          <w:szCs w:val="44"/>
        </w:rPr>
      </w:pPr>
      <w:bookmarkStart w:id="5" w:name="_Toc46304636"/>
      <w:r>
        <w:rPr>
          <w:rFonts w:eastAsia="Times"/>
        </w:rPr>
        <w:br w:type="page"/>
      </w:r>
    </w:p>
    <w:p w14:paraId="5E0F8138" w14:textId="03023E78" w:rsidR="0088429D" w:rsidRPr="0088429D" w:rsidRDefault="0088429D" w:rsidP="0088429D">
      <w:pPr>
        <w:pStyle w:val="Heading1"/>
        <w:rPr>
          <w:rFonts w:eastAsia="Times"/>
        </w:rPr>
      </w:pPr>
      <w:r w:rsidRPr="0088429D">
        <w:rPr>
          <w:rFonts w:eastAsia="Times"/>
        </w:rPr>
        <w:lastRenderedPageBreak/>
        <w:t>Introduction</w:t>
      </w:r>
      <w:bookmarkEnd w:id="5"/>
    </w:p>
    <w:p w14:paraId="13DD1E68" w14:textId="765C7AC3" w:rsidR="0088429D" w:rsidRPr="0088429D" w:rsidRDefault="0088429D" w:rsidP="0088429D">
      <w:pPr>
        <w:pStyle w:val="DHHSbody"/>
      </w:pPr>
      <w:r w:rsidRPr="0088429D">
        <w:t>This report covers the period 1 July 2018 to 30 June 2019. This year</w:t>
      </w:r>
      <w:r w:rsidR="00834B4C">
        <w:t>,</w:t>
      </w:r>
      <w:r w:rsidRPr="0088429D">
        <w:t xml:space="preserve"> 171 notifications were received, with 25 withdrawn by the health service and 1</w:t>
      </w:r>
      <w:r w:rsidR="00EC1408">
        <w:t>4</w:t>
      </w:r>
      <w:r w:rsidRPr="0088429D">
        <w:t xml:space="preserve"> excluded by the </w:t>
      </w:r>
      <w:r w:rsidR="00C24C20">
        <w:t>E</w:t>
      </w:r>
      <w:r w:rsidRPr="0088429D">
        <w:t xml:space="preserve">xpert </w:t>
      </w:r>
      <w:r w:rsidR="00C24C20">
        <w:t>G</w:t>
      </w:r>
      <w:r w:rsidRPr="0088429D">
        <w:t>roup; leaving a total of 13</w:t>
      </w:r>
      <w:r w:rsidR="00EC1408">
        <w:t>2</w:t>
      </w:r>
      <w:r w:rsidRPr="0088429D">
        <w:t xml:space="preserve"> validated investigations for this annual report. Of the 100 health services registered with STIR, 38 (38 per cent) submitted reports. In this reporting period</w:t>
      </w:r>
      <w:r w:rsidR="00B10A0C">
        <w:t>,</w:t>
      </w:r>
      <w:r w:rsidRPr="0088429D">
        <w:t xml:space="preserve"> reactions to blood products, often unavoidable, are the largest proportion of the investigations received (5</w:t>
      </w:r>
      <w:r w:rsidR="00EC1408">
        <w:t>8</w:t>
      </w:r>
      <w:r w:rsidRPr="0088429D">
        <w:t xml:space="preserve"> per cent). Procedural events, which are largely preventable, have dropped and for the third year are fewer than the clinical events reported (Figure 1).</w:t>
      </w:r>
    </w:p>
    <w:p w14:paraId="24E44630" w14:textId="54DE7982" w:rsidR="0088429D" w:rsidRDefault="0088429D" w:rsidP="0088429D">
      <w:pPr>
        <w:pStyle w:val="DHHStablecaption"/>
        <w:rPr>
          <w:rFonts w:eastAsia="Times"/>
        </w:rPr>
      </w:pPr>
      <w:r w:rsidRPr="0088429D">
        <w:rPr>
          <w:rFonts w:eastAsia="Times"/>
        </w:rPr>
        <w:t>Figure 1: Number of validated clinical and procedural reports and health services report</w:t>
      </w:r>
      <w:r w:rsidR="005B6D53">
        <w:rPr>
          <w:rFonts w:eastAsia="Times"/>
        </w:rPr>
        <w:t>ing each financial year</w:t>
      </w:r>
      <w:r w:rsidR="00834B4C">
        <w:rPr>
          <w:rFonts w:eastAsia="Times"/>
        </w:rPr>
        <w:t xml:space="preserve">, </w:t>
      </w:r>
      <w:r w:rsidR="005B6D53">
        <w:rPr>
          <w:rFonts w:eastAsia="Times"/>
        </w:rPr>
        <w:t>FY2006</w:t>
      </w:r>
      <w:r w:rsidR="005B6D53" w:rsidRPr="005B6D53">
        <w:rPr>
          <w:rFonts w:eastAsia="Times"/>
        </w:rPr>
        <w:t>–</w:t>
      </w:r>
      <w:r w:rsidRPr="0088429D">
        <w:rPr>
          <w:rFonts w:eastAsia="Times"/>
        </w:rPr>
        <w:t>FY2019</w:t>
      </w:r>
    </w:p>
    <w:p w14:paraId="706FE9B5" w14:textId="75E85501" w:rsidR="002733F4" w:rsidRPr="002733F4" w:rsidRDefault="007A7E23" w:rsidP="002733F4">
      <w:pPr>
        <w:pStyle w:val="DHHSbody"/>
      </w:pPr>
      <w:r>
        <w:rPr>
          <w:noProof/>
          <w:lang w:eastAsia="en-AU"/>
        </w:rPr>
        <w:drawing>
          <wp:inline distT="0" distB="0" distL="0" distR="0" wp14:anchorId="5A5A47B2" wp14:editId="22594D82">
            <wp:extent cx="5904230" cy="3424555"/>
            <wp:effectExtent l="0" t="0" r="1270" b="4445"/>
            <wp:docPr id="17" name="Picture 17" descr="Bar and line graph showing the number of reports and health services reporting from FY06–FY19, as discussed in thi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Bar and line graph showing the number of reports and health services reporting from FY06–FY19, as discussed in this section."/>
                    <pic:cNvPicPr/>
                  </pic:nvPicPr>
                  <pic:blipFill>
                    <a:blip r:embed="rId12"/>
                    <a:stretch>
                      <a:fillRect/>
                    </a:stretch>
                  </pic:blipFill>
                  <pic:spPr>
                    <a:xfrm>
                      <a:off x="0" y="0"/>
                      <a:ext cx="5904230" cy="3424555"/>
                    </a:xfrm>
                    <a:prstGeom prst="rect">
                      <a:avLst/>
                    </a:prstGeom>
                  </pic:spPr>
                </pic:pic>
              </a:graphicData>
            </a:graphic>
          </wp:inline>
        </w:drawing>
      </w:r>
    </w:p>
    <w:p w14:paraId="2049F43D" w14:textId="77777777" w:rsidR="0088429D" w:rsidRPr="0088429D" w:rsidRDefault="0088429D" w:rsidP="00F1796C">
      <w:pPr>
        <w:pStyle w:val="DHHSbodyaftertablefigure"/>
      </w:pPr>
      <w:r w:rsidRPr="0088429D">
        <w:t>There were no severity rating (SR) 1 events reported this year, and no deaths attributed to transfusion.</w:t>
      </w:r>
    </w:p>
    <w:p w14:paraId="502B95EF" w14:textId="135F5AAD" w:rsidR="0088429D" w:rsidRPr="0088429D" w:rsidRDefault="0088429D" w:rsidP="0088429D">
      <w:pPr>
        <w:pStyle w:val="DHHSbody"/>
      </w:pPr>
      <w:r w:rsidRPr="0088429D">
        <w:t>The National Blood Authority (NBA) via BloodNet provides total blood issue data. Table 1 shows total blood issues per jurisdiction 2018</w:t>
      </w:r>
      <w:r w:rsidR="00B10A0C">
        <w:rPr>
          <w:rFonts w:hint="eastAsia"/>
        </w:rPr>
        <w:t>–</w:t>
      </w:r>
      <w:r w:rsidRPr="0088429D">
        <w:t>19 (FY19) (distributed units minus units lost due to wastage, damage or other reasons).</w:t>
      </w:r>
    </w:p>
    <w:p w14:paraId="3323E07F" w14:textId="77777777" w:rsidR="0088429D" w:rsidRPr="0088429D" w:rsidRDefault="0088429D" w:rsidP="0088429D">
      <w:pPr>
        <w:pStyle w:val="DHHStablecaption"/>
        <w:rPr>
          <w:rFonts w:eastAsia="Times"/>
        </w:rPr>
      </w:pPr>
      <w:r w:rsidRPr="0088429D">
        <w:rPr>
          <w:rFonts w:eastAsia="Times"/>
        </w:rPr>
        <w:t>Table 1: Total blood issues per jurisdiction 2018</w:t>
      </w:r>
      <w:r w:rsidR="005B6D53" w:rsidRPr="005B6D53">
        <w:rPr>
          <w:rFonts w:eastAsia="Times"/>
        </w:rPr>
        <w:t>–</w:t>
      </w:r>
      <w:r w:rsidRPr="0088429D">
        <w:rPr>
          <w:rFonts w:eastAsia="Times"/>
        </w:rPr>
        <w:t>19 (FY19)</w:t>
      </w:r>
    </w:p>
    <w:tbl>
      <w:tblPr>
        <w:tblStyle w:val="TableGrid"/>
        <w:tblW w:w="0" w:type="auto"/>
        <w:tblLook w:val="04A0" w:firstRow="1" w:lastRow="0" w:firstColumn="1" w:lastColumn="0" w:noHBand="0" w:noVBand="1"/>
      </w:tblPr>
      <w:tblGrid>
        <w:gridCol w:w="2263"/>
        <w:gridCol w:w="1701"/>
        <w:gridCol w:w="1843"/>
        <w:gridCol w:w="1701"/>
        <w:gridCol w:w="1508"/>
      </w:tblGrid>
      <w:tr w:rsidR="0088429D" w:rsidRPr="0088429D" w14:paraId="5C5E1D1C" w14:textId="77777777" w:rsidTr="0088429D">
        <w:tc>
          <w:tcPr>
            <w:tcW w:w="2263" w:type="dxa"/>
          </w:tcPr>
          <w:p w14:paraId="0268267B" w14:textId="4C265ADD" w:rsidR="0088429D" w:rsidRPr="0088429D" w:rsidRDefault="0088429D" w:rsidP="0088429D">
            <w:pPr>
              <w:pStyle w:val="DHHSbody"/>
              <w:rPr>
                <w:b/>
              </w:rPr>
            </w:pPr>
            <w:r w:rsidRPr="0088429D">
              <w:rPr>
                <w:b/>
              </w:rPr>
              <w:t>Issues 2018</w:t>
            </w:r>
            <w:r w:rsidR="00B10A0C">
              <w:rPr>
                <w:b/>
              </w:rPr>
              <w:t>–</w:t>
            </w:r>
            <w:r w:rsidRPr="0088429D">
              <w:rPr>
                <w:b/>
              </w:rPr>
              <w:t>19</w:t>
            </w:r>
          </w:p>
        </w:tc>
        <w:tc>
          <w:tcPr>
            <w:tcW w:w="1701" w:type="dxa"/>
          </w:tcPr>
          <w:p w14:paraId="7098F4F4" w14:textId="77777777" w:rsidR="0088429D" w:rsidRPr="0088429D" w:rsidRDefault="0088429D" w:rsidP="0088429D">
            <w:pPr>
              <w:pStyle w:val="DHHSbody"/>
              <w:rPr>
                <w:b/>
              </w:rPr>
            </w:pPr>
            <w:r w:rsidRPr="0088429D">
              <w:rPr>
                <w:b/>
              </w:rPr>
              <w:t>VIC</w:t>
            </w:r>
          </w:p>
        </w:tc>
        <w:tc>
          <w:tcPr>
            <w:tcW w:w="1843" w:type="dxa"/>
          </w:tcPr>
          <w:p w14:paraId="36FA1E4B" w14:textId="77777777" w:rsidR="0088429D" w:rsidRPr="0088429D" w:rsidRDefault="0088429D" w:rsidP="0088429D">
            <w:pPr>
              <w:pStyle w:val="DHHSbody"/>
              <w:rPr>
                <w:b/>
              </w:rPr>
            </w:pPr>
            <w:r w:rsidRPr="0088429D">
              <w:rPr>
                <w:b/>
              </w:rPr>
              <w:t>ACT</w:t>
            </w:r>
          </w:p>
        </w:tc>
        <w:tc>
          <w:tcPr>
            <w:tcW w:w="1701" w:type="dxa"/>
          </w:tcPr>
          <w:p w14:paraId="3468F226" w14:textId="77777777" w:rsidR="0088429D" w:rsidRPr="0088429D" w:rsidRDefault="0088429D" w:rsidP="0088429D">
            <w:pPr>
              <w:pStyle w:val="DHHSbody"/>
              <w:rPr>
                <w:b/>
              </w:rPr>
            </w:pPr>
            <w:r w:rsidRPr="0088429D">
              <w:rPr>
                <w:b/>
              </w:rPr>
              <w:t>TAS</w:t>
            </w:r>
          </w:p>
        </w:tc>
        <w:tc>
          <w:tcPr>
            <w:tcW w:w="1508" w:type="dxa"/>
          </w:tcPr>
          <w:p w14:paraId="391E598C" w14:textId="77777777" w:rsidR="0088429D" w:rsidRPr="0088429D" w:rsidRDefault="0088429D" w:rsidP="0088429D">
            <w:pPr>
              <w:pStyle w:val="DHHSbody"/>
              <w:rPr>
                <w:b/>
              </w:rPr>
            </w:pPr>
            <w:r w:rsidRPr="0088429D">
              <w:rPr>
                <w:b/>
              </w:rPr>
              <w:t>NT</w:t>
            </w:r>
          </w:p>
        </w:tc>
      </w:tr>
      <w:tr w:rsidR="0088429D" w:rsidRPr="0088429D" w14:paraId="3B4770C7" w14:textId="77777777" w:rsidTr="0088429D">
        <w:tc>
          <w:tcPr>
            <w:tcW w:w="2263" w:type="dxa"/>
          </w:tcPr>
          <w:p w14:paraId="218F9F6E" w14:textId="10FA9E95" w:rsidR="0088429D" w:rsidRPr="0088429D" w:rsidRDefault="0088429D" w:rsidP="0088429D">
            <w:pPr>
              <w:pStyle w:val="DHHSbody"/>
            </w:pPr>
            <w:r w:rsidRPr="0088429D">
              <w:t xml:space="preserve">Total </w:t>
            </w:r>
            <w:r w:rsidR="00B10A0C">
              <w:t>r</w:t>
            </w:r>
            <w:r w:rsidR="00B10A0C" w:rsidRPr="0088429D">
              <w:t xml:space="preserve">ed </w:t>
            </w:r>
            <w:r w:rsidR="00B10A0C">
              <w:t>c</w:t>
            </w:r>
            <w:r w:rsidR="00B10A0C" w:rsidRPr="0088429D">
              <w:t>ells</w:t>
            </w:r>
          </w:p>
        </w:tc>
        <w:tc>
          <w:tcPr>
            <w:tcW w:w="1701" w:type="dxa"/>
          </w:tcPr>
          <w:p w14:paraId="1DE3F3CA" w14:textId="77777777" w:rsidR="0088429D" w:rsidRPr="0088429D" w:rsidRDefault="0088429D" w:rsidP="00F1796C">
            <w:pPr>
              <w:pStyle w:val="DHHSbody"/>
              <w:jc w:val="right"/>
            </w:pPr>
            <w:r w:rsidRPr="0088429D">
              <w:t>173,818</w:t>
            </w:r>
          </w:p>
        </w:tc>
        <w:tc>
          <w:tcPr>
            <w:tcW w:w="1843" w:type="dxa"/>
          </w:tcPr>
          <w:p w14:paraId="4D0C4208" w14:textId="77777777" w:rsidR="0088429D" w:rsidRPr="0088429D" w:rsidRDefault="0088429D" w:rsidP="00F1796C">
            <w:pPr>
              <w:pStyle w:val="DHHSbody"/>
              <w:jc w:val="right"/>
            </w:pPr>
            <w:r w:rsidRPr="0088429D">
              <w:t>9,215</w:t>
            </w:r>
          </w:p>
        </w:tc>
        <w:tc>
          <w:tcPr>
            <w:tcW w:w="1701" w:type="dxa"/>
          </w:tcPr>
          <w:p w14:paraId="6A4E08D7" w14:textId="77777777" w:rsidR="0088429D" w:rsidRPr="0088429D" w:rsidRDefault="0088429D" w:rsidP="00F1796C">
            <w:pPr>
              <w:pStyle w:val="DHHSbody"/>
              <w:jc w:val="right"/>
            </w:pPr>
            <w:r w:rsidRPr="0088429D">
              <w:t>11,355</w:t>
            </w:r>
          </w:p>
        </w:tc>
        <w:tc>
          <w:tcPr>
            <w:tcW w:w="1508" w:type="dxa"/>
          </w:tcPr>
          <w:p w14:paraId="4EB61B70" w14:textId="77777777" w:rsidR="0088429D" w:rsidRPr="0088429D" w:rsidRDefault="0088429D" w:rsidP="00F1796C">
            <w:pPr>
              <w:pStyle w:val="DHHSbody"/>
              <w:jc w:val="right"/>
            </w:pPr>
            <w:r w:rsidRPr="0088429D">
              <w:t>4,015</w:t>
            </w:r>
          </w:p>
        </w:tc>
      </w:tr>
      <w:tr w:rsidR="0088429D" w:rsidRPr="0088429D" w14:paraId="425E4CE3" w14:textId="77777777" w:rsidTr="0088429D">
        <w:tc>
          <w:tcPr>
            <w:tcW w:w="2263" w:type="dxa"/>
          </w:tcPr>
          <w:p w14:paraId="3EBE5B02" w14:textId="79A26669" w:rsidR="0088429D" w:rsidRPr="0088429D" w:rsidRDefault="0088429D" w:rsidP="0088429D">
            <w:pPr>
              <w:pStyle w:val="DHHSbody"/>
            </w:pPr>
            <w:r w:rsidRPr="0088429D">
              <w:t xml:space="preserve">Total </w:t>
            </w:r>
            <w:r w:rsidR="00B10A0C">
              <w:t>p</w:t>
            </w:r>
            <w:r w:rsidR="00B10A0C" w:rsidRPr="0088429D">
              <w:t>latelets</w:t>
            </w:r>
          </w:p>
        </w:tc>
        <w:tc>
          <w:tcPr>
            <w:tcW w:w="1701" w:type="dxa"/>
          </w:tcPr>
          <w:p w14:paraId="27B637F7" w14:textId="77777777" w:rsidR="0088429D" w:rsidRPr="0088429D" w:rsidRDefault="0088429D" w:rsidP="00F1796C">
            <w:pPr>
              <w:pStyle w:val="DHHSbody"/>
              <w:jc w:val="right"/>
            </w:pPr>
            <w:r w:rsidRPr="0088429D">
              <w:t>34,861</w:t>
            </w:r>
          </w:p>
        </w:tc>
        <w:tc>
          <w:tcPr>
            <w:tcW w:w="1843" w:type="dxa"/>
          </w:tcPr>
          <w:p w14:paraId="148DC936" w14:textId="77777777" w:rsidR="0088429D" w:rsidRPr="0088429D" w:rsidRDefault="0088429D" w:rsidP="00F1796C">
            <w:pPr>
              <w:pStyle w:val="DHHSbody"/>
              <w:jc w:val="right"/>
            </w:pPr>
            <w:r w:rsidRPr="0088429D">
              <w:t>1,450</w:t>
            </w:r>
          </w:p>
        </w:tc>
        <w:tc>
          <w:tcPr>
            <w:tcW w:w="1701" w:type="dxa"/>
          </w:tcPr>
          <w:p w14:paraId="1E6CE53A" w14:textId="77777777" w:rsidR="0088429D" w:rsidRPr="0088429D" w:rsidRDefault="0088429D" w:rsidP="00F1796C">
            <w:pPr>
              <w:pStyle w:val="DHHSbody"/>
              <w:jc w:val="right"/>
            </w:pPr>
            <w:r w:rsidRPr="0088429D">
              <w:t>2,361</w:t>
            </w:r>
          </w:p>
        </w:tc>
        <w:tc>
          <w:tcPr>
            <w:tcW w:w="1508" w:type="dxa"/>
          </w:tcPr>
          <w:p w14:paraId="52A295EB" w14:textId="77777777" w:rsidR="0088429D" w:rsidRPr="0088429D" w:rsidRDefault="0088429D" w:rsidP="00F1796C">
            <w:pPr>
              <w:pStyle w:val="DHHSbody"/>
              <w:jc w:val="right"/>
            </w:pPr>
            <w:r w:rsidRPr="0088429D">
              <w:t>824</w:t>
            </w:r>
          </w:p>
        </w:tc>
      </w:tr>
      <w:tr w:rsidR="0088429D" w:rsidRPr="0088429D" w14:paraId="76BB0681" w14:textId="77777777" w:rsidTr="0088429D">
        <w:tc>
          <w:tcPr>
            <w:tcW w:w="2263" w:type="dxa"/>
          </w:tcPr>
          <w:p w14:paraId="36B86540" w14:textId="77777777" w:rsidR="0088429D" w:rsidRPr="0088429D" w:rsidRDefault="0088429D" w:rsidP="0088429D">
            <w:pPr>
              <w:pStyle w:val="DHHSbody"/>
            </w:pPr>
            <w:r w:rsidRPr="0088429D">
              <w:t>Total FFP</w:t>
            </w:r>
          </w:p>
        </w:tc>
        <w:tc>
          <w:tcPr>
            <w:tcW w:w="1701" w:type="dxa"/>
          </w:tcPr>
          <w:p w14:paraId="5B111859" w14:textId="77777777" w:rsidR="0088429D" w:rsidRPr="0088429D" w:rsidRDefault="0088429D" w:rsidP="00F1796C">
            <w:pPr>
              <w:pStyle w:val="DHHSbody"/>
              <w:jc w:val="right"/>
            </w:pPr>
            <w:r w:rsidRPr="0088429D">
              <w:t>27,429</w:t>
            </w:r>
          </w:p>
        </w:tc>
        <w:tc>
          <w:tcPr>
            <w:tcW w:w="1843" w:type="dxa"/>
          </w:tcPr>
          <w:p w14:paraId="39DFEED7" w14:textId="77777777" w:rsidR="0088429D" w:rsidRPr="0088429D" w:rsidRDefault="0088429D" w:rsidP="00F1796C">
            <w:pPr>
              <w:pStyle w:val="DHHSbody"/>
              <w:jc w:val="right"/>
            </w:pPr>
            <w:r w:rsidRPr="0088429D">
              <w:t>1,062</w:t>
            </w:r>
          </w:p>
        </w:tc>
        <w:tc>
          <w:tcPr>
            <w:tcW w:w="1701" w:type="dxa"/>
          </w:tcPr>
          <w:p w14:paraId="5EDA8625" w14:textId="77777777" w:rsidR="0088429D" w:rsidRPr="0088429D" w:rsidRDefault="0088429D" w:rsidP="00F1796C">
            <w:pPr>
              <w:pStyle w:val="DHHSbody"/>
              <w:jc w:val="right"/>
            </w:pPr>
            <w:r w:rsidRPr="0088429D">
              <w:t>1,275</w:t>
            </w:r>
          </w:p>
        </w:tc>
        <w:tc>
          <w:tcPr>
            <w:tcW w:w="1508" w:type="dxa"/>
          </w:tcPr>
          <w:p w14:paraId="005923B2" w14:textId="77777777" w:rsidR="0088429D" w:rsidRPr="0088429D" w:rsidRDefault="0088429D" w:rsidP="00F1796C">
            <w:pPr>
              <w:pStyle w:val="DHHSbody"/>
              <w:jc w:val="right"/>
            </w:pPr>
            <w:r w:rsidRPr="0088429D">
              <w:t>619</w:t>
            </w:r>
          </w:p>
        </w:tc>
      </w:tr>
      <w:tr w:rsidR="0088429D" w:rsidRPr="0088429D" w14:paraId="3C88BF86" w14:textId="77777777" w:rsidTr="0088429D">
        <w:tc>
          <w:tcPr>
            <w:tcW w:w="2263" w:type="dxa"/>
          </w:tcPr>
          <w:p w14:paraId="7FF56E75" w14:textId="663FB165" w:rsidR="0088429D" w:rsidRPr="0088429D" w:rsidRDefault="0088429D" w:rsidP="0088429D">
            <w:pPr>
              <w:pStyle w:val="DHHSbody"/>
            </w:pPr>
            <w:r w:rsidRPr="0088429D">
              <w:t xml:space="preserve">Total </w:t>
            </w:r>
            <w:r w:rsidR="00B10A0C">
              <w:t>c</w:t>
            </w:r>
            <w:r w:rsidR="00B10A0C" w:rsidRPr="0088429D">
              <w:t>ryoprecipitate</w:t>
            </w:r>
          </w:p>
        </w:tc>
        <w:tc>
          <w:tcPr>
            <w:tcW w:w="1701" w:type="dxa"/>
          </w:tcPr>
          <w:p w14:paraId="059B86CD" w14:textId="77777777" w:rsidR="0088429D" w:rsidRPr="0088429D" w:rsidRDefault="0088429D" w:rsidP="00F1796C">
            <w:pPr>
              <w:pStyle w:val="DHHSbody"/>
              <w:jc w:val="right"/>
            </w:pPr>
            <w:r w:rsidRPr="0088429D">
              <w:t>29,525</w:t>
            </w:r>
          </w:p>
        </w:tc>
        <w:tc>
          <w:tcPr>
            <w:tcW w:w="1843" w:type="dxa"/>
          </w:tcPr>
          <w:p w14:paraId="3A8F2989" w14:textId="77777777" w:rsidR="0088429D" w:rsidRPr="0088429D" w:rsidRDefault="0088429D" w:rsidP="00F1796C">
            <w:pPr>
              <w:pStyle w:val="DHHSbody"/>
              <w:jc w:val="right"/>
            </w:pPr>
            <w:r w:rsidRPr="0088429D">
              <w:t>1,848</w:t>
            </w:r>
          </w:p>
        </w:tc>
        <w:tc>
          <w:tcPr>
            <w:tcW w:w="1701" w:type="dxa"/>
          </w:tcPr>
          <w:p w14:paraId="2139360D" w14:textId="77777777" w:rsidR="0088429D" w:rsidRPr="0088429D" w:rsidRDefault="0088429D" w:rsidP="00F1796C">
            <w:pPr>
              <w:pStyle w:val="DHHSbody"/>
              <w:jc w:val="right"/>
            </w:pPr>
            <w:r w:rsidRPr="0088429D">
              <w:t>2,075</w:t>
            </w:r>
          </w:p>
        </w:tc>
        <w:tc>
          <w:tcPr>
            <w:tcW w:w="1508" w:type="dxa"/>
          </w:tcPr>
          <w:p w14:paraId="2ADB5CED" w14:textId="77777777" w:rsidR="0088429D" w:rsidRPr="0088429D" w:rsidRDefault="0088429D" w:rsidP="00F1796C">
            <w:pPr>
              <w:pStyle w:val="DHHSbody"/>
              <w:jc w:val="right"/>
            </w:pPr>
            <w:r w:rsidRPr="0088429D">
              <w:t>828</w:t>
            </w:r>
          </w:p>
        </w:tc>
      </w:tr>
      <w:tr w:rsidR="0088429D" w:rsidRPr="0088429D" w14:paraId="0EAD6B38" w14:textId="77777777" w:rsidTr="0088429D">
        <w:tc>
          <w:tcPr>
            <w:tcW w:w="2263" w:type="dxa"/>
          </w:tcPr>
          <w:p w14:paraId="65283FD5" w14:textId="77777777" w:rsidR="0088429D" w:rsidRPr="0088429D" w:rsidRDefault="0088429D" w:rsidP="0088429D">
            <w:pPr>
              <w:pStyle w:val="DHHSbody"/>
              <w:rPr>
                <w:b/>
              </w:rPr>
            </w:pPr>
            <w:r w:rsidRPr="0088429D">
              <w:rPr>
                <w:b/>
              </w:rPr>
              <w:t>Total</w:t>
            </w:r>
          </w:p>
        </w:tc>
        <w:tc>
          <w:tcPr>
            <w:tcW w:w="1701" w:type="dxa"/>
          </w:tcPr>
          <w:p w14:paraId="5425CB82" w14:textId="77777777" w:rsidR="0088429D" w:rsidRPr="0088429D" w:rsidRDefault="0088429D" w:rsidP="00F1796C">
            <w:pPr>
              <w:pStyle w:val="DHHSbody"/>
              <w:jc w:val="right"/>
              <w:rPr>
                <w:b/>
              </w:rPr>
            </w:pPr>
            <w:r w:rsidRPr="0088429D">
              <w:rPr>
                <w:b/>
              </w:rPr>
              <w:t>265,632</w:t>
            </w:r>
          </w:p>
        </w:tc>
        <w:tc>
          <w:tcPr>
            <w:tcW w:w="1843" w:type="dxa"/>
          </w:tcPr>
          <w:p w14:paraId="48FD211A" w14:textId="77777777" w:rsidR="0088429D" w:rsidRPr="0088429D" w:rsidRDefault="0088429D" w:rsidP="00F1796C">
            <w:pPr>
              <w:pStyle w:val="DHHSbody"/>
              <w:jc w:val="right"/>
              <w:rPr>
                <w:b/>
              </w:rPr>
            </w:pPr>
            <w:r w:rsidRPr="0088429D">
              <w:rPr>
                <w:b/>
              </w:rPr>
              <w:t>13,575</w:t>
            </w:r>
          </w:p>
        </w:tc>
        <w:tc>
          <w:tcPr>
            <w:tcW w:w="1701" w:type="dxa"/>
          </w:tcPr>
          <w:p w14:paraId="31EBCB59" w14:textId="77777777" w:rsidR="0088429D" w:rsidRPr="0088429D" w:rsidRDefault="0088429D" w:rsidP="00F1796C">
            <w:pPr>
              <w:pStyle w:val="DHHSbody"/>
              <w:jc w:val="right"/>
              <w:rPr>
                <w:b/>
              </w:rPr>
            </w:pPr>
            <w:r w:rsidRPr="0088429D">
              <w:rPr>
                <w:b/>
              </w:rPr>
              <w:t>17,066</w:t>
            </w:r>
          </w:p>
        </w:tc>
        <w:tc>
          <w:tcPr>
            <w:tcW w:w="1508" w:type="dxa"/>
          </w:tcPr>
          <w:p w14:paraId="3DE4D433" w14:textId="77777777" w:rsidR="0088429D" w:rsidRPr="0088429D" w:rsidRDefault="0088429D" w:rsidP="00F1796C">
            <w:pPr>
              <w:pStyle w:val="DHHSbody"/>
              <w:jc w:val="right"/>
              <w:rPr>
                <w:b/>
              </w:rPr>
            </w:pPr>
            <w:r w:rsidRPr="0088429D">
              <w:rPr>
                <w:b/>
              </w:rPr>
              <w:t>6,286</w:t>
            </w:r>
          </w:p>
        </w:tc>
      </w:tr>
    </w:tbl>
    <w:p w14:paraId="2DF6E9C9" w14:textId="77777777" w:rsidR="0088429D" w:rsidRPr="0088429D" w:rsidRDefault="0088429D" w:rsidP="0088429D">
      <w:pPr>
        <w:pStyle w:val="DHHSbody"/>
      </w:pPr>
    </w:p>
    <w:p w14:paraId="74737E76" w14:textId="34855538" w:rsidR="0088429D" w:rsidRPr="0088429D" w:rsidRDefault="0088429D" w:rsidP="0088429D">
      <w:pPr>
        <w:pStyle w:val="DHHSbody"/>
      </w:pPr>
      <w:r w:rsidRPr="0088429D">
        <w:lastRenderedPageBreak/>
        <w:t>The NBA issue data can then be used to determine an estimate of the frequency of serious clinical reactions to blood, as shown in Table 2. As incident reporting is voluntary, this rate would be an underestimate and needs to be considered with care. No national data on numbers of patients transfused, or numbers of blood products received by individual patients, to serve as denominator data is available in Australia.</w:t>
      </w:r>
    </w:p>
    <w:p w14:paraId="0DC768C9" w14:textId="77777777" w:rsidR="0088429D" w:rsidRPr="0088429D" w:rsidRDefault="0088429D" w:rsidP="0088429D">
      <w:pPr>
        <w:pStyle w:val="DHHStablecaption"/>
        <w:rPr>
          <w:rFonts w:eastAsia="Times"/>
        </w:rPr>
      </w:pPr>
      <w:r w:rsidRPr="0088429D">
        <w:rPr>
          <w:rFonts w:eastAsia="Times"/>
        </w:rPr>
        <w:t>Table 2: Estimated frequency of clinical reactions per product in Victoria</w:t>
      </w:r>
    </w:p>
    <w:tbl>
      <w:tblPr>
        <w:tblStyle w:val="TableGrid"/>
        <w:tblW w:w="0" w:type="auto"/>
        <w:tblLook w:val="04A0" w:firstRow="1" w:lastRow="0" w:firstColumn="1" w:lastColumn="0" w:noHBand="0" w:noVBand="1"/>
      </w:tblPr>
      <w:tblGrid>
        <w:gridCol w:w="2254"/>
        <w:gridCol w:w="2254"/>
        <w:gridCol w:w="2433"/>
        <w:gridCol w:w="2075"/>
      </w:tblGrid>
      <w:tr w:rsidR="0088429D" w:rsidRPr="0088429D" w14:paraId="62596940" w14:textId="77777777" w:rsidTr="0088429D">
        <w:tc>
          <w:tcPr>
            <w:tcW w:w="2254" w:type="dxa"/>
          </w:tcPr>
          <w:p w14:paraId="360B9A7F" w14:textId="77777777" w:rsidR="0088429D" w:rsidRPr="0088429D" w:rsidRDefault="0088429D" w:rsidP="0088429D">
            <w:pPr>
              <w:pStyle w:val="DHHSbody"/>
              <w:rPr>
                <w:b/>
              </w:rPr>
            </w:pPr>
            <w:r w:rsidRPr="0088429D">
              <w:rPr>
                <w:b/>
              </w:rPr>
              <w:t>Product</w:t>
            </w:r>
          </w:p>
        </w:tc>
        <w:tc>
          <w:tcPr>
            <w:tcW w:w="2254" w:type="dxa"/>
          </w:tcPr>
          <w:p w14:paraId="7632CBCE" w14:textId="77777777" w:rsidR="0088429D" w:rsidRPr="0088429D" w:rsidRDefault="0088429D" w:rsidP="0088429D">
            <w:pPr>
              <w:pStyle w:val="DHHSbody"/>
              <w:rPr>
                <w:b/>
              </w:rPr>
            </w:pPr>
            <w:r w:rsidRPr="0088429D">
              <w:rPr>
                <w:b/>
              </w:rPr>
              <w:t>Blood issues (Victoria)</w:t>
            </w:r>
          </w:p>
        </w:tc>
        <w:tc>
          <w:tcPr>
            <w:tcW w:w="2433" w:type="dxa"/>
          </w:tcPr>
          <w:p w14:paraId="15C19D97" w14:textId="77777777" w:rsidR="0088429D" w:rsidRPr="0088429D" w:rsidRDefault="0088429D" w:rsidP="0088429D">
            <w:pPr>
              <w:pStyle w:val="DHHSbody"/>
              <w:rPr>
                <w:b/>
              </w:rPr>
            </w:pPr>
            <w:r w:rsidRPr="0088429D">
              <w:rPr>
                <w:b/>
              </w:rPr>
              <w:t>Validated clinical events</w:t>
            </w:r>
            <w:r>
              <w:rPr>
                <w:rStyle w:val="FootnoteReference"/>
                <w:b/>
              </w:rPr>
              <w:footnoteReference w:id="1"/>
            </w:r>
          </w:p>
        </w:tc>
        <w:tc>
          <w:tcPr>
            <w:tcW w:w="2075" w:type="dxa"/>
          </w:tcPr>
          <w:p w14:paraId="3FC77828" w14:textId="77777777" w:rsidR="0088429D" w:rsidRPr="0088429D" w:rsidRDefault="0088429D" w:rsidP="0088429D">
            <w:pPr>
              <w:pStyle w:val="DHHSbody"/>
              <w:rPr>
                <w:b/>
              </w:rPr>
            </w:pPr>
            <w:r w:rsidRPr="0088429D">
              <w:rPr>
                <w:b/>
              </w:rPr>
              <w:t>Frequency</w:t>
            </w:r>
          </w:p>
        </w:tc>
      </w:tr>
      <w:tr w:rsidR="0088429D" w:rsidRPr="0088429D" w14:paraId="3A4DECD8" w14:textId="77777777" w:rsidTr="0088429D">
        <w:tc>
          <w:tcPr>
            <w:tcW w:w="2254" w:type="dxa"/>
          </w:tcPr>
          <w:p w14:paraId="1B27AA79" w14:textId="77777777" w:rsidR="0088429D" w:rsidRPr="0088429D" w:rsidRDefault="0088429D" w:rsidP="0088429D">
            <w:pPr>
              <w:pStyle w:val="DHHSbody"/>
            </w:pPr>
            <w:r w:rsidRPr="0088429D">
              <w:t>Red cells</w:t>
            </w:r>
          </w:p>
        </w:tc>
        <w:tc>
          <w:tcPr>
            <w:tcW w:w="2254" w:type="dxa"/>
          </w:tcPr>
          <w:p w14:paraId="5BC39ED9" w14:textId="77777777" w:rsidR="0088429D" w:rsidRPr="0088429D" w:rsidRDefault="0088429D" w:rsidP="00F1796C">
            <w:pPr>
              <w:pStyle w:val="DHHSbody"/>
              <w:jc w:val="right"/>
            </w:pPr>
            <w:r w:rsidRPr="0088429D">
              <w:t>173,818</w:t>
            </w:r>
          </w:p>
        </w:tc>
        <w:tc>
          <w:tcPr>
            <w:tcW w:w="2433" w:type="dxa"/>
          </w:tcPr>
          <w:p w14:paraId="7AB1E231" w14:textId="77777777" w:rsidR="0088429D" w:rsidRPr="0088429D" w:rsidRDefault="0088429D" w:rsidP="00F1796C">
            <w:pPr>
              <w:pStyle w:val="DHHSbody"/>
              <w:jc w:val="right"/>
            </w:pPr>
            <w:r w:rsidRPr="0088429D">
              <w:t>44</w:t>
            </w:r>
          </w:p>
        </w:tc>
        <w:tc>
          <w:tcPr>
            <w:tcW w:w="2075" w:type="dxa"/>
          </w:tcPr>
          <w:p w14:paraId="153F5934" w14:textId="77777777" w:rsidR="0088429D" w:rsidRPr="0088429D" w:rsidRDefault="0088429D" w:rsidP="00F1796C">
            <w:pPr>
              <w:pStyle w:val="DHHSbody"/>
              <w:jc w:val="right"/>
            </w:pPr>
            <w:r w:rsidRPr="0088429D">
              <w:t>1:3950</w:t>
            </w:r>
          </w:p>
        </w:tc>
      </w:tr>
      <w:tr w:rsidR="0088429D" w:rsidRPr="0088429D" w14:paraId="2E568738" w14:textId="77777777" w:rsidTr="0088429D">
        <w:tc>
          <w:tcPr>
            <w:tcW w:w="2254" w:type="dxa"/>
          </w:tcPr>
          <w:p w14:paraId="5A83E2D9" w14:textId="77777777" w:rsidR="0088429D" w:rsidRPr="0088429D" w:rsidRDefault="0088429D" w:rsidP="0088429D">
            <w:pPr>
              <w:pStyle w:val="DHHSbody"/>
            </w:pPr>
            <w:r w:rsidRPr="0088429D">
              <w:t>Platelets</w:t>
            </w:r>
          </w:p>
        </w:tc>
        <w:tc>
          <w:tcPr>
            <w:tcW w:w="2254" w:type="dxa"/>
          </w:tcPr>
          <w:p w14:paraId="10A28A82" w14:textId="77777777" w:rsidR="0088429D" w:rsidRPr="0088429D" w:rsidRDefault="0088429D" w:rsidP="00F1796C">
            <w:pPr>
              <w:pStyle w:val="DHHSbody"/>
              <w:jc w:val="right"/>
            </w:pPr>
            <w:r w:rsidRPr="0088429D">
              <w:t>34,861</w:t>
            </w:r>
          </w:p>
        </w:tc>
        <w:tc>
          <w:tcPr>
            <w:tcW w:w="2433" w:type="dxa"/>
          </w:tcPr>
          <w:p w14:paraId="46A85160" w14:textId="77777777" w:rsidR="0088429D" w:rsidRPr="0088429D" w:rsidRDefault="0088429D" w:rsidP="00F1796C">
            <w:pPr>
              <w:pStyle w:val="DHHSbody"/>
              <w:jc w:val="right"/>
            </w:pPr>
            <w:r w:rsidRPr="0088429D">
              <w:t>14</w:t>
            </w:r>
          </w:p>
        </w:tc>
        <w:tc>
          <w:tcPr>
            <w:tcW w:w="2075" w:type="dxa"/>
          </w:tcPr>
          <w:p w14:paraId="4246B9E6" w14:textId="77777777" w:rsidR="0088429D" w:rsidRPr="0088429D" w:rsidRDefault="0088429D" w:rsidP="00F1796C">
            <w:pPr>
              <w:pStyle w:val="DHHSbody"/>
              <w:jc w:val="right"/>
            </w:pPr>
            <w:r w:rsidRPr="0088429D">
              <w:t>1:2490</w:t>
            </w:r>
          </w:p>
        </w:tc>
      </w:tr>
      <w:tr w:rsidR="0088429D" w:rsidRPr="0088429D" w14:paraId="68336CA1" w14:textId="77777777" w:rsidTr="0088429D">
        <w:tc>
          <w:tcPr>
            <w:tcW w:w="2254" w:type="dxa"/>
          </w:tcPr>
          <w:p w14:paraId="488E40F1" w14:textId="77777777" w:rsidR="0088429D" w:rsidRPr="0088429D" w:rsidRDefault="0088429D" w:rsidP="0088429D">
            <w:pPr>
              <w:pStyle w:val="DHHSbody"/>
            </w:pPr>
            <w:r w:rsidRPr="0088429D">
              <w:t>FFP</w:t>
            </w:r>
          </w:p>
        </w:tc>
        <w:tc>
          <w:tcPr>
            <w:tcW w:w="2254" w:type="dxa"/>
          </w:tcPr>
          <w:p w14:paraId="145E2FFA" w14:textId="77777777" w:rsidR="0088429D" w:rsidRPr="0088429D" w:rsidRDefault="0088429D" w:rsidP="00F1796C">
            <w:pPr>
              <w:pStyle w:val="DHHSbody"/>
              <w:jc w:val="right"/>
            </w:pPr>
            <w:r w:rsidRPr="0088429D">
              <w:t>27,429</w:t>
            </w:r>
          </w:p>
        </w:tc>
        <w:tc>
          <w:tcPr>
            <w:tcW w:w="2433" w:type="dxa"/>
          </w:tcPr>
          <w:p w14:paraId="7C6335CD" w14:textId="77777777" w:rsidR="0088429D" w:rsidRPr="0088429D" w:rsidRDefault="0088429D" w:rsidP="00F1796C">
            <w:pPr>
              <w:pStyle w:val="DHHSbody"/>
              <w:jc w:val="right"/>
            </w:pPr>
            <w:r w:rsidRPr="0088429D">
              <w:t>8</w:t>
            </w:r>
          </w:p>
        </w:tc>
        <w:tc>
          <w:tcPr>
            <w:tcW w:w="2075" w:type="dxa"/>
          </w:tcPr>
          <w:p w14:paraId="0513EB38" w14:textId="77777777" w:rsidR="0088429D" w:rsidRPr="0088429D" w:rsidRDefault="0088429D" w:rsidP="00F1796C">
            <w:pPr>
              <w:pStyle w:val="DHHSbody"/>
              <w:jc w:val="right"/>
            </w:pPr>
            <w:r w:rsidRPr="0088429D">
              <w:t>1:3429</w:t>
            </w:r>
          </w:p>
        </w:tc>
      </w:tr>
      <w:tr w:rsidR="0088429D" w:rsidRPr="0088429D" w14:paraId="3EABA225" w14:textId="77777777" w:rsidTr="0088429D">
        <w:tc>
          <w:tcPr>
            <w:tcW w:w="2254" w:type="dxa"/>
          </w:tcPr>
          <w:p w14:paraId="17DB398D" w14:textId="77777777" w:rsidR="0088429D" w:rsidRPr="0088429D" w:rsidRDefault="0088429D" w:rsidP="0088429D">
            <w:pPr>
              <w:pStyle w:val="DHHSbody"/>
            </w:pPr>
            <w:r w:rsidRPr="0088429D">
              <w:t>Cryoprecipitate</w:t>
            </w:r>
          </w:p>
        </w:tc>
        <w:tc>
          <w:tcPr>
            <w:tcW w:w="2254" w:type="dxa"/>
          </w:tcPr>
          <w:p w14:paraId="503BA0A0" w14:textId="77777777" w:rsidR="0088429D" w:rsidRPr="0088429D" w:rsidRDefault="0088429D" w:rsidP="00F1796C">
            <w:pPr>
              <w:pStyle w:val="DHHSbody"/>
              <w:jc w:val="right"/>
            </w:pPr>
            <w:r w:rsidRPr="0088429D">
              <w:t>29,525</w:t>
            </w:r>
          </w:p>
        </w:tc>
        <w:tc>
          <w:tcPr>
            <w:tcW w:w="2433" w:type="dxa"/>
          </w:tcPr>
          <w:p w14:paraId="1A8E0221" w14:textId="77777777" w:rsidR="0088429D" w:rsidRPr="0088429D" w:rsidRDefault="0088429D" w:rsidP="00F1796C">
            <w:pPr>
              <w:pStyle w:val="DHHSbody"/>
              <w:jc w:val="right"/>
            </w:pPr>
            <w:r w:rsidRPr="0088429D">
              <w:t>-</w:t>
            </w:r>
          </w:p>
        </w:tc>
        <w:tc>
          <w:tcPr>
            <w:tcW w:w="2075" w:type="dxa"/>
          </w:tcPr>
          <w:p w14:paraId="54F463F5" w14:textId="77777777" w:rsidR="0088429D" w:rsidRPr="0088429D" w:rsidRDefault="0088429D" w:rsidP="00F1796C">
            <w:pPr>
              <w:pStyle w:val="DHHSbody"/>
              <w:jc w:val="right"/>
            </w:pPr>
            <w:r w:rsidRPr="0088429D">
              <w:t>-</w:t>
            </w:r>
          </w:p>
        </w:tc>
      </w:tr>
    </w:tbl>
    <w:p w14:paraId="59782DBF" w14:textId="77777777" w:rsidR="0088429D" w:rsidRPr="0088429D" w:rsidRDefault="0088429D" w:rsidP="0088429D">
      <w:pPr>
        <w:pStyle w:val="DHHSbody"/>
      </w:pPr>
    </w:p>
    <w:p w14:paraId="727FDD16" w14:textId="77777777" w:rsidR="0088429D" w:rsidRPr="0088429D" w:rsidRDefault="0088429D" w:rsidP="0088429D">
      <w:pPr>
        <w:pStyle w:val="Heading2"/>
        <w:rPr>
          <w:rFonts w:eastAsia="Times"/>
        </w:rPr>
      </w:pPr>
      <w:bookmarkStart w:id="6" w:name="_Toc46304637"/>
      <w:r w:rsidRPr="0088429D">
        <w:rPr>
          <w:rFonts w:eastAsia="Times"/>
        </w:rPr>
        <w:t>Method</w:t>
      </w:r>
      <w:bookmarkEnd w:id="6"/>
    </w:p>
    <w:p w14:paraId="2E5199FE" w14:textId="200160EA" w:rsidR="0088429D" w:rsidRPr="0088429D" w:rsidRDefault="00472051" w:rsidP="0088429D">
      <w:pPr>
        <w:pStyle w:val="DHHSbody"/>
      </w:pPr>
      <w:r>
        <w:t>Table</w:t>
      </w:r>
      <w:r w:rsidRPr="0088429D">
        <w:t xml:space="preserve"> </w:t>
      </w:r>
      <w:r>
        <w:t>3</w:t>
      </w:r>
      <w:r w:rsidRPr="0088429D">
        <w:t xml:space="preserve"> </w:t>
      </w:r>
      <w:r w:rsidR="0088429D" w:rsidRPr="0088429D">
        <w:t>shows the steps in the reporting and validation of health service notifications to STIR. There are a number of validation steps built into the process at notification, and on return of investigation forms. All investigation forms are sent to members of the Expert Group for review, with all SR 1 and 2 events requiring a full Expert Group panel review.</w:t>
      </w:r>
    </w:p>
    <w:p w14:paraId="0B8D68A3" w14:textId="57215F3E" w:rsidR="0088429D" w:rsidRPr="0088429D" w:rsidRDefault="00FB0A81" w:rsidP="0088429D">
      <w:pPr>
        <w:pStyle w:val="DHHStablecaption"/>
        <w:rPr>
          <w:rFonts w:eastAsia="Times"/>
        </w:rPr>
      </w:pPr>
      <w:r>
        <w:rPr>
          <w:rFonts w:eastAsia="Times"/>
        </w:rPr>
        <w:t>Table 3</w:t>
      </w:r>
      <w:r w:rsidR="0088429D" w:rsidRPr="0088429D">
        <w:rPr>
          <w:rFonts w:eastAsia="Times"/>
        </w:rPr>
        <w:t>: Steps in the reporting and validation of health service notifications</w:t>
      </w:r>
    </w:p>
    <w:tbl>
      <w:tblPr>
        <w:tblStyle w:val="TableGrid"/>
        <w:tblW w:w="0" w:type="auto"/>
        <w:tblLook w:val="04A0" w:firstRow="1" w:lastRow="0" w:firstColumn="1" w:lastColumn="0" w:noHBand="0" w:noVBand="1"/>
      </w:tblPr>
      <w:tblGrid>
        <w:gridCol w:w="1305"/>
        <w:gridCol w:w="7875"/>
      </w:tblGrid>
      <w:tr w:rsidR="0088429D" w:rsidRPr="0088429D" w14:paraId="5EB86256" w14:textId="77777777" w:rsidTr="0088429D">
        <w:trPr>
          <w:tblHeader/>
        </w:trPr>
        <w:tc>
          <w:tcPr>
            <w:tcW w:w="1305" w:type="dxa"/>
          </w:tcPr>
          <w:p w14:paraId="4AF3F401" w14:textId="77777777" w:rsidR="0088429D" w:rsidRPr="0088429D" w:rsidRDefault="0088429D" w:rsidP="0088429D">
            <w:pPr>
              <w:pStyle w:val="DHHSbody"/>
              <w:rPr>
                <w:b/>
              </w:rPr>
            </w:pPr>
            <w:r w:rsidRPr="0088429D">
              <w:rPr>
                <w:b/>
              </w:rPr>
              <w:t>Icon</w:t>
            </w:r>
          </w:p>
        </w:tc>
        <w:tc>
          <w:tcPr>
            <w:tcW w:w="7875" w:type="dxa"/>
          </w:tcPr>
          <w:p w14:paraId="0BE4AC73" w14:textId="77777777" w:rsidR="0088429D" w:rsidRPr="0088429D" w:rsidRDefault="0088429D" w:rsidP="0088429D">
            <w:pPr>
              <w:pStyle w:val="DHHSbody"/>
              <w:rPr>
                <w:b/>
              </w:rPr>
            </w:pPr>
            <w:r w:rsidRPr="0088429D">
              <w:rPr>
                <w:b/>
              </w:rPr>
              <w:t>Steps</w:t>
            </w:r>
          </w:p>
        </w:tc>
      </w:tr>
      <w:tr w:rsidR="0088429D" w:rsidRPr="0088429D" w14:paraId="2DABD3BE" w14:textId="77777777" w:rsidTr="0088429D">
        <w:tc>
          <w:tcPr>
            <w:tcW w:w="1305" w:type="dxa"/>
          </w:tcPr>
          <w:p w14:paraId="62A15DAC" w14:textId="77777777" w:rsidR="0088429D" w:rsidRPr="0088429D" w:rsidRDefault="0088429D" w:rsidP="0088429D">
            <w:pPr>
              <w:pStyle w:val="DHHSbody"/>
            </w:pPr>
            <w:r w:rsidRPr="0088429D">
              <w:rPr>
                <w:noProof/>
                <w:lang w:eastAsia="en-AU"/>
              </w:rPr>
              <w:drawing>
                <wp:inline distT="0" distB="0" distL="0" distR="0" wp14:anchorId="7FDAC9D9" wp14:editId="7B2BEBD5">
                  <wp:extent cx="561975" cy="561975"/>
                  <wp:effectExtent l="0" t="0" r="0" b="0"/>
                  <wp:docPr id="8" name="Picture 9">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9">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875" w:type="dxa"/>
          </w:tcPr>
          <w:p w14:paraId="639386EB" w14:textId="77777777" w:rsidR="0088429D" w:rsidRPr="0088429D" w:rsidRDefault="0088429D" w:rsidP="0088429D">
            <w:pPr>
              <w:pStyle w:val="DHHSbody"/>
            </w:pPr>
            <w:r w:rsidRPr="0088429D">
              <w:t>171 notifications from health services</w:t>
            </w:r>
          </w:p>
        </w:tc>
      </w:tr>
      <w:tr w:rsidR="0088429D" w:rsidRPr="0088429D" w14:paraId="1119FF37" w14:textId="77777777" w:rsidTr="0088429D">
        <w:tc>
          <w:tcPr>
            <w:tcW w:w="1305" w:type="dxa"/>
          </w:tcPr>
          <w:p w14:paraId="33E6E8DB" w14:textId="77777777" w:rsidR="0088429D" w:rsidRPr="0088429D" w:rsidRDefault="0088429D" w:rsidP="0088429D">
            <w:pPr>
              <w:pStyle w:val="DHHSbody"/>
            </w:pPr>
            <w:r w:rsidRPr="0088429D">
              <w:rPr>
                <w:noProof/>
                <w:lang w:eastAsia="en-AU"/>
              </w:rPr>
              <w:drawing>
                <wp:inline distT="0" distB="0" distL="0" distR="0" wp14:anchorId="19F8AA3F" wp14:editId="795CA84E">
                  <wp:extent cx="528320" cy="528320"/>
                  <wp:effectExtent l="0" t="0" r="0" b="0"/>
                  <wp:docPr id="9" name="Picture 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8320" cy="528320"/>
                          </a:xfrm>
                          <a:prstGeom prst="rect">
                            <a:avLst/>
                          </a:prstGeom>
                          <a:noFill/>
                          <a:ln>
                            <a:noFill/>
                          </a:ln>
                        </pic:spPr>
                      </pic:pic>
                    </a:graphicData>
                  </a:graphic>
                </wp:inline>
              </w:drawing>
            </w:r>
          </w:p>
        </w:tc>
        <w:tc>
          <w:tcPr>
            <w:tcW w:w="7875" w:type="dxa"/>
          </w:tcPr>
          <w:p w14:paraId="3C7FE251" w14:textId="77777777" w:rsidR="0088429D" w:rsidRPr="0088429D" w:rsidRDefault="0088429D" w:rsidP="0088429D">
            <w:pPr>
              <w:pStyle w:val="DHHSbody"/>
            </w:pPr>
            <w:r w:rsidRPr="0088429D">
              <w:t>25 notifications withdrawn before investigation form returned</w:t>
            </w:r>
          </w:p>
        </w:tc>
      </w:tr>
      <w:tr w:rsidR="0088429D" w:rsidRPr="0088429D" w14:paraId="30CF9BD8" w14:textId="77777777" w:rsidTr="0088429D">
        <w:tc>
          <w:tcPr>
            <w:tcW w:w="1305" w:type="dxa"/>
          </w:tcPr>
          <w:p w14:paraId="2D60A6E4" w14:textId="77777777" w:rsidR="0088429D" w:rsidRPr="0088429D" w:rsidRDefault="0088429D" w:rsidP="0088429D">
            <w:pPr>
              <w:pStyle w:val="DHHSbody"/>
            </w:pPr>
            <w:r w:rsidRPr="0088429D">
              <w:rPr>
                <w:noProof/>
                <w:lang w:eastAsia="en-AU"/>
              </w:rPr>
              <w:drawing>
                <wp:inline distT="0" distB="0" distL="0" distR="0" wp14:anchorId="0DCF91D8" wp14:editId="2747D177">
                  <wp:extent cx="575945" cy="575945"/>
                  <wp:effectExtent l="0" t="0" r="0" b="0"/>
                  <wp:docPr id="10" name="Picture 1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3">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inline>
              </w:drawing>
            </w:r>
          </w:p>
        </w:tc>
        <w:tc>
          <w:tcPr>
            <w:tcW w:w="7875" w:type="dxa"/>
          </w:tcPr>
          <w:p w14:paraId="6FEF3E5C" w14:textId="77777777" w:rsidR="0088429D" w:rsidRPr="0088429D" w:rsidRDefault="0088429D" w:rsidP="0088429D">
            <w:pPr>
              <w:pStyle w:val="DHHSbody"/>
            </w:pPr>
            <w:r w:rsidRPr="0088429D">
              <w:t>146 investigation forms sent to STIR Expert Group for review</w:t>
            </w:r>
          </w:p>
          <w:p w14:paraId="48383ED7" w14:textId="77777777" w:rsidR="0088429D" w:rsidRPr="0088429D" w:rsidRDefault="0088429D" w:rsidP="0088429D">
            <w:pPr>
              <w:pStyle w:val="DHHSbody"/>
            </w:pPr>
          </w:p>
        </w:tc>
      </w:tr>
      <w:tr w:rsidR="0088429D" w:rsidRPr="0088429D" w14:paraId="7FDD7874" w14:textId="77777777" w:rsidTr="0088429D">
        <w:tc>
          <w:tcPr>
            <w:tcW w:w="1305" w:type="dxa"/>
          </w:tcPr>
          <w:p w14:paraId="279A69DD" w14:textId="77777777" w:rsidR="0088429D" w:rsidRPr="0088429D" w:rsidRDefault="0088429D" w:rsidP="0088429D">
            <w:pPr>
              <w:pStyle w:val="DHHSbody"/>
            </w:pPr>
            <w:r w:rsidRPr="0088429D">
              <w:rPr>
                <w:noProof/>
                <w:lang w:eastAsia="en-AU"/>
              </w:rPr>
              <w:drawing>
                <wp:inline distT="0" distB="0" distL="0" distR="0" wp14:anchorId="725B01B8" wp14:editId="01861FE3">
                  <wp:extent cx="413385" cy="413385"/>
                  <wp:effectExtent l="0" t="0" r="0" b="0"/>
                  <wp:docPr id="11" name="Picture 2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21">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3385" cy="413385"/>
                          </a:xfrm>
                          <a:prstGeom prst="rect">
                            <a:avLst/>
                          </a:prstGeom>
                          <a:noFill/>
                          <a:ln>
                            <a:noFill/>
                          </a:ln>
                        </pic:spPr>
                      </pic:pic>
                    </a:graphicData>
                  </a:graphic>
                </wp:inline>
              </w:drawing>
            </w:r>
          </w:p>
        </w:tc>
        <w:tc>
          <w:tcPr>
            <w:tcW w:w="7875" w:type="dxa"/>
          </w:tcPr>
          <w:p w14:paraId="69DC0632" w14:textId="5F15C8E8" w:rsidR="0088429D" w:rsidRPr="0088429D" w:rsidRDefault="002733F4" w:rsidP="0088429D">
            <w:pPr>
              <w:pStyle w:val="DHHSbody"/>
            </w:pPr>
            <w:r>
              <w:t>30</w:t>
            </w:r>
            <w:r w:rsidR="0088429D" w:rsidRPr="0088429D">
              <w:t xml:space="preserve"> investigation forms required second review</w:t>
            </w:r>
          </w:p>
          <w:p w14:paraId="38E68DDF" w14:textId="77777777" w:rsidR="0088429D" w:rsidRPr="0088429D" w:rsidRDefault="0088429D" w:rsidP="0088429D">
            <w:pPr>
              <w:pStyle w:val="DHHSbody"/>
            </w:pPr>
          </w:p>
        </w:tc>
      </w:tr>
      <w:tr w:rsidR="0088429D" w:rsidRPr="0088429D" w14:paraId="65103213" w14:textId="77777777" w:rsidTr="0088429D">
        <w:tc>
          <w:tcPr>
            <w:tcW w:w="1305" w:type="dxa"/>
          </w:tcPr>
          <w:p w14:paraId="6E62EF2D" w14:textId="77777777" w:rsidR="0088429D" w:rsidRPr="0088429D" w:rsidRDefault="0088429D" w:rsidP="0088429D">
            <w:pPr>
              <w:pStyle w:val="DHHSbody"/>
            </w:pPr>
            <w:r w:rsidRPr="0088429D">
              <w:rPr>
                <w:noProof/>
                <w:lang w:eastAsia="en-AU"/>
              </w:rPr>
              <w:drawing>
                <wp:inline distT="0" distB="0" distL="0" distR="0" wp14:anchorId="33FA6EB3" wp14:editId="7D2E7449">
                  <wp:extent cx="521335" cy="521335"/>
                  <wp:effectExtent l="0" t="0" r="0" b="0"/>
                  <wp:docPr id="12" name="Picture 5">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5">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335" cy="521335"/>
                          </a:xfrm>
                          <a:prstGeom prst="rect">
                            <a:avLst/>
                          </a:prstGeom>
                          <a:noFill/>
                          <a:ln>
                            <a:noFill/>
                          </a:ln>
                        </pic:spPr>
                      </pic:pic>
                    </a:graphicData>
                  </a:graphic>
                </wp:inline>
              </w:drawing>
            </w:r>
          </w:p>
        </w:tc>
        <w:tc>
          <w:tcPr>
            <w:tcW w:w="7875" w:type="dxa"/>
          </w:tcPr>
          <w:p w14:paraId="647E870F" w14:textId="61C95122" w:rsidR="0088429D" w:rsidRPr="0088429D" w:rsidRDefault="0088429D" w:rsidP="0088429D">
            <w:pPr>
              <w:pStyle w:val="DHHSbody"/>
            </w:pPr>
            <w:r w:rsidRPr="0088429D">
              <w:t>1</w:t>
            </w:r>
            <w:r w:rsidR="002733F4">
              <w:t>4</w:t>
            </w:r>
            <w:r w:rsidRPr="0088429D">
              <w:t xml:space="preserve"> investigations excluded by expert review</w:t>
            </w:r>
          </w:p>
        </w:tc>
      </w:tr>
      <w:tr w:rsidR="0088429D" w:rsidRPr="0088429D" w14:paraId="2BAF665B" w14:textId="77777777" w:rsidTr="0088429D">
        <w:tc>
          <w:tcPr>
            <w:tcW w:w="1305" w:type="dxa"/>
          </w:tcPr>
          <w:p w14:paraId="395DE4C2" w14:textId="77777777" w:rsidR="0088429D" w:rsidRPr="0088429D" w:rsidRDefault="0088429D" w:rsidP="0088429D">
            <w:pPr>
              <w:pStyle w:val="DHHSbody"/>
            </w:pPr>
            <w:r w:rsidRPr="0088429D">
              <w:rPr>
                <w:noProof/>
                <w:lang w:eastAsia="en-AU"/>
              </w:rPr>
              <w:drawing>
                <wp:inline distT="0" distB="0" distL="0" distR="0" wp14:anchorId="1C97C2A1" wp14:editId="370575AE">
                  <wp:extent cx="561975" cy="561975"/>
                  <wp:effectExtent l="0" t="0" r="0" b="0"/>
                  <wp:docPr id="13" name="Picture 7">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7">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875" w:type="dxa"/>
          </w:tcPr>
          <w:p w14:paraId="621DC8DB" w14:textId="033A71ED" w:rsidR="0088429D" w:rsidRPr="0088429D" w:rsidRDefault="0088429D" w:rsidP="0088429D">
            <w:pPr>
              <w:pStyle w:val="DHHSbody"/>
            </w:pPr>
            <w:r w:rsidRPr="0088429D">
              <w:t>13</w:t>
            </w:r>
            <w:r w:rsidR="002733F4">
              <w:t>2</w:t>
            </w:r>
            <w:r w:rsidRPr="0088429D">
              <w:t xml:space="preserve"> final validated reports included for analysis</w:t>
            </w:r>
          </w:p>
        </w:tc>
      </w:tr>
    </w:tbl>
    <w:p w14:paraId="02F68103" w14:textId="77777777" w:rsidR="0088429D" w:rsidRPr="0088429D" w:rsidRDefault="0088429D" w:rsidP="0088429D">
      <w:pPr>
        <w:pStyle w:val="DHHSbody"/>
      </w:pPr>
    </w:p>
    <w:p w14:paraId="45BFFC4C" w14:textId="77777777" w:rsidR="0088429D" w:rsidRPr="0088429D" w:rsidRDefault="0088429D" w:rsidP="0088429D">
      <w:pPr>
        <w:pStyle w:val="Heading2"/>
        <w:rPr>
          <w:rFonts w:eastAsia="Times"/>
        </w:rPr>
      </w:pPr>
      <w:bookmarkStart w:id="7" w:name="_Toc46304638"/>
      <w:r w:rsidRPr="0088429D">
        <w:rPr>
          <w:rFonts w:eastAsia="Times"/>
        </w:rPr>
        <w:lastRenderedPageBreak/>
        <w:t>Withdrawn reports</w:t>
      </w:r>
      <w:bookmarkEnd w:id="7"/>
    </w:p>
    <w:p w14:paraId="713ECFE4" w14:textId="61F073E8" w:rsidR="0088429D" w:rsidRPr="0088429D" w:rsidRDefault="0088429D" w:rsidP="0088429D">
      <w:pPr>
        <w:pStyle w:val="DHHSbody"/>
      </w:pPr>
      <w:r w:rsidRPr="0088429D">
        <w:t xml:space="preserve">As shown in Table </w:t>
      </w:r>
      <w:r w:rsidR="00472051">
        <w:t>4</w:t>
      </w:r>
      <w:r w:rsidRPr="0088429D">
        <w:t>, there were 3</w:t>
      </w:r>
      <w:r w:rsidR="002733F4">
        <w:t>9</w:t>
      </w:r>
      <w:r w:rsidRPr="0088429D">
        <w:t xml:space="preserve"> reports withdrawn or excluded for various reasons. Reports out of scope for STIR reporting accounted for nearly half of these. These </w:t>
      </w:r>
      <w:r w:rsidR="00B6395F">
        <w:t>‘</w:t>
      </w:r>
      <w:r w:rsidRPr="0088429D">
        <w:t>not in scope</w:t>
      </w:r>
      <w:r w:rsidR="00B6395F">
        <w:t>’</w:t>
      </w:r>
      <w:r w:rsidR="00B6395F" w:rsidRPr="0088429D">
        <w:t xml:space="preserve"> </w:t>
      </w:r>
      <w:r w:rsidRPr="0088429D">
        <w:t>reports were mostly related to minor allergy/simple rash (n = 5), wastage due to delayed return to blood bank (n = 5) and stem cell reactions (n = 2).</w:t>
      </w:r>
    </w:p>
    <w:p w14:paraId="11BA5E55" w14:textId="609B7647" w:rsidR="0088429D" w:rsidRPr="0088429D" w:rsidRDefault="0088429D" w:rsidP="0088429D">
      <w:pPr>
        <w:pStyle w:val="DHHSbody"/>
      </w:pPr>
      <w:r w:rsidRPr="0088429D">
        <w:t xml:space="preserve">Over a quarter of the withdrawn reports were due to exclusion after expert review. The expert reviewers excluded </w:t>
      </w:r>
      <w:r w:rsidR="00C24C20">
        <w:t>10</w:t>
      </w:r>
      <w:r w:rsidRPr="0088429D">
        <w:t xml:space="preserve"> events as the reported symptoms were more likely due to underlying disease processes than due to the transfusion. A further </w:t>
      </w:r>
      <w:r w:rsidR="002733F4">
        <w:t>three</w:t>
      </w:r>
      <w:r w:rsidR="002733F4" w:rsidRPr="0088429D">
        <w:t xml:space="preserve"> </w:t>
      </w:r>
      <w:r w:rsidRPr="0088429D">
        <w:t>were not assessable due to insufficient information and one event was not in scope.</w:t>
      </w:r>
    </w:p>
    <w:p w14:paraId="35C1AA23" w14:textId="47156A51" w:rsidR="0088429D" w:rsidRPr="0088429D" w:rsidRDefault="0088429D" w:rsidP="0088429D">
      <w:pPr>
        <w:pStyle w:val="DHHStablecaption"/>
        <w:rPr>
          <w:rFonts w:eastAsia="Times"/>
        </w:rPr>
      </w:pPr>
      <w:r w:rsidRPr="0088429D">
        <w:rPr>
          <w:rFonts w:eastAsia="Times"/>
        </w:rPr>
        <w:t xml:space="preserve">Table </w:t>
      </w:r>
      <w:r w:rsidR="00FB0A81">
        <w:rPr>
          <w:rFonts w:eastAsia="Times"/>
        </w:rPr>
        <w:t>4</w:t>
      </w:r>
      <w:r w:rsidRPr="0088429D">
        <w:rPr>
          <w:rFonts w:eastAsia="Times"/>
        </w:rPr>
        <w:t>: Reasons for withdrawal of notifications to STIR</w:t>
      </w:r>
    </w:p>
    <w:tbl>
      <w:tblPr>
        <w:tblStyle w:val="TableGrid"/>
        <w:tblW w:w="0" w:type="auto"/>
        <w:tblLook w:val="04A0" w:firstRow="1" w:lastRow="0" w:firstColumn="1" w:lastColumn="0" w:noHBand="0" w:noVBand="1"/>
      </w:tblPr>
      <w:tblGrid>
        <w:gridCol w:w="1288"/>
        <w:gridCol w:w="1357"/>
        <w:gridCol w:w="1357"/>
        <w:gridCol w:w="1522"/>
        <w:gridCol w:w="1217"/>
        <w:gridCol w:w="1358"/>
        <w:gridCol w:w="941"/>
      </w:tblGrid>
      <w:tr w:rsidR="0088429D" w:rsidRPr="0088429D" w14:paraId="7E171647" w14:textId="77777777" w:rsidTr="0088429D">
        <w:trPr>
          <w:tblHeader/>
        </w:trPr>
        <w:tc>
          <w:tcPr>
            <w:tcW w:w="1288" w:type="dxa"/>
          </w:tcPr>
          <w:p w14:paraId="61A8D096" w14:textId="77777777" w:rsidR="0088429D" w:rsidRPr="0088429D" w:rsidRDefault="0088429D" w:rsidP="0088429D">
            <w:pPr>
              <w:pStyle w:val="DHHSbody"/>
              <w:rPr>
                <w:b/>
              </w:rPr>
            </w:pPr>
            <w:r w:rsidRPr="0088429D">
              <w:rPr>
                <w:b/>
              </w:rPr>
              <w:t>Fiscal year</w:t>
            </w:r>
          </w:p>
        </w:tc>
        <w:tc>
          <w:tcPr>
            <w:tcW w:w="1357" w:type="dxa"/>
          </w:tcPr>
          <w:p w14:paraId="2456FC76" w14:textId="77777777" w:rsidR="0088429D" w:rsidRPr="0088429D" w:rsidRDefault="0088429D" w:rsidP="0088429D">
            <w:pPr>
              <w:pStyle w:val="DHHSbody"/>
              <w:rPr>
                <w:b/>
              </w:rPr>
            </w:pPr>
            <w:r w:rsidRPr="0088429D">
              <w:rPr>
                <w:b/>
              </w:rPr>
              <w:t>Duplicate</w:t>
            </w:r>
          </w:p>
        </w:tc>
        <w:tc>
          <w:tcPr>
            <w:tcW w:w="1357" w:type="dxa"/>
          </w:tcPr>
          <w:p w14:paraId="381FF8E9" w14:textId="77777777" w:rsidR="0088429D" w:rsidRPr="0088429D" w:rsidRDefault="0088429D" w:rsidP="0088429D">
            <w:pPr>
              <w:pStyle w:val="DHHSbody"/>
              <w:rPr>
                <w:b/>
              </w:rPr>
            </w:pPr>
            <w:r w:rsidRPr="0088429D">
              <w:rPr>
                <w:b/>
              </w:rPr>
              <w:t>Not in scope</w:t>
            </w:r>
          </w:p>
        </w:tc>
        <w:tc>
          <w:tcPr>
            <w:tcW w:w="1522" w:type="dxa"/>
          </w:tcPr>
          <w:p w14:paraId="3D9CC568" w14:textId="77777777" w:rsidR="0088429D" w:rsidRPr="0088429D" w:rsidRDefault="0088429D" w:rsidP="0088429D">
            <w:pPr>
              <w:pStyle w:val="DHHSbody"/>
              <w:rPr>
                <w:b/>
              </w:rPr>
            </w:pPr>
            <w:r w:rsidRPr="0088429D">
              <w:rPr>
                <w:b/>
              </w:rPr>
              <w:t>Deemed not transfusion related by health service</w:t>
            </w:r>
          </w:p>
        </w:tc>
        <w:tc>
          <w:tcPr>
            <w:tcW w:w="1193" w:type="dxa"/>
          </w:tcPr>
          <w:p w14:paraId="424DFA8D" w14:textId="77777777" w:rsidR="0088429D" w:rsidRPr="0088429D" w:rsidRDefault="0088429D" w:rsidP="0088429D">
            <w:pPr>
              <w:pStyle w:val="DHHSbody"/>
              <w:rPr>
                <w:b/>
              </w:rPr>
            </w:pPr>
            <w:r w:rsidRPr="0088429D">
              <w:rPr>
                <w:b/>
              </w:rPr>
              <w:t>Not completed</w:t>
            </w:r>
          </w:p>
        </w:tc>
        <w:tc>
          <w:tcPr>
            <w:tcW w:w="1358" w:type="dxa"/>
          </w:tcPr>
          <w:p w14:paraId="4491CFE9" w14:textId="77777777" w:rsidR="0088429D" w:rsidRPr="0088429D" w:rsidRDefault="0088429D" w:rsidP="0088429D">
            <w:pPr>
              <w:pStyle w:val="DHHSbody"/>
              <w:rPr>
                <w:b/>
              </w:rPr>
            </w:pPr>
            <w:r w:rsidRPr="0088429D">
              <w:rPr>
                <w:b/>
              </w:rPr>
              <w:t xml:space="preserve">Excluded after expert review </w:t>
            </w:r>
          </w:p>
        </w:tc>
        <w:tc>
          <w:tcPr>
            <w:tcW w:w="941" w:type="dxa"/>
          </w:tcPr>
          <w:p w14:paraId="28E1EB92" w14:textId="77777777" w:rsidR="0088429D" w:rsidRPr="0088429D" w:rsidRDefault="0088429D" w:rsidP="0088429D">
            <w:pPr>
              <w:pStyle w:val="DHHSbody"/>
              <w:rPr>
                <w:b/>
              </w:rPr>
            </w:pPr>
            <w:r w:rsidRPr="0088429D">
              <w:rPr>
                <w:b/>
              </w:rPr>
              <w:t>Total</w:t>
            </w:r>
          </w:p>
        </w:tc>
      </w:tr>
      <w:tr w:rsidR="0088429D" w:rsidRPr="0088429D" w14:paraId="5B5F4D17" w14:textId="77777777" w:rsidTr="0088429D">
        <w:tc>
          <w:tcPr>
            <w:tcW w:w="1288" w:type="dxa"/>
          </w:tcPr>
          <w:p w14:paraId="56BEA49E" w14:textId="77777777" w:rsidR="0088429D" w:rsidRPr="0088429D" w:rsidRDefault="0088429D" w:rsidP="0088429D">
            <w:pPr>
              <w:pStyle w:val="DHHSbody"/>
            </w:pPr>
            <w:r w:rsidRPr="0088429D">
              <w:t>2012–13</w:t>
            </w:r>
          </w:p>
        </w:tc>
        <w:tc>
          <w:tcPr>
            <w:tcW w:w="1357" w:type="dxa"/>
          </w:tcPr>
          <w:p w14:paraId="6ABE20EE" w14:textId="77777777" w:rsidR="0088429D" w:rsidRPr="0088429D" w:rsidRDefault="0088429D" w:rsidP="00F1796C">
            <w:pPr>
              <w:pStyle w:val="DHHSbody"/>
              <w:jc w:val="right"/>
            </w:pPr>
            <w:r w:rsidRPr="0088429D">
              <w:t>2</w:t>
            </w:r>
          </w:p>
        </w:tc>
        <w:tc>
          <w:tcPr>
            <w:tcW w:w="1357" w:type="dxa"/>
          </w:tcPr>
          <w:p w14:paraId="1B023B01" w14:textId="77777777" w:rsidR="0088429D" w:rsidRPr="0088429D" w:rsidRDefault="0088429D" w:rsidP="00F1796C">
            <w:pPr>
              <w:pStyle w:val="DHHSbody"/>
              <w:jc w:val="right"/>
            </w:pPr>
            <w:r w:rsidRPr="0088429D">
              <w:t>4</w:t>
            </w:r>
          </w:p>
        </w:tc>
        <w:tc>
          <w:tcPr>
            <w:tcW w:w="1522" w:type="dxa"/>
          </w:tcPr>
          <w:p w14:paraId="3F9E6876" w14:textId="77777777" w:rsidR="0088429D" w:rsidRPr="0088429D" w:rsidRDefault="0088429D" w:rsidP="00F1796C">
            <w:pPr>
              <w:pStyle w:val="DHHSbody"/>
              <w:jc w:val="right"/>
            </w:pPr>
            <w:r w:rsidRPr="0088429D">
              <w:t>-</w:t>
            </w:r>
          </w:p>
        </w:tc>
        <w:tc>
          <w:tcPr>
            <w:tcW w:w="1193" w:type="dxa"/>
          </w:tcPr>
          <w:p w14:paraId="3B1A3B34" w14:textId="77777777" w:rsidR="0088429D" w:rsidRPr="0088429D" w:rsidRDefault="0088429D" w:rsidP="00F1796C">
            <w:pPr>
              <w:pStyle w:val="DHHSbody"/>
              <w:jc w:val="right"/>
            </w:pPr>
            <w:r w:rsidRPr="0088429D">
              <w:t>4</w:t>
            </w:r>
          </w:p>
        </w:tc>
        <w:tc>
          <w:tcPr>
            <w:tcW w:w="1358" w:type="dxa"/>
          </w:tcPr>
          <w:p w14:paraId="785E068A" w14:textId="77777777" w:rsidR="0088429D" w:rsidRPr="0088429D" w:rsidRDefault="0088429D" w:rsidP="00F1796C">
            <w:pPr>
              <w:pStyle w:val="DHHSbody"/>
              <w:jc w:val="right"/>
            </w:pPr>
            <w:r w:rsidRPr="0088429D">
              <w:t>-</w:t>
            </w:r>
          </w:p>
        </w:tc>
        <w:tc>
          <w:tcPr>
            <w:tcW w:w="941" w:type="dxa"/>
          </w:tcPr>
          <w:p w14:paraId="4A2DD55E" w14:textId="77777777" w:rsidR="0088429D" w:rsidRPr="0088429D" w:rsidRDefault="0088429D" w:rsidP="00F1796C">
            <w:pPr>
              <w:pStyle w:val="DHHSbody"/>
              <w:jc w:val="right"/>
              <w:rPr>
                <w:b/>
              </w:rPr>
            </w:pPr>
            <w:r w:rsidRPr="0088429D">
              <w:rPr>
                <w:b/>
              </w:rPr>
              <w:t>10</w:t>
            </w:r>
          </w:p>
        </w:tc>
      </w:tr>
      <w:tr w:rsidR="0088429D" w:rsidRPr="0088429D" w14:paraId="71D480B2" w14:textId="77777777" w:rsidTr="0088429D">
        <w:tc>
          <w:tcPr>
            <w:tcW w:w="1288" w:type="dxa"/>
          </w:tcPr>
          <w:p w14:paraId="721D524E" w14:textId="77777777" w:rsidR="0088429D" w:rsidRPr="0088429D" w:rsidRDefault="0088429D" w:rsidP="0088429D">
            <w:pPr>
              <w:pStyle w:val="DHHSbody"/>
            </w:pPr>
            <w:r w:rsidRPr="0088429D">
              <w:t>2013–14</w:t>
            </w:r>
          </w:p>
        </w:tc>
        <w:tc>
          <w:tcPr>
            <w:tcW w:w="1357" w:type="dxa"/>
          </w:tcPr>
          <w:p w14:paraId="69EB6A34" w14:textId="77777777" w:rsidR="0088429D" w:rsidRPr="0088429D" w:rsidRDefault="0088429D" w:rsidP="00F1796C">
            <w:pPr>
              <w:pStyle w:val="DHHSbody"/>
              <w:jc w:val="right"/>
            </w:pPr>
            <w:r w:rsidRPr="0088429D">
              <w:t>1</w:t>
            </w:r>
          </w:p>
        </w:tc>
        <w:tc>
          <w:tcPr>
            <w:tcW w:w="1357" w:type="dxa"/>
          </w:tcPr>
          <w:p w14:paraId="07562E14" w14:textId="77777777" w:rsidR="0088429D" w:rsidRPr="0088429D" w:rsidRDefault="0088429D" w:rsidP="00F1796C">
            <w:pPr>
              <w:pStyle w:val="DHHSbody"/>
              <w:jc w:val="right"/>
            </w:pPr>
            <w:r w:rsidRPr="0088429D">
              <w:t>6</w:t>
            </w:r>
          </w:p>
        </w:tc>
        <w:tc>
          <w:tcPr>
            <w:tcW w:w="1522" w:type="dxa"/>
          </w:tcPr>
          <w:p w14:paraId="103258EF" w14:textId="77777777" w:rsidR="0088429D" w:rsidRPr="0088429D" w:rsidRDefault="0088429D" w:rsidP="00F1796C">
            <w:pPr>
              <w:pStyle w:val="DHHSbody"/>
              <w:jc w:val="right"/>
            </w:pPr>
            <w:r w:rsidRPr="0088429D">
              <w:t>4</w:t>
            </w:r>
          </w:p>
        </w:tc>
        <w:tc>
          <w:tcPr>
            <w:tcW w:w="1193" w:type="dxa"/>
          </w:tcPr>
          <w:p w14:paraId="768A8DFB" w14:textId="77777777" w:rsidR="0088429D" w:rsidRPr="0088429D" w:rsidRDefault="0088429D" w:rsidP="00F1796C">
            <w:pPr>
              <w:pStyle w:val="DHHSbody"/>
              <w:jc w:val="right"/>
            </w:pPr>
            <w:r w:rsidRPr="0088429D">
              <w:t>16</w:t>
            </w:r>
          </w:p>
        </w:tc>
        <w:tc>
          <w:tcPr>
            <w:tcW w:w="1358" w:type="dxa"/>
          </w:tcPr>
          <w:p w14:paraId="3C75C920" w14:textId="77777777" w:rsidR="0088429D" w:rsidRPr="0088429D" w:rsidRDefault="0088429D" w:rsidP="00F1796C">
            <w:pPr>
              <w:pStyle w:val="DHHSbody"/>
              <w:jc w:val="right"/>
            </w:pPr>
            <w:r w:rsidRPr="0088429D">
              <w:t>-</w:t>
            </w:r>
          </w:p>
        </w:tc>
        <w:tc>
          <w:tcPr>
            <w:tcW w:w="941" w:type="dxa"/>
          </w:tcPr>
          <w:p w14:paraId="0DB19CAE" w14:textId="77777777" w:rsidR="0088429D" w:rsidRPr="0088429D" w:rsidRDefault="0088429D" w:rsidP="00F1796C">
            <w:pPr>
              <w:pStyle w:val="DHHSbody"/>
              <w:jc w:val="right"/>
              <w:rPr>
                <w:b/>
              </w:rPr>
            </w:pPr>
            <w:r w:rsidRPr="0088429D">
              <w:rPr>
                <w:b/>
              </w:rPr>
              <w:t>27</w:t>
            </w:r>
          </w:p>
        </w:tc>
      </w:tr>
      <w:tr w:rsidR="0088429D" w:rsidRPr="0088429D" w14:paraId="10BA5C18" w14:textId="77777777" w:rsidTr="0088429D">
        <w:tc>
          <w:tcPr>
            <w:tcW w:w="1288" w:type="dxa"/>
          </w:tcPr>
          <w:p w14:paraId="005A236E" w14:textId="77777777" w:rsidR="0088429D" w:rsidRPr="0088429D" w:rsidRDefault="0088429D" w:rsidP="0088429D">
            <w:pPr>
              <w:pStyle w:val="DHHSbody"/>
            </w:pPr>
            <w:r w:rsidRPr="0088429D">
              <w:t>2014–15</w:t>
            </w:r>
          </w:p>
        </w:tc>
        <w:tc>
          <w:tcPr>
            <w:tcW w:w="1357" w:type="dxa"/>
          </w:tcPr>
          <w:p w14:paraId="1D0DE2B1" w14:textId="77777777" w:rsidR="0088429D" w:rsidRPr="0088429D" w:rsidRDefault="0088429D" w:rsidP="00F1796C">
            <w:pPr>
              <w:pStyle w:val="DHHSbody"/>
              <w:jc w:val="right"/>
            </w:pPr>
            <w:r w:rsidRPr="0088429D">
              <w:t>9</w:t>
            </w:r>
          </w:p>
        </w:tc>
        <w:tc>
          <w:tcPr>
            <w:tcW w:w="1357" w:type="dxa"/>
          </w:tcPr>
          <w:p w14:paraId="38BE6ED4" w14:textId="77777777" w:rsidR="0088429D" w:rsidRPr="0088429D" w:rsidRDefault="0088429D" w:rsidP="00F1796C">
            <w:pPr>
              <w:pStyle w:val="DHHSbody"/>
              <w:jc w:val="right"/>
            </w:pPr>
            <w:r w:rsidRPr="0088429D">
              <w:t>11</w:t>
            </w:r>
          </w:p>
        </w:tc>
        <w:tc>
          <w:tcPr>
            <w:tcW w:w="1522" w:type="dxa"/>
          </w:tcPr>
          <w:p w14:paraId="7CAE8AA9" w14:textId="77777777" w:rsidR="0088429D" w:rsidRPr="0088429D" w:rsidRDefault="0088429D" w:rsidP="00F1796C">
            <w:pPr>
              <w:pStyle w:val="DHHSbody"/>
              <w:jc w:val="right"/>
            </w:pPr>
            <w:r w:rsidRPr="0088429D">
              <w:t>6</w:t>
            </w:r>
          </w:p>
        </w:tc>
        <w:tc>
          <w:tcPr>
            <w:tcW w:w="1193" w:type="dxa"/>
          </w:tcPr>
          <w:p w14:paraId="4F0A78D1" w14:textId="77777777" w:rsidR="0088429D" w:rsidRPr="0088429D" w:rsidRDefault="0088429D" w:rsidP="00F1796C">
            <w:pPr>
              <w:pStyle w:val="DHHSbody"/>
              <w:jc w:val="right"/>
            </w:pPr>
            <w:r w:rsidRPr="0088429D">
              <w:t>8</w:t>
            </w:r>
          </w:p>
        </w:tc>
        <w:tc>
          <w:tcPr>
            <w:tcW w:w="1358" w:type="dxa"/>
          </w:tcPr>
          <w:p w14:paraId="5FC9DAD7" w14:textId="77777777" w:rsidR="0088429D" w:rsidRPr="0088429D" w:rsidRDefault="0088429D" w:rsidP="00F1796C">
            <w:pPr>
              <w:pStyle w:val="DHHSbody"/>
              <w:jc w:val="right"/>
            </w:pPr>
            <w:r w:rsidRPr="0088429D">
              <w:t>4</w:t>
            </w:r>
          </w:p>
        </w:tc>
        <w:tc>
          <w:tcPr>
            <w:tcW w:w="941" w:type="dxa"/>
          </w:tcPr>
          <w:p w14:paraId="5DDD600B" w14:textId="77777777" w:rsidR="0088429D" w:rsidRPr="0088429D" w:rsidRDefault="0088429D" w:rsidP="00F1796C">
            <w:pPr>
              <w:pStyle w:val="DHHSbody"/>
              <w:jc w:val="right"/>
              <w:rPr>
                <w:b/>
              </w:rPr>
            </w:pPr>
            <w:r w:rsidRPr="0088429D">
              <w:rPr>
                <w:b/>
              </w:rPr>
              <w:t>38</w:t>
            </w:r>
          </w:p>
        </w:tc>
      </w:tr>
      <w:tr w:rsidR="0088429D" w:rsidRPr="0088429D" w14:paraId="2D5EB81F" w14:textId="77777777" w:rsidTr="0088429D">
        <w:tc>
          <w:tcPr>
            <w:tcW w:w="1288" w:type="dxa"/>
          </w:tcPr>
          <w:p w14:paraId="586BACE1" w14:textId="77777777" w:rsidR="0088429D" w:rsidRPr="0088429D" w:rsidRDefault="0088429D" w:rsidP="0088429D">
            <w:pPr>
              <w:pStyle w:val="DHHSbody"/>
            </w:pPr>
            <w:r w:rsidRPr="0088429D">
              <w:t>2015–16</w:t>
            </w:r>
          </w:p>
        </w:tc>
        <w:tc>
          <w:tcPr>
            <w:tcW w:w="1357" w:type="dxa"/>
          </w:tcPr>
          <w:p w14:paraId="35D41B5D" w14:textId="77777777" w:rsidR="0088429D" w:rsidRPr="0088429D" w:rsidRDefault="0088429D" w:rsidP="00F1796C">
            <w:pPr>
              <w:pStyle w:val="DHHSbody"/>
              <w:jc w:val="right"/>
            </w:pPr>
            <w:r w:rsidRPr="0088429D">
              <w:t>6</w:t>
            </w:r>
          </w:p>
        </w:tc>
        <w:tc>
          <w:tcPr>
            <w:tcW w:w="1357" w:type="dxa"/>
          </w:tcPr>
          <w:p w14:paraId="252AA0A5" w14:textId="77777777" w:rsidR="0088429D" w:rsidRPr="0088429D" w:rsidRDefault="0088429D" w:rsidP="00F1796C">
            <w:pPr>
              <w:pStyle w:val="DHHSbody"/>
              <w:jc w:val="right"/>
            </w:pPr>
            <w:r w:rsidRPr="0088429D">
              <w:t>11</w:t>
            </w:r>
          </w:p>
        </w:tc>
        <w:tc>
          <w:tcPr>
            <w:tcW w:w="1522" w:type="dxa"/>
          </w:tcPr>
          <w:p w14:paraId="6F6195F5" w14:textId="77777777" w:rsidR="0088429D" w:rsidRPr="0088429D" w:rsidRDefault="0088429D" w:rsidP="00F1796C">
            <w:pPr>
              <w:pStyle w:val="DHHSbody"/>
              <w:jc w:val="right"/>
            </w:pPr>
            <w:r w:rsidRPr="0088429D">
              <w:t>5</w:t>
            </w:r>
          </w:p>
        </w:tc>
        <w:tc>
          <w:tcPr>
            <w:tcW w:w="1193" w:type="dxa"/>
          </w:tcPr>
          <w:p w14:paraId="0DC2C4CE" w14:textId="77777777" w:rsidR="0088429D" w:rsidRPr="0088429D" w:rsidRDefault="0088429D" w:rsidP="00F1796C">
            <w:pPr>
              <w:pStyle w:val="DHHSbody"/>
              <w:jc w:val="right"/>
            </w:pPr>
            <w:r w:rsidRPr="0088429D">
              <w:t>5</w:t>
            </w:r>
          </w:p>
        </w:tc>
        <w:tc>
          <w:tcPr>
            <w:tcW w:w="1358" w:type="dxa"/>
          </w:tcPr>
          <w:p w14:paraId="0404BC6D" w14:textId="77777777" w:rsidR="0088429D" w:rsidRPr="0088429D" w:rsidRDefault="0088429D" w:rsidP="00F1796C">
            <w:pPr>
              <w:pStyle w:val="DHHSbody"/>
              <w:jc w:val="right"/>
            </w:pPr>
            <w:r w:rsidRPr="0088429D">
              <w:t>4</w:t>
            </w:r>
          </w:p>
        </w:tc>
        <w:tc>
          <w:tcPr>
            <w:tcW w:w="941" w:type="dxa"/>
          </w:tcPr>
          <w:p w14:paraId="44BD4DCE" w14:textId="77777777" w:rsidR="0088429D" w:rsidRPr="0088429D" w:rsidRDefault="0088429D" w:rsidP="00F1796C">
            <w:pPr>
              <w:pStyle w:val="DHHSbody"/>
              <w:jc w:val="right"/>
              <w:rPr>
                <w:b/>
              </w:rPr>
            </w:pPr>
            <w:r w:rsidRPr="0088429D">
              <w:rPr>
                <w:b/>
              </w:rPr>
              <w:t>31</w:t>
            </w:r>
          </w:p>
        </w:tc>
      </w:tr>
      <w:tr w:rsidR="0088429D" w:rsidRPr="0088429D" w14:paraId="43DF8CB6" w14:textId="77777777" w:rsidTr="0088429D">
        <w:tc>
          <w:tcPr>
            <w:tcW w:w="1288" w:type="dxa"/>
          </w:tcPr>
          <w:p w14:paraId="25CA4066" w14:textId="77777777" w:rsidR="0088429D" w:rsidRPr="0088429D" w:rsidRDefault="0088429D" w:rsidP="0088429D">
            <w:pPr>
              <w:pStyle w:val="DHHSbody"/>
            </w:pPr>
            <w:r w:rsidRPr="0088429D">
              <w:t>2016–17</w:t>
            </w:r>
          </w:p>
        </w:tc>
        <w:tc>
          <w:tcPr>
            <w:tcW w:w="1357" w:type="dxa"/>
          </w:tcPr>
          <w:p w14:paraId="5B15594D" w14:textId="77777777" w:rsidR="0088429D" w:rsidRPr="0088429D" w:rsidRDefault="0088429D" w:rsidP="00F1796C">
            <w:pPr>
              <w:pStyle w:val="DHHSbody"/>
              <w:jc w:val="right"/>
            </w:pPr>
            <w:r w:rsidRPr="0088429D">
              <w:t>5</w:t>
            </w:r>
          </w:p>
        </w:tc>
        <w:tc>
          <w:tcPr>
            <w:tcW w:w="1357" w:type="dxa"/>
          </w:tcPr>
          <w:p w14:paraId="5D0FCD6A" w14:textId="77777777" w:rsidR="0088429D" w:rsidRPr="0088429D" w:rsidRDefault="0088429D" w:rsidP="00F1796C">
            <w:pPr>
              <w:pStyle w:val="DHHSbody"/>
              <w:jc w:val="right"/>
            </w:pPr>
            <w:r w:rsidRPr="0088429D">
              <w:t>4</w:t>
            </w:r>
          </w:p>
        </w:tc>
        <w:tc>
          <w:tcPr>
            <w:tcW w:w="1522" w:type="dxa"/>
          </w:tcPr>
          <w:p w14:paraId="424851AB" w14:textId="77777777" w:rsidR="0088429D" w:rsidRPr="0088429D" w:rsidRDefault="0088429D" w:rsidP="00F1796C">
            <w:pPr>
              <w:pStyle w:val="DHHSbody"/>
              <w:jc w:val="right"/>
            </w:pPr>
            <w:r w:rsidRPr="0088429D">
              <w:t>2</w:t>
            </w:r>
          </w:p>
        </w:tc>
        <w:tc>
          <w:tcPr>
            <w:tcW w:w="1193" w:type="dxa"/>
          </w:tcPr>
          <w:p w14:paraId="6B71F81E" w14:textId="77777777" w:rsidR="0088429D" w:rsidRPr="0088429D" w:rsidRDefault="0088429D" w:rsidP="00F1796C">
            <w:pPr>
              <w:pStyle w:val="DHHSbody"/>
              <w:jc w:val="right"/>
            </w:pPr>
            <w:r w:rsidRPr="0088429D">
              <w:t>1</w:t>
            </w:r>
          </w:p>
        </w:tc>
        <w:tc>
          <w:tcPr>
            <w:tcW w:w="1358" w:type="dxa"/>
          </w:tcPr>
          <w:p w14:paraId="0E487F6D" w14:textId="77777777" w:rsidR="0088429D" w:rsidRPr="0088429D" w:rsidRDefault="0088429D" w:rsidP="00F1796C">
            <w:pPr>
              <w:pStyle w:val="DHHSbody"/>
              <w:jc w:val="right"/>
            </w:pPr>
            <w:r w:rsidRPr="0088429D">
              <w:t>5</w:t>
            </w:r>
          </w:p>
        </w:tc>
        <w:tc>
          <w:tcPr>
            <w:tcW w:w="941" w:type="dxa"/>
          </w:tcPr>
          <w:p w14:paraId="0E4D3B10" w14:textId="77777777" w:rsidR="0088429D" w:rsidRPr="0088429D" w:rsidRDefault="0088429D" w:rsidP="00F1796C">
            <w:pPr>
              <w:pStyle w:val="DHHSbody"/>
              <w:jc w:val="right"/>
              <w:rPr>
                <w:b/>
              </w:rPr>
            </w:pPr>
            <w:r w:rsidRPr="0088429D">
              <w:rPr>
                <w:b/>
              </w:rPr>
              <w:t>17</w:t>
            </w:r>
          </w:p>
        </w:tc>
      </w:tr>
      <w:tr w:rsidR="0088429D" w:rsidRPr="0088429D" w14:paraId="2DC0E109" w14:textId="77777777" w:rsidTr="0088429D">
        <w:tc>
          <w:tcPr>
            <w:tcW w:w="1288" w:type="dxa"/>
          </w:tcPr>
          <w:p w14:paraId="7225E8EC" w14:textId="77777777" w:rsidR="0088429D" w:rsidRPr="0088429D" w:rsidRDefault="0088429D" w:rsidP="0088429D">
            <w:pPr>
              <w:pStyle w:val="DHHSbody"/>
            </w:pPr>
            <w:r w:rsidRPr="0088429D">
              <w:t>2017–18</w:t>
            </w:r>
          </w:p>
        </w:tc>
        <w:tc>
          <w:tcPr>
            <w:tcW w:w="1357" w:type="dxa"/>
          </w:tcPr>
          <w:p w14:paraId="33659887" w14:textId="77777777" w:rsidR="0088429D" w:rsidRPr="0088429D" w:rsidRDefault="0088429D" w:rsidP="00F1796C">
            <w:pPr>
              <w:pStyle w:val="DHHSbody"/>
              <w:jc w:val="right"/>
            </w:pPr>
            <w:r w:rsidRPr="0088429D">
              <w:t>3</w:t>
            </w:r>
          </w:p>
        </w:tc>
        <w:tc>
          <w:tcPr>
            <w:tcW w:w="1357" w:type="dxa"/>
          </w:tcPr>
          <w:p w14:paraId="5B993102" w14:textId="77777777" w:rsidR="0088429D" w:rsidRPr="0088429D" w:rsidRDefault="0088429D" w:rsidP="00F1796C">
            <w:pPr>
              <w:pStyle w:val="DHHSbody"/>
              <w:jc w:val="right"/>
            </w:pPr>
            <w:r w:rsidRPr="0088429D">
              <w:t>5</w:t>
            </w:r>
          </w:p>
        </w:tc>
        <w:tc>
          <w:tcPr>
            <w:tcW w:w="1522" w:type="dxa"/>
          </w:tcPr>
          <w:p w14:paraId="1EF9FBE3" w14:textId="77777777" w:rsidR="0088429D" w:rsidRPr="0088429D" w:rsidRDefault="0088429D" w:rsidP="00F1796C">
            <w:pPr>
              <w:pStyle w:val="DHHSbody"/>
              <w:jc w:val="right"/>
            </w:pPr>
            <w:r w:rsidRPr="0088429D">
              <w:t>-</w:t>
            </w:r>
          </w:p>
        </w:tc>
        <w:tc>
          <w:tcPr>
            <w:tcW w:w="1193" w:type="dxa"/>
          </w:tcPr>
          <w:p w14:paraId="7740E4FD" w14:textId="77777777" w:rsidR="0088429D" w:rsidRPr="0088429D" w:rsidRDefault="0088429D" w:rsidP="00F1796C">
            <w:pPr>
              <w:pStyle w:val="DHHSbody"/>
              <w:jc w:val="right"/>
            </w:pPr>
            <w:r w:rsidRPr="0088429D">
              <w:t>2</w:t>
            </w:r>
          </w:p>
        </w:tc>
        <w:tc>
          <w:tcPr>
            <w:tcW w:w="1358" w:type="dxa"/>
          </w:tcPr>
          <w:p w14:paraId="0F9DC097" w14:textId="77777777" w:rsidR="0088429D" w:rsidRPr="0088429D" w:rsidRDefault="0088429D" w:rsidP="00F1796C">
            <w:pPr>
              <w:pStyle w:val="DHHSbody"/>
              <w:jc w:val="right"/>
            </w:pPr>
            <w:r w:rsidRPr="0088429D">
              <w:t>15</w:t>
            </w:r>
          </w:p>
        </w:tc>
        <w:tc>
          <w:tcPr>
            <w:tcW w:w="941" w:type="dxa"/>
          </w:tcPr>
          <w:p w14:paraId="31F20BF1" w14:textId="77777777" w:rsidR="0088429D" w:rsidRPr="0088429D" w:rsidRDefault="0088429D" w:rsidP="00F1796C">
            <w:pPr>
              <w:pStyle w:val="DHHSbody"/>
              <w:jc w:val="right"/>
              <w:rPr>
                <w:b/>
              </w:rPr>
            </w:pPr>
            <w:r w:rsidRPr="0088429D">
              <w:rPr>
                <w:b/>
              </w:rPr>
              <w:t>25</w:t>
            </w:r>
          </w:p>
        </w:tc>
      </w:tr>
      <w:tr w:rsidR="0088429D" w:rsidRPr="0088429D" w14:paraId="29A244EF" w14:textId="77777777" w:rsidTr="0088429D">
        <w:tc>
          <w:tcPr>
            <w:tcW w:w="1288" w:type="dxa"/>
          </w:tcPr>
          <w:p w14:paraId="5B85F0DB" w14:textId="77777777" w:rsidR="0088429D" w:rsidRPr="0088429D" w:rsidRDefault="0088429D" w:rsidP="0088429D">
            <w:pPr>
              <w:pStyle w:val="DHHSbody"/>
            </w:pPr>
            <w:r w:rsidRPr="0088429D">
              <w:t>2018–19</w:t>
            </w:r>
          </w:p>
        </w:tc>
        <w:tc>
          <w:tcPr>
            <w:tcW w:w="1357" w:type="dxa"/>
          </w:tcPr>
          <w:p w14:paraId="3C75F28D" w14:textId="77777777" w:rsidR="0088429D" w:rsidRPr="0088429D" w:rsidRDefault="0088429D" w:rsidP="00F1796C">
            <w:pPr>
              <w:pStyle w:val="DHHSbody"/>
              <w:jc w:val="right"/>
            </w:pPr>
            <w:r w:rsidRPr="0088429D">
              <w:t>5</w:t>
            </w:r>
          </w:p>
        </w:tc>
        <w:tc>
          <w:tcPr>
            <w:tcW w:w="1357" w:type="dxa"/>
          </w:tcPr>
          <w:p w14:paraId="13E6E1C5" w14:textId="77777777" w:rsidR="0088429D" w:rsidRPr="0088429D" w:rsidRDefault="0088429D" w:rsidP="00F1796C">
            <w:pPr>
              <w:pStyle w:val="DHHSbody"/>
              <w:jc w:val="right"/>
            </w:pPr>
            <w:r w:rsidRPr="0088429D">
              <w:t>16</w:t>
            </w:r>
          </w:p>
        </w:tc>
        <w:tc>
          <w:tcPr>
            <w:tcW w:w="1522" w:type="dxa"/>
          </w:tcPr>
          <w:p w14:paraId="1B6FEE2D" w14:textId="77777777" w:rsidR="0088429D" w:rsidRPr="0088429D" w:rsidRDefault="0088429D" w:rsidP="00F1796C">
            <w:pPr>
              <w:pStyle w:val="DHHSbody"/>
              <w:jc w:val="right"/>
            </w:pPr>
            <w:r w:rsidRPr="0088429D">
              <w:t>3</w:t>
            </w:r>
          </w:p>
        </w:tc>
        <w:tc>
          <w:tcPr>
            <w:tcW w:w="1193" w:type="dxa"/>
          </w:tcPr>
          <w:p w14:paraId="30110340" w14:textId="77777777" w:rsidR="0088429D" w:rsidRPr="0088429D" w:rsidRDefault="0088429D" w:rsidP="00F1796C">
            <w:pPr>
              <w:pStyle w:val="DHHSbody"/>
              <w:jc w:val="right"/>
            </w:pPr>
            <w:r w:rsidRPr="0088429D">
              <w:t>1</w:t>
            </w:r>
          </w:p>
        </w:tc>
        <w:tc>
          <w:tcPr>
            <w:tcW w:w="1358" w:type="dxa"/>
          </w:tcPr>
          <w:p w14:paraId="17B66BFE" w14:textId="7A98C940" w:rsidR="0088429D" w:rsidRPr="0088429D" w:rsidRDefault="0088429D" w:rsidP="00F1796C">
            <w:pPr>
              <w:pStyle w:val="DHHSbody"/>
              <w:jc w:val="right"/>
            </w:pPr>
            <w:r w:rsidRPr="0088429D">
              <w:t>1</w:t>
            </w:r>
            <w:r w:rsidR="002733F4">
              <w:t>4</w:t>
            </w:r>
          </w:p>
        </w:tc>
        <w:tc>
          <w:tcPr>
            <w:tcW w:w="941" w:type="dxa"/>
          </w:tcPr>
          <w:p w14:paraId="4C59BC86" w14:textId="526D873F" w:rsidR="0088429D" w:rsidRPr="0088429D" w:rsidRDefault="0088429D" w:rsidP="00F1796C">
            <w:pPr>
              <w:pStyle w:val="DHHSbody"/>
              <w:jc w:val="right"/>
              <w:rPr>
                <w:b/>
              </w:rPr>
            </w:pPr>
            <w:r w:rsidRPr="0088429D">
              <w:rPr>
                <w:b/>
              </w:rPr>
              <w:t>3</w:t>
            </w:r>
            <w:r w:rsidR="002733F4">
              <w:rPr>
                <w:b/>
              </w:rPr>
              <w:t>9</w:t>
            </w:r>
          </w:p>
        </w:tc>
      </w:tr>
    </w:tbl>
    <w:p w14:paraId="6DDF2F19" w14:textId="1B9C8E2E" w:rsidR="0088429D" w:rsidRPr="0088429D" w:rsidRDefault="0088429D" w:rsidP="0088429D">
      <w:pPr>
        <w:pStyle w:val="Heading2"/>
        <w:rPr>
          <w:rFonts w:eastAsia="Times"/>
        </w:rPr>
      </w:pPr>
      <w:bookmarkStart w:id="8" w:name="_Toc46304639"/>
      <w:r w:rsidRPr="0088429D">
        <w:rPr>
          <w:rFonts w:eastAsia="Times"/>
        </w:rPr>
        <w:t xml:space="preserve">Validation and </w:t>
      </w:r>
      <w:bookmarkEnd w:id="8"/>
      <w:r w:rsidR="00B6395F">
        <w:rPr>
          <w:rFonts w:eastAsia="Times"/>
        </w:rPr>
        <w:t>r</w:t>
      </w:r>
      <w:r w:rsidR="00B6395F" w:rsidRPr="0088429D">
        <w:rPr>
          <w:rFonts w:eastAsia="Times"/>
        </w:rPr>
        <w:t>econciliation</w:t>
      </w:r>
    </w:p>
    <w:p w14:paraId="261ED462" w14:textId="3E9AB670" w:rsidR="0088429D" w:rsidRPr="0088429D" w:rsidRDefault="0088429D" w:rsidP="0088429D">
      <w:pPr>
        <w:pStyle w:val="DHHSbody"/>
      </w:pPr>
      <w:r w:rsidRPr="0088429D">
        <w:t xml:space="preserve">Validation steps are undertaken by the STIR Expert Group, </w:t>
      </w:r>
      <w:r w:rsidR="00B6395F">
        <w:t>which</w:t>
      </w:r>
      <w:r w:rsidR="00B6395F" w:rsidRPr="0088429D">
        <w:t xml:space="preserve"> </w:t>
      </w:r>
      <w:r w:rsidRPr="0088429D">
        <w:t>review</w:t>
      </w:r>
      <w:r w:rsidR="00B6395F">
        <w:t>s</w:t>
      </w:r>
      <w:r w:rsidRPr="0088429D">
        <w:t xml:space="preserve"> all investigation forms sent from health services. This may be a single review, or the reviewer may ask for a second review. For all incidents that are reported or validated as SR 1 or 2, the group together reviews these to ensure consistency. In this reporting period there were 28 SR 1 or 2 events reviewed by the group.</w:t>
      </w:r>
    </w:p>
    <w:p w14:paraId="07C688A6" w14:textId="66945046" w:rsidR="0088429D" w:rsidRPr="0088429D" w:rsidRDefault="0088429D" w:rsidP="0088429D">
      <w:pPr>
        <w:pStyle w:val="DHHSbody"/>
      </w:pPr>
      <w:r w:rsidRPr="0088429D">
        <w:t xml:space="preserve">The review process assesses the information to ensure it supports the diagnosis, </w:t>
      </w:r>
      <w:proofErr w:type="spellStart"/>
      <w:r w:rsidRPr="0088429D">
        <w:t>imputability</w:t>
      </w:r>
      <w:proofErr w:type="spellEnd"/>
      <w:r w:rsidRPr="0088429D">
        <w:t xml:space="preserve"> and severity ascribed by the reporting health service. A number of reports have the diagnosis (Table </w:t>
      </w:r>
      <w:r w:rsidR="00472051">
        <w:t>5</w:t>
      </w:r>
      <w:r w:rsidRPr="0088429D">
        <w:t>), or severity rating changed (Table</w:t>
      </w:r>
      <w:r w:rsidR="00472051">
        <w:t>6</w:t>
      </w:r>
      <w:r w:rsidRPr="0088429D">
        <w:t>) after expert review.</w:t>
      </w:r>
    </w:p>
    <w:p w14:paraId="667501FF" w14:textId="62D88D08" w:rsidR="0088429D" w:rsidRPr="0088429D" w:rsidRDefault="0088429D" w:rsidP="00F1796C">
      <w:pPr>
        <w:pStyle w:val="DHHStablecaption"/>
        <w:spacing w:line="240" w:lineRule="auto"/>
        <w:rPr>
          <w:rFonts w:eastAsia="Times"/>
        </w:rPr>
      </w:pPr>
      <w:r w:rsidRPr="0088429D">
        <w:rPr>
          <w:rFonts w:eastAsia="Times"/>
        </w:rPr>
        <w:lastRenderedPageBreak/>
        <w:t xml:space="preserve">Table </w:t>
      </w:r>
      <w:r w:rsidR="00FB0A81">
        <w:rPr>
          <w:rFonts w:eastAsia="Times"/>
        </w:rPr>
        <w:t>5</w:t>
      </w:r>
      <w:r w:rsidRPr="0088429D">
        <w:rPr>
          <w:rFonts w:eastAsia="Times"/>
        </w:rPr>
        <w:t>: Changes to incident type following STIR Expert Group review</w:t>
      </w:r>
    </w:p>
    <w:tbl>
      <w:tblPr>
        <w:tblStyle w:val="TableGrid1"/>
        <w:tblW w:w="9209" w:type="dxa"/>
        <w:tblLayout w:type="fixed"/>
        <w:tblLook w:val="04A0" w:firstRow="1" w:lastRow="0" w:firstColumn="1" w:lastColumn="0" w:noHBand="0" w:noVBand="1"/>
      </w:tblPr>
      <w:tblGrid>
        <w:gridCol w:w="1693"/>
        <w:gridCol w:w="1220"/>
        <w:gridCol w:w="1221"/>
        <w:gridCol w:w="1220"/>
        <w:gridCol w:w="1445"/>
        <w:gridCol w:w="1134"/>
        <w:gridCol w:w="1276"/>
      </w:tblGrid>
      <w:tr w:rsidR="0088429D" w:rsidRPr="0088429D" w14:paraId="38B45E6D" w14:textId="77777777" w:rsidTr="0088429D">
        <w:trPr>
          <w:tblHeader/>
        </w:trPr>
        <w:tc>
          <w:tcPr>
            <w:tcW w:w="1693" w:type="dxa"/>
          </w:tcPr>
          <w:p w14:paraId="31DA8E98" w14:textId="77777777" w:rsidR="0088429D" w:rsidRPr="0088429D" w:rsidRDefault="0088429D" w:rsidP="00F1796C">
            <w:pPr>
              <w:pStyle w:val="DHHSbody"/>
              <w:keepNext/>
              <w:keepLines/>
              <w:spacing w:line="240" w:lineRule="auto"/>
              <w:rPr>
                <w:b/>
              </w:rPr>
            </w:pPr>
            <w:r w:rsidRPr="0088429D">
              <w:rPr>
                <w:b/>
              </w:rPr>
              <w:t>Original incident type submitted</w:t>
            </w:r>
          </w:p>
        </w:tc>
        <w:tc>
          <w:tcPr>
            <w:tcW w:w="1220" w:type="dxa"/>
          </w:tcPr>
          <w:p w14:paraId="289D39D5" w14:textId="77777777" w:rsidR="0088429D" w:rsidRPr="0088429D" w:rsidRDefault="0088429D" w:rsidP="00F1796C">
            <w:pPr>
              <w:pStyle w:val="DHHSbody"/>
              <w:keepNext/>
              <w:keepLines/>
              <w:spacing w:line="240" w:lineRule="auto"/>
              <w:rPr>
                <w:b/>
              </w:rPr>
            </w:pPr>
            <w:r w:rsidRPr="0088429D">
              <w:rPr>
                <w:b/>
              </w:rPr>
              <w:t>Validated incident type: FNHTR</w:t>
            </w:r>
          </w:p>
        </w:tc>
        <w:tc>
          <w:tcPr>
            <w:tcW w:w="1221" w:type="dxa"/>
          </w:tcPr>
          <w:p w14:paraId="32C06756" w14:textId="77777777" w:rsidR="0088429D" w:rsidRPr="0088429D" w:rsidRDefault="0088429D" w:rsidP="00F1796C">
            <w:pPr>
              <w:pStyle w:val="DHHSbody"/>
              <w:keepNext/>
              <w:keepLines/>
              <w:spacing w:line="240" w:lineRule="auto"/>
              <w:rPr>
                <w:b/>
              </w:rPr>
            </w:pPr>
            <w:r w:rsidRPr="0088429D">
              <w:rPr>
                <w:b/>
              </w:rPr>
              <w:t>Validated incident type: AHTR</w:t>
            </w:r>
          </w:p>
        </w:tc>
        <w:tc>
          <w:tcPr>
            <w:tcW w:w="1220" w:type="dxa"/>
          </w:tcPr>
          <w:p w14:paraId="1A49289C" w14:textId="77777777" w:rsidR="0088429D" w:rsidRPr="0088429D" w:rsidRDefault="0088429D" w:rsidP="00F1796C">
            <w:pPr>
              <w:pStyle w:val="DHHSbody"/>
              <w:keepNext/>
              <w:keepLines/>
              <w:spacing w:line="240" w:lineRule="auto"/>
              <w:rPr>
                <w:b/>
              </w:rPr>
            </w:pPr>
            <w:r w:rsidRPr="0088429D">
              <w:rPr>
                <w:b/>
              </w:rPr>
              <w:t>Validated incident type: Allergic/ anaphylactic reaction</w:t>
            </w:r>
          </w:p>
        </w:tc>
        <w:tc>
          <w:tcPr>
            <w:tcW w:w="1445" w:type="dxa"/>
          </w:tcPr>
          <w:p w14:paraId="03A79E66" w14:textId="77777777" w:rsidR="0088429D" w:rsidRPr="0088429D" w:rsidRDefault="0088429D" w:rsidP="00F1796C">
            <w:pPr>
              <w:pStyle w:val="DHHSbody"/>
              <w:keepNext/>
              <w:keepLines/>
              <w:spacing w:line="240" w:lineRule="auto"/>
              <w:rPr>
                <w:b/>
              </w:rPr>
            </w:pPr>
            <w:r w:rsidRPr="0088429D">
              <w:rPr>
                <w:b/>
              </w:rPr>
              <w:t>Validated incident type: other acute transfusion reaction type</w:t>
            </w:r>
          </w:p>
        </w:tc>
        <w:tc>
          <w:tcPr>
            <w:tcW w:w="1134" w:type="dxa"/>
          </w:tcPr>
          <w:p w14:paraId="50746B99" w14:textId="77777777" w:rsidR="0088429D" w:rsidRPr="0088429D" w:rsidRDefault="0088429D" w:rsidP="00F1796C">
            <w:pPr>
              <w:pStyle w:val="DHHSbody"/>
              <w:keepNext/>
              <w:keepLines/>
              <w:spacing w:line="240" w:lineRule="auto"/>
              <w:rPr>
                <w:b/>
              </w:rPr>
            </w:pPr>
            <w:r w:rsidRPr="0088429D">
              <w:rPr>
                <w:b/>
              </w:rPr>
              <w:t xml:space="preserve">Validated incident type: TACO only </w:t>
            </w:r>
          </w:p>
        </w:tc>
        <w:tc>
          <w:tcPr>
            <w:tcW w:w="1276" w:type="dxa"/>
          </w:tcPr>
          <w:p w14:paraId="1D509D6F" w14:textId="77777777" w:rsidR="0088429D" w:rsidRPr="0088429D" w:rsidRDefault="0088429D" w:rsidP="00F1796C">
            <w:pPr>
              <w:pStyle w:val="DHHSbody"/>
              <w:keepNext/>
              <w:keepLines/>
              <w:spacing w:line="240" w:lineRule="auto"/>
              <w:rPr>
                <w:b/>
              </w:rPr>
            </w:pPr>
            <w:r w:rsidRPr="0088429D">
              <w:rPr>
                <w:b/>
              </w:rPr>
              <w:t>Validated incident type: IBCT / other procedural</w:t>
            </w:r>
          </w:p>
        </w:tc>
      </w:tr>
      <w:tr w:rsidR="0088429D" w:rsidRPr="0088429D" w14:paraId="15EBDE70" w14:textId="77777777" w:rsidTr="0088429D">
        <w:tc>
          <w:tcPr>
            <w:tcW w:w="1693" w:type="dxa"/>
          </w:tcPr>
          <w:p w14:paraId="7A9750CA" w14:textId="5FB349A7" w:rsidR="0088429D" w:rsidRPr="0088429D" w:rsidRDefault="0088429D" w:rsidP="00F1796C">
            <w:pPr>
              <w:pStyle w:val="DHHSbody"/>
              <w:keepNext/>
              <w:keepLines/>
              <w:spacing w:line="240" w:lineRule="auto"/>
            </w:pPr>
            <w:r w:rsidRPr="0088429D">
              <w:t>Allergic/</w:t>
            </w:r>
            <w:proofErr w:type="spellStart"/>
            <w:r w:rsidRPr="0088429D">
              <w:t>anaphyl</w:t>
            </w:r>
            <w:r w:rsidR="00B6395F">
              <w:t>-</w:t>
            </w:r>
            <w:r w:rsidRPr="0088429D">
              <w:t>actic</w:t>
            </w:r>
            <w:proofErr w:type="spellEnd"/>
            <w:r w:rsidRPr="0088429D">
              <w:t xml:space="preserve"> reaction</w:t>
            </w:r>
          </w:p>
        </w:tc>
        <w:tc>
          <w:tcPr>
            <w:tcW w:w="1220" w:type="dxa"/>
          </w:tcPr>
          <w:p w14:paraId="1A034361" w14:textId="4EEA6469" w:rsidR="0088429D" w:rsidRPr="0088429D" w:rsidRDefault="002733F4" w:rsidP="00F1796C">
            <w:pPr>
              <w:pStyle w:val="DHHSbody"/>
              <w:keepNext/>
              <w:keepLines/>
              <w:spacing w:line="240" w:lineRule="auto"/>
              <w:jc w:val="right"/>
            </w:pPr>
            <w:r>
              <w:t>-</w:t>
            </w:r>
          </w:p>
        </w:tc>
        <w:tc>
          <w:tcPr>
            <w:tcW w:w="1221" w:type="dxa"/>
          </w:tcPr>
          <w:p w14:paraId="0A3CAC98" w14:textId="77777777" w:rsidR="0088429D" w:rsidRPr="0088429D" w:rsidRDefault="0088429D" w:rsidP="00F1796C">
            <w:pPr>
              <w:pStyle w:val="DHHSbody"/>
              <w:keepNext/>
              <w:keepLines/>
              <w:spacing w:line="240" w:lineRule="auto"/>
              <w:jc w:val="right"/>
            </w:pPr>
            <w:r w:rsidRPr="0088429D">
              <w:t>-</w:t>
            </w:r>
          </w:p>
        </w:tc>
        <w:tc>
          <w:tcPr>
            <w:tcW w:w="1220" w:type="dxa"/>
          </w:tcPr>
          <w:p w14:paraId="54B5FA37" w14:textId="77777777" w:rsidR="0088429D" w:rsidRPr="0088429D" w:rsidRDefault="0088429D" w:rsidP="00F1796C">
            <w:pPr>
              <w:pStyle w:val="DHHSbody"/>
              <w:keepNext/>
              <w:keepLines/>
              <w:spacing w:line="240" w:lineRule="auto"/>
              <w:jc w:val="right"/>
            </w:pPr>
            <w:r w:rsidRPr="0088429D">
              <w:t>-</w:t>
            </w:r>
          </w:p>
        </w:tc>
        <w:tc>
          <w:tcPr>
            <w:tcW w:w="1445" w:type="dxa"/>
          </w:tcPr>
          <w:p w14:paraId="644CF641" w14:textId="77777777" w:rsidR="0088429D" w:rsidRPr="0088429D" w:rsidRDefault="0088429D" w:rsidP="00F1796C">
            <w:pPr>
              <w:pStyle w:val="DHHSbody"/>
              <w:keepNext/>
              <w:keepLines/>
              <w:spacing w:line="240" w:lineRule="auto"/>
              <w:jc w:val="right"/>
            </w:pPr>
            <w:r w:rsidRPr="0088429D">
              <w:t>1</w:t>
            </w:r>
          </w:p>
        </w:tc>
        <w:tc>
          <w:tcPr>
            <w:tcW w:w="1134" w:type="dxa"/>
          </w:tcPr>
          <w:p w14:paraId="7790197D" w14:textId="77777777" w:rsidR="0088429D" w:rsidRPr="0088429D" w:rsidRDefault="0088429D" w:rsidP="00F1796C">
            <w:pPr>
              <w:pStyle w:val="DHHSbody"/>
              <w:keepNext/>
              <w:keepLines/>
              <w:spacing w:line="240" w:lineRule="auto"/>
              <w:jc w:val="right"/>
            </w:pPr>
            <w:r w:rsidRPr="0088429D">
              <w:t>-</w:t>
            </w:r>
          </w:p>
        </w:tc>
        <w:tc>
          <w:tcPr>
            <w:tcW w:w="1276" w:type="dxa"/>
          </w:tcPr>
          <w:p w14:paraId="6E2ED69B" w14:textId="77777777" w:rsidR="0088429D" w:rsidRPr="0088429D" w:rsidRDefault="0088429D" w:rsidP="00F1796C">
            <w:pPr>
              <w:pStyle w:val="DHHSbody"/>
              <w:keepNext/>
              <w:keepLines/>
              <w:spacing w:line="240" w:lineRule="auto"/>
              <w:jc w:val="right"/>
            </w:pPr>
            <w:r w:rsidRPr="0088429D">
              <w:t>-</w:t>
            </w:r>
          </w:p>
        </w:tc>
      </w:tr>
      <w:tr w:rsidR="0088429D" w:rsidRPr="0088429D" w14:paraId="4072E218" w14:textId="77777777" w:rsidTr="0088429D">
        <w:tc>
          <w:tcPr>
            <w:tcW w:w="1693" w:type="dxa"/>
          </w:tcPr>
          <w:p w14:paraId="14C13858" w14:textId="77777777" w:rsidR="0088429D" w:rsidRPr="0088429D" w:rsidRDefault="0088429D" w:rsidP="00F1796C">
            <w:pPr>
              <w:pStyle w:val="DHHSbody"/>
              <w:keepNext/>
              <w:keepLines/>
              <w:spacing w:line="240" w:lineRule="auto"/>
            </w:pPr>
            <w:r w:rsidRPr="0088429D">
              <w:t>Febrile non-haemolytic transfusion reaction</w:t>
            </w:r>
          </w:p>
        </w:tc>
        <w:tc>
          <w:tcPr>
            <w:tcW w:w="1220" w:type="dxa"/>
          </w:tcPr>
          <w:p w14:paraId="539B50A6" w14:textId="77777777" w:rsidR="0088429D" w:rsidRPr="0088429D" w:rsidRDefault="0088429D" w:rsidP="00F1796C">
            <w:pPr>
              <w:pStyle w:val="DHHSbody"/>
              <w:keepNext/>
              <w:keepLines/>
              <w:spacing w:line="240" w:lineRule="auto"/>
              <w:jc w:val="right"/>
            </w:pPr>
            <w:r w:rsidRPr="0088429D">
              <w:t>-</w:t>
            </w:r>
          </w:p>
        </w:tc>
        <w:tc>
          <w:tcPr>
            <w:tcW w:w="1221" w:type="dxa"/>
          </w:tcPr>
          <w:p w14:paraId="0871D17E" w14:textId="77777777" w:rsidR="0088429D" w:rsidRPr="0088429D" w:rsidRDefault="0088429D" w:rsidP="00F1796C">
            <w:pPr>
              <w:pStyle w:val="DHHSbody"/>
              <w:keepNext/>
              <w:keepLines/>
              <w:spacing w:line="240" w:lineRule="auto"/>
              <w:jc w:val="right"/>
            </w:pPr>
            <w:r w:rsidRPr="0088429D">
              <w:t>1</w:t>
            </w:r>
          </w:p>
        </w:tc>
        <w:tc>
          <w:tcPr>
            <w:tcW w:w="1220" w:type="dxa"/>
          </w:tcPr>
          <w:p w14:paraId="117E7271" w14:textId="77777777" w:rsidR="0088429D" w:rsidRPr="0088429D" w:rsidRDefault="0088429D" w:rsidP="00F1796C">
            <w:pPr>
              <w:pStyle w:val="DHHSbody"/>
              <w:keepNext/>
              <w:keepLines/>
              <w:spacing w:line="240" w:lineRule="auto"/>
              <w:jc w:val="right"/>
            </w:pPr>
            <w:r w:rsidRPr="0088429D">
              <w:t>1</w:t>
            </w:r>
          </w:p>
        </w:tc>
        <w:tc>
          <w:tcPr>
            <w:tcW w:w="1445" w:type="dxa"/>
          </w:tcPr>
          <w:p w14:paraId="3AF91E36" w14:textId="77777777" w:rsidR="0088429D" w:rsidRPr="0088429D" w:rsidRDefault="0088429D" w:rsidP="00F1796C">
            <w:pPr>
              <w:pStyle w:val="DHHSbody"/>
              <w:keepNext/>
              <w:keepLines/>
              <w:spacing w:line="240" w:lineRule="auto"/>
              <w:jc w:val="right"/>
            </w:pPr>
            <w:r w:rsidRPr="0088429D">
              <w:t>2</w:t>
            </w:r>
          </w:p>
        </w:tc>
        <w:tc>
          <w:tcPr>
            <w:tcW w:w="1134" w:type="dxa"/>
          </w:tcPr>
          <w:p w14:paraId="0208CA33" w14:textId="77777777" w:rsidR="0088429D" w:rsidRPr="0088429D" w:rsidRDefault="0088429D" w:rsidP="00F1796C">
            <w:pPr>
              <w:pStyle w:val="DHHSbody"/>
              <w:keepNext/>
              <w:keepLines/>
              <w:spacing w:line="240" w:lineRule="auto"/>
              <w:jc w:val="right"/>
            </w:pPr>
            <w:r w:rsidRPr="0088429D">
              <w:t>-</w:t>
            </w:r>
          </w:p>
        </w:tc>
        <w:tc>
          <w:tcPr>
            <w:tcW w:w="1276" w:type="dxa"/>
          </w:tcPr>
          <w:p w14:paraId="2641AC11" w14:textId="77777777" w:rsidR="0088429D" w:rsidRPr="0088429D" w:rsidRDefault="0088429D" w:rsidP="00F1796C">
            <w:pPr>
              <w:pStyle w:val="DHHSbody"/>
              <w:keepNext/>
              <w:keepLines/>
              <w:spacing w:line="240" w:lineRule="auto"/>
              <w:jc w:val="right"/>
            </w:pPr>
            <w:r w:rsidRPr="0088429D">
              <w:t>-</w:t>
            </w:r>
          </w:p>
        </w:tc>
      </w:tr>
      <w:tr w:rsidR="0088429D" w:rsidRPr="0088429D" w14:paraId="108B8E22" w14:textId="77777777" w:rsidTr="0088429D">
        <w:tc>
          <w:tcPr>
            <w:tcW w:w="1693" w:type="dxa"/>
          </w:tcPr>
          <w:p w14:paraId="12587C00" w14:textId="77777777" w:rsidR="0088429D" w:rsidRPr="0088429D" w:rsidRDefault="0088429D" w:rsidP="00F1796C">
            <w:pPr>
              <w:pStyle w:val="DHHSbody"/>
              <w:keepNext/>
              <w:keepLines/>
              <w:spacing w:line="240" w:lineRule="auto"/>
            </w:pPr>
            <w:r w:rsidRPr="0088429D">
              <w:t>TRALI</w:t>
            </w:r>
          </w:p>
        </w:tc>
        <w:tc>
          <w:tcPr>
            <w:tcW w:w="1220" w:type="dxa"/>
          </w:tcPr>
          <w:p w14:paraId="6799D833" w14:textId="77777777" w:rsidR="0088429D" w:rsidRPr="0088429D" w:rsidRDefault="0088429D" w:rsidP="00F1796C">
            <w:pPr>
              <w:pStyle w:val="DHHSbody"/>
              <w:keepNext/>
              <w:keepLines/>
              <w:spacing w:line="240" w:lineRule="auto"/>
              <w:jc w:val="right"/>
            </w:pPr>
            <w:r w:rsidRPr="0088429D">
              <w:t>-</w:t>
            </w:r>
          </w:p>
        </w:tc>
        <w:tc>
          <w:tcPr>
            <w:tcW w:w="1221" w:type="dxa"/>
          </w:tcPr>
          <w:p w14:paraId="14081251" w14:textId="77777777" w:rsidR="0088429D" w:rsidRPr="0088429D" w:rsidRDefault="0088429D" w:rsidP="00F1796C">
            <w:pPr>
              <w:pStyle w:val="DHHSbody"/>
              <w:keepNext/>
              <w:keepLines/>
              <w:spacing w:line="240" w:lineRule="auto"/>
              <w:jc w:val="right"/>
            </w:pPr>
            <w:r w:rsidRPr="0088429D">
              <w:t>-</w:t>
            </w:r>
          </w:p>
        </w:tc>
        <w:tc>
          <w:tcPr>
            <w:tcW w:w="1220" w:type="dxa"/>
          </w:tcPr>
          <w:p w14:paraId="14B37596" w14:textId="77777777" w:rsidR="0088429D" w:rsidRPr="0088429D" w:rsidRDefault="0088429D" w:rsidP="00F1796C">
            <w:pPr>
              <w:pStyle w:val="DHHSbody"/>
              <w:keepNext/>
              <w:keepLines/>
              <w:spacing w:line="240" w:lineRule="auto"/>
              <w:jc w:val="right"/>
            </w:pPr>
            <w:r w:rsidRPr="0088429D">
              <w:t>-</w:t>
            </w:r>
          </w:p>
        </w:tc>
        <w:tc>
          <w:tcPr>
            <w:tcW w:w="1445" w:type="dxa"/>
          </w:tcPr>
          <w:p w14:paraId="43B2ABE5" w14:textId="77777777" w:rsidR="0088429D" w:rsidRPr="0088429D" w:rsidRDefault="0088429D" w:rsidP="00F1796C">
            <w:pPr>
              <w:pStyle w:val="DHHSbody"/>
              <w:keepNext/>
              <w:keepLines/>
              <w:spacing w:line="240" w:lineRule="auto"/>
              <w:jc w:val="right"/>
            </w:pPr>
            <w:r w:rsidRPr="0088429D">
              <w:t>-</w:t>
            </w:r>
          </w:p>
        </w:tc>
        <w:tc>
          <w:tcPr>
            <w:tcW w:w="1134" w:type="dxa"/>
          </w:tcPr>
          <w:p w14:paraId="38795712" w14:textId="77777777" w:rsidR="0088429D" w:rsidRPr="0088429D" w:rsidRDefault="0088429D" w:rsidP="00F1796C">
            <w:pPr>
              <w:pStyle w:val="DHHSbody"/>
              <w:keepNext/>
              <w:keepLines/>
              <w:spacing w:line="240" w:lineRule="auto"/>
              <w:jc w:val="right"/>
            </w:pPr>
            <w:r w:rsidRPr="0088429D">
              <w:t>2</w:t>
            </w:r>
          </w:p>
        </w:tc>
        <w:tc>
          <w:tcPr>
            <w:tcW w:w="1276" w:type="dxa"/>
          </w:tcPr>
          <w:p w14:paraId="220E1014" w14:textId="77777777" w:rsidR="0088429D" w:rsidRPr="0088429D" w:rsidRDefault="0088429D" w:rsidP="00F1796C">
            <w:pPr>
              <w:pStyle w:val="DHHSbody"/>
              <w:keepNext/>
              <w:keepLines/>
              <w:spacing w:line="240" w:lineRule="auto"/>
              <w:jc w:val="right"/>
            </w:pPr>
            <w:r w:rsidRPr="0088429D">
              <w:t>-</w:t>
            </w:r>
          </w:p>
        </w:tc>
      </w:tr>
      <w:tr w:rsidR="0088429D" w:rsidRPr="0088429D" w14:paraId="794EBF2F" w14:textId="77777777" w:rsidTr="0088429D">
        <w:tc>
          <w:tcPr>
            <w:tcW w:w="1693" w:type="dxa"/>
          </w:tcPr>
          <w:p w14:paraId="54D87109" w14:textId="77777777" w:rsidR="0088429D" w:rsidRPr="0088429D" w:rsidRDefault="0088429D" w:rsidP="00F1796C">
            <w:pPr>
              <w:pStyle w:val="DHHSbody"/>
              <w:keepNext/>
              <w:keepLines/>
              <w:spacing w:line="240" w:lineRule="auto"/>
            </w:pPr>
            <w:r w:rsidRPr="0088429D">
              <w:t>TACO/TAD</w:t>
            </w:r>
          </w:p>
        </w:tc>
        <w:tc>
          <w:tcPr>
            <w:tcW w:w="1220" w:type="dxa"/>
          </w:tcPr>
          <w:p w14:paraId="0E755970" w14:textId="77777777" w:rsidR="0088429D" w:rsidRPr="0088429D" w:rsidRDefault="0088429D" w:rsidP="00F1796C">
            <w:pPr>
              <w:pStyle w:val="DHHSbody"/>
              <w:keepNext/>
              <w:keepLines/>
              <w:spacing w:line="240" w:lineRule="auto"/>
              <w:jc w:val="right"/>
            </w:pPr>
            <w:r w:rsidRPr="0088429D">
              <w:t>-</w:t>
            </w:r>
          </w:p>
        </w:tc>
        <w:tc>
          <w:tcPr>
            <w:tcW w:w="1221" w:type="dxa"/>
          </w:tcPr>
          <w:p w14:paraId="46F4D822" w14:textId="77777777" w:rsidR="0088429D" w:rsidRPr="0088429D" w:rsidRDefault="0088429D" w:rsidP="00F1796C">
            <w:pPr>
              <w:pStyle w:val="DHHSbody"/>
              <w:keepNext/>
              <w:keepLines/>
              <w:spacing w:line="240" w:lineRule="auto"/>
              <w:jc w:val="right"/>
            </w:pPr>
            <w:r w:rsidRPr="0088429D">
              <w:t>-</w:t>
            </w:r>
          </w:p>
        </w:tc>
        <w:tc>
          <w:tcPr>
            <w:tcW w:w="1220" w:type="dxa"/>
          </w:tcPr>
          <w:p w14:paraId="3A145DE7" w14:textId="77777777" w:rsidR="0088429D" w:rsidRPr="0088429D" w:rsidRDefault="0088429D" w:rsidP="00F1796C">
            <w:pPr>
              <w:pStyle w:val="DHHSbody"/>
              <w:keepNext/>
              <w:keepLines/>
              <w:spacing w:line="240" w:lineRule="auto"/>
              <w:jc w:val="right"/>
            </w:pPr>
            <w:r w:rsidRPr="0088429D">
              <w:t>-</w:t>
            </w:r>
          </w:p>
        </w:tc>
        <w:tc>
          <w:tcPr>
            <w:tcW w:w="1445" w:type="dxa"/>
          </w:tcPr>
          <w:p w14:paraId="3A6340AF" w14:textId="77777777" w:rsidR="0088429D" w:rsidRPr="0088429D" w:rsidRDefault="0088429D" w:rsidP="00F1796C">
            <w:pPr>
              <w:pStyle w:val="DHHSbody"/>
              <w:keepNext/>
              <w:keepLines/>
              <w:spacing w:line="240" w:lineRule="auto"/>
              <w:jc w:val="right"/>
            </w:pPr>
            <w:r w:rsidRPr="0088429D">
              <w:t>-</w:t>
            </w:r>
          </w:p>
        </w:tc>
        <w:tc>
          <w:tcPr>
            <w:tcW w:w="1134" w:type="dxa"/>
          </w:tcPr>
          <w:p w14:paraId="0CB54448" w14:textId="77777777" w:rsidR="0088429D" w:rsidRPr="0088429D" w:rsidRDefault="0088429D" w:rsidP="00F1796C">
            <w:pPr>
              <w:pStyle w:val="DHHSbody"/>
              <w:keepNext/>
              <w:keepLines/>
              <w:spacing w:line="240" w:lineRule="auto"/>
              <w:jc w:val="right"/>
            </w:pPr>
            <w:r w:rsidRPr="0088429D">
              <w:t>3</w:t>
            </w:r>
          </w:p>
        </w:tc>
        <w:tc>
          <w:tcPr>
            <w:tcW w:w="1276" w:type="dxa"/>
          </w:tcPr>
          <w:p w14:paraId="2109354E" w14:textId="77777777" w:rsidR="0088429D" w:rsidRPr="0088429D" w:rsidRDefault="0088429D" w:rsidP="00F1796C">
            <w:pPr>
              <w:pStyle w:val="DHHSbody"/>
              <w:keepNext/>
              <w:keepLines/>
              <w:spacing w:line="240" w:lineRule="auto"/>
              <w:jc w:val="right"/>
            </w:pPr>
            <w:r w:rsidRPr="0088429D">
              <w:t>-</w:t>
            </w:r>
          </w:p>
        </w:tc>
      </w:tr>
      <w:tr w:rsidR="0088429D" w:rsidRPr="0088429D" w14:paraId="05C56463" w14:textId="77777777" w:rsidTr="0088429D">
        <w:tc>
          <w:tcPr>
            <w:tcW w:w="1693" w:type="dxa"/>
          </w:tcPr>
          <w:p w14:paraId="5D0963B6" w14:textId="77777777" w:rsidR="0088429D" w:rsidRPr="0088429D" w:rsidRDefault="0088429D" w:rsidP="00F1796C">
            <w:pPr>
              <w:pStyle w:val="DHHSbody"/>
              <w:keepNext/>
              <w:keepLines/>
              <w:spacing w:line="240" w:lineRule="auto"/>
            </w:pPr>
            <w:r w:rsidRPr="0088429D">
              <w:t>TRALI/TACO</w:t>
            </w:r>
          </w:p>
        </w:tc>
        <w:tc>
          <w:tcPr>
            <w:tcW w:w="1220" w:type="dxa"/>
          </w:tcPr>
          <w:p w14:paraId="4C431DD9" w14:textId="77777777" w:rsidR="0088429D" w:rsidRPr="0088429D" w:rsidRDefault="0088429D" w:rsidP="00F1796C">
            <w:pPr>
              <w:pStyle w:val="DHHSbody"/>
              <w:keepNext/>
              <w:keepLines/>
              <w:spacing w:line="240" w:lineRule="auto"/>
              <w:jc w:val="right"/>
            </w:pPr>
            <w:r w:rsidRPr="0088429D">
              <w:t>-</w:t>
            </w:r>
          </w:p>
        </w:tc>
        <w:tc>
          <w:tcPr>
            <w:tcW w:w="1221" w:type="dxa"/>
          </w:tcPr>
          <w:p w14:paraId="45DCFAC7" w14:textId="77777777" w:rsidR="0088429D" w:rsidRPr="0088429D" w:rsidRDefault="0088429D" w:rsidP="00F1796C">
            <w:pPr>
              <w:pStyle w:val="DHHSbody"/>
              <w:keepNext/>
              <w:keepLines/>
              <w:spacing w:line="240" w:lineRule="auto"/>
              <w:jc w:val="right"/>
            </w:pPr>
            <w:r w:rsidRPr="0088429D">
              <w:t>-</w:t>
            </w:r>
          </w:p>
        </w:tc>
        <w:tc>
          <w:tcPr>
            <w:tcW w:w="1220" w:type="dxa"/>
          </w:tcPr>
          <w:p w14:paraId="498D822E" w14:textId="77777777" w:rsidR="0088429D" w:rsidRPr="0088429D" w:rsidRDefault="0088429D" w:rsidP="00F1796C">
            <w:pPr>
              <w:pStyle w:val="DHHSbody"/>
              <w:keepNext/>
              <w:keepLines/>
              <w:spacing w:line="240" w:lineRule="auto"/>
              <w:jc w:val="right"/>
            </w:pPr>
            <w:r w:rsidRPr="0088429D">
              <w:t>-</w:t>
            </w:r>
          </w:p>
        </w:tc>
        <w:tc>
          <w:tcPr>
            <w:tcW w:w="1445" w:type="dxa"/>
          </w:tcPr>
          <w:p w14:paraId="54C7E90A" w14:textId="77777777" w:rsidR="0088429D" w:rsidRPr="0088429D" w:rsidRDefault="0088429D" w:rsidP="00F1796C">
            <w:pPr>
              <w:pStyle w:val="DHHSbody"/>
              <w:keepNext/>
              <w:keepLines/>
              <w:spacing w:line="240" w:lineRule="auto"/>
              <w:jc w:val="right"/>
            </w:pPr>
            <w:r w:rsidRPr="0088429D">
              <w:t>-</w:t>
            </w:r>
          </w:p>
        </w:tc>
        <w:tc>
          <w:tcPr>
            <w:tcW w:w="1134" w:type="dxa"/>
          </w:tcPr>
          <w:p w14:paraId="144405AB" w14:textId="77777777" w:rsidR="0088429D" w:rsidRPr="0088429D" w:rsidRDefault="0088429D" w:rsidP="00F1796C">
            <w:pPr>
              <w:pStyle w:val="DHHSbody"/>
              <w:keepNext/>
              <w:keepLines/>
              <w:spacing w:line="240" w:lineRule="auto"/>
              <w:jc w:val="right"/>
            </w:pPr>
            <w:r w:rsidRPr="0088429D">
              <w:t>1</w:t>
            </w:r>
          </w:p>
        </w:tc>
        <w:tc>
          <w:tcPr>
            <w:tcW w:w="1276" w:type="dxa"/>
          </w:tcPr>
          <w:p w14:paraId="109A2D38" w14:textId="77777777" w:rsidR="0088429D" w:rsidRPr="0088429D" w:rsidRDefault="0088429D" w:rsidP="00F1796C">
            <w:pPr>
              <w:pStyle w:val="DHHSbody"/>
              <w:keepNext/>
              <w:keepLines/>
              <w:spacing w:line="240" w:lineRule="auto"/>
              <w:jc w:val="right"/>
            </w:pPr>
            <w:r w:rsidRPr="0088429D">
              <w:t>-</w:t>
            </w:r>
          </w:p>
        </w:tc>
      </w:tr>
      <w:tr w:rsidR="0088429D" w:rsidRPr="0088429D" w14:paraId="774D9D82" w14:textId="77777777" w:rsidTr="0088429D">
        <w:tc>
          <w:tcPr>
            <w:tcW w:w="1693" w:type="dxa"/>
          </w:tcPr>
          <w:p w14:paraId="00A8CF6F" w14:textId="77777777" w:rsidR="0088429D" w:rsidRPr="0088429D" w:rsidRDefault="0088429D" w:rsidP="00F1796C">
            <w:pPr>
              <w:pStyle w:val="DHHSbody"/>
              <w:keepNext/>
              <w:keepLines/>
              <w:spacing w:line="240" w:lineRule="auto"/>
            </w:pPr>
            <w:r w:rsidRPr="0088429D">
              <w:t>Near miss</w:t>
            </w:r>
          </w:p>
        </w:tc>
        <w:tc>
          <w:tcPr>
            <w:tcW w:w="1220" w:type="dxa"/>
          </w:tcPr>
          <w:p w14:paraId="672A81E8" w14:textId="77777777" w:rsidR="0088429D" w:rsidRPr="0088429D" w:rsidRDefault="0088429D" w:rsidP="00F1796C">
            <w:pPr>
              <w:pStyle w:val="DHHSbody"/>
              <w:keepNext/>
              <w:keepLines/>
              <w:spacing w:line="240" w:lineRule="auto"/>
              <w:jc w:val="right"/>
            </w:pPr>
            <w:r w:rsidRPr="0088429D">
              <w:t>-</w:t>
            </w:r>
          </w:p>
        </w:tc>
        <w:tc>
          <w:tcPr>
            <w:tcW w:w="1221" w:type="dxa"/>
          </w:tcPr>
          <w:p w14:paraId="64C67E0B" w14:textId="77777777" w:rsidR="0088429D" w:rsidRPr="0088429D" w:rsidRDefault="0088429D" w:rsidP="00F1796C">
            <w:pPr>
              <w:pStyle w:val="DHHSbody"/>
              <w:keepNext/>
              <w:keepLines/>
              <w:spacing w:line="240" w:lineRule="auto"/>
              <w:jc w:val="right"/>
            </w:pPr>
            <w:r w:rsidRPr="0088429D">
              <w:t>-</w:t>
            </w:r>
          </w:p>
        </w:tc>
        <w:tc>
          <w:tcPr>
            <w:tcW w:w="1220" w:type="dxa"/>
          </w:tcPr>
          <w:p w14:paraId="2DDE4C5B" w14:textId="77777777" w:rsidR="0088429D" w:rsidRPr="0088429D" w:rsidRDefault="0088429D" w:rsidP="00F1796C">
            <w:pPr>
              <w:pStyle w:val="DHHSbody"/>
              <w:keepNext/>
              <w:keepLines/>
              <w:spacing w:line="240" w:lineRule="auto"/>
              <w:jc w:val="right"/>
            </w:pPr>
            <w:r w:rsidRPr="0088429D">
              <w:t>-</w:t>
            </w:r>
          </w:p>
        </w:tc>
        <w:tc>
          <w:tcPr>
            <w:tcW w:w="1445" w:type="dxa"/>
          </w:tcPr>
          <w:p w14:paraId="4424092A" w14:textId="77777777" w:rsidR="0088429D" w:rsidRPr="0088429D" w:rsidRDefault="0088429D" w:rsidP="00F1796C">
            <w:pPr>
              <w:pStyle w:val="DHHSbody"/>
              <w:keepNext/>
              <w:keepLines/>
              <w:spacing w:line="240" w:lineRule="auto"/>
              <w:jc w:val="right"/>
            </w:pPr>
            <w:r w:rsidRPr="0088429D">
              <w:t>-</w:t>
            </w:r>
          </w:p>
        </w:tc>
        <w:tc>
          <w:tcPr>
            <w:tcW w:w="1134" w:type="dxa"/>
          </w:tcPr>
          <w:p w14:paraId="35805C63" w14:textId="77777777" w:rsidR="0088429D" w:rsidRPr="0088429D" w:rsidRDefault="0088429D" w:rsidP="00F1796C">
            <w:pPr>
              <w:pStyle w:val="DHHSbody"/>
              <w:keepNext/>
              <w:keepLines/>
              <w:spacing w:line="240" w:lineRule="auto"/>
              <w:jc w:val="right"/>
            </w:pPr>
            <w:r w:rsidRPr="0088429D">
              <w:t>-</w:t>
            </w:r>
          </w:p>
        </w:tc>
        <w:tc>
          <w:tcPr>
            <w:tcW w:w="1276" w:type="dxa"/>
          </w:tcPr>
          <w:p w14:paraId="18650A6C" w14:textId="77777777" w:rsidR="0088429D" w:rsidRPr="0088429D" w:rsidRDefault="0088429D" w:rsidP="00F1796C">
            <w:pPr>
              <w:pStyle w:val="DHHSbody"/>
              <w:keepNext/>
              <w:keepLines/>
              <w:spacing w:line="240" w:lineRule="auto"/>
              <w:jc w:val="right"/>
            </w:pPr>
            <w:r w:rsidRPr="0088429D">
              <w:t>4</w:t>
            </w:r>
          </w:p>
        </w:tc>
      </w:tr>
    </w:tbl>
    <w:p w14:paraId="638107A8" w14:textId="4303B7BF" w:rsidR="0088429D" w:rsidRPr="0088429D" w:rsidRDefault="0088429D" w:rsidP="00F1796C">
      <w:pPr>
        <w:pStyle w:val="DHHSbodyafterbullets"/>
      </w:pPr>
      <w:r w:rsidRPr="0088429D">
        <w:t xml:space="preserve">Of note </w:t>
      </w:r>
      <w:r w:rsidRPr="00B6395F">
        <w:t>are</w:t>
      </w:r>
      <w:r w:rsidRPr="0088429D">
        <w:t xml:space="preserve"> the number of incidents submitted as near miss that were changed to incorrect blood component transfused</w:t>
      </w:r>
      <w:r w:rsidR="00B6395F">
        <w:t xml:space="preserve"> (IBCT)</w:t>
      </w:r>
      <w:r w:rsidRPr="0088429D">
        <w:t>, as in each event the transfusion had commenced. Further clarification of IBCT and near</w:t>
      </w:r>
      <w:r w:rsidR="007F664A">
        <w:t xml:space="preserve"> </w:t>
      </w:r>
      <w:r w:rsidRPr="0088429D">
        <w:t>miss events, as well as when the transfusion is considered to have commenced</w:t>
      </w:r>
      <w:r w:rsidR="00B6395F">
        <w:t>,</w:t>
      </w:r>
      <w:r w:rsidRPr="0088429D">
        <w:t xml:space="preserve"> will be in the </w:t>
      </w:r>
      <w:r w:rsidRPr="00F1796C">
        <w:rPr>
          <w:i/>
          <w:iCs/>
        </w:rPr>
        <w:t>STIR reporting guide</w:t>
      </w:r>
      <w:r w:rsidRPr="0088429D">
        <w:t>, updated 2020.</w:t>
      </w:r>
    </w:p>
    <w:p w14:paraId="680F9637" w14:textId="77777777" w:rsidR="0088429D" w:rsidRPr="0088429D" w:rsidRDefault="0088429D" w:rsidP="0088429D">
      <w:pPr>
        <w:pStyle w:val="DHHSbody"/>
      </w:pPr>
      <w:r w:rsidRPr="0088429D">
        <w:t>In addition, it should be noted that of the 18 validated TACO events, six (33 per cent) were initially reported as a combination with either TAD or TRALI.</w:t>
      </w:r>
    </w:p>
    <w:p w14:paraId="3902A22F" w14:textId="3989843E" w:rsidR="0088429D" w:rsidRPr="0088429D" w:rsidRDefault="0088429D" w:rsidP="0088429D">
      <w:pPr>
        <w:pStyle w:val="DHHStablecaption"/>
        <w:rPr>
          <w:rFonts w:eastAsia="Times"/>
        </w:rPr>
      </w:pPr>
      <w:r w:rsidRPr="0088429D">
        <w:rPr>
          <w:rFonts w:eastAsia="Times"/>
        </w:rPr>
        <w:t xml:space="preserve">Table </w:t>
      </w:r>
      <w:r w:rsidR="00FB0A81">
        <w:rPr>
          <w:rFonts w:eastAsia="Times"/>
        </w:rPr>
        <w:t>6</w:t>
      </w:r>
      <w:r w:rsidRPr="0088429D">
        <w:rPr>
          <w:rFonts w:eastAsia="Times"/>
        </w:rPr>
        <w:t>: Changes to the severity rating following expert review</w:t>
      </w:r>
    </w:p>
    <w:tbl>
      <w:tblPr>
        <w:tblStyle w:val="TableGrid"/>
        <w:tblW w:w="8334" w:type="dxa"/>
        <w:tblLook w:val="04A0" w:firstRow="1" w:lastRow="0" w:firstColumn="1" w:lastColumn="0" w:noHBand="0" w:noVBand="1"/>
      </w:tblPr>
      <w:tblGrid>
        <w:gridCol w:w="4390"/>
        <w:gridCol w:w="1984"/>
        <w:gridCol w:w="1960"/>
      </w:tblGrid>
      <w:tr w:rsidR="0088429D" w:rsidRPr="0088429D" w14:paraId="4EA2ED1A" w14:textId="77777777" w:rsidTr="0088429D">
        <w:trPr>
          <w:tblHeader/>
        </w:trPr>
        <w:tc>
          <w:tcPr>
            <w:tcW w:w="4390" w:type="dxa"/>
          </w:tcPr>
          <w:p w14:paraId="3514B5A0" w14:textId="77777777" w:rsidR="0088429D" w:rsidRPr="0088429D" w:rsidRDefault="0088429D" w:rsidP="0088429D">
            <w:pPr>
              <w:pStyle w:val="DHHSbody"/>
              <w:rPr>
                <w:b/>
              </w:rPr>
            </w:pPr>
            <w:r w:rsidRPr="0088429D">
              <w:rPr>
                <w:b/>
              </w:rPr>
              <w:t>Incident severity rating submitted as SR 4</w:t>
            </w:r>
          </w:p>
        </w:tc>
        <w:tc>
          <w:tcPr>
            <w:tcW w:w="1984" w:type="dxa"/>
          </w:tcPr>
          <w:p w14:paraId="768878B7" w14:textId="77777777" w:rsidR="0088429D" w:rsidRPr="0088429D" w:rsidRDefault="0088429D" w:rsidP="0088429D">
            <w:pPr>
              <w:pStyle w:val="DHHSbody"/>
              <w:rPr>
                <w:b/>
              </w:rPr>
            </w:pPr>
            <w:r w:rsidRPr="0088429D">
              <w:rPr>
                <w:b/>
              </w:rPr>
              <w:t>Incident severity rating validated as SR 2</w:t>
            </w:r>
          </w:p>
        </w:tc>
        <w:tc>
          <w:tcPr>
            <w:tcW w:w="1960" w:type="dxa"/>
          </w:tcPr>
          <w:p w14:paraId="6C8BEA28" w14:textId="77777777" w:rsidR="0088429D" w:rsidRPr="0088429D" w:rsidRDefault="0088429D" w:rsidP="0088429D">
            <w:pPr>
              <w:pStyle w:val="DHHSbody"/>
              <w:rPr>
                <w:b/>
              </w:rPr>
            </w:pPr>
            <w:r w:rsidRPr="0088429D">
              <w:rPr>
                <w:b/>
              </w:rPr>
              <w:t>Incident severity rating validated as SR 3</w:t>
            </w:r>
          </w:p>
        </w:tc>
      </w:tr>
      <w:tr w:rsidR="0088429D" w:rsidRPr="0088429D" w14:paraId="38E371B5" w14:textId="77777777" w:rsidTr="0088429D">
        <w:tc>
          <w:tcPr>
            <w:tcW w:w="4390" w:type="dxa"/>
          </w:tcPr>
          <w:p w14:paraId="5B6EDFED" w14:textId="77777777" w:rsidR="0088429D" w:rsidRPr="0088429D" w:rsidRDefault="0088429D" w:rsidP="0088429D">
            <w:pPr>
              <w:pStyle w:val="DHHSbody"/>
            </w:pPr>
            <w:r w:rsidRPr="0088429D">
              <w:t>Allergic/anaphylactic reaction</w:t>
            </w:r>
          </w:p>
        </w:tc>
        <w:tc>
          <w:tcPr>
            <w:tcW w:w="1984" w:type="dxa"/>
          </w:tcPr>
          <w:p w14:paraId="47916D00" w14:textId="77777777" w:rsidR="0088429D" w:rsidRPr="0088429D" w:rsidRDefault="0088429D" w:rsidP="00F1796C">
            <w:pPr>
              <w:pStyle w:val="DHHSbody"/>
              <w:jc w:val="right"/>
            </w:pPr>
            <w:r w:rsidRPr="0088429D">
              <w:t>3</w:t>
            </w:r>
          </w:p>
        </w:tc>
        <w:tc>
          <w:tcPr>
            <w:tcW w:w="1960" w:type="dxa"/>
          </w:tcPr>
          <w:p w14:paraId="310F740A" w14:textId="77777777" w:rsidR="0088429D" w:rsidRPr="0088429D" w:rsidRDefault="0088429D" w:rsidP="00F1796C">
            <w:pPr>
              <w:pStyle w:val="DHHSbody"/>
              <w:jc w:val="right"/>
            </w:pPr>
            <w:r w:rsidRPr="0088429D">
              <w:t>-</w:t>
            </w:r>
          </w:p>
        </w:tc>
      </w:tr>
      <w:tr w:rsidR="0088429D" w:rsidRPr="0088429D" w14:paraId="4C85588D" w14:textId="77777777" w:rsidTr="0088429D">
        <w:tc>
          <w:tcPr>
            <w:tcW w:w="4390" w:type="dxa"/>
          </w:tcPr>
          <w:p w14:paraId="088E10F0" w14:textId="77777777" w:rsidR="0088429D" w:rsidRPr="0088429D" w:rsidRDefault="0088429D" w:rsidP="0088429D">
            <w:pPr>
              <w:pStyle w:val="DHHSbody"/>
            </w:pPr>
            <w:r w:rsidRPr="0088429D">
              <w:t>Febrile non-haemolytic transfusion reaction</w:t>
            </w:r>
          </w:p>
        </w:tc>
        <w:tc>
          <w:tcPr>
            <w:tcW w:w="1984" w:type="dxa"/>
          </w:tcPr>
          <w:p w14:paraId="4D2C750B" w14:textId="77777777" w:rsidR="0088429D" w:rsidRPr="0088429D" w:rsidRDefault="0088429D" w:rsidP="00F1796C">
            <w:pPr>
              <w:pStyle w:val="DHHSbody"/>
              <w:jc w:val="right"/>
            </w:pPr>
            <w:r w:rsidRPr="0088429D">
              <w:t>1</w:t>
            </w:r>
          </w:p>
        </w:tc>
        <w:tc>
          <w:tcPr>
            <w:tcW w:w="1960" w:type="dxa"/>
          </w:tcPr>
          <w:p w14:paraId="3D930721" w14:textId="77777777" w:rsidR="0088429D" w:rsidRPr="0088429D" w:rsidRDefault="0088429D" w:rsidP="00F1796C">
            <w:pPr>
              <w:pStyle w:val="DHHSbody"/>
              <w:jc w:val="right"/>
            </w:pPr>
            <w:r w:rsidRPr="0088429D">
              <w:t>4</w:t>
            </w:r>
          </w:p>
        </w:tc>
      </w:tr>
      <w:tr w:rsidR="0088429D" w:rsidRPr="0088429D" w14:paraId="7C12D742" w14:textId="77777777" w:rsidTr="0088429D">
        <w:tc>
          <w:tcPr>
            <w:tcW w:w="4390" w:type="dxa"/>
          </w:tcPr>
          <w:p w14:paraId="32A2F1B7" w14:textId="77777777" w:rsidR="0088429D" w:rsidRPr="0088429D" w:rsidRDefault="0088429D" w:rsidP="0088429D">
            <w:pPr>
              <w:pStyle w:val="DHHSbody"/>
            </w:pPr>
            <w:r w:rsidRPr="0088429D">
              <w:t>ATR – other</w:t>
            </w:r>
          </w:p>
        </w:tc>
        <w:tc>
          <w:tcPr>
            <w:tcW w:w="1984" w:type="dxa"/>
          </w:tcPr>
          <w:p w14:paraId="301FC0D0" w14:textId="77777777" w:rsidR="0088429D" w:rsidRPr="0088429D" w:rsidRDefault="0088429D" w:rsidP="00F1796C">
            <w:pPr>
              <w:pStyle w:val="DHHSbody"/>
              <w:jc w:val="right"/>
            </w:pPr>
            <w:r w:rsidRPr="0088429D">
              <w:t>1</w:t>
            </w:r>
          </w:p>
        </w:tc>
        <w:tc>
          <w:tcPr>
            <w:tcW w:w="1960" w:type="dxa"/>
          </w:tcPr>
          <w:p w14:paraId="4D34C267" w14:textId="77777777" w:rsidR="0088429D" w:rsidRPr="0088429D" w:rsidRDefault="0088429D" w:rsidP="00F1796C">
            <w:pPr>
              <w:pStyle w:val="DHHSbody"/>
              <w:jc w:val="right"/>
            </w:pPr>
            <w:r w:rsidRPr="0088429D">
              <w:t>-</w:t>
            </w:r>
          </w:p>
        </w:tc>
      </w:tr>
      <w:tr w:rsidR="0088429D" w:rsidRPr="0088429D" w14:paraId="097F2EDE" w14:textId="77777777" w:rsidTr="0088429D">
        <w:tc>
          <w:tcPr>
            <w:tcW w:w="4390" w:type="dxa"/>
          </w:tcPr>
          <w:p w14:paraId="79D90A1D" w14:textId="77777777" w:rsidR="0088429D" w:rsidRPr="0088429D" w:rsidRDefault="0088429D" w:rsidP="0088429D">
            <w:pPr>
              <w:pStyle w:val="DHHSbody"/>
            </w:pPr>
            <w:r w:rsidRPr="0088429D">
              <w:t>TACO</w:t>
            </w:r>
          </w:p>
        </w:tc>
        <w:tc>
          <w:tcPr>
            <w:tcW w:w="1984" w:type="dxa"/>
          </w:tcPr>
          <w:p w14:paraId="16660694" w14:textId="77777777" w:rsidR="0088429D" w:rsidRPr="0088429D" w:rsidRDefault="0088429D" w:rsidP="00F1796C">
            <w:pPr>
              <w:pStyle w:val="DHHSbody"/>
              <w:jc w:val="right"/>
            </w:pPr>
            <w:r w:rsidRPr="0088429D">
              <w:t>2</w:t>
            </w:r>
          </w:p>
        </w:tc>
        <w:tc>
          <w:tcPr>
            <w:tcW w:w="1960" w:type="dxa"/>
          </w:tcPr>
          <w:p w14:paraId="631721F9" w14:textId="77777777" w:rsidR="0088429D" w:rsidRPr="0088429D" w:rsidRDefault="0088429D" w:rsidP="00F1796C">
            <w:pPr>
              <w:pStyle w:val="DHHSbody"/>
              <w:jc w:val="right"/>
            </w:pPr>
            <w:r w:rsidRPr="0088429D">
              <w:t>3</w:t>
            </w:r>
          </w:p>
        </w:tc>
      </w:tr>
      <w:tr w:rsidR="0088429D" w:rsidRPr="0088429D" w14:paraId="56EDAFD4" w14:textId="77777777" w:rsidTr="0088429D">
        <w:tc>
          <w:tcPr>
            <w:tcW w:w="4390" w:type="dxa"/>
          </w:tcPr>
          <w:p w14:paraId="6F35B337" w14:textId="77777777" w:rsidR="0088429D" w:rsidRPr="0088429D" w:rsidRDefault="0088429D" w:rsidP="0088429D">
            <w:pPr>
              <w:pStyle w:val="DHHSbody"/>
            </w:pPr>
            <w:r w:rsidRPr="0088429D">
              <w:t>DHTR</w:t>
            </w:r>
          </w:p>
        </w:tc>
        <w:tc>
          <w:tcPr>
            <w:tcW w:w="1984" w:type="dxa"/>
          </w:tcPr>
          <w:p w14:paraId="7A294A80" w14:textId="77777777" w:rsidR="0088429D" w:rsidRPr="0088429D" w:rsidRDefault="0088429D" w:rsidP="00F1796C">
            <w:pPr>
              <w:pStyle w:val="DHHSbody"/>
              <w:jc w:val="right"/>
            </w:pPr>
            <w:r w:rsidRPr="0088429D">
              <w:t>1</w:t>
            </w:r>
          </w:p>
        </w:tc>
        <w:tc>
          <w:tcPr>
            <w:tcW w:w="1960" w:type="dxa"/>
          </w:tcPr>
          <w:p w14:paraId="1D1C04B7" w14:textId="77777777" w:rsidR="0088429D" w:rsidRPr="0088429D" w:rsidRDefault="0088429D" w:rsidP="00F1796C">
            <w:pPr>
              <w:pStyle w:val="DHHSbody"/>
              <w:jc w:val="right"/>
            </w:pPr>
            <w:r w:rsidRPr="0088429D">
              <w:t>-</w:t>
            </w:r>
          </w:p>
        </w:tc>
      </w:tr>
    </w:tbl>
    <w:p w14:paraId="67B67890" w14:textId="77777777" w:rsidR="0088429D" w:rsidRPr="0088429D" w:rsidRDefault="0088429D" w:rsidP="00F1796C">
      <w:pPr>
        <w:pStyle w:val="DHHSbodyaftertablefigure"/>
      </w:pPr>
      <w:r w:rsidRPr="0088429D">
        <w:t>All events having a severity rating reassigned to SR 2 had either documented increased length of stay, required adrenaline or assisted ventilation or required admission to intensive care unit (ICU) due to the reaction.</w:t>
      </w:r>
    </w:p>
    <w:p w14:paraId="5E3C12E3" w14:textId="3DDC08DD" w:rsidR="0088429D" w:rsidRPr="0088429D" w:rsidRDefault="0088429D" w:rsidP="0088429D">
      <w:pPr>
        <w:pStyle w:val="DHHSbody"/>
      </w:pPr>
      <w:r w:rsidRPr="0088429D">
        <w:t xml:space="preserve">There is a process of </w:t>
      </w:r>
      <w:r w:rsidR="00C4570E">
        <w:t xml:space="preserve">annual </w:t>
      </w:r>
      <w:r w:rsidRPr="0088429D">
        <w:t xml:space="preserve">reconciliation in place for Australian Red Cross Lifeblood (Lifeblood) reports (reactions reported to Lifeblood by health services). </w:t>
      </w:r>
    </w:p>
    <w:p w14:paraId="41AD81DB" w14:textId="68D99140" w:rsidR="0088429D" w:rsidRPr="0088429D" w:rsidRDefault="0088429D" w:rsidP="0088429D">
      <w:pPr>
        <w:pStyle w:val="DHHSbody"/>
      </w:pPr>
      <w:r w:rsidRPr="0088429D">
        <w:t>Health services are required to inform Lifeblood of any adverse reaction that may relate to the quality of the product which will prompt Lifeblood to recall any associated products (</w:t>
      </w:r>
      <w:r w:rsidR="00B6395F">
        <w:t>for example,</w:t>
      </w:r>
      <w:r w:rsidRPr="0088429D">
        <w:t xml:space="preserve"> transfusion transmissible infection and TRALI) or cause an alternative product to be requested (</w:t>
      </w:r>
      <w:r w:rsidR="00B6395F">
        <w:t xml:space="preserve">for example, </w:t>
      </w:r>
      <w:r w:rsidRPr="0088429D">
        <w:t>washed red cells in patients with repeated anaphylactic reactions or IgA deficient products).</w:t>
      </w:r>
    </w:p>
    <w:p w14:paraId="385B7DE9" w14:textId="6D3877D9" w:rsidR="0088429D" w:rsidRPr="0088429D" w:rsidRDefault="0088429D" w:rsidP="0088429D">
      <w:pPr>
        <w:pStyle w:val="DHHSbody"/>
      </w:pPr>
      <w:r w:rsidRPr="0088429D">
        <w:lastRenderedPageBreak/>
        <w:t>For the 2018</w:t>
      </w:r>
      <w:r w:rsidR="00B6395F">
        <w:t>–</w:t>
      </w:r>
      <w:r w:rsidRPr="0088429D">
        <w:t>19 period</w:t>
      </w:r>
      <w:r w:rsidR="00B6395F">
        <w:t>,</w:t>
      </w:r>
      <w:r w:rsidRPr="0088429D">
        <w:t xml:space="preserve"> there were 41 reports to Lifeblood in Victoria; seven were also reported to STIR</w:t>
      </w:r>
      <w:r w:rsidR="00B6395F">
        <w:t>,</w:t>
      </w:r>
      <w:r w:rsidRPr="0088429D">
        <w:t xml:space="preserve"> with the remaining 34 unreported. </w:t>
      </w:r>
    </w:p>
    <w:p w14:paraId="28FA14D5" w14:textId="77777777" w:rsidR="0088429D" w:rsidRPr="0088429D" w:rsidRDefault="0088429D" w:rsidP="0088429D">
      <w:pPr>
        <w:pStyle w:val="DHHSbody"/>
      </w:pPr>
      <w:r w:rsidRPr="0088429D">
        <w:t>Of the seven reported to STIR:</w:t>
      </w:r>
    </w:p>
    <w:p w14:paraId="1CFE0A45" w14:textId="2A5AA5A9" w:rsidR="0088429D" w:rsidRPr="0088429D" w:rsidRDefault="00B6395F" w:rsidP="00D74BC1">
      <w:pPr>
        <w:pStyle w:val="DHHSbody"/>
        <w:numPr>
          <w:ilvl w:val="0"/>
          <w:numId w:val="12"/>
        </w:numPr>
      </w:pPr>
      <w:r>
        <w:t>f</w:t>
      </w:r>
      <w:r w:rsidRPr="0088429D">
        <w:t xml:space="preserve">our </w:t>
      </w:r>
      <w:r w:rsidR="0088429D" w:rsidRPr="0088429D">
        <w:t>reports reconciled with both Lifeblood and STIR attributing the same diagnosis</w:t>
      </w:r>
    </w:p>
    <w:p w14:paraId="58DCB934" w14:textId="69C43F4C" w:rsidR="0088429D" w:rsidRPr="0088429D" w:rsidRDefault="00B6395F" w:rsidP="00D74BC1">
      <w:pPr>
        <w:pStyle w:val="DHHSbody"/>
        <w:numPr>
          <w:ilvl w:val="0"/>
          <w:numId w:val="12"/>
        </w:numPr>
      </w:pPr>
      <w:r>
        <w:t>t</w:t>
      </w:r>
      <w:r w:rsidRPr="0088429D">
        <w:t xml:space="preserve">wo </w:t>
      </w:r>
      <w:r w:rsidR="0088429D" w:rsidRPr="0088429D">
        <w:t xml:space="preserve">reports were reported to Lifeblood as </w:t>
      </w:r>
      <w:r w:rsidR="00E31110">
        <w:t xml:space="preserve">possible </w:t>
      </w:r>
      <w:r w:rsidR="0088429D" w:rsidRPr="0088429D">
        <w:t xml:space="preserve">TRALI and determined to be unrelated; </w:t>
      </w:r>
      <w:r w:rsidR="00E31110">
        <w:t>one was report to STIR as TRALI, the other as TACO and both were v</w:t>
      </w:r>
      <w:r w:rsidR="0088429D" w:rsidRPr="0088429D">
        <w:t>alidated as TACO</w:t>
      </w:r>
    </w:p>
    <w:p w14:paraId="26B9EC50" w14:textId="28BD2672" w:rsidR="0088429D" w:rsidRPr="0088429D" w:rsidRDefault="00B6395F" w:rsidP="00D74BC1">
      <w:pPr>
        <w:pStyle w:val="DHHSbody"/>
        <w:numPr>
          <w:ilvl w:val="0"/>
          <w:numId w:val="12"/>
        </w:numPr>
      </w:pPr>
      <w:proofErr w:type="gramStart"/>
      <w:r>
        <w:t>o</w:t>
      </w:r>
      <w:r w:rsidRPr="0088429D">
        <w:t>ne</w:t>
      </w:r>
      <w:proofErr w:type="gramEnd"/>
      <w:r w:rsidRPr="0088429D">
        <w:t xml:space="preserve"> </w:t>
      </w:r>
      <w:r w:rsidR="0088429D" w:rsidRPr="0088429D">
        <w:t>was reported to Lifeblood as TAD and validated as this</w:t>
      </w:r>
      <w:r w:rsidR="002733F4">
        <w:t>;</w:t>
      </w:r>
      <w:r w:rsidR="0088429D" w:rsidRPr="0088429D">
        <w:t xml:space="preserve"> however</w:t>
      </w:r>
      <w:r w:rsidR="002733F4">
        <w:t>, this event</w:t>
      </w:r>
      <w:r w:rsidR="000F4828">
        <w:t xml:space="preserve"> was</w:t>
      </w:r>
      <w:r w:rsidR="002733F4">
        <w:t xml:space="preserve"> </w:t>
      </w:r>
      <w:r w:rsidR="0088429D" w:rsidRPr="0088429D">
        <w:t>reported to STIR as a</w:t>
      </w:r>
      <w:r w:rsidR="002733F4">
        <w:t>n</w:t>
      </w:r>
      <w:r w:rsidR="002733F4" w:rsidRPr="0088429D" w:rsidDel="002733F4">
        <w:t xml:space="preserve"> </w:t>
      </w:r>
      <w:r w:rsidR="00A81BD7">
        <w:t xml:space="preserve">allergic </w:t>
      </w:r>
      <w:r w:rsidR="0088429D" w:rsidRPr="0088429D">
        <w:t xml:space="preserve">transfusion reaction and STIR validated </w:t>
      </w:r>
      <w:r w:rsidR="002733F4">
        <w:t xml:space="preserve">it as </w:t>
      </w:r>
      <w:proofErr w:type="spellStart"/>
      <w:r w:rsidR="002733F4">
        <w:t>unassessable</w:t>
      </w:r>
      <w:proofErr w:type="spellEnd"/>
      <w:r w:rsidR="002733F4">
        <w:t xml:space="preserve"> (exclu</w:t>
      </w:r>
      <w:r w:rsidR="002A035D">
        <w:t>d</w:t>
      </w:r>
      <w:r w:rsidR="002733F4">
        <w:t>ed</w:t>
      </w:r>
      <w:r w:rsidR="002A035D">
        <w:t>)</w:t>
      </w:r>
      <w:r w:rsidR="002733F4">
        <w:t xml:space="preserve"> due to insuffic</w:t>
      </w:r>
      <w:r w:rsidR="002A035D">
        <w:t>ient information</w:t>
      </w:r>
      <w:r w:rsidR="0058040B">
        <w:t xml:space="preserve"> provided</w:t>
      </w:r>
      <w:r w:rsidR="002A035D">
        <w:t xml:space="preserve"> to attribute the reaction to the transfusion.</w:t>
      </w:r>
      <w:r w:rsidR="002733F4">
        <w:t xml:space="preserve"> </w:t>
      </w:r>
    </w:p>
    <w:p w14:paraId="45AB8C88" w14:textId="77777777" w:rsidR="0088429D" w:rsidRPr="0088429D" w:rsidRDefault="0088429D" w:rsidP="0088429D">
      <w:pPr>
        <w:pStyle w:val="DHHSbody"/>
      </w:pPr>
      <w:r w:rsidRPr="0088429D">
        <w:t>The 34 unreported events to STIR included:</w:t>
      </w:r>
    </w:p>
    <w:p w14:paraId="613B2495" w14:textId="7B78A31A" w:rsidR="0088429D" w:rsidRPr="0088429D" w:rsidRDefault="00D65083" w:rsidP="00D74BC1">
      <w:pPr>
        <w:pStyle w:val="DHHSbody"/>
        <w:numPr>
          <w:ilvl w:val="0"/>
          <w:numId w:val="11"/>
        </w:numPr>
      </w:pPr>
      <w:r>
        <w:t>s</w:t>
      </w:r>
      <w:r w:rsidRPr="0088429D">
        <w:t xml:space="preserve">even </w:t>
      </w:r>
      <w:r w:rsidR="0088429D" w:rsidRPr="0088429D">
        <w:t>not meeting STIR criteria for reporting</w:t>
      </w:r>
    </w:p>
    <w:p w14:paraId="34F7468A" w14:textId="5E16056B" w:rsidR="0088429D" w:rsidRPr="0088429D" w:rsidRDefault="00D65083" w:rsidP="00D74BC1">
      <w:pPr>
        <w:pStyle w:val="DHHSbody"/>
        <w:numPr>
          <w:ilvl w:val="0"/>
          <w:numId w:val="11"/>
        </w:numPr>
      </w:pPr>
      <w:r>
        <w:t>s</w:t>
      </w:r>
      <w:r w:rsidRPr="0088429D">
        <w:t xml:space="preserve">even </w:t>
      </w:r>
      <w:r w:rsidR="0088429D" w:rsidRPr="0088429D">
        <w:t>reported to Lifeblood were determined to be unrelated to the transfusion and were not reported to STIR</w:t>
      </w:r>
    </w:p>
    <w:p w14:paraId="0D59F0E1" w14:textId="0DDAC625" w:rsidR="0088429D" w:rsidRPr="0088429D" w:rsidRDefault="00D65083" w:rsidP="00D74BC1">
      <w:pPr>
        <w:pStyle w:val="DHHSbody"/>
        <w:numPr>
          <w:ilvl w:val="0"/>
          <w:numId w:val="11"/>
        </w:numPr>
      </w:pPr>
      <w:r>
        <w:t>f</w:t>
      </w:r>
      <w:r w:rsidRPr="0088429D">
        <w:t xml:space="preserve">our </w:t>
      </w:r>
      <w:r w:rsidR="0088429D" w:rsidRPr="0088429D">
        <w:t>reported to Lifeblood from health services not currently reporting to STIR</w:t>
      </w:r>
    </w:p>
    <w:p w14:paraId="4E7AABEC" w14:textId="47ACC5E0" w:rsidR="0088429D" w:rsidRPr="0088429D" w:rsidRDefault="0088429D" w:rsidP="00D74BC1">
      <w:pPr>
        <w:pStyle w:val="DHHSbody"/>
        <w:numPr>
          <w:ilvl w:val="0"/>
          <w:numId w:val="11"/>
        </w:numPr>
      </w:pPr>
      <w:r w:rsidRPr="0088429D">
        <w:t xml:space="preserve">16 reports to Lifeblood </w:t>
      </w:r>
      <w:r w:rsidR="00D65083">
        <w:t>that</w:t>
      </w:r>
      <w:r w:rsidR="00D65083" w:rsidRPr="0088429D">
        <w:t xml:space="preserve"> </w:t>
      </w:r>
      <w:r w:rsidRPr="0088429D">
        <w:t>appear to meet STIR criteria for reporting</w:t>
      </w:r>
      <w:r w:rsidR="00D65083">
        <w:t>,</w:t>
      </w:r>
      <w:r w:rsidRPr="0088429D">
        <w:t xml:space="preserve"> but were</w:t>
      </w:r>
      <w:r w:rsidR="00D65083">
        <w:t xml:space="preserve"> </w:t>
      </w:r>
      <w:r w:rsidR="00D65083" w:rsidRPr="0088429D">
        <w:t>n</w:t>
      </w:r>
      <w:r w:rsidR="00D65083">
        <w:t>o</w:t>
      </w:r>
      <w:r w:rsidR="00D65083" w:rsidRPr="0088429D">
        <w:t>t</w:t>
      </w:r>
      <w:r w:rsidRPr="0088429D">
        <w:t>.</w:t>
      </w:r>
    </w:p>
    <w:p w14:paraId="690F43AC" w14:textId="4A300009" w:rsidR="0088429D" w:rsidRPr="0088429D" w:rsidRDefault="0088429D" w:rsidP="0088429D">
      <w:pPr>
        <w:pStyle w:val="DHHSbody"/>
        <w:rPr>
          <w:b/>
        </w:rPr>
      </w:pPr>
      <w:r w:rsidRPr="0088429D">
        <w:t>Once data has been reviewed and validated, STIR prepares data that meets the reporting guidelines of the Australian Haemovigilance Data Dictionary to the NBA. Each jurisdiction is responsible for submitting final reports of their data to the NBA for the national haemovigilance report.</w:t>
      </w:r>
    </w:p>
    <w:p w14:paraId="09A418E5" w14:textId="77777777" w:rsidR="0088429D" w:rsidRPr="0088429D" w:rsidRDefault="0088429D" w:rsidP="0088429D">
      <w:pPr>
        <w:pStyle w:val="Heading2"/>
        <w:rPr>
          <w:rFonts w:eastAsia="Times"/>
        </w:rPr>
      </w:pPr>
      <w:bookmarkStart w:id="9" w:name="_Toc46304640"/>
      <w:r w:rsidRPr="0088429D">
        <w:rPr>
          <w:rFonts w:eastAsia="Times"/>
        </w:rPr>
        <w:t>Demographics</w:t>
      </w:r>
      <w:bookmarkEnd w:id="9"/>
    </w:p>
    <w:p w14:paraId="775BC2E2" w14:textId="01358509" w:rsidR="0088429D" w:rsidRPr="0088429D" w:rsidRDefault="0088429D" w:rsidP="00810F57">
      <w:pPr>
        <w:pStyle w:val="DHHStablecaption"/>
      </w:pPr>
      <w:r w:rsidRPr="0088429D">
        <w:t xml:space="preserve">Figure </w:t>
      </w:r>
      <w:r w:rsidR="004B094B">
        <w:t>2</w:t>
      </w:r>
      <w:r w:rsidRPr="0088429D">
        <w:t>: Number of validated reports per reporting jurisdiction</w:t>
      </w:r>
    </w:p>
    <w:p w14:paraId="16505310" w14:textId="27EB5325" w:rsidR="0088429D" w:rsidRPr="0088429D" w:rsidRDefault="002A035D" w:rsidP="0088429D">
      <w:pPr>
        <w:pStyle w:val="DHHSbody"/>
      </w:pPr>
      <w:r w:rsidRPr="002A035D">
        <w:rPr>
          <w:noProof/>
          <w:lang w:eastAsia="en-AU"/>
        </w:rPr>
        <w:drawing>
          <wp:inline distT="0" distB="0" distL="0" distR="0" wp14:anchorId="45060838" wp14:editId="4261380F">
            <wp:extent cx="5060950" cy="4165144"/>
            <wp:effectExtent l="0" t="0" r="6350" b="6985"/>
            <wp:docPr id="14" name="Picture 14" descr="Infographic showing the number of reports per jurisdiction, as discussed in thi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nfographic showing the number of reports per jurisdiction, as discussed in this sect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69878" cy="4172491"/>
                    </a:xfrm>
                    <a:prstGeom prst="rect">
                      <a:avLst/>
                    </a:prstGeom>
                    <a:noFill/>
                    <a:ln>
                      <a:noFill/>
                    </a:ln>
                  </pic:spPr>
                </pic:pic>
              </a:graphicData>
            </a:graphic>
          </wp:inline>
        </w:drawing>
      </w:r>
    </w:p>
    <w:p w14:paraId="228F4323" w14:textId="02F49B3C" w:rsidR="0088429D" w:rsidRPr="0088429D" w:rsidRDefault="0088429D" w:rsidP="0088429D">
      <w:pPr>
        <w:pStyle w:val="DHHSbody"/>
      </w:pPr>
      <w:r w:rsidRPr="0088429D">
        <w:lastRenderedPageBreak/>
        <w:t>Four jurisdictions report to STIR</w:t>
      </w:r>
      <w:r w:rsidR="00D65083">
        <w:t>:</w:t>
      </w:r>
      <w:r w:rsidR="0058040B">
        <w:t xml:space="preserve"> Victoria, Tasmania, </w:t>
      </w:r>
      <w:r w:rsidR="002E3367">
        <w:t>Australian Capital Territory and Northern Territory</w:t>
      </w:r>
      <w:r w:rsidRPr="0088429D">
        <w:t xml:space="preserve">. As seen in Figure </w:t>
      </w:r>
      <w:r w:rsidR="004B094B">
        <w:t>2</w:t>
      </w:r>
      <w:r w:rsidRPr="0088429D">
        <w:t>, the number of reports varies in each area</w:t>
      </w:r>
      <w:r w:rsidR="00D65083">
        <w:t>,</w:t>
      </w:r>
      <w:r w:rsidRPr="0088429D">
        <w:t xml:space="preserve"> and this reflects transfusion rates as much as reporting behaviour. </w:t>
      </w:r>
    </w:p>
    <w:p w14:paraId="6D0F63A3" w14:textId="1C66406C" w:rsidR="0088429D" w:rsidRPr="0088429D" w:rsidRDefault="0088429D" w:rsidP="0088429D">
      <w:pPr>
        <w:pStyle w:val="DHHSbody"/>
      </w:pPr>
      <w:r w:rsidRPr="0088429D">
        <w:t xml:space="preserve">Table </w:t>
      </w:r>
      <w:r w:rsidR="00472051">
        <w:t>7</w:t>
      </w:r>
      <w:r w:rsidR="00472051" w:rsidRPr="0088429D">
        <w:t xml:space="preserve"> </w:t>
      </w:r>
      <w:r w:rsidRPr="0088429D">
        <w:t>shows the demographics for all validated reports. As in previous years</w:t>
      </w:r>
      <w:r w:rsidR="00D65083">
        <w:t>,</w:t>
      </w:r>
      <w:r w:rsidRPr="0088429D">
        <w:t xml:space="preserve"> the age range for events is large, with red cells being the most common implicated product.</w:t>
      </w:r>
    </w:p>
    <w:p w14:paraId="026E60D3" w14:textId="19C22C27" w:rsidR="0088429D" w:rsidRPr="0088429D" w:rsidRDefault="0088429D" w:rsidP="0088429D">
      <w:pPr>
        <w:pStyle w:val="DHHStablecaption"/>
        <w:rPr>
          <w:rFonts w:eastAsia="Times"/>
        </w:rPr>
      </w:pPr>
      <w:r w:rsidRPr="0088429D">
        <w:rPr>
          <w:rFonts w:eastAsia="Times"/>
        </w:rPr>
        <w:t xml:space="preserve">Table </w:t>
      </w:r>
      <w:r w:rsidR="00FB0A81">
        <w:rPr>
          <w:rFonts w:eastAsia="Times"/>
        </w:rPr>
        <w:t>7</w:t>
      </w:r>
      <w:r w:rsidRPr="0088429D">
        <w:rPr>
          <w:rFonts w:eastAsia="Times"/>
        </w:rPr>
        <w:t>: Demographics for all validated reports</w:t>
      </w:r>
    </w:p>
    <w:tbl>
      <w:tblPr>
        <w:tblStyle w:val="TableGrid"/>
        <w:tblW w:w="0" w:type="auto"/>
        <w:tblLook w:val="04A0" w:firstRow="1" w:lastRow="0" w:firstColumn="1" w:lastColumn="0" w:noHBand="0" w:noVBand="1"/>
      </w:tblPr>
      <w:tblGrid>
        <w:gridCol w:w="2830"/>
        <w:gridCol w:w="6186"/>
      </w:tblGrid>
      <w:tr w:rsidR="0088429D" w:rsidRPr="0088429D" w14:paraId="38F140DA" w14:textId="77777777" w:rsidTr="0088429D">
        <w:trPr>
          <w:tblHeader/>
        </w:trPr>
        <w:tc>
          <w:tcPr>
            <w:tcW w:w="2830" w:type="dxa"/>
          </w:tcPr>
          <w:p w14:paraId="5F8534D3" w14:textId="77777777" w:rsidR="0088429D" w:rsidRPr="0088429D" w:rsidRDefault="0088429D" w:rsidP="0088429D">
            <w:pPr>
              <w:pStyle w:val="DHHSbody"/>
              <w:rPr>
                <w:b/>
              </w:rPr>
            </w:pPr>
            <w:r w:rsidRPr="0088429D">
              <w:rPr>
                <w:b/>
              </w:rPr>
              <w:t>Demographic</w:t>
            </w:r>
          </w:p>
        </w:tc>
        <w:tc>
          <w:tcPr>
            <w:tcW w:w="6186" w:type="dxa"/>
          </w:tcPr>
          <w:p w14:paraId="14486902" w14:textId="77777777" w:rsidR="0088429D" w:rsidRPr="0088429D" w:rsidRDefault="0088429D" w:rsidP="0088429D">
            <w:pPr>
              <w:pStyle w:val="DHHSbody"/>
              <w:rPr>
                <w:b/>
              </w:rPr>
            </w:pPr>
            <w:r w:rsidRPr="0088429D">
              <w:rPr>
                <w:b/>
              </w:rPr>
              <w:t>Statistic</w:t>
            </w:r>
          </w:p>
        </w:tc>
      </w:tr>
      <w:tr w:rsidR="0088429D" w:rsidRPr="0088429D" w14:paraId="32CF3070" w14:textId="77777777" w:rsidTr="0088429D">
        <w:tc>
          <w:tcPr>
            <w:tcW w:w="2830" w:type="dxa"/>
          </w:tcPr>
          <w:p w14:paraId="1A51BDD8" w14:textId="77777777" w:rsidR="0088429D" w:rsidRPr="0088429D" w:rsidRDefault="0088429D" w:rsidP="0088429D">
            <w:pPr>
              <w:pStyle w:val="DHHSbody"/>
            </w:pPr>
            <w:r w:rsidRPr="0088429D">
              <w:t>Age</w:t>
            </w:r>
          </w:p>
        </w:tc>
        <w:tc>
          <w:tcPr>
            <w:tcW w:w="6186" w:type="dxa"/>
          </w:tcPr>
          <w:p w14:paraId="4CECC85B" w14:textId="4D7BECD6" w:rsidR="0088429D" w:rsidRPr="0088429D" w:rsidRDefault="0088429D" w:rsidP="0088429D">
            <w:pPr>
              <w:pStyle w:val="DHHSbody"/>
            </w:pPr>
            <w:r w:rsidRPr="0088429D">
              <w:t>0–</w:t>
            </w:r>
            <w:r w:rsidR="007916D2">
              <w:t>94</w:t>
            </w:r>
            <w:r w:rsidRPr="0088429D">
              <w:t xml:space="preserve"> years (mean 52 years)</w:t>
            </w:r>
          </w:p>
        </w:tc>
      </w:tr>
      <w:tr w:rsidR="0088429D" w:rsidRPr="0088429D" w14:paraId="5686E351" w14:textId="77777777" w:rsidTr="0088429D">
        <w:tc>
          <w:tcPr>
            <w:tcW w:w="2830" w:type="dxa"/>
          </w:tcPr>
          <w:p w14:paraId="5182094F" w14:textId="77777777" w:rsidR="0088429D" w:rsidRPr="0088429D" w:rsidRDefault="0088429D" w:rsidP="0088429D">
            <w:pPr>
              <w:pStyle w:val="DHHSbody"/>
            </w:pPr>
            <w:r w:rsidRPr="0088429D">
              <w:t>Gender</w:t>
            </w:r>
          </w:p>
        </w:tc>
        <w:tc>
          <w:tcPr>
            <w:tcW w:w="6186" w:type="dxa"/>
          </w:tcPr>
          <w:p w14:paraId="04AC06A0" w14:textId="2639A9FB" w:rsidR="0088429D" w:rsidRPr="0088429D" w:rsidRDefault="0088429D" w:rsidP="007916D2">
            <w:pPr>
              <w:pStyle w:val="DHHSbody"/>
            </w:pPr>
            <w:r w:rsidRPr="0088429D">
              <w:t>Male: 5</w:t>
            </w:r>
            <w:r w:rsidR="007916D2">
              <w:t>4</w:t>
            </w:r>
            <w:r w:rsidRPr="0088429D">
              <w:t xml:space="preserve"> (41%); female: </w:t>
            </w:r>
            <w:r w:rsidR="007916D2">
              <w:t>78</w:t>
            </w:r>
            <w:r w:rsidRPr="0088429D">
              <w:t xml:space="preserve"> (59%)</w:t>
            </w:r>
          </w:p>
        </w:tc>
      </w:tr>
      <w:tr w:rsidR="0088429D" w:rsidRPr="0088429D" w14:paraId="44B6C65C" w14:textId="77777777" w:rsidTr="0088429D">
        <w:tc>
          <w:tcPr>
            <w:tcW w:w="2830" w:type="dxa"/>
          </w:tcPr>
          <w:p w14:paraId="0FCB874D" w14:textId="77777777" w:rsidR="0088429D" w:rsidRPr="0088429D" w:rsidRDefault="0088429D" w:rsidP="0088429D">
            <w:pPr>
              <w:pStyle w:val="DHHSbody"/>
            </w:pPr>
            <w:r w:rsidRPr="0088429D">
              <w:t>Blood products</w:t>
            </w:r>
          </w:p>
        </w:tc>
        <w:tc>
          <w:tcPr>
            <w:tcW w:w="6186" w:type="dxa"/>
          </w:tcPr>
          <w:p w14:paraId="0E124588" w14:textId="694F9263" w:rsidR="0088429D" w:rsidRPr="0088429D" w:rsidRDefault="0088429D" w:rsidP="0088429D">
            <w:pPr>
              <w:pStyle w:val="DHHSbody"/>
            </w:pPr>
            <w:r w:rsidRPr="0088429D">
              <w:t>Red cells: 7</w:t>
            </w:r>
            <w:r w:rsidR="007916D2">
              <w:t>0</w:t>
            </w:r>
            <w:r w:rsidR="0083048A">
              <w:t xml:space="preserve"> </w:t>
            </w:r>
            <w:r w:rsidRPr="0088429D">
              <w:t xml:space="preserve">notifications </w:t>
            </w:r>
          </w:p>
          <w:p w14:paraId="6E021A7E" w14:textId="77777777" w:rsidR="0088429D" w:rsidRPr="0088429D" w:rsidRDefault="0088429D" w:rsidP="0088429D">
            <w:pPr>
              <w:pStyle w:val="DHHSbody"/>
            </w:pPr>
            <w:r w:rsidRPr="0088429D">
              <w:t>Platelets: 14</w:t>
            </w:r>
          </w:p>
          <w:p w14:paraId="61BF346E" w14:textId="0667C8C5" w:rsidR="0088429D" w:rsidRPr="0088429D" w:rsidRDefault="0088429D" w:rsidP="0088429D">
            <w:pPr>
              <w:pStyle w:val="DHHSbody"/>
            </w:pPr>
            <w:r w:rsidRPr="0088429D">
              <w:t xml:space="preserve">Fresh frozen plasma: </w:t>
            </w:r>
            <w:r w:rsidR="007916D2">
              <w:t>6</w:t>
            </w:r>
          </w:p>
          <w:p w14:paraId="7F4B4616" w14:textId="77777777" w:rsidR="0088429D" w:rsidRPr="0088429D" w:rsidRDefault="0088429D" w:rsidP="0088429D">
            <w:pPr>
              <w:pStyle w:val="DHHSbody"/>
            </w:pPr>
            <w:r w:rsidRPr="0088429D">
              <w:t>Cryoprecipitate: 1</w:t>
            </w:r>
          </w:p>
          <w:p w14:paraId="05CCA9F0" w14:textId="77777777" w:rsidR="0088429D" w:rsidRPr="0088429D" w:rsidRDefault="0088429D" w:rsidP="0088429D">
            <w:pPr>
              <w:pStyle w:val="DHHSbody"/>
            </w:pPr>
            <w:r w:rsidRPr="0088429D">
              <w:t>Multiple products: 7</w:t>
            </w:r>
          </w:p>
          <w:p w14:paraId="17A01E0D" w14:textId="77777777" w:rsidR="0088429D" w:rsidRPr="0088429D" w:rsidRDefault="0088429D" w:rsidP="0088429D">
            <w:pPr>
              <w:pStyle w:val="DHHSbody"/>
            </w:pPr>
            <w:proofErr w:type="spellStart"/>
            <w:r w:rsidRPr="0088429D">
              <w:t>RhD</w:t>
            </w:r>
            <w:proofErr w:type="spellEnd"/>
            <w:r w:rsidRPr="0088429D">
              <w:t xml:space="preserve"> Ig: 13</w:t>
            </w:r>
          </w:p>
          <w:p w14:paraId="74ADA599" w14:textId="77777777" w:rsidR="0088429D" w:rsidRPr="0088429D" w:rsidRDefault="0088429D" w:rsidP="0088429D">
            <w:pPr>
              <w:pStyle w:val="DHHSbody"/>
            </w:pPr>
            <w:r w:rsidRPr="0088429D">
              <w:t>Other (includes near miss n = 1 and WBIT n= 20): 21</w:t>
            </w:r>
          </w:p>
        </w:tc>
      </w:tr>
    </w:tbl>
    <w:p w14:paraId="528FE550" w14:textId="77777777" w:rsidR="0088429D" w:rsidRPr="0088429D" w:rsidRDefault="0088429D" w:rsidP="0088429D">
      <w:pPr>
        <w:pStyle w:val="Heading1"/>
        <w:rPr>
          <w:rFonts w:eastAsia="Times"/>
        </w:rPr>
      </w:pPr>
      <w:bookmarkStart w:id="10" w:name="_Toc46304641"/>
      <w:r w:rsidRPr="0088429D">
        <w:rPr>
          <w:rFonts w:eastAsia="Times"/>
        </w:rPr>
        <w:t>Clinical reports</w:t>
      </w:r>
      <w:bookmarkEnd w:id="10"/>
    </w:p>
    <w:p w14:paraId="755D1DB4" w14:textId="09F24F9B" w:rsidR="0088429D" w:rsidRPr="0088429D" w:rsidRDefault="0088429D" w:rsidP="0088429D">
      <w:pPr>
        <w:pStyle w:val="DHHStablecaption"/>
        <w:rPr>
          <w:rFonts w:eastAsia="Times"/>
        </w:rPr>
      </w:pPr>
      <w:r w:rsidRPr="0088429D">
        <w:rPr>
          <w:rFonts w:eastAsia="Times"/>
        </w:rPr>
        <w:t xml:space="preserve">Figure </w:t>
      </w:r>
      <w:r w:rsidR="004B094B">
        <w:rPr>
          <w:rFonts w:eastAsia="Times"/>
        </w:rPr>
        <w:t>3</w:t>
      </w:r>
      <w:r w:rsidRPr="0088429D">
        <w:rPr>
          <w:rFonts w:eastAsia="Times"/>
        </w:rPr>
        <w:t>: Validated clinical events</w:t>
      </w:r>
      <w:r w:rsidR="00D74BC1" w:rsidRPr="00D74BC1">
        <w:t xml:space="preserve"> </w:t>
      </w:r>
      <w:r w:rsidR="00D74BC1" w:rsidRPr="00D74BC1">
        <w:rPr>
          <w:rFonts w:eastAsia="Times"/>
        </w:rPr>
        <w:t>reported to STIR</w:t>
      </w:r>
      <w:r w:rsidR="00D74BC1">
        <w:rPr>
          <w:rFonts w:eastAsia="Times"/>
        </w:rPr>
        <w:t xml:space="preserve"> FY19</w:t>
      </w:r>
    </w:p>
    <w:p w14:paraId="10498BF6" w14:textId="607AB960" w:rsidR="0088429D" w:rsidRPr="0088429D" w:rsidRDefault="007A7E23" w:rsidP="0088429D">
      <w:pPr>
        <w:pStyle w:val="DHHSbody"/>
        <w:rPr>
          <w:b/>
        </w:rPr>
      </w:pPr>
      <w:r>
        <w:rPr>
          <w:b/>
          <w:noProof/>
          <w:lang w:eastAsia="en-AU"/>
        </w:rPr>
        <w:drawing>
          <wp:inline distT="0" distB="0" distL="0" distR="0" wp14:anchorId="1F906C05" wp14:editId="2B7B6015">
            <wp:extent cx="5904230" cy="2569210"/>
            <wp:effectExtent l="0" t="0" r="1270" b="0"/>
            <wp:docPr id="16" name="Picture 16" descr="Breakdown of validated clinical events discussed in this s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reakdown of validated clinical events discussed in this section. "/>
                    <pic:cNvPicPr/>
                  </pic:nvPicPr>
                  <pic:blipFill>
                    <a:blip r:embed="rId20"/>
                    <a:stretch>
                      <a:fillRect/>
                    </a:stretch>
                  </pic:blipFill>
                  <pic:spPr>
                    <a:xfrm>
                      <a:off x="0" y="0"/>
                      <a:ext cx="5904230" cy="2569210"/>
                    </a:xfrm>
                    <a:prstGeom prst="rect">
                      <a:avLst/>
                    </a:prstGeom>
                  </pic:spPr>
                </pic:pic>
              </a:graphicData>
            </a:graphic>
          </wp:inline>
        </w:drawing>
      </w:r>
    </w:p>
    <w:p w14:paraId="708B22B9" w14:textId="1CF94186" w:rsidR="0088429D" w:rsidRPr="0088429D" w:rsidRDefault="0088429D" w:rsidP="0088429D">
      <w:pPr>
        <w:pStyle w:val="DHHSbody"/>
      </w:pPr>
      <w:r w:rsidRPr="0088429D">
        <w:t>In this year’s report, 7</w:t>
      </w:r>
      <w:r w:rsidR="007916D2">
        <w:t>7</w:t>
      </w:r>
      <w:r w:rsidRPr="0088429D">
        <w:t xml:space="preserve"> clinical events were validated from an initial 89 notifications (Figure </w:t>
      </w:r>
      <w:r w:rsidR="004B094B">
        <w:t>3</w:t>
      </w:r>
      <w:r w:rsidRPr="0088429D">
        <w:t>). Allergic reactions make up the largest number of reports with TACO and FNHTR making up the majority of reported reactions.</w:t>
      </w:r>
    </w:p>
    <w:p w14:paraId="24C0028D" w14:textId="77777777" w:rsidR="0088429D" w:rsidRPr="0088429D" w:rsidRDefault="0088429D" w:rsidP="0088429D">
      <w:pPr>
        <w:pStyle w:val="Heading2"/>
        <w:rPr>
          <w:rFonts w:eastAsia="Times"/>
        </w:rPr>
      </w:pPr>
      <w:bookmarkStart w:id="11" w:name="_Toc46304642"/>
      <w:r w:rsidRPr="0088429D">
        <w:rPr>
          <w:rFonts w:eastAsia="Times"/>
        </w:rPr>
        <w:lastRenderedPageBreak/>
        <w:t>Febrile non-haemolytic transfusion reaction (FNHTR)</w:t>
      </w:r>
      <w:bookmarkEnd w:id="11"/>
    </w:p>
    <w:p w14:paraId="752EB210" w14:textId="3A57667F" w:rsidR="0088429D" w:rsidRPr="0088429D" w:rsidRDefault="0088429D" w:rsidP="0088429D">
      <w:pPr>
        <w:pStyle w:val="DHHStablecaption"/>
        <w:rPr>
          <w:rFonts w:eastAsia="Times"/>
        </w:rPr>
      </w:pPr>
      <w:r w:rsidRPr="0088429D">
        <w:rPr>
          <w:rFonts w:eastAsia="Times"/>
        </w:rPr>
        <w:t xml:space="preserve">Table </w:t>
      </w:r>
      <w:r w:rsidR="00FB0A81">
        <w:rPr>
          <w:rFonts w:eastAsia="Times"/>
        </w:rPr>
        <w:t>8</w:t>
      </w:r>
      <w:r w:rsidRPr="0088429D">
        <w:rPr>
          <w:rFonts w:eastAsia="Times"/>
        </w:rPr>
        <w:t>: Data summary – febrile non-haemolytic transfusion reaction, n = </w:t>
      </w:r>
      <w:r w:rsidR="007916D2" w:rsidRPr="0088429D">
        <w:rPr>
          <w:rFonts w:eastAsia="Times"/>
        </w:rPr>
        <w:t>1</w:t>
      </w:r>
      <w:r w:rsidR="007916D2">
        <w:rPr>
          <w:rFonts w:eastAsia="Times"/>
        </w:rPr>
        <w:t>6</w:t>
      </w:r>
    </w:p>
    <w:tbl>
      <w:tblPr>
        <w:tblStyle w:val="TableGrid"/>
        <w:tblW w:w="0" w:type="auto"/>
        <w:tblLook w:val="04A0" w:firstRow="1" w:lastRow="0" w:firstColumn="1" w:lastColumn="0" w:noHBand="0" w:noVBand="1"/>
      </w:tblPr>
      <w:tblGrid>
        <w:gridCol w:w="1980"/>
        <w:gridCol w:w="981"/>
        <w:gridCol w:w="1342"/>
      </w:tblGrid>
      <w:tr w:rsidR="0088429D" w:rsidRPr="0088429D" w14:paraId="13BABDEF" w14:textId="77777777" w:rsidTr="0088429D">
        <w:trPr>
          <w:tblHeader/>
        </w:trPr>
        <w:tc>
          <w:tcPr>
            <w:tcW w:w="1980" w:type="dxa"/>
          </w:tcPr>
          <w:p w14:paraId="1B71FDA9" w14:textId="77777777" w:rsidR="0088429D" w:rsidRPr="0088429D" w:rsidRDefault="0088429D" w:rsidP="0088429D">
            <w:pPr>
              <w:pStyle w:val="DHHSbody"/>
              <w:rPr>
                <w:b/>
              </w:rPr>
            </w:pPr>
            <w:r w:rsidRPr="0088429D">
              <w:rPr>
                <w:b/>
              </w:rPr>
              <w:t>Characteristic</w:t>
            </w:r>
          </w:p>
        </w:tc>
        <w:tc>
          <w:tcPr>
            <w:tcW w:w="981" w:type="dxa"/>
          </w:tcPr>
          <w:p w14:paraId="7F1CFAF5" w14:textId="77777777" w:rsidR="0088429D" w:rsidRPr="0088429D" w:rsidRDefault="0088429D" w:rsidP="0088429D">
            <w:pPr>
              <w:pStyle w:val="DHHSbody"/>
              <w:rPr>
                <w:b/>
              </w:rPr>
            </w:pPr>
            <w:r w:rsidRPr="0088429D">
              <w:rPr>
                <w:b/>
              </w:rPr>
              <w:t>Number</w:t>
            </w:r>
          </w:p>
        </w:tc>
        <w:tc>
          <w:tcPr>
            <w:tcW w:w="1342" w:type="dxa"/>
          </w:tcPr>
          <w:p w14:paraId="15D47C8C" w14:textId="77777777" w:rsidR="0088429D" w:rsidRPr="0088429D" w:rsidRDefault="0088429D" w:rsidP="0088429D">
            <w:pPr>
              <w:pStyle w:val="DHHSbody"/>
              <w:rPr>
                <w:b/>
              </w:rPr>
            </w:pPr>
            <w:r w:rsidRPr="0088429D">
              <w:rPr>
                <w:b/>
              </w:rPr>
              <w:t>Percentage</w:t>
            </w:r>
          </w:p>
        </w:tc>
      </w:tr>
      <w:tr w:rsidR="0088429D" w:rsidRPr="0088429D" w14:paraId="20AA4A7E" w14:textId="77777777" w:rsidTr="0088429D">
        <w:tc>
          <w:tcPr>
            <w:tcW w:w="1980" w:type="dxa"/>
          </w:tcPr>
          <w:p w14:paraId="7E1540B4" w14:textId="77777777" w:rsidR="0088429D" w:rsidRPr="0088429D" w:rsidRDefault="0088429D" w:rsidP="0088429D">
            <w:pPr>
              <w:pStyle w:val="DHHSbody"/>
            </w:pPr>
            <w:r w:rsidRPr="0088429D">
              <w:t>Age: &lt; 1 year</w:t>
            </w:r>
          </w:p>
        </w:tc>
        <w:tc>
          <w:tcPr>
            <w:tcW w:w="981" w:type="dxa"/>
          </w:tcPr>
          <w:p w14:paraId="10603327" w14:textId="77777777" w:rsidR="0088429D" w:rsidRPr="0088429D" w:rsidRDefault="0088429D" w:rsidP="00F1796C">
            <w:pPr>
              <w:pStyle w:val="DHHSbody"/>
              <w:jc w:val="right"/>
            </w:pPr>
            <w:r w:rsidRPr="0088429D">
              <w:t>-</w:t>
            </w:r>
          </w:p>
        </w:tc>
        <w:tc>
          <w:tcPr>
            <w:tcW w:w="1342" w:type="dxa"/>
          </w:tcPr>
          <w:p w14:paraId="55971916" w14:textId="77777777" w:rsidR="0088429D" w:rsidRPr="0088429D" w:rsidRDefault="0088429D" w:rsidP="00F1796C">
            <w:pPr>
              <w:pStyle w:val="DHHSbody"/>
              <w:jc w:val="right"/>
            </w:pPr>
            <w:r w:rsidRPr="0088429D">
              <w:t>-</w:t>
            </w:r>
          </w:p>
        </w:tc>
      </w:tr>
      <w:tr w:rsidR="0088429D" w:rsidRPr="0088429D" w14:paraId="6F69DDB6" w14:textId="77777777" w:rsidTr="0088429D">
        <w:tc>
          <w:tcPr>
            <w:tcW w:w="1980" w:type="dxa"/>
          </w:tcPr>
          <w:p w14:paraId="3FF89406" w14:textId="77777777" w:rsidR="0088429D" w:rsidRPr="0088429D" w:rsidRDefault="0088429D" w:rsidP="0088429D">
            <w:pPr>
              <w:pStyle w:val="DHHSbody"/>
            </w:pPr>
            <w:r w:rsidRPr="0088429D">
              <w:t>Age: 1–18 years</w:t>
            </w:r>
          </w:p>
        </w:tc>
        <w:tc>
          <w:tcPr>
            <w:tcW w:w="981" w:type="dxa"/>
          </w:tcPr>
          <w:p w14:paraId="3E537243" w14:textId="77777777" w:rsidR="0088429D" w:rsidRPr="0088429D" w:rsidRDefault="0088429D" w:rsidP="00F1796C">
            <w:pPr>
              <w:pStyle w:val="DHHSbody"/>
              <w:jc w:val="right"/>
            </w:pPr>
            <w:r w:rsidRPr="0088429D">
              <w:t>-</w:t>
            </w:r>
          </w:p>
        </w:tc>
        <w:tc>
          <w:tcPr>
            <w:tcW w:w="1342" w:type="dxa"/>
          </w:tcPr>
          <w:p w14:paraId="22534424" w14:textId="77777777" w:rsidR="0088429D" w:rsidRPr="0088429D" w:rsidRDefault="0088429D" w:rsidP="00F1796C">
            <w:pPr>
              <w:pStyle w:val="DHHSbody"/>
              <w:jc w:val="right"/>
            </w:pPr>
            <w:r w:rsidRPr="0088429D">
              <w:t>-</w:t>
            </w:r>
          </w:p>
        </w:tc>
      </w:tr>
      <w:tr w:rsidR="0088429D" w:rsidRPr="0088429D" w14:paraId="2BE8822B" w14:textId="77777777" w:rsidTr="0088429D">
        <w:tc>
          <w:tcPr>
            <w:tcW w:w="1980" w:type="dxa"/>
          </w:tcPr>
          <w:p w14:paraId="4B6B77A4" w14:textId="77777777" w:rsidR="0088429D" w:rsidRPr="0088429D" w:rsidRDefault="0088429D" w:rsidP="0088429D">
            <w:pPr>
              <w:pStyle w:val="DHHSbody"/>
            </w:pPr>
            <w:r w:rsidRPr="0088429D">
              <w:t>Age: 19–29 years</w:t>
            </w:r>
          </w:p>
        </w:tc>
        <w:tc>
          <w:tcPr>
            <w:tcW w:w="981" w:type="dxa"/>
          </w:tcPr>
          <w:p w14:paraId="74D9B766" w14:textId="77777777" w:rsidR="0088429D" w:rsidRPr="0088429D" w:rsidRDefault="0088429D" w:rsidP="00F1796C">
            <w:pPr>
              <w:pStyle w:val="DHHSbody"/>
              <w:jc w:val="right"/>
            </w:pPr>
            <w:r w:rsidRPr="0088429D">
              <w:t>-</w:t>
            </w:r>
          </w:p>
        </w:tc>
        <w:tc>
          <w:tcPr>
            <w:tcW w:w="1342" w:type="dxa"/>
          </w:tcPr>
          <w:p w14:paraId="5F5DC8AD" w14:textId="77777777" w:rsidR="0088429D" w:rsidRPr="0088429D" w:rsidRDefault="0088429D" w:rsidP="00F1796C">
            <w:pPr>
              <w:pStyle w:val="DHHSbody"/>
              <w:jc w:val="right"/>
            </w:pPr>
            <w:r w:rsidRPr="0088429D">
              <w:t>-</w:t>
            </w:r>
          </w:p>
        </w:tc>
      </w:tr>
      <w:tr w:rsidR="0088429D" w:rsidRPr="0088429D" w14:paraId="66FA3852" w14:textId="77777777" w:rsidTr="0088429D">
        <w:tc>
          <w:tcPr>
            <w:tcW w:w="1980" w:type="dxa"/>
          </w:tcPr>
          <w:p w14:paraId="11D685FD" w14:textId="77777777" w:rsidR="0088429D" w:rsidRPr="0088429D" w:rsidRDefault="0088429D" w:rsidP="0088429D">
            <w:pPr>
              <w:pStyle w:val="DHHSbody"/>
            </w:pPr>
            <w:r w:rsidRPr="0088429D">
              <w:t>Age: 30–49 years</w:t>
            </w:r>
          </w:p>
        </w:tc>
        <w:tc>
          <w:tcPr>
            <w:tcW w:w="981" w:type="dxa"/>
          </w:tcPr>
          <w:p w14:paraId="6DDEF0A2" w14:textId="77777777" w:rsidR="0088429D" w:rsidRPr="0088429D" w:rsidRDefault="0088429D" w:rsidP="00F1796C">
            <w:pPr>
              <w:pStyle w:val="DHHSbody"/>
              <w:jc w:val="right"/>
            </w:pPr>
            <w:r w:rsidRPr="0088429D">
              <w:t>-</w:t>
            </w:r>
          </w:p>
        </w:tc>
        <w:tc>
          <w:tcPr>
            <w:tcW w:w="1342" w:type="dxa"/>
          </w:tcPr>
          <w:p w14:paraId="1CC259C2" w14:textId="77777777" w:rsidR="0088429D" w:rsidRPr="0088429D" w:rsidRDefault="0088429D" w:rsidP="00F1796C">
            <w:pPr>
              <w:pStyle w:val="DHHSbody"/>
              <w:jc w:val="right"/>
            </w:pPr>
            <w:r w:rsidRPr="0088429D">
              <w:t>-</w:t>
            </w:r>
          </w:p>
        </w:tc>
      </w:tr>
      <w:tr w:rsidR="0088429D" w:rsidRPr="0088429D" w14:paraId="3226448C" w14:textId="77777777" w:rsidTr="0088429D">
        <w:tc>
          <w:tcPr>
            <w:tcW w:w="1980" w:type="dxa"/>
          </w:tcPr>
          <w:p w14:paraId="284FA19E" w14:textId="77777777" w:rsidR="0088429D" w:rsidRPr="0088429D" w:rsidRDefault="0088429D" w:rsidP="0088429D">
            <w:pPr>
              <w:pStyle w:val="DHHSbody"/>
            </w:pPr>
            <w:r w:rsidRPr="0088429D">
              <w:t>Age: 50–69 years</w:t>
            </w:r>
          </w:p>
        </w:tc>
        <w:tc>
          <w:tcPr>
            <w:tcW w:w="981" w:type="dxa"/>
          </w:tcPr>
          <w:p w14:paraId="11F7FF98" w14:textId="77777777" w:rsidR="0088429D" w:rsidRPr="0088429D" w:rsidRDefault="0088429D" w:rsidP="00F1796C">
            <w:pPr>
              <w:pStyle w:val="DHHSbody"/>
              <w:jc w:val="right"/>
            </w:pPr>
            <w:r w:rsidRPr="0088429D">
              <w:t>6</w:t>
            </w:r>
          </w:p>
        </w:tc>
        <w:tc>
          <w:tcPr>
            <w:tcW w:w="1342" w:type="dxa"/>
          </w:tcPr>
          <w:p w14:paraId="721531D9" w14:textId="60DBE2F3" w:rsidR="0088429D" w:rsidRPr="0088429D" w:rsidRDefault="0088429D" w:rsidP="00F1796C">
            <w:pPr>
              <w:pStyle w:val="DHHSbody"/>
              <w:jc w:val="right"/>
            </w:pPr>
            <w:r w:rsidRPr="0088429D">
              <w:t>3</w:t>
            </w:r>
            <w:r w:rsidR="007916D2">
              <w:t>8</w:t>
            </w:r>
            <w:r w:rsidRPr="0088429D">
              <w:t>%</w:t>
            </w:r>
          </w:p>
        </w:tc>
      </w:tr>
      <w:tr w:rsidR="0088429D" w:rsidRPr="0088429D" w14:paraId="7473D44A" w14:textId="77777777" w:rsidTr="0088429D">
        <w:tc>
          <w:tcPr>
            <w:tcW w:w="1980" w:type="dxa"/>
          </w:tcPr>
          <w:p w14:paraId="01208C4D" w14:textId="77777777" w:rsidR="0088429D" w:rsidRPr="0088429D" w:rsidRDefault="0088429D" w:rsidP="0088429D">
            <w:pPr>
              <w:pStyle w:val="DHHSbody"/>
            </w:pPr>
            <w:r w:rsidRPr="0088429D">
              <w:t>Age: 70–79 years</w:t>
            </w:r>
          </w:p>
        </w:tc>
        <w:tc>
          <w:tcPr>
            <w:tcW w:w="981" w:type="dxa"/>
          </w:tcPr>
          <w:p w14:paraId="58B3067E" w14:textId="77777777" w:rsidR="0088429D" w:rsidRPr="0088429D" w:rsidRDefault="0088429D" w:rsidP="00F1796C">
            <w:pPr>
              <w:pStyle w:val="DHHSbody"/>
              <w:jc w:val="right"/>
            </w:pPr>
            <w:r w:rsidRPr="0088429D">
              <w:t>6</w:t>
            </w:r>
          </w:p>
        </w:tc>
        <w:tc>
          <w:tcPr>
            <w:tcW w:w="1342" w:type="dxa"/>
          </w:tcPr>
          <w:p w14:paraId="670CE32B" w14:textId="6E9E7ABD" w:rsidR="0088429D" w:rsidRPr="0088429D" w:rsidRDefault="0088429D" w:rsidP="00F1796C">
            <w:pPr>
              <w:pStyle w:val="DHHSbody"/>
              <w:jc w:val="right"/>
            </w:pPr>
            <w:r w:rsidRPr="0088429D">
              <w:t>3</w:t>
            </w:r>
            <w:r w:rsidR="007916D2">
              <w:t>8</w:t>
            </w:r>
            <w:r w:rsidRPr="0088429D">
              <w:t>%</w:t>
            </w:r>
          </w:p>
        </w:tc>
      </w:tr>
      <w:tr w:rsidR="0088429D" w:rsidRPr="0088429D" w14:paraId="095BC4DC" w14:textId="77777777" w:rsidTr="0088429D">
        <w:tc>
          <w:tcPr>
            <w:tcW w:w="1980" w:type="dxa"/>
          </w:tcPr>
          <w:p w14:paraId="1AA41BC3" w14:textId="77777777" w:rsidR="0088429D" w:rsidRPr="0088429D" w:rsidRDefault="0088429D" w:rsidP="0088429D">
            <w:pPr>
              <w:pStyle w:val="DHHSbody"/>
            </w:pPr>
            <w:r w:rsidRPr="0088429D">
              <w:t>Age: 80+ years</w:t>
            </w:r>
          </w:p>
        </w:tc>
        <w:tc>
          <w:tcPr>
            <w:tcW w:w="981" w:type="dxa"/>
          </w:tcPr>
          <w:p w14:paraId="24C9CB81" w14:textId="50D7852B" w:rsidR="0088429D" w:rsidRPr="0088429D" w:rsidRDefault="007916D2" w:rsidP="00F1796C">
            <w:pPr>
              <w:pStyle w:val="DHHSbody"/>
              <w:jc w:val="right"/>
            </w:pPr>
            <w:r>
              <w:t>4</w:t>
            </w:r>
          </w:p>
        </w:tc>
        <w:tc>
          <w:tcPr>
            <w:tcW w:w="1342" w:type="dxa"/>
          </w:tcPr>
          <w:p w14:paraId="6C90C829" w14:textId="771C9AA9" w:rsidR="0088429D" w:rsidRPr="0088429D" w:rsidRDefault="0088429D" w:rsidP="00F1796C">
            <w:pPr>
              <w:pStyle w:val="DHHSbody"/>
              <w:jc w:val="right"/>
            </w:pPr>
            <w:r w:rsidRPr="0088429D">
              <w:t>2</w:t>
            </w:r>
            <w:r w:rsidR="007916D2">
              <w:t>5</w:t>
            </w:r>
            <w:r w:rsidRPr="0088429D">
              <w:t>%</w:t>
            </w:r>
          </w:p>
        </w:tc>
      </w:tr>
      <w:tr w:rsidR="0088429D" w:rsidRPr="0088429D" w14:paraId="659B94B8" w14:textId="77777777" w:rsidTr="0088429D">
        <w:tc>
          <w:tcPr>
            <w:tcW w:w="1980" w:type="dxa"/>
            <w:shd w:val="clear" w:color="auto" w:fill="E7E6E6" w:themeFill="background2"/>
          </w:tcPr>
          <w:p w14:paraId="209BD80F" w14:textId="77777777" w:rsidR="0088429D" w:rsidRPr="0088429D" w:rsidRDefault="0088429D" w:rsidP="0088429D">
            <w:pPr>
              <w:pStyle w:val="DHHSbody"/>
            </w:pPr>
            <w:r w:rsidRPr="0088429D">
              <w:t>Gender: male</w:t>
            </w:r>
          </w:p>
        </w:tc>
        <w:tc>
          <w:tcPr>
            <w:tcW w:w="981" w:type="dxa"/>
            <w:shd w:val="clear" w:color="auto" w:fill="E7E6E6" w:themeFill="background2"/>
          </w:tcPr>
          <w:p w14:paraId="15BC6A67" w14:textId="1F662FA5" w:rsidR="0088429D" w:rsidRPr="0088429D" w:rsidRDefault="007916D2" w:rsidP="00F1796C">
            <w:pPr>
              <w:pStyle w:val="DHHSbody"/>
              <w:jc w:val="right"/>
            </w:pPr>
            <w:r>
              <w:t>9</w:t>
            </w:r>
          </w:p>
        </w:tc>
        <w:tc>
          <w:tcPr>
            <w:tcW w:w="1342" w:type="dxa"/>
            <w:shd w:val="clear" w:color="auto" w:fill="E7E6E6" w:themeFill="background2"/>
          </w:tcPr>
          <w:p w14:paraId="784AB8AC" w14:textId="2E3E964C" w:rsidR="0088429D" w:rsidRPr="0088429D" w:rsidRDefault="0088429D" w:rsidP="00F1796C">
            <w:pPr>
              <w:pStyle w:val="DHHSbody"/>
              <w:jc w:val="right"/>
            </w:pPr>
            <w:r w:rsidRPr="0088429D">
              <w:t>5</w:t>
            </w:r>
            <w:r w:rsidR="007916D2">
              <w:t>6</w:t>
            </w:r>
            <w:r w:rsidRPr="0088429D">
              <w:t>%</w:t>
            </w:r>
          </w:p>
        </w:tc>
      </w:tr>
      <w:tr w:rsidR="0088429D" w:rsidRPr="0088429D" w14:paraId="744268B6" w14:textId="77777777" w:rsidTr="0088429D">
        <w:tc>
          <w:tcPr>
            <w:tcW w:w="1980" w:type="dxa"/>
            <w:shd w:val="clear" w:color="auto" w:fill="E7E6E6" w:themeFill="background2"/>
          </w:tcPr>
          <w:p w14:paraId="1CA548F6" w14:textId="77777777" w:rsidR="0088429D" w:rsidRPr="0088429D" w:rsidRDefault="0088429D" w:rsidP="0088429D">
            <w:pPr>
              <w:pStyle w:val="DHHSbody"/>
            </w:pPr>
            <w:r w:rsidRPr="0088429D">
              <w:t>Gender: female</w:t>
            </w:r>
          </w:p>
        </w:tc>
        <w:tc>
          <w:tcPr>
            <w:tcW w:w="981" w:type="dxa"/>
            <w:shd w:val="clear" w:color="auto" w:fill="E7E6E6" w:themeFill="background2"/>
          </w:tcPr>
          <w:p w14:paraId="0BECD159" w14:textId="77777777" w:rsidR="0088429D" w:rsidRPr="0088429D" w:rsidRDefault="0088429D" w:rsidP="00F1796C">
            <w:pPr>
              <w:pStyle w:val="DHHSbody"/>
              <w:jc w:val="right"/>
            </w:pPr>
            <w:r w:rsidRPr="0088429D">
              <w:t>7</w:t>
            </w:r>
          </w:p>
        </w:tc>
        <w:tc>
          <w:tcPr>
            <w:tcW w:w="1342" w:type="dxa"/>
            <w:shd w:val="clear" w:color="auto" w:fill="E7E6E6" w:themeFill="background2"/>
          </w:tcPr>
          <w:p w14:paraId="1727FDDB" w14:textId="3218B4C8" w:rsidR="0088429D" w:rsidRPr="0088429D" w:rsidRDefault="0088429D" w:rsidP="00F1796C">
            <w:pPr>
              <w:pStyle w:val="DHHSbody"/>
              <w:jc w:val="right"/>
            </w:pPr>
            <w:r w:rsidRPr="0088429D">
              <w:t>4</w:t>
            </w:r>
            <w:r w:rsidR="007916D2">
              <w:t>4</w:t>
            </w:r>
            <w:r w:rsidRPr="0088429D">
              <w:t>%</w:t>
            </w:r>
          </w:p>
        </w:tc>
      </w:tr>
      <w:tr w:rsidR="0088429D" w:rsidRPr="0088429D" w14:paraId="7A2071BC" w14:textId="77777777" w:rsidTr="0088429D">
        <w:tc>
          <w:tcPr>
            <w:tcW w:w="1980" w:type="dxa"/>
          </w:tcPr>
          <w:p w14:paraId="32B80A20" w14:textId="77777777" w:rsidR="0088429D" w:rsidRPr="0088429D" w:rsidRDefault="0088429D" w:rsidP="0088429D">
            <w:pPr>
              <w:pStyle w:val="DHHSbody"/>
            </w:pPr>
            <w:r w:rsidRPr="0088429D">
              <w:t>Implicated blood product: red cells</w:t>
            </w:r>
            <w:r w:rsidRPr="0088429D">
              <w:rPr>
                <w:vertAlign w:val="superscript"/>
              </w:rPr>
              <w:footnoteReference w:id="2"/>
            </w:r>
          </w:p>
        </w:tc>
        <w:tc>
          <w:tcPr>
            <w:tcW w:w="981" w:type="dxa"/>
          </w:tcPr>
          <w:p w14:paraId="596938C7" w14:textId="78DC27F5" w:rsidR="0088429D" w:rsidRPr="0088429D" w:rsidRDefault="0088429D" w:rsidP="00F1796C">
            <w:pPr>
              <w:pStyle w:val="DHHSbody"/>
              <w:jc w:val="right"/>
            </w:pPr>
            <w:r w:rsidRPr="0088429D">
              <w:t>1</w:t>
            </w:r>
            <w:r w:rsidR="00154AB4">
              <w:t>5</w:t>
            </w:r>
          </w:p>
        </w:tc>
        <w:tc>
          <w:tcPr>
            <w:tcW w:w="1342" w:type="dxa"/>
          </w:tcPr>
          <w:p w14:paraId="34B40B40" w14:textId="77777777" w:rsidR="0088429D" w:rsidRPr="0088429D" w:rsidRDefault="0088429D" w:rsidP="00F1796C">
            <w:pPr>
              <w:pStyle w:val="DHHSbody"/>
              <w:jc w:val="right"/>
            </w:pPr>
            <w:r w:rsidRPr="0088429D">
              <w:t>94%</w:t>
            </w:r>
          </w:p>
        </w:tc>
      </w:tr>
      <w:tr w:rsidR="0088429D" w:rsidRPr="0088429D" w14:paraId="2A1B9498" w14:textId="77777777" w:rsidTr="0088429D">
        <w:tc>
          <w:tcPr>
            <w:tcW w:w="1980" w:type="dxa"/>
          </w:tcPr>
          <w:p w14:paraId="49B8312F" w14:textId="77777777" w:rsidR="0088429D" w:rsidRPr="0088429D" w:rsidRDefault="0088429D" w:rsidP="0088429D">
            <w:pPr>
              <w:pStyle w:val="DHHSbody"/>
            </w:pPr>
            <w:r w:rsidRPr="0088429D">
              <w:t>Implicated blood product: platelets</w:t>
            </w:r>
          </w:p>
        </w:tc>
        <w:tc>
          <w:tcPr>
            <w:tcW w:w="981" w:type="dxa"/>
          </w:tcPr>
          <w:p w14:paraId="3A43A387" w14:textId="77777777" w:rsidR="0088429D" w:rsidRPr="0088429D" w:rsidRDefault="0088429D" w:rsidP="00F1796C">
            <w:pPr>
              <w:pStyle w:val="DHHSbody"/>
              <w:jc w:val="right"/>
            </w:pPr>
            <w:r w:rsidRPr="0088429D">
              <w:t>2</w:t>
            </w:r>
          </w:p>
        </w:tc>
        <w:tc>
          <w:tcPr>
            <w:tcW w:w="1342" w:type="dxa"/>
          </w:tcPr>
          <w:p w14:paraId="4FE54882" w14:textId="77777777" w:rsidR="0088429D" w:rsidRPr="0088429D" w:rsidRDefault="0088429D" w:rsidP="00F1796C">
            <w:pPr>
              <w:pStyle w:val="DHHSbody"/>
              <w:jc w:val="right"/>
            </w:pPr>
            <w:r w:rsidRPr="0088429D">
              <w:t>12%</w:t>
            </w:r>
          </w:p>
        </w:tc>
      </w:tr>
    </w:tbl>
    <w:p w14:paraId="0F0954AE" w14:textId="4603DC32" w:rsidR="0088429D" w:rsidRPr="0088429D" w:rsidRDefault="0088429D" w:rsidP="0088429D">
      <w:pPr>
        <w:pStyle w:val="DHHStablecaption"/>
        <w:rPr>
          <w:rFonts w:eastAsia="Times"/>
        </w:rPr>
      </w:pPr>
      <w:r w:rsidRPr="0088429D">
        <w:rPr>
          <w:rFonts w:eastAsia="Times"/>
        </w:rPr>
        <w:t xml:space="preserve">Table </w:t>
      </w:r>
      <w:r w:rsidR="00FB0A81">
        <w:rPr>
          <w:rFonts w:eastAsia="Times"/>
        </w:rPr>
        <w:t>9</w:t>
      </w:r>
      <w:r w:rsidRPr="0088429D">
        <w:rPr>
          <w:rFonts w:eastAsia="Times"/>
        </w:rPr>
        <w:t xml:space="preserve">: Severity rating and </w:t>
      </w:r>
      <w:proofErr w:type="spellStart"/>
      <w:r w:rsidRPr="0088429D">
        <w:rPr>
          <w:rFonts w:eastAsia="Times"/>
        </w:rPr>
        <w:t>imputability</w:t>
      </w:r>
      <w:proofErr w:type="spellEnd"/>
      <w:r w:rsidRPr="0088429D">
        <w:rPr>
          <w:rFonts w:eastAsia="Times"/>
        </w:rPr>
        <w:t xml:space="preserve"> – febrile non-haemolytic transfusion reaction</w:t>
      </w:r>
    </w:p>
    <w:tbl>
      <w:tblPr>
        <w:tblStyle w:val="TableGrid"/>
        <w:tblW w:w="0" w:type="auto"/>
        <w:tblLook w:val="04A0" w:firstRow="1" w:lastRow="0" w:firstColumn="1" w:lastColumn="0" w:noHBand="0" w:noVBand="1"/>
      </w:tblPr>
      <w:tblGrid>
        <w:gridCol w:w="1764"/>
        <w:gridCol w:w="1783"/>
        <w:gridCol w:w="1892"/>
        <w:gridCol w:w="1828"/>
        <w:gridCol w:w="1749"/>
      </w:tblGrid>
      <w:tr w:rsidR="0088429D" w:rsidRPr="0088429D" w14:paraId="7F415B9C" w14:textId="77777777" w:rsidTr="0088429D">
        <w:trPr>
          <w:tblHeader/>
        </w:trPr>
        <w:tc>
          <w:tcPr>
            <w:tcW w:w="1764" w:type="dxa"/>
          </w:tcPr>
          <w:p w14:paraId="74024A4F" w14:textId="77777777" w:rsidR="0088429D" w:rsidRPr="0088429D" w:rsidRDefault="0088429D" w:rsidP="0088429D">
            <w:pPr>
              <w:pStyle w:val="DHHSbody"/>
              <w:rPr>
                <w:b/>
              </w:rPr>
            </w:pPr>
            <w:r w:rsidRPr="0088429D">
              <w:rPr>
                <w:b/>
              </w:rPr>
              <w:t>Severity rating</w:t>
            </w:r>
          </w:p>
        </w:tc>
        <w:tc>
          <w:tcPr>
            <w:tcW w:w="1783" w:type="dxa"/>
          </w:tcPr>
          <w:p w14:paraId="16E9B442" w14:textId="77777777" w:rsidR="0088429D" w:rsidRPr="0088429D" w:rsidRDefault="0088429D" w:rsidP="0088429D">
            <w:pPr>
              <w:pStyle w:val="DHHSbody"/>
              <w:rPr>
                <w:b/>
              </w:rPr>
            </w:pPr>
            <w:proofErr w:type="spellStart"/>
            <w:r w:rsidRPr="0088429D">
              <w:rPr>
                <w:b/>
              </w:rPr>
              <w:t>Imputability</w:t>
            </w:r>
            <w:proofErr w:type="spellEnd"/>
            <w:r w:rsidRPr="0088429D">
              <w:rPr>
                <w:b/>
              </w:rPr>
              <w:t>:</w:t>
            </w:r>
            <w:r w:rsidRPr="0088429D">
              <w:rPr>
                <w:b/>
              </w:rPr>
              <w:br/>
              <w:t>certainly</w:t>
            </w:r>
          </w:p>
        </w:tc>
        <w:tc>
          <w:tcPr>
            <w:tcW w:w="1892" w:type="dxa"/>
          </w:tcPr>
          <w:p w14:paraId="1EB50FAF" w14:textId="77777777" w:rsidR="0088429D" w:rsidRPr="0088429D" w:rsidRDefault="0088429D" w:rsidP="0088429D">
            <w:pPr>
              <w:pStyle w:val="DHHSbody"/>
              <w:rPr>
                <w:b/>
              </w:rPr>
            </w:pPr>
            <w:proofErr w:type="spellStart"/>
            <w:r w:rsidRPr="0088429D">
              <w:rPr>
                <w:b/>
              </w:rPr>
              <w:t>Imputability</w:t>
            </w:r>
            <w:proofErr w:type="spellEnd"/>
            <w:r w:rsidRPr="0088429D">
              <w:rPr>
                <w:b/>
              </w:rPr>
              <w:t>:</w:t>
            </w:r>
            <w:r w:rsidRPr="0088429D">
              <w:rPr>
                <w:b/>
              </w:rPr>
              <w:br/>
              <w:t>probably</w:t>
            </w:r>
          </w:p>
        </w:tc>
        <w:tc>
          <w:tcPr>
            <w:tcW w:w="1828" w:type="dxa"/>
          </w:tcPr>
          <w:p w14:paraId="23277FE6" w14:textId="77777777" w:rsidR="0088429D" w:rsidRPr="0088429D" w:rsidRDefault="0088429D" w:rsidP="0088429D">
            <w:pPr>
              <w:pStyle w:val="DHHSbody"/>
              <w:rPr>
                <w:b/>
              </w:rPr>
            </w:pPr>
            <w:proofErr w:type="spellStart"/>
            <w:r w:rsidRPr="0088429D">
              <w:rPr>
                <w:b/>
              </w:rPr>
              <w:t>Imputability</w:t>
            </w:r>
            <w:proofErr w:type="spellEnd"/>
            <w:r w:rsidRPr="0088429D">
              <w:rPr>
                <w:b/>
              </w:rPr>
              <w:t>:</w:t>
            </w:r>
            <w:r w:rsidRPr="0088429D">
              <w:rPr>
                <w:b/>
              </w:rPr>
              <w:br/>
              <w:t>possibly</w:t>
            </w:r>
          </w:p>
        </w:tc>
        <w:tc>
          <w:tcPr>
            <w:tcW w:w="1749" w:type="dxa"/>
          </w:tcPr>
          <w:p w14:paraId="3D624D6E" w14:textId="77777777" w:rsidR="0088429D" w:rsidRPr="0088429D" w:rsidRDefault="0088429D" w:rsidP="0088429D">
            <w:pPr>
              <w:pStyle w:val="DHHSbody"/>
              <w:rPr>
                <w:b/>
              </w:rPr>
            </w:pPr>
            <w:r w:rsidRPr="0088429D">
              <w:rPr>
                <w:b/>
              </w:rPr>
              <w:t>Total</w:t>
            </w:r>
          </w:p>
        </w:tc>
      </w:tr>
      <w:tr w:rsidR="0088429D" w:rsidRPr="0088429D" w14:paraId="33387C0C" w14:textId="77777777" w:rsidTr="0088429D">
        <w:tc>
          <w:tcPr>
            <w:tcW w:w="1764" w:type="dxa"/>
          </w:tcPr>
          <w:p w14:paraId="09646A09" w14:textId="77777777" w:rsidR="0088429D" w:rsidRPr="0088429D" w:rsidRDefault="0088429D" w:rsidP="0088429D">
            <w:pPr>
              <w:pStyle w:val="DHHSbody"/>
            </w:pPr>
            <w:r w:rsidRPr="0088429D">
              <w:t>SR 1</w:t>
            </w:r>
          </w:p>
        </w:tc>
        <w:tc>
          <w:tcPr>
            <w:tcW w:w="1783" w:type="dxa"/>
          </w:tcPr>
          <w:p w14:paraId="6C448035" w14:textId="77777777" w:rsidR="0088429D" w:rsidRPr="0088429D" w:rsidRDefault="0088429D" w:rsidP="00F1796C">
            <w:pPr>
              <w:pStyle w:val="DHHSbody"/>
              <w:jc w:val="right"/>
            </w:pPr>
            <w:r w:rsidRPr="0088429D">
              <w:t>-</w:t>
            </w:r>
          </w:p>
        </w:tc>
        <w:tc>
          <w:tcPr>
            <w:tcW w:w="1892" w:type="dxa"/>
          </w:tcPr>
          <w:p w14:paraId="1AF76026" w14:textId="77777777" w:rsidR="0088429D" w:rsidRPr="0088429D" w:rsidRDefault="0088429D" w:rsidP="00F1796C">
            <w:pPr>
              <w:pStyle w:val="DHHSbody"/>
              <w:jc w:val="right"/>
            </w:pPr>
            <w:r w:rsidRPr="0088429D">
              <w:t>-</w:t>
            </w:r>
          </w:p>
        </w:tc>
        <w:tc>
          <w:tcPr>
            <w:tcW w:w="1828" w:type="dxa"/>
          </w:tcPr>
          <w:p w14:paraId="1F30650D" w14:textId="77777777" w:rsidR="0088429D" w:rsidRPr="0088429D" w:rsidRDefault="0088429D" w:rsidP="00F1796C">
            <w:pPr>
              <w:pStyle w:val="DHHSbody"/>
              <w:jc w:val="right"/>
            </w:pPr>
            <w:r w:rsidRPr="0088429D">
              <w:t>-</w:t>
            </w:r>
          </w:p>
        </w:tc>
        <w:tc>
          <w:tcPr>
            <w:tcW w:w="1749" w:type="dxa"/>
          </w:tcPr>
          <w:p w14:paraId="1EA175FF" w14:textId="77777777" w:rsidR="0088429D" w:rsidRPr="0088429D" w:rsidRDefault="0088429D" w:rsidP="00F1796C">
            <w:pPr>
              <w:pStyle w:val="DHHSbody"/>
              <w:jc w:val="right"/>
            </w:pPr>
            <w:r w:rsidRPr="0088429D">
              <w:t>-</w:t>
            </w:r>
          </w:p>
        </w:tc>
      </w:tr>
      <w:tr w:rsidR="0088429D" w:rsidRPr="0088429D" w14:paraId="6DC290DA" w14:textId="77777777" w:rsidTr="0088429D">
        <w:tc>
          <w:tcPr>
            <w:tcW w:w="1764" w:type="dxa"/>
          </w:tcPr>
          <w:p w14:paraId="18FBABFB" w14:textId="77777777" w:rsidR="0088429D" w:rsidRPr="0088429D" w:rsidRDefault="0088429D" w:rsidP="0088429D">
            <w:pPr>
              <w:pStyle w:val="DHHSbody"/>
            </w:pPr>
            <w:r w:rsidRPr="0088429D">
              <w:t>SR 2</w:t>
            </w:r>
          </w:p>
        </w:tc>
        <w:tc>
          <w:tcPr>
            <w:tcW w:w="1783" w:type="dxa"/>
          </w:tcPr>
          <w:p w14:paraId="0A018AF0" w14:textId="77777777" w:rsidR="0088429D" w:rsidRPr="0088429D" w:rsidRDefault="0088429D" w:rsidP="00F1796C">
            <w:pPr>
              <w:pStyle w:val="DHHSbody"/>
              <w:jc w:val="right"/>
            </w:pPr>
            <w:r w:rsidRPr="0088429D">
              <w:t>-</w:t>
            </w:r>
          </w:p>
        </w:tc>
        <w:tc>
          <w:tcPr>
            <w:tcW w:w="1892" w:type="dxa"/>
          </w:tcPr>
          <w:p w14:paraId="783BC8FD" w14:textId="77777777" w:rsidR="0088429D" w:rsidRPr="0088429D" w:rsidRDefault="0088429D" w:rsidP="00F1796C">
            <w:pPr>
              <w:pStyle w:val="DHHSbody"/>
              <w:jc w:val="right"/>
            </w:pPr>
            <w:r w:rsidRPr="0088429D">
              <w:t>-</w:t>
            </w:r>
          </w:p>
        </w:tc>
        <w:tc>
          <w:tcPr>
            <w:tcW w:w="1828" w:type="dxa"/>
          </w:tcPr>
          <w:p w14:paraId="289A8DC5" w14:textId="77777777" w:rsidR="0088429D" w:rsidRPr="0088429D" w:rsidRDefault="0088429D" w:rsidP="00F1796C">
            <w:pPr>
              <w:pStyle w:val="DHHSbody"/>
              <w:jc w:val="right"/>
            </w:pPr>
            <w:r w:rsidRPr="0088429D">
              <w:t>1 (6%)</w:t>
            </w:r>
          </w:p>
        </w:tc>
        <w:tc>
          <w:tcPr>
            <w:tcW w:w="1749" w:type="dxa"/>
          </w:tcPr>
          <w:p w14:paraId="4C3D7BC8" w14:textId="77777777" w:rsidR="0088429D" w:rsidRPr="0088429D" w:rsidRDefault="0088429D" w:rsidP="00F1796C">
            <w:pPr>
              <w:pStyle w:val="DHHSbody"/>
              <w:jc w:val="right"/>
            </w:pPr>
            <w:r w:rsidRPr="0088429D">
              <w:t>1 (6%)</w:t>
            </w:r>
          </w:p>
        </w:tc>
      </w:tr>
      <w:tr w:rsidR="0088429D" w:rsidRPr="0088429D" w14:paraId="7E4294AD" w14:textId="77777777" w:rsidTr="0088429D">
        <w:tc>
          <w:tcPr>
            <w:tcW w:w="1764" w:type="dxa"/>
          </w:tcPr>
          <w:p w14:paraId="5C3BFC4C" w14:textId="77777777" w:rsidR="0088429D" w:rsidRPr="0088429D" w:rsidRDefault="0088429D" w:rsidP="0088429D">
            <w:pPr>
              <w:pStyle w:val="DHHSbody"/>
            </w:pPr>
            <w:r w:rsidRPr="0088429D">
              <w:t>SR 3</w:t>
            </w:r>
          </w:p>
        </w:tc>
        <w:tc>
          <w:tcPr>
            <w:tcW w:w="1783" w:type="dxa"/>
          </w:tcPr>
          <w:p w14:paraId="044AC841" w14:textId="77777777" w:rsidR="0088429D" w:rsidRPr="0088429D" w:rsidRDefault="0088429D" w:rsidP="00F1796C">
            <w:pPr>
              <w:pStyle w:val="DHHSbody"/>
              <w:jc w:val="right"/>
            </w:pPr>
            <w:r w:rsidRPr="0088429D">
              <w:t>-</w:t>
            </w:r>
          </w:p>
        </w:tc>
        <w:tc>
          <w:tcPr>
            <w:tcW w:w="1892" w:type="dxa"/>
          </w:tcPr>
          <w:p w14:paraId="43F11485" w14:textId="615BDACC" w:rsidR="0088429D" w:rsidRPr="0088429D" w:rsidRDefault="00154AB4" w:rsidP="00F1796C">
            <w:pPr>
              <w:pStyle w:val="DHHSbody"/>
              <w:jc w:val="right"/>
            </w:pPr>
            <w:r>
              <w:t>1</w:t>
            </w:r>
            <w:r w:rsidRPr="0088429D">
              <w:t xml:space="preserve"> </w:t>
            </w:r>
            <w:r w:rsidR="0088429D" w:rsidRPr="0088429D">
              <w:t>(</w:t>
            </w:r>
            <w:r w:rsidR="009D0095">
              <w:t>6</w:t>
            </w:r>
            <w:r w:rsidR="0088429D" w:rsidRPr="0088429D">
              <w:t>%)</w:t>
            </w:r>
          </w:p>
        </w:tc>
        <w:tc>
          <w:tcPr>
            <w:tcW w:w="1828" w:type="dxa"/>
          </w:tcPr>
          <w:p w14:paraId="12AD00EB" w14:textId="1BE5BCBF" w:rsidR="0088429D" w:rsidRPr="0088429D" w:rsidRDefault="0088429D" w:rsidP="00F1796C">
            <w:pPr>
              <w:pStyle w:val="DHHSbody"/>
              <w:jc w:val="right"/>
            </w:pPr>
            <w:r w:rsidRPr="0088429D">
              <w:t>3 (1</w:t>
            </w:r>
            <w:r w:rsidR="009D0095">
              <w:t>9</w:t>
            </w:r>
            <w:r w:rsidRPr="0088429D">
              <w:t>%)</w:t>
            </w:r>
          </w:p>
        </w:tc>
        <w:tc>
          <w:tcPr>
            <w:tcW w:w="1749" w:type="dxa"/>
          </w:tcPr>
          <w:p w14:paraId="1208FF9B" w14:textId="6512F8BA" w:rsidR="0088429D" w:rsidRPr="0088429D" w:rsidRDefault="00154AB4" w:rsidP="00F1796C">
            <w:pPr>
              <w:pStyle w:val="DHHSbody"/>
              <w:jc w:val="right"/>
            </w:pPr>
            <w:r>
              <w:t>4</w:t>
            </w:r>
            <w:r w:rsidR="0088429D" w:rsidRPr="0088429D">
              <w:t xml:space="preserve"> (2</w:t>
            </w:r>
            <w:r w:rsidR="009D0095">
              <w:t>5</w:t>
            </w:r>
            <w:r w:rsidR="0088429D" w:rsidRPr="0088429D">
              <w:t>%)</w:t>
            </w:r>
          </w:p>
        </w:tc>
      </w:tr>
      <w:tr w:rsidR="0088429D" w:rsidRPr="0088429D" w14:paraId="6469066C" w14:textId="77777777" w:rsidTr="0088429D">
        <w:tc>
          <w:tcPr>
            <w:tcW w:w="1764" w:type="dxa"/>
          </w:tcPr>
          <w:p w14:paraId="5B4EB9F7" w14:textId="77777777" w:rsidR="0088429D" w:rsidRPr="0088429D" w:rsidRDefault="0088429D" w:rsidP="0088429D">
            <w:pPr>
              <w:pStyle w:val="DHHSbody"/>
            </w:pPr>
            <w:r w:rsidRPr="0088429D">
              <w:t>SR 4</w:t>
            </w:r>
          </w:p>
        </w:tc>
        <w:tc>
          <w:tcPr>
            <w:tcW w:w="1783" w:type="dxa"/>
          </w:tcPr>
          <w:p w14:paraId="76412227" w14:textId="77777777" w:rsidR="0088429D" w:rsidRPr="0088429D" w:rsidRDefault="0088429D" w:rsidP="00F1796C">
            <w:pPr>
              <w:pStyle w:val="DHHSbody"/>
              <w:jc w:val="right"/>
            </w:pPr>
            <w:r w:rsidRPr="0088429D">
              <w:t>-</w:t>
            </w:r>
          </w:p>
        </w:tc>
        <w:tc>
          <w:tcPr>
            <w:tcW w:w="1892" w:type="dxa"/>
          </w:tcPr>
          <w:p w14:paraId="3BC821D0" w14:textId="23DCECAF" w:rsidR="0088429D" w:rsidRPr="0088429D" w:rsidRDefault="0088429D" w:rsidP="00F1796C">
            <w:pPr>
              <w:pStyle w:val="DHHSbody"/>
              <w:jc w:val="right"/>
            </w:pPr>
            <w:r w:rsidRPr="0088429D">
              <w:t>2 (1</w:t>
            </w:r>
            <w:r w:rsidR="009D0095">
              <w:t>3</w:t>
            </w:r>
            <w:r w:rsidRPr="0088429D">
              <w:t>%)</w:t>
            </w:r>
          </w:p>
        </w:tc>
        <w:tc>
          <w:tcPr>
            <w:tcW w:w="1828" w:type="dxa"/>
          </w:tcPr>
          <w:p w14:paraId="07C5F4EB" w14:textId="6D70CBBD" w:rsidR="0088429D" w:rsidRPr="0088429D" w:rsidRDefault="0088429D" w:rsidP="00F1796C">
            <w:pPr>
              <w:pStyle w:val="DHHSbody"/>
              <w:jc w:val="right"/>
            </w:pPr>
            <w:r w:rsidRPr="0088429D">
              <w:t>9 (5</w:t>
            </w:r>
            <w:r w:rsidR="009D0095">
              <w:t>6</w:t>
            </w:r>
            <w:r w:rsidRPr="0088429D">
              <w:t>%)</w:t>
            </w:r>
          </w:p>
        </w:tc>
        <w:tc>
          <w:tcPr>
            <w:tcW w:w="1749" w:type="dxa"/>
          </w:tcPr>
          <w:p w14:paraId="5051925E" w14:textId="1B450D85" w:rsidR="0088429D" w:rsidRPr="0088429D" w:rsidRDefault="0088429D" w:rsidP="00F1796C">
            <w:pPr>
              <w:pStyle w:val="DHHSbody"/>
              <w:jc w:val="right"/>
            </w:pPr>
            <w:r w:rsidRPr="0088429D">
              <w:t>11 (6</w:t>
            </w:r>
            <w:r w:rsidR="009D0095">
              <w:t>9</w:t>
            </w:r>
            <w:r w:rsidRPr="0088429D">
              <w:t>%)</w:t>
            </w:r>
          </w:p>
        </w:tc>
      </w:tr>
      <w:tr w:rsidR="0088429D" w:rsidRPr="0088429D" w14:paraId="11169B98" w14:textId="77777777" w:rsidTr="0088429D">
        <w:tc>
          <w:tcPr>
            <w:tcW w:w="1764" w:type="dxa"/>
          </w:tcPr>
          <w:p w14:paraId="2C285B1E" w14:textId="77777777" w:rsidR="0088429D" w:rsidRPr="0088429D" w:rsidRDefault="0088429D" w:rsidP="0088429D">
            <w:pPr>
              <w:pStyle w:val="DHHSbody"/>
              <w:rPr>
                <w:b/>
              </w:rPr>
            </w:pPr>
            <w:r w:rsidRPr="0088429D">
              <w:rPr>
                <w:b/>
              </w:rPr>
              <w:t>Total</w:t>
            </w:r>
          </w:p>
        </w:tc>
        <w:tc>
          <w:tcPr>
            <w:tcW w:w="1783" w:type="dxa"/>
          </w:tcPr>
          <w:p w14:paraId="233C475F" w14:textId="77777777" w:rsidR="0088429D" w:rsidRPr="0088429D" w:rsidRDefault="0088429D" w:rsidP="00F1796C">
            <w:pPr>
              <w:pStyle w:val="DHHSbody"/>
              <w:jc w:val="right"/>
              <w:rPr>
                <w:b/>
              </w:rPr>
            </w:pPr>
            <w:r w:rsidRPr="0088429D">
              <w:rPr>
                <w:b/>
              </w:rPr>
              <w:t>-</w:t>
            </w:r>
          </w:p>
        </w:tc>
        <w:tc>
          <w:tcPr>
            <w:tcW w:w="1892" w:type="dxa"/>
          </w:tcPr>
          <w:p w14:paraId="5A8AC733" w14:textId="189E7B0D" w:rsidR="0088429D" w:rsidRPr="0088429D" w:rsidRDefault="00331E52" w:rsidP="00F1796C">
            <w:pPr>
              <w:pStyle w:val="DHHSbody"/>
              <w:jc w:val="right"/>
              <w:rPr>
                <w:b/>
              </w:rPr>
            </w:pPr>
            <w:r>
              <w:rPr>
                <w:b/>
              </w:rPr>
              <w:t>3</w:t>
            </w:r>
            <w:r w:rsidR="0088429D" w:rsidRPr="0088429D">
              <w:rPr>
                <w:b/>
              </w:rPr>
              <w:t xml:space="preserve"> (</w:t>
            </w:r>
            <w:r w:rsidR="009D0095">
              <w:rPr>
                <w:b/>
              </w:rPr>
              <w:t>19</w:t>
            </w:r>
            <w:r w:rsidR="0088429D" w:rsidRPr="0088429D">
              <w:rPr>
                <w:b/>
              </w:rPr>
              <w:t>%)</w:t>
            </w:r>
          </w:p>
        </w:tc>
        <w:tc>
          <w:tcPr>
            <w:tcW w:w="1828" w:type="dxa"/>
          </w:tcPr>
          <w:p w14:paraId="1908D881" w14:textId="12E353ED" w:rsidR="0088429D" w:rsidRPr="0088429D" w:rsidRDefault="0088429D" w:rsidP="00F1796C">
            <w:pPr>
              <w:pStyle w:val="DHHSbody"/>
              <w:jc w:val="right"/>
              <w:rPr>
                <w:b/>
              </w:rPr>
            </w:pPr>
            <w:r w:rsidRPr="0088429D">
              <w:rPr>
                <w:b/>
              </w:rPr>
              <w:t>13 (</w:t>
            </w:r>
            <w:r w:rsidR="009D0095">
              <w:rPr>
                <w:b/>
              </w:rPr>
              <w:t>81</w:t>
            </w:r>
            <w:r w:rsidRPr="0088429D">
              <w:rPr>
                <w:b/>
              </w:rPr>
              <w:t>%)</w:t>
            </w:r>
          </w:p>
        </w:tc>
        <w:tc>
          <w:tcPr>
            <w:tcW w:w="1749" w:type="dxa"/>
          </w:tcPr>
          <w:p w14:paraId="036692B3" w14:textId="36177966" w:rsidR="0088429D" w:rsidRPr="0088429D" w:rsidRDefault="0088429D" w:rsidP="00F1796C">
            <w:pPr>
              <w:pStyle w:val="DHHSbody"/>
              <w:jc w:val="right"/>
              <w:rPr>
                <w:b/>
              </w:rPr>
            </w:pPr>
            <w:r w:rsidRPr="0088429D">
              <w:rPr>
                <w:b/>
              </w:rPr>
              <w:t>1</w:t>
            </w:r>
            <w:r w:rsidR="00331E52">
              <w:rPr>
                <w:b/>
              </w:rPr>
              <w:t>6</w:t>
            </w:r>
            <w:r w:rsidRPr="0088429D">
              <w:rPr>
                <w:b/>
              </w:rPr>
              <w:t xml:space="preserve"> (100%)</w:t>
            </w:r>
          </w:p>
        </w:tc>
      </w:tr>
    </w:tbl>
    <w:p w14:paraId="7F2F76F9" w14:textId="77777777" w:rsidR="0088429D" w:rsidRPr="0088429D" w:rsidRDefault="0088429D" w:rsidP="00810F57">
      <w:pPr>
        <w:pStyle w:val="Heading3"/>
      </w:pPr>
      <w:r w:rsidRPr="0088429D">
        <w:t>Case study 1: FNHTR</w:t>
      </w:r>
    </w:p>
    <w:p w14:paraId="5AF43421" w14:textId="23F91EB0" w:rsidR="0088429D" w:rsidRPr="0088429D" w:rsidRDefault="0088429D" w:rsidP="0088429D">
      <w:pPr>
        <w:pStyle w:val="DHHSbody"/>
      </w:pPr>
      <w:r w:rsidRPr="0088429D">
        <w:t>An 88</w:t>
      </w:r>
      <w:r w:rsidR="00D65083">
        <w:t>-</w:t>
      </w:r>
      <w:r w:rsidRPr="0088429D">
        <w:t>year</w:t>
      </w:r>
      <w:r w:rsidR="00D65083">
        <w:t>-</w:t>
      </w:r>
      <w:r w:rsidRPr="0088429D">
        <w:t>old man with haematuria and platelet count of 33 x</w:t>
      </w:r>
      <w:r w:rsidR="00D65083">
        <w:t xml:space="preserve"> </w:t>
      </w:r>
      <w:r w:rsidRPr="0088429D">
        <w:t>10</w:t>
      </w:r>
      <w:r w:rsidRPr="0088429D">
        <w:rPr>
          <w:vertAlign w:val="superscript"/>
        </w:rPr>
        <w:t>9</w:t>
      </w:r>
      <w:r w:rsidRPr="0088429D">
        <w:t>/L was administered two bags of platelets. The first bag was given and completed within approximately 45 minutes</w:t>
      </w:r>
      <w:r w:rsidR="00D65083">
        <w:t>,</w:t>
      </w:r>
      <w:r w:rsidR="00D65083" w:rsidRPr="0088429D">
        <w:t xml:space="preserve"> </w:t>
      </w:r>
      <w:r w:rsidRPr="0088429D">
        <w:t>then the second bag was started. Approximately 45 minutes into the second bag, a reaction was noted and the transfusion stopped. The patient’s temperature had increased from 37.3</w:t>
      </w:r>
      <w:r w:rsidR="00D65083" w:rsidRPr="00D65083">
        <w:t>°</w:t>
      </w:r>
      <w:r w:rsidR="00D65083">
        <w:t xml:space="preserve"> </w:t>
      </w:r>
      <w:r w:rsidRPr="0088429D">
        <w:t>C to 38.8</w:t>
      </w:r>
      <w:r w:rsidR="00D65083" w:rsidRPr="00D65083">
        <w:t>°</w:t>
      </w:r>
      <w:r w:rsidR="00D65083">
        <w:rPr>
          <w:vertAlign w:val="superscript"/>
        </w:rPr>
        <w:t xml:space="preserve"> </w:t>
      </w:r>
      <w:r w:rsidRPr="0088429D">
        <w:t>C, and continued to rise to 39.6</w:t>
      </w:r>
      <w:r w:rsidR="00D65083" w:rsidRPr="00D65083">
        <w:t>°</w:t>
      </w:r>
      <w:r w:rsidR="00D65083">
        <w:rPr>
          <w:vertAlign w:val="superscript"/>
        </w:rPr>
        <w:t xml:space="preserve"> </w:t>
      </w:r>
      <w:r w:rsidRPr="0088429D">
        <w:t>C approximately four hours after the transfusion. The patient had not been febrile in the previous 24 hours and had not received any pre</w:t>
      </w:r>
      <w:r w:rsidR="00803F1E">
        <w:t xml:space="preserve"> </w:t>
      </w:r>
      <w:r w:rsidRPr="0088429D">
        <w:t>medication prior to the transfusion, although he had received pre</w:t>
      </w:r>
      <w:r w:rsidR="00803F1E">
        <w:t> </w:t>
      </w:r>
      <w:r w:rsidRPr="0088429D">
        <w:t>medication with other transfusions.</w:t>
      </w:r>
    </w:p>
    <w:p w14:paraId="6580B1A0" w14:textId="77777777" w:rsidR="0088429D" w:rsidRPr="0088429D" w:rsidRDefault="0088429D" w:rsidP="0088429D">
      <w:pPr>
        <w:pStyle w:val="DHHSbody"/>
      </w:pPr>
      <w:r w:rsidRPr="0088429D">
        <w:t>There was no indication of any incompatibility between patient and product. Blood cultures of both patient and bag were negative.</w:t>
      </w:r>
    </w:p>
    <w:p w14:paraId="152B2696" w14:textId="5997AE66" w:rsidR="0088429D" w:rsidRPr="0088429D" w:rsidRDefault="0088429D" w:rsidP="0088429D">
      <w:pPr>
        <w:pStyle w:val="DHHSbody"/>
      </w:pPr>
      <w:r w:rsidRPr="0088429D">
        <w:t>(STIR review: FNHTR, probably, SR</w:t>
      </w:r>
      <w:r w:rsidR="00D65083">
        <w:t xml:space="preserve"> </w:t>
      </w:r>
      <w:r w:rsidRPr="0088429D">
        <w:t>4)</w:t>
      </w:r>
    </w:p>
    <w:p w14:paraId="33740BB4" w14:textId="271AFB70" w:rsidR="0088429D" w:rsidRPr="0088429D" w:rsidRDefault="0088429D" w:rsidP="00F1796C">
      <w:pPr>
        <w:pStyle w:val="Heading4"/>
      </w:pPr>
      <w:r w:rsidRPr="0088429D">
        <w:lastRenderedPageBreak/>
        <w:t>Comment</w:t>
      </w:r>
    </w:p>
    <w:p w14:paraId="05F1CF9C" w14:textId="29E86591" w:rsidR="0088429D" w:rsidRPr="0088429D" w:rsidRDefault="0088429D" w:rsidP="0088429D">
      <w:pPr>
        <w:pStyle w:val="DHHSbody"/>
      </w:pPr>
      <w:r w:rsidRPr="0088429D">
        <w:t>FNHTR is a diagnosis of elimination. Other transfusion reactions that could have caused fever in the patient have been eliminated. In this case</w:t>
      </w:r>
      <w:r w:rsidR="00D65083">
        <w:t>,</w:t>
      </w:r>
      <w:r w:rsidRPr="0088429D">
        <w:t xml:space="preserve"> there was no evidence of incompatibility causing a haemolytic reaction, the blood cultures of both patient and blood product were negative, indicating a septic reaction is unlikely</w:t>
      </w:r>
      <w:r w:rsidR="00803F1E">
        <w:t>,</w:t>
      </w:r>
      <w:r w:rsidRPr="0088429D">
        <w:t xml:space="preserve"> and there was no evidence of respiratory symptoms that might indicate TRALI. There was minimal information on the patient history provided, so it is unclear if there may have been another reason for the fever, but given the information provided</w:t>
      </w:r>
      <w:r w:rsidR="00803F1E">
        <w:t>,</w:t>
      </w:r>
      <w:r w:rsidRPr="0088429D">
        <w:t xml:space="preserve"> it was considered this was probably FNHTR.</w:t>
      </w:r>
    </w:p>
    <w:p w14:paraId="28B657A2" w14:textId="77777777" w:rsidR="0088429D" w:rsidRPr="0088429D" w:rsidRDefault="0088429D" w:rsidP="0088429D">
      <w:pPr>
        <w:pStyle w:val="DHHSbody"/>
      </w:pPr>
      <w:r w:rsidRPr="0088429D">
        <w:t xml:space="preserve">Many reports received are unclear on either the investigations undertaken or the patient history that might indicate another reason for the fever. Therefore, a large percentage of reports validated as FNHTR have a low </w:t>
      </w:r>
      <w:proofErr w:type="spellStart"/>
      <w:r w:rsidRPr="0088429D">
        <w:t>imputability</w:t>
      </w:r>
      <w:proofErr w:type="spellEnd"/>
      <w:r w:rsidRPr="0088429D">
        <w:t>.</w:t>
      </w:r>
    </w:p>
    <w:p w14:paraId="775677A7" w14:textId="77777777" w:rsidR="0088429D" w:rsidRPr="0088429D" w:rsidRDefault="0088429D" w:rsidP="00803F1E">
      <w:pPr>
        <w:pStyle w:val="Heading2"/>
        <w:rPr>
          <w:rFonts w:eastAsia="Times"/>
        </w:rPr>
      </w:pPr>
      <w:bookmarkStart w:id="12" w:name="_Toc46304643"/>
      <w:r w:rsidRPr="0088429D">
        <w:rPr>
          <w:rFonts w:eastAsia="Times"/>
        </w:rPr>
        <w:t>Allergic</w:t>
      </w:r>
      <w:bookmarkEnd w:id="12"/>
    </w:p>
    <w:p w14:paraId="4B393C07" w14:textId="46338CA6" w:rsidR="0088429D" w:rsidRPr="0088429D" w:rsidRDefault="0088429D" w:rsidP="0088429D">
      <w:pPr>
        <w:pStyle w:val="DHHStablecaption"/>
        <w:rPr>
          <w:rFonts w:eastAsia="Times"/>
        </w:rPr>
      </w:pPr>
      <w:r w:rsidRPr="0088429D">
        <w:rPr>
          <w:rFonts w:eastAsia="Times"/>
        </w:rPr>
        <w:t xml:space="preserve">Table </w:t>
      </w:r>
      <w:r w:rsidR="00FB0A81">
        <w:rPr>
          <w:rFonts w:eastAsia="Times"/>
        </w:rPr>
        <w:t>10</w:t>
      </w:r>
      <w:r w:rsidRPr="0088429D">
        <w:rPr>
          <w:rFonts w:eastAsia="Times"/>
        </w:rPr>
        <w:t>: Data summary – allergic and anaphylactic reactions, n = 25</w:t>
      </w:r>
    </w:p>
    <w:tbl>
      <w:tblPr>
        <w:tblStyle w:val="TableGrid"/>
        <w:tblW w:w="0" w:type="auto"/>
        <w:tblLayout w:type="fixed"/>
        <w:tblLook w:val="04A0" w:firstRow="1" w:lastRow="0" w:firstColumn="1" w:lastColumn="0" w:noHBand="0" w:noVBand="1"/>
      </w:tblPr>
      <w:tblGrid>
        <w:gridCol w:w="2405"/>
        <w:gridCol w:w="1134"/>
        <w:gridCol w:w="1641"/>
      </w:tblGrid>
      <w:tr w:rsidR="0088429D" w:rsidRPr="0088429D" w14:paraId="253E802E" w14:textId="77777777" w:rsidTr="0088429D">
        <w:trPr>
          <w:tblHeader/>
        </w:trPr>
        <w:tc>
          <w:tcPr>
            <w:tcW w:w="2405" w:type="dxa"/>
          </w:tcPr>
          <w:p w14:paraId="6DC0A3D8" w14:textId="77777777" w:rsidR="0088429D" w:rsidRPr="0088429D" w:rsidRDefault="0088429D" w:rsidP="0088429D">
            <w:pPr>
              <w:pStyle w:val="DHHSbody"/>
              <w:rPr>
                <w:b/>
              </w:rPr>
            </w:pPr>
            <w:bookmarkStart w:id="13" w:name="_Hlk37841247"/>
            <w:r w:rsidRPr="0088429D">
              <w:rPr>
                <w:b/>
              </w:rPr>
              <w:t>Characteristic</w:t>
            </w:r>
          </w:p>
        </w:tc>
        <w:tc>
          <w:tcPr>
            <w:tcW w:w="1134" w:type="dxa"/>
          </w:tcPr>
          <w:p w14:paraId="125A845E" w14:textId="77777777" w:rsidR="0088429D" w:rsidRPr="0088429D" w:rsidRDefault="0088429D" w:rsidP="0088429D">
            <w:pPr>
              <w:pStyle w:val="DHHSbody"/>
              <w:rPr>
                <w:b/>
              </w:rPr>
            </w:pPr>
            <w:r w:rsidRPr="0088429D">
              <w:rPr>
                <w:b/>
              </w:rPr>
              <w:t>Allergic</w:t>
            </w:r>
            <w:r w:rsidRPr="0088429D">
              <w:rPr>
                <w:b/>
              </w:rPr>
              <w:br/>
              <w:t>n = 14</w:t>
            </w:r>
          </w:p>
        </w:tc>
        <w:tc>
          <w:tcPr>
            <w:tcW w:w="1641" w:type="dxa"/>
          </w:tcPr>
          <w:p w14:paraId="3594B708" w14:textId="77777777" w:rsidR="0088429D" w:rsidRPr="0088429D" w:rsidRDefault="0088429D" w:rsidP="0088429D">
            <w:pPr>
              <w:pStyle w:val="DHHSbody"/>
              <w:rPr>
                <w:b/>
              </w:rPr>
            </w:pPr>
            <w:r w:rsidRPr="0088429D">
              <w:rPr>
                <w:b/>
              </w:rPr>
              <w:t>Anaphylactic</w:t>
            </w:r>
            <w:r w:rsidRPr="0088429D">
              <w:rPr>
                <w:b/>
              </w:rPr>
              <w:br/>
              <w:t>n = 11</w:t>
            </w:r>
          </w:p>
        </w:tc>
      </w:tr>
      <w:tr w:rsidR="0088429D" w:rsidRPr="0088429D" w14:paraId="52EA025D" w14:textId="77777777" w:rsidTr="0088429D">
        <w:tc>
          <w:tcPr>
            <w:tcW w:w="2405" w:type="dxa"/>
          </w:tcPr>
          <w:p w14:paraId="69C8291E" w14:textId="77777777" w:rsidR="0088429D" w:rsidRPr="0088429D" w:rsidRDefault="0088429D" w:rsidP="0088429D">
            <w:pPr>
              <w:pStyle w:val="DHHSbody"/>
            </w:pPr>
            <w:r w:rsidRPr="0088429D">
              <w:t>Age: &lt; 1 year</w:t>
            </w:r>
          </w:p>
        </w:tc>
        <w:tc>
          <w:tcPr>
            <w:tcW w:w="1134" w:type="dxa"/>
          </w:tcPr>
          <w:p w14:paraId="3EDE5DE2" w14:textId="77777777" w:rsidR="0088429D" w:rsidRPr="0088429D" w:rsidRDefault="0088429D" w:rsidP="00F1796C">
            <w:pPr>
              <w:pStyle w:val="DHHSbody"/>
              <w:jc w:val="right"/>
            </w:pPr>
            <w:r w:rsidRPr="0088429D">
              <w:t>-</w:t>
            </w:r>
          </w:p>
        </w:tc>
        <w:tc>
          <w:tcPr>
            <w:tcW w:w="1641" w:type="dxa"/>
          </w:tcPr>
          <w:p w14:paraId="73C475D9" w14:textId="77777777" w:rsidR="0088429D" w:rsidRPr="0088429D" w:rsidRDefault="0088429D" w:rsidP="00F1796C">
            <w:pPr>
              <w:pStyle w:val="DHHSbody"/>
              <w:jc w:val="right"/>
            </w:pPr>
            <w:r w:rsidRPr="0088429D">
              <w:t>1 (9%)</w:t>
            </w:r>
          </w:p>
        </w:tc>
      </w:tr>
      <w:tr w:rsidR="0088429D" w:rsidRPr="0088429D" w14:paraId="5946021C" w14:textId="77777777" w:rsidTr="0088429D">
        <w:tc>
          <w:tcPr>
            <w:tcW w:w="2405" w:type="dxa"/>
          </w:tcPr>
          <w:p w14:paraId="76697F6D" w14:textId="77777777" w:rsidR="0088429D" w:rsidRPr="0088429D" w:rsidRDefault="0088429D" w:rsidP="0088429D">
            <w:pPr>
              <w:pStyle w:val="DHHSbody"/>
            </w:pPr>
            <w:r w:rsidRPr="0088429D">
              <w:t>Age: 1–18 years</w:t>
            </w:r>
          </w:p>
        </w:tc>
        <w:tc>
          <w:tcPr>
            <w:tcW w:w="1134" w:type="dxa"/>
          </w:tcPr>
          <w:p w14:paraId="484A6A0A" w14:textId="77777777" w:rsidR="0088429D" w:rsidRPr="0088429D" w:rsidRDefault="0088429D" w:rsidP="00F1796C">
            <w:pPr>
              <w:pStyle w:val="DHHSbody"/>
              <w:jc w:val="right"/>
            </w:pPr>
            <w:r w:rsidRPr="0088429D">
              <w:t>4 (29%)</w:t>
            </w:r>
          </w:p>
        </w:tc>
        <w:tc>
          <w:tcPr>
            <w:tcW w:w="1641" w:type="dxa"/>
          </w:tcPr>
          <w:p w14:paraId="69D2DBC5" w14:textId="77777777" w:rsidR="0088429D" w:rsidRPr="0088429D" w:rsidRDefault="0088429D" w:rsidP="00F1796C">
            <w:pPr>
              <w:pStyle w:val="DHHSbody"/>
              <w:jc w:val="right"/>
            </w:pPr>
            <w:r w:rsidRPr="0088429D">
              <w:t>3 (27%)</w:t>
            </w:r>
          </w:p>
        </w:tc>
      </w:tr>
      <w:tr w:rsidR="0088429D" w:rsidRPr="0088429D" w14:paraId="35950BA7" w14:textId="77777777" w:rsidTr="0088429D">
        <w:tc>
          <w:tcPr>
            <w:tcW w:w="2405" w:type="dxa"/>
          </w:tcPr>
          <w:p w14:paraId="6DCBDB70" w14:textId="77777777" w:rsidR="0088429D" w:rsidRPr="0088429D" w:rsidRDefault="0088429D" w:rsidP="0088429D">
            <w:pPr>
              <w:pStyle w:val="DHHSbody"/>
            </w:pPr>
            <w:r w:rsidRPr="0088429D">
              <w:t>Age: 19–29 years</w:t>
            </w:r>
          </w:p>
        </w:tc>
        <w:tc>
          <w:tcPr>
            <w:tcW w:w="1134" w:type="dxa"/>
          </w:tcPr>
          <w:p w14:paraId="40AE4DC6" w14:textId="77777777" w:rsidR="0088429D" w:rsidRPr="0088429D" w:rsidRDefault="0088429D" w:rsidP="00F1796C">
            <w:pPr>
              <w:pStyle w:val="DHHSbody"/>
              <w:jc w:val="right"/>
            </w:pPr>
            <w:r w:rsidRPr="0088429D">
              <w:t>1 (7%)</w:t>
            </w:r>
          </w:p>
        </w:tc>
        <w:tc>
          <w:tcPr>
            <w:tcW w:w="1641" w:type="dxa"/>
          </w:tcPr>
          <w:p w14:paraId="79EA88F5" w14:textId="77777777" w:rsidR="0088429D" w:rsidRPr="0088429D" w:rsidRDefault="0088429D" w:rsidP="00F1796C">
            <w:pPr>
              <w:pStyle w:val="DHHSbody"/>
              <w:jc w:val="right"/>
            </w:pPr>
            <w:r w:rsidRPr="0088429D">
              <w:t>1 (9%)</w:t>
            </w:r>
          </w:p>
        </w:tc>
      </w:tr>
      <w:tr w:rsidR="0088429D" w:rsidRPr="0088429D" w14:paraId="1C5E2911" w14:textId="77777777" w:rsidTr="0088429D">
        <w:tc>
          <w:tcPr>
            <w:tcW w:w="2405" w:type="dxa"/>
          </w:tcPr>
          <w:p w14:paraId="31ECC7D5" w14:textId="77777777" w:rsidR="0088429D" w:rsidRPr="0088429D" w:rsidRDefault="0088429D" w:rsidP="0088429D">
            <w:pPr>
              <w:pStyle w:val="DHHSbody"/>
            </w:pPr>
            <w:r w:rsidRPr="0088429D">
              <w:t>Age: 30–49 years</w:t>
            </w:r>
          </w:p>
        </w:tc>
        <w:tc>
          <w:tcPr>
            <w:tcW w:w="1134" w:type="dxa"/>
          </w:tcPr>
          <w:p w14:paraId="63BAF8C3" w14:textId="77777777" w:rsidR="0088429D" w:rsidRPr="0088429D" w:rsidRDefault="0088429D" w:rsidP="00F1796C">
            <w:pPr>
              <w:pStyle w:val="DHHSbody"/>
              <w:jc w:val="right"/>
            </w:pPr>
            <w:r w:rsidRPr="0088429D">
              <w:t>2 (14%)</w:t>
            </w:r>
          </w:p>
        </w:tc>
        <w:tc>
          <w:tcPr>
            <w:tcW w:w="1641" w:type="dxa"/>
          </w:tcPr>
          <w:p w14:paraId="16E64E7F" w14:textId="77777777" w:rsidR="0088429D" w:rsidRPr="0088429D" w:rsidRDefault="0088429D" w:rsidP="00F1796C">
            <w:pPr>
              <w:pStyle w:val="DHHSbody"/>
              <w:jc w:val="right"/>
            </w:pPr>
            <w:r w:rsidRPr="0088429D">
              <w:t>2 (18%)</w:t>
            </w:r>
          </w:p>
        </w:tc>
      </w:tr>
      <w:tr w:rsidR="0088429D" w:rsidRPr="0088429D" w14:paraId="76FE2D5E" w14:textId="77777777" w:rsidTr="0088429D">
        <w:tc>
          <w:tcPr>
            <w:tcW w:w="2405" w:type="dxa"/>
          </w:tcPr>
          <w:p w14:paraId="635A3D3A" w14:textId="77777777" w:rsidR="0088429D" w:rsidRPr="0088429D" w:rsidRDefault="0088429D" w:rsidP="0088429D">
            <w:pPr>
              <w:pStyle w:val="DHHSbody"/>
            </w:pPr>
            <w:r w:rsidRPr="0088429D">
              <w:t>Age: 50–69 years</w:t>
            </w:r>
          </w:p>
        </w:tc>
        <w:tc>
          <w:tcPr>
            <w:tcW w:w="1134" w:type="dxa"/>
          </w:tcPr>
          <w:p w14:paraId="17EBC1EC" w14:textId="77777777" w:rsidR="0088429D" w:rsidRPr="0088429D" w:rsidRDefault="0088429D" w:rsidP="00F1796C">
            <w:pPr>
              <w:pStyle w:val="DHHSbody"/>
              <w:jc w:val="right"/>
            </w:pPr>
            <w:r w:rsidRPr="0088429D">
              <w:t>4 (29%)</w:t>
            </w:r>
          </w:p>
        </w:tc>
        <w:tc>
          <w:tcPr>
            <w:tcW w:w="1641" w:type="dxa"/>
          </w:tcPr>
          <w:p w14:paraId="4A7B4B22" w14:textId="77777777" w:rsidR="0088429D" w:rsidRPr="0088429D" w:rsidRDefault="0088429D" w:rsidP="00F1796C">
            <w:pPr>
              <w:pStyle w:val="DHHSbody"/>
              <w:jc w:val="right"/>
            </w:pPr>
            <w:r w:rsidRPr="0088429D">
              <w:t>3 (27%)</w:t>
            </w:r>
          </w:p>
        </w:tc>
      </w:tr>
      <w:tr w:rsidR="0088429D" w:rsidRPr="0088429D" w14:paraId="7E80B0C5" w14:textId="77777777" w:rsidTr="0088429D">
        <w:tc>
          <w:tcPr>
            <w:tcW w:w="2405" w:type="dxa"/>
          </w:tcPr>
          <w:p w14:paraId="101F5D12" w14:textId="77777777" w:rsidR="0088429D" w:rsidRPr="0088429D" w:rsidRDefault="0088429D" w:rsidP="0088429D">
            <w:pPr>
              <w:pStyle w:val="DHHSbody"/>
            </w:pPr>
            <w:r w:rsidRPr="0088429D">
              <w:t>Age: 70–79 years</w:t>
            </w:r>
          </w:p>
        </w:tc>
        <w:tc>
          <w:tcPr>
            <w:tcW w:w="1134" w:type="dxa"/>
          </w:tcPr>
          <w:p w14:paraId="1E424100" w14:textId="77777777" w:rsidR="0088429D" w:rsidRPr="0088429D" w:rsidRDefault="0088429D" w:rsidP="00F1796C">
            <w:pPr>
              <w:pStyle w:val="DHHSbody"/>
              <w:jc w:val="right"/>
            </w:pPr>
            <w:r w:rsidRPr="0088429D">
              <w:t>1 (7%)</w:t>
            </w:r>
          </w:p>
        </w:tc>
        <w:tc>
          <w:tcPr>
            <w:tcW w:w="1641" w:type="dxa"/>
          </w:tcPr>
          <w:p w14:paraId="6EC45F16" w14:textId="77777777" w:rsidR="0088429D" w:rsidRPr="0088429D" w:rsidRDefault="0088429D" w:rsidP="00F1796C">
            <w:pPr>
              <w:pStyle w:val="DHHSbody"/>
              <w:jc w:val="right"/>
            </w:pPr>
            <w:r w:rsidRPr="0088429D">
              <w:t>-</w:t>
            </w:r>
          </w:p>
        </w:tc>
      </w:tr>
      <w:tr w:rsidR="0088429D" w:rsidRPr="0088429D" w14:paraId="5897BECC" w14:textId="77777777" w:rsidTr="0088429D">
        <w:tc>
          <w:tcPr>
            <w:tcW w:w="2405" w:type="dxa"/>
          </w:tcPr>
          <w:p w14:paraId="2A0A776B" w14:textId="77777777" w:rsidR="0088429D" w:rsidRPr="0088429D" w:rsidRDefault="0088429D" w:rsidP="0088429D">
            <w:pPr>
              <w:pStyle w:val="DHHSbody"/>
            </w:pPr>
            <w:r w:rsidRPr="0088429D">
              <w:t>Age: 80+ years</w:t>
            </w:r>
          </w:p>
        </w:tc>
        <w:tc>
          <w:tcPr>
            <w:tcW w:w="1134" w:type="dxa"/>
          </w:tcPr>
          <w:p w14:paraId="6E941577" w14:textId="77777777" w:rsidR="0088429D" w:rsidRPr="0088429D" w:rsidRDefault="0088429D" w:rsidP="00F1796C">
            <w:pPr>
              <w:pStyle w:val="DHHSbody"/>
              <w:jc w:val="right"/>
            </w:pPr>
            <w:r w:rsidRPr="0088429D">
              <w:t>2 (14%)</w:t>
            </w:r>
          </w:p>
        </w:tc>
        <w:tc>
          <w:tcPr>
            <w:tcW w:w="1641" w:type="dxa"/>
          </w:tcPr>
          <w:p w14:paraId="42086F04" w14:textId="77777777" w:rsidR="0088429D" w:rsidRPr="0088429D" w:rsidRDefault="0088429D" w:rsidP="00F1796C">
            <w:pPr>
              <w:pStyle w:val="DHHSbody"/>
              <w:jc w:val="right"/>
            </w:pPr>
            <w:r w:rsidRPr="0088429D">
              <w:t>1 (9%)</w:t>
            </w:r>
          </w:p>
        </w:tc>
      </w:tr>
      <w:tr w:rsidR="0088429D" w:rsidRPr="0088429D" w14:paraId="65113E07" w14:textId="77777777" w:rsidTr="0088429D">
        <w:tc>
          <w:tcPr>
            <w:tcW w:w="2405" w:type="dxa"/>
            <w:shd w:val="clear" w:color="auto" w:fill="F2F2F2" w:themeFill="background1" w:themeFillShade="F2"/>
          </w:tcPr>
          <w:p w14:paraId="507F89DA" w14:textId="77777777" w:rsidR="0088429D" w:rsidRPr="0088429D" w:rsidRDefault="0088429D" w:rsidP="0088429D">
            <w:pPr>
              <w:pStyle w:val="DHHSbody"/>
            </w:pPr>
            <w:r w:rsidRPr="0088429D">
              <w:t>Gender: male</w:t>
            </w:r>
          </w:p>
        </w:tc>
        <w:tc>
          <w:tcPr>
            <w:tcW w:w="1134" w:type="dxa"/>
            <w:shd w:val="clear" w:color="auto" w:fill="F2F2F2" w:themeFill="background1" w:themeFillShade="F2"/>
          </w:tcPr>
          <w:p w14:paraId="47D83FB2" w14:textId="77777777" w:rsidR="0088429D" w:rsidRPr="0088429D" w:rsidRDefault="0088429D" w:rsidP="00F1796C">
            <w:pPr>
              <w:pStyle w:val="DHHSbody"/>
              <w:jc w:val="right"/>
            </w:pPr>
            <w:r w:rsidRPr="0088429D">
              <w:t>5 (36%)</w:t>
            </w:r>
          </w:p>
        </w:tc>
        <w:tc>
          <w:tcPr>
            <w:tcW w:w="1641" w:type="dxa"/>
            <w:shd w:val="clear" w:color="auto" w:fill="F2F2F2" w:themeFill="background1" w:themeFillShade="F2"/>
          </w:tcPr>
          <w:p w14:paraId="4E105ECA" w14:textId="77777777" w:rsidR="0088429D" w:rsidRPr="0088429D" w:rsidRDefault="0088429D" w:rsidP="00F1796C">
            <w:pPr>
              <w:pStyle w:val="DHHSbody"/>
              <w:jc w:val="right"/>
            </w:pPr>
            <w:r w:rsidRPr="0088429D">
              <w:t>7 (64%)</w:t>
            </w:r>
          </w:p>
        </w:tc>
      </w:tr>
      <w:tr w:rsidR="0088429D" w:rsidRPr="0088429D" w14:paraId="3596FDCF" w14:textId="77777777" w:rsidTr="0088429D">
        <w:tc>
          <w:tcPr>
            <w:tcW w:w="2405" w:type="dxa"/>
            <w:shd w:val="clear" w:color="auto" w:fill="F2F2F2" w:themeFill="background1" w:themeFillShade="F2"/>
          </w:tcPr>
          <w:p w14:paraId="618579CB" w14:textId="77777777" w:rsidR="0088429D" w:rsidRPr="0088429D" w:rsidRDefault="0088429D" w:rsidP="0088429D">
            <w:pPr>
              <w:pStyle w:val="DHHSbody"/>
            </w:pPr>
            <w:r w:rsidRPr="0088429D">
              <w:t>Gender: female</w:t>
            </w:r>
          </w:p>
        </w:tc>
        <w:tc>
          <w:tcPr>
            <w:tcW w:w="1134" w:type="dxa"/>
            <w:shd w:val="clear" w:color="auto" w:fill="F2F2F2" w:themeFill="background1" w:themeFillShade="F2"/>
          </w:tcPr>
          <w:p w14:paraId="589E461F" w14:textId="77777777" w:rsidR="0088429D" w:rsidRPr="0088429D" w:rsidRDefault="0088429D" w:rsidP="00F1796C">
            <w:pPr>
              <w:pStyle w:val="DHHSbody"/>
              <w:jc w:val="right"/>
            </w:pPr>
            <w:r w:rsidRPr="0088429D">
              <w:t>9 (64%)</w:t>
            </w:r>
          </w:p>
        </w:tc>
        <w:tc>
          <w:tcPr>
            <w:tcW w:w="1641" w:type="dxa"/>
            <w:shd w:val="clear" w:color="auto" w:fill="F2F2F2" w:themeFill="background1" w:themeFillShade="F2"/>
          </w:tcPr>
          <w:p w14:paraId="4AF50A3F" w14:textId="77777777" w:rsidR="0088429D" w:rsidRPr="0088429D" w:rsidRDefault="0088429D" w:rsidP="00F1796C">
            <w:pPr>
              <w:pStyle w:val="DHHSbody"/>
              <w:jc w:val="right"/>
            </w:pPr>
            <w:r w:rsidRPr="0088429D">
              <w:t>4 (36%)</w:t>
            </w:r>
          </w:p>
        </w:tc>
      </w:tr>
      <w:tr w:rsidR="0088429D" w:rsidRPr="0088429D" w14:paraId="654D188D" w14:textId="77777777" w:rsidTr="0088429D">
        <w:tc>
          <w:tcPr>
            <w:tcW w:w="2405" w:type="dxa"/>
          </w:tcPr>
          <w:p w14:paraId="7C93CFC1" w14:textId="77777777" w:rsidR="0088429D" w:rsidRPr="0088429D" w:rsidRDefault="0088429D" w:rsidP="0088429D">
            <w:pPr>
              <w:pStyle w:val="DHHSbody"/>
            </w:pPr>
            <w:r w:rsidRPr="0088429D">
              <w:t>Implicated blood product: red cells</w:t>
            </w:r>
            <w:r w:rsidRPr="0088429D">
              <w:rPr>
                <w:vertAlign w:val="superscript"/>
              </w:rPr>
              <w:footnoteReference w:id="3"/>
            </w:r>
          </w:p>
        </w:tc>
        <w:tc>
          <w:tcPr>
            <w:tcW w:w="1134" w:type="dxa"/>
          </w:tcPr>
          <w:p w14:paraId="4D960BFC" w14:textId="77777777" w:rsidR="0088429D" w:rsidRPr="0088429D" w:rsidRDefault="0088429D" w:rsidP="00F1796C">
            <w:pPr>
              <w:pStyle w:val="DHHSbody"/>
              <w:jc w:val="right"/>
            </w:pPr>
            <w:r w:rsidRPr="0088429D">
              <w:t>4 (29%)</w:t>
            </w:r>
          </w:p>
        </w:tc>
        <w:tc>
          <w:tcPr>
            <w:tcW w:w="1641" w:type="dxa"/>
          </w:tcPr>
          <w:p w14:paraId="1056998B" w14:textId="77777777" w:rsidR="0088429D" w:rsidRPr="0088429D" w:rsidRDefault="0088429D" w:rsidP="00F1796C">
            <w:pPr>
              <w:pStyle w:val="DHHSbody"/>
              <w:jc w:val="right"/>
            </w:pPr>
            <w:r w:rsidRPr="0088429D">
              <w:t>2 (18%)</w:t>
            </w:r>
          </w:p>
        </w:tc>
      </w:tr>
      <w:tr w:rsidR="0088429D" w:rsidRPr="0088429D" w14:paraId="477F8236" w14:textId="77777777" w:rsidTr="0088429D">
        <w:tc>
          <w:tcPr>
            <w:tcW w:w="2405" w:type="dxa"/>
          </w:tcPr>
          <w:p w14:paraId="59B3B5C2" w14:textId="77777777" w:rsidR="0088429D" w:rsidRPr="0088429D" w:rsidRDefault="0088429D" w:rsidP="0088429D">
            <w:pPr>
              <w:pStyle w:val="DHHSbody"/>
            </w:pPr>
            <w:r w:rsidRPr="0088429D">
              <w:t>Implicated blood product: FFP</w:t>
            </w:r>
          </w:p>
        </w:tc>
        <w:tc>
          <w:tcPr>
            <w:tcW w:w="1134" w:type="dxa"/>
          </w:tcPr>
          <w:p w14:paraId="5E50B9D4" w14:textId="77777777" w:rsidR="0088429D" w:rsidRPr="0088429D" w:rsidRDefault="0088429D" w:rsidP="00F1796C">
            <w:pPr>
              <w:pStyle w:val="DHHSbody"/>
              <w:jc w:val="right"/>
            </w:pPr>
            <w:r w:rsidRPr="0088429D">
              <w:t>3 (21%)</w:t>
            </w:r>
          </w:p>
        </w:tc>
        <w:tc>
          <w:tcPr>
            <w:tcW w:w="1641" w:type="dxa"/>
          </w:tcPr>
          <w:p w14:paraId="59F5D880" w14:textId="77777777" w:rsidR="0088429D" w:rsidRPr="0088429D" w:rsidRDefault="0088429D" w:rsidP="00F1796C">
            <w:pPr>
              <w:pStyle w:val="DHHSbody"/>
              <w:jc w:val="right"/>
            </w:pPr>
            <w:r w:rsidRPr="0088429D">
              <w:t>6 (55%)</w:t>
            </w:r>
          </w:p>
        </w:tc>
      </w:tr>
      <w:tr w:rsidR="0088429D" w:rsidRPr="0088429D" w14:paraId="502435F4" w14:textId="77777777" w:rsidTr="0088429D">
        <w:tc>
          <w:tcPr>
            <w:tcW w:w="2405" w:type="dxa"/>
          </w:tcPr>
          <w:p w14:paraId="01B3380C" w14:textId="77777777" w:rsidR="0088429D" w:rsidRPr="0088429D" w:rsidRDefault="0088429D" w:rsidP="0088429D">
            <w:pPr>
              <w:pStyle w:val="DHHSbody"/>
            </w:pPr>
            <w:r w:rsidRPr="0088429D">
              <w:t>Implicated blood product: platelets</w:t>
            </w:r>
          </w:p>
        </w:tc>
        <w:tc>
          <w:tcPr>
            <w:tcW w:w="1134" w:type="dxa"/>
          </w:tcPr>
          <w:p w14:paraId="5379E373" w14:textId="77777777" w:rsidR="0088429D" w:rsidRPr="0088429D" w:rsidRDefault="0088429D" w:rsidP="00F1796C">
            <w:pPr>
              <w:pStyle w:val="DHHSbody"/>
              <w:jc w:val="right"/>
            </w:pPr>
            <w:r w:rsidRPr="0088429D">
              <w:t>7 (50%)</w:t>
            </w:r>
          </w:p>
        </w:tc>
        <w:tc>
          <w:tcPr>
            <w:tcW w:w="1641" w:type="dxa"/>
          </w:tcPr>
          <w:p w14:paraId="06178A60" w14:textId="77777777" w:rsidR="0088429D" w:rsidRPr="0088429D" w:rsidRDefault="0088429D" w:rsidP="00F1796C">
            <w:pPr>
              <w:pStyle w:val="DHHSbody"/>
              <w:jc w:val="right"/>
            </w:pPr>
            <w:r w:rsidRPr="0088429D">
              <w:t>5 (45%)</w:t>
            </w:r>
          </w:p>
        </w:tc>
      </w:tr>
    </w:tbl>
    <w:bookmarkEnd w:id="13"/>
    <w:p w14:paraId="0438010A" w14:textId="50DF2646" w:rsidR="0088429D" w:rsidRPr="0088429D" w:rsidRDefault="0088429D" w:rsidP="00F1796C">
      <w:pPr>
        <w:pStyle w:val="DHHSbodyaftertablefigure"/>
      </w:pPr>
      <w:r w:rsidRPr="0088429D">
        <w:t>Nearly one</w:t>
      </w:r>
      <w:r w:rsidR="00803F1E">
        <w:t>-</w:t>
      </w:r>
      <w:r w:rsidRPr="0088429D">
        <w:t>third of all allergic reactions reported occurred in patients 18 years</w:t>
      </w:r>
      <w:r w:rsidR="00803F1E" w:rsidRPr="0088429D">
        <w:t xml:space="preserve"> </w:t>
      </w:r>
      <w:r w:rsidRPr="0088429D">
        <w:t>of age</w:t>
      </w:r>
      <w:r w:rsidR="00803F1E">
        <w:t xml:space="preserve"> or younger</w:t>
      </w:r>
      <w:r w:rsidRPr="0088429D">
        <w:t xml:space="preserve">, with half of these being anaphylactic reactions. </w:t>
      </w:r>
    </w:p>
    <w:p w14:paraId="563BF3FA" w14:textId="77777777" w:rsidR="001C3BDA" w:rsidRDefault="001C3BDA">
      <w:pPr>
        <w:rPr>
          <w:rFonts w:ascii="Arial" w:eastAsia="Times" w:hAnsi="Arial"/>
          <w:b/>
        </w:rPr>
      </w:pPr>
      <w:r>
        <w:rPr>
          <w:rFonts w:eastAsia="Times"/>
        </w:rPr>
        <w:br w:type="page"/>
      </w:r>
    </w:p>
    <w:p w14:paraId="738C9EDE" w14:textId="2BF7A32E" w:rsidR="0088429D" w:rsidRPr="0088429D" w:rsidRDefault="0088429D" w:rsidP="0088429D">
      <w:pPr>
        <w:pStyle w:val="DHHStablecaption"/>
        <w:rPr>
          <w:rFonts w:eastAsia="Times"/>
        </w:rPr>
      </w:pPr>
      <w:r w:rsidRPr="0088429D">
        <w:rPr>
          <w:rFonts w:eastAsia="Times"/>
        </w:rPr>
        <w:lastRenderedPageBreak/>
        <w:t xml:space="preserve">Table </w:t>
      </w:r>
      <w:r w:rsidR="00FB0A81" w:rsidRPr="0088429D">
        <w:rPr>
          <w:rFonts w:eastAsia="Times"/>
        </w:rPr>
        <w:t>1</w:t>
      </w:r>
      <w:r w:rsidR="00FB0A81">
        <w:rPr>
          <w:rFonts w:eastAsia="Times"/>
        </w:rPr>
        <w:t>1</w:t>
      </w:r>
      <w:r w:rsidRPr="0088429D">
        <w:rPr>
          <w:rFonts w:eastAsia="Times"/>
        </w:rPr>
        <w:t xml:space="preserve">: Severity rating and </w:t>
      </w:r>
      <w:proofErr w:type="spellStart"/>
      <w:r w:rsidRPr="0088429D">
        <w:rPr>
          <w:rFonts w:eastAsia="Times"/>
        </w:rPr>
        <w:t>imputability</w:t>
      </w:r>
      <w:proofErr w:type="spellEnd"/>
      <w:r w:rsidRPr="0088429D">
        <w:rPr>
          <w:rFonts w:eastAsia="Times"/>
        </w:rPr>
        <w:t xml:space="preserve"> – allergic and anaphylactic reactions</w:t>
      </w:r>
    </w:p>
    <w:tbl>
      <w:tblPr>
        <w:tblStyle w:val="TableGrid"/>
        <w:tblW w:w="0" w:type="auto"/>
        <w:tblLook w:val="04A0" w:firstRow="1" w:lastRow="0" w:firstColumn="1" w:lastColumn="0" w:noHBand="0" w:noVBand="1"/>
      </w:tblPr>
      <w:tblGrid>
        <w:gridCol w:w="1803"/>
        <w:gridCol w:w="1803"/>
        <w:gridCol w:w="1917"/>
        <w:gridCol w:w="1850"/>
        <w:gridCol w:w="1804"/>
      </w:tblGrid>
      <w:tr w:rsidR="0088429D" w:rsidRPr="0088429D" w14:paraId="1914E0FC" w14:textId="77777777" w:rsidTr="0088429D">
        <w:trPr>
          <w:tblHeader/>
        </w:trPr>
        <w:tc>
          <w:tcPr>
            <w:tcW w:w="1803" w:type="dxa"/>
          </w:tcPr>
          <w:p w14:paraId="74B79A5D" w14:textId="77777777" w:rsidR="0088429D" w:rsidRPr="0088429D" w:rsidRDefault="0088429D" w:rsidP="0088429D">
            <w:pPr>
              <w:pStyle w:val="DHHSbody"/>
              <w:rPr>
                <w:b/>
              </w:rPr>
            </w:pPr>
            <w:r w:rsidRPr="0088429D">
              <w:rPr>
                <w:b/>
              </w:rPr>
              <w:t>Severity rating</w:t>
            </w:r>
          </w:p>
        </w:tc>
        <w:tc>
          <w:tcPr>
            <w:tcW w:w="1803" w:type="dxa"/>
          </w:tcPr>
          <w:p w14:paraId="42A9DB65" w14:textId="77777777" w:rsidR="0088429D" w:rsidRPr="0088429D" w:rsidRDefault="0088429D" w:rsidP="0088429D">
            <w:pPr>
              <w:pStyle w:val="DHHSbody"/>
              <w:rPr>
                <w:b/>
              </w:rPr>
            </w:pPr>
            <w:proofErr w:type="spellStart"/>
            <w:r w:rsidRPr="0088429D">
              <w:rPr>
                <w:b/>
              </w:rPr>
              <w:t>Imputability</w:t>
            </w:r>
            <w:proofErr w:type="spellEnd"/>
            <w:r w:rsidRPr="0088429D">
              <w:rPr>
                <w:b/>
              </w:rPr>
              <w:t>:</w:t>
            </w:r>
            <w:r w:rsidRPr="0088429D">
              <w:rPr>
                <w:b/>
              </w:rPr>
              <w:br/>
              <w:t>certainly</w:t>
            </w:r>
          </w:p>
        </w:tc>
        <w:tc>
          <w:tcPr>
            <w:tcW w:w="1917" w:type="dxa"/>
          </w:tcPr>
          <w:p w14:paraId="0952840B" w14:textId="77777777" w:rsidR="0088429D" w:rsidRPr="0088429D" w:rsidRDefault="0088429D" w:rsidP="0088429D">
            <w:pPr>
              <w:pStyle w:val="DHHSbody"/>
              <w:rPr>
                <w:b/>
              </w:rPr>
            </w:pPr>
            <w:proofErr w:type="spellStart"/>
            <w:r w:rsidRPr="0088429D">
              <w:rPr>
                <w:b/>
              </w:rPr>
              <w:t>Imputability</w:t>
            </w:r>
            <w:proofErr w:type="spellEnd"/>
            <w:r w:rsidRPr="0088429D">
              <w:rPr>
                <w:b/>
              </w:rPr>
              <w:t>:</w:t>
            </w:r>
            <w:r w:rsidRPr="0088429D">
              <w:rPr>
                <w:b/>
              </w:rPr>
              <w:br/>
              <w:t>probably</w:t>
            </w:r>
          </w:p>
        </w:tc>
        <w:tc>
          <w:tcPr>
            <w:tcW w:w="1850" w:type="dxa"/>
          </w:tcPr>
          <w:p w14:paraId="3DA03F03" w14:textId="77777777" w:rsidR="0088429D" w:rsidRPr="0088429D" w:rsidRDefault="0088429D" w:rsidP="0088429D">
            <w:pPr>
              <w:pStyle w:val="DHHSbody"/>
              <w:rPr>
                <w:b/>
              </w:rPr>
            </w:pPr>
            <w:proofErr w:type="spellStart"/>
            <w:r w:rsidRPr="0088429D">
              <w:rPr>
                <w:b/>
              </w:rPr>
              <w:t>Imputability</w:t>
            </w:r>
            <w:proofErr w:type="spellEnd"/>
            <w:r w:rsidRPr="0088429D">
              <w:rPr>
                <w:b/>
              </w:rPr>
              <w:t>:</w:t>
            </w:r>
            <w:r w:rsidRPr="0088429D">
              <w:rPr>
                <w:b/>
              </w:rPr>
              <w:br/>
              <w:t>possibly</w:t>
            </w:r>
          </w:p>
        </w:tc>
        <w:tc>
          <w:tcPr>
            <w:tcW w:w="1804" w:type="dxa"/>
          </w:tcPr>
          <w:p w14:paraId="479E2597" w14:textId="77777777" w:rsidR="0088429D" w:rsidRPr="0088429D" w:rsidRDefault="0088429D" w:rsidP="0088429D">
            <w:pPr>
              <w:pStyle w:val="DHHSbody"/>
              <w:rPr>
                <w:b/>
              </w:rPr>
            </w:pPr>
            <w:r w:rsidRPr="0088429D">
              <w:rPr>
                <w:b/>
              </w:rPr>
              <w:t>Total</w:t>
            </w:r>
          </w:p>
        </w:tc>
      </w:tr>
      <w:tr w:rsidR="0088429D" w:rsidRPr="0088429D" w14:paraId="2941568B" w14:textId="77777777" w:rsidTr="0088429D">
        <w:tc>
          <w:tcPr>
            <w:tcW w:w="1803" w:type="dxa"/>
          </w:tcPr>
          <w:p w14:paraId="5107CFD4" w14:textId="77777777" w:rsidR="0088429D" w:rsidRPr="0088429D" w:rsidRDefault="0088429D" w:rsidP="0088429D">
            <w:pPr>
              <w:pStyle w:val="DHHSbody"/>
            </w:pPr>
            <w:r w:rsidRPr="0088429D">
              <w:t>SR 1</w:t>
            </w:r>
          </w:p>
        </w:tc>
        <w:tc>
          <w:tcPr>
            <w:tcW w:w="1803" w:type="dxa"/>
          </w:tcPr>
          <w:p w14:paraId="33BCDF45" w14:textId="77777777" w:rsidR="0088429D" w:rsidRPr="0088429D" w:rsidRDefault="0088429D" w:rsidP="00F1796C">
            <w:pPr>
              <w:pStyle w:val="DHHSbody"/>
              <w:jc w:val="right"/>
            </w:pPr>
            <w:r w:rsidRPr="0088429D">
              <w:t>-</w:t>
            </w:r>
          </w:p>
        </w:tc>
        <w:tc>
          <w:tcPr>
            <w:tcW w:w="1917" w:type="dxa"/>
          </w:tcPr>
          <w:p w14:paraId="6FCE1914" w14:textId="77777777" w:rsidR="0088429D" w:rsidRPr="0088429D" w:rsidRDefault="0088429D" w:rsidP="00F1796C">
            <w:pPr>
              <w:pStyle w:val="DHHSbody"/>
              <w:jc w:val="right"/>
            </w:pPr>
            <w:r w:rsidRPr="0088429D">
              <w:t>-</w:t>
            </w:r>
          </w:p>
        </w:tc>
        <w:tc>
          <w:tcPr>
            <w:tcW w:w="1850" w:type="dxa"/>
          </w:tcPr>
          <w:p w14:paraId="50A50B40" w14:textId="77777777" w:rsidR="0088429D" w:rsidRPr="0088429D" w:rsidRDefault="0088429D" w:rsidP="00F1796C">
            <w:pPr>
              <w:pStyle w:val="DHHSbody"/>
              <w:jc w:val="right"/>
            </w:pPr>
            <w:r w:rsidRPr="0088429D">
              <w:t>-</w:t>
            </w:r>
          </w:p>
        </w:tc>
        <w:tc>
          <w:tcPr>
            <w:tcW w:w="1804" w:type="dxa"/>
          </w:tcPr>
          <w:p w14:paraId="66AD812C" w14:textId="77777777" w:rsidR="0088429D" w:rsidRPr="0088429D" w:rsidRDefault="0088429D" w:rsidP="00F1796C">
            <w:pPr>
              <w:pStyle w:val="DHHSbody"/>
              <w:jc w:val="right"/>
            </w:pPr>
            <w:r w:rsidRPr="0088429D">
              <w:t>-</w:t>
            </w:r>
          </w:p>
        </w:tc>
      </w:tr>
      <w:tr w:rsidR="0088429D" w:rsidRPr="0088429D" w14:paraId="60377AC2" w14:textId="77777777" w:rsidTr="0088429D">
        <w:tc>
          <w:tcPr>
            <w:tcW w:w="1803" w:type="dxa"/>
          </w:tcPr>
          <w:p w14:paraId="4AA1D901" w14:textId="77777777" w:rsidR="0088429D" w:rsidRPr="0088429D" w:rsidRDefault="0088429D" w:rsidP="0088429D">
            <w:pPr>
              <w:pStyle w:val="DHHSbody"/>
            </w:pPr>
            <w:r w:rsidRPr="0088429D">
              <w:t>SR 2</w:t>
            </w:r>
          </w:p>
        </w:tc>
        <w:tc>
          <w:tcPr>
            <w:tcW w:w="1803" w:type="dxa"/>
          </w:tcPr>
          <w:p w14:paraId="3E0ED248" w14:textId="77777777" w:rsidR="0088429D" w:rsidRPr="0088429D" w:rsidRDefault="0088429D" w:rsidP="00F1796C">
            <w:pPr>
              <w:pStyle w:val="DHHSbody"/>
              <w:jc w:val="right"/>
            </w:pPr>
            <w:r w:rsidRPr="0088429D">
              <w:t>6 (24%)</w:t>
            </w:r>
          </w:p>
        </w:tc>
        <w:tc>
          <w:tcPr>
            <w:tcW w:w="1917" w:type="dxa"/>
          </w:tcPr>
          <w:p w14:paraId="59A5E29B" w14:textId="77777777" w:rsidR="0088429D" w:rsidRPr="0088429D" w:rsidRDefault="0088429D" w:rsidP="00F1796C">
            <w:pPr>
              <w:pStyle w:val="DHHSbody"/>
              <w:jc w:val="right"/>
            </w:pPr>
            <w:r w:rsidRPr="0088429D">
              <w:t>4 (16%)</w:t>
            </w:r>
          </w:p>
        </w:tc>
        <w:tc>
          <w:tcPr>
            <w:tcW w:w="1850" w:type="dxa"/>
          </w:tcPr>
          <w:p w14:paraId="4BF334F7" w14:textId="77777777" w:rsidR="0088429D" w:rsidRPr="0088429D" w:rsidRDefault="0088429D" w:rsidP="00F1796C">
            <w:pPr>
              <w:pStyle w:val="DHHSbody"/>
              <w:jc w:val="right"/>
            </w:pPr>
            <w:r w:rsidRPr="0088429D">
              <w:t>3 (12%)</w:t>
            </w:r>
          </w:p>
        </w:tc>
        <w:tc>
          <w:tcPr>
            <w:tcW w:w="1804" w:type="dxa"/>
          </w:tcPr>
          <w:p w14:paraId="4C43CDB5" w14:textId="77777777" w:rsidR="0088429D" w:rsidRPr="0088429D" w:rsidRDefault="0088429D" w:rsidP="00F1796C">
            <w:pPr>
              <w:pStyle w:val="DHHSbody"/>
              <w:jc w:val="right"/>
            </w:pPr>
            <w:r w:rsidRPr="0088429D">
              <w:t>13 (52%)</w:t>
            </w:r>
          </w:p>
        </w:tc>
      </w:tr>
      <w:tr w:rsidR="0088429D" w:rsidRPr="0088429D" w14:paraId="2F2689ED" w14:textId="77777777" w:rsidTr="0088429D">
        <w:tc>
          <w:tcPr>
            <w:tcW w:w="1803" w:type="dxa"/>
          </w:tcPr>
          <w:p w14:paraId="4B6D54CB" w14:textId="77777777" w:rsidR="0088429D" w:rsidRPr="0088429D" w:rsidRDefault="0088429D" w:rsidP="0088429D">
            <w:pPr>
              <w:pStyle w:val="DHHSbody"/>
            </w:pPr>
            <w:r w:rsidRPr="0088429D">
              <w:t>SR 3</w:t>
            </w:r>
          </w:p>
        </w:tc>
        <w:tc>
          <w:tcPr>
            <w:tcW w:w="1803" w:type="dxa"/>
          </w:tcPr>
          <w:p w14:paraId="3C5AD44D" w14:textId="77777777" w:rsidR="0088429D" w:rsidRPr="0088429D" w:rsidRDefault="0088429D" w:rsidP="00F1796C">
            <w:pPr>
              <w:pStyle w:val="DHHSbody"/>
              <w:jc w:val="right"/>
            </w:pPr>
            <w:r w:rsidRPr="0088429D">
              <w:t>5 (20%)</w:t>
            </w:r>
          </w:p>
        </w:tc>
        <w:tc>
          <w:tcPr>
            <w:tcW w:w="1917" w:type="dxa"/>
          </w:tcPr>
          <w:p w14:paraId="038F5EAD" w14:textId="77777777" w:rsidR="0088429D" w:rsidRPr="0088429D" w:rsidRDefault="0088429D" w:rsidP="00F1796C">
            <w:pPr>
              <w:pStyle w:val="DHHSbody"/>
              <w:jc w:val="right"/>
            </w:pPr>
            <w:r w:rsidRPr="0088429D">
              <w:t>2 (8%)</w:t>
            </w:r>
          </w:p>
        </w:tc>
        <w:tc>
          <w:tcPr>
            <w:tcW w:w="1850" w:type="dxa"/>
          </w:tcPr>
          <w:p w14:paraId="2E2FB803" w14:textId="77777777" w:rsidR="0088429D" w:rsidRPr="0088429D" w:rsidRDefault="0088429D" w:rsidP="00F1796C">
            <w:pPr>
              <w:pStyle w:val="DHHSbody"/>
              <w:jc w:val="right"/>
            </w:pPr>
            <w:r w:rsidRPr="0088429D">
              <w:t>2 (8%)</w:t>
            </w:r>
          </w:p>
        </w:tc>
        <w:tc>
          <w:tcPr>
            <w:tcW w:w="1804" w:type="dxa"/>
          </w:tcPr>
          <w:p w14:paraId="77B32886" w14:textId="77777777" w:rsidR="0088429D" w:rsidRPr="0088429D" w:rsidRDefault="0088429D" w:rsidP="00F1796C">
            <w:pPr>
              <w:pStyle w:val="DHHSbody"/>
              <w:jc w:val="right"/>
            </w:pPr>
            <w:r w:rsidRPr="0088429D">
              <w:t>9 (36%)</w:t>
            </w:r>
          </w:p>
        </w:tc>
      </w:tr>
      <w:tr w:rsidR="0088429D" w:rsidRPr="0088429D" w14:paraId="3362F933" w14:textId="77777777" w:rsidTr="0088429D">
        <w:tc>
          <w:tcPr>
            <w:tcW w:w="1803" w:type="dxa"/>
          </w:tcPr>
          <w:p w14:paraId="74861CA4" w14:textId="77777777" w:rsidR="0088429D" w:rsidRPr="0088429D" w:rsidRDefault="0088429D" w:rsidP="0088429D">
            <w:pPr>
              <w:pStyle w:val="DHHSbody"/>
            </w:pPr>
            <w:r w:rsidRPr="0088429D">
              <w:t>SR 4</w:t>
            </w:r>
          </w:p>
        </w:tc>
        <w:tc>
          <w:tcPr>
            <w:tcW w:w="1803" w:type="dxa"/>
          </w:tcPr>
          <w:p w14:paraId="5805ADB9" w14:textId="77777777" w:rsidR="0088429D" w:rsidRPr="0088429D" w:rsidRDefault="0088429D" w:rsidP="00F1796C">
            <w:pPr>
              <w:pStyle w:val="DHHSbody"/>
              <w:jc w:val="right"/>
            </w:pPr>
            <w:r w:rsidRPr="0088429D">
              <w:t>-</w:t>
            </w:r>
          </w:p>
        </w:tc>
        <w:tc>
          <w:tcPr>
            <w:tcW w:w="1917" w:type="dxa"/>
          </w:tcPr>
          <w:p w14:paraId="6CE66CA5" w14:textId="77777777" w:rsidR="0088429D" w:rsidRPr="0088429D" w:rsidRDefault="0088429D" w:rsidP="00F1796C">
            <w:pPr>
              <w:pStyle w:val="DHHSbody"/>
              <w:jc w:val="right"/>
            </w:pPr>
            <w:r w:rsidRPr="0088429D">
              <w:t>2 (8%)</w:t>
            </w:r>
          </w:p>
        </w:tc>
        <w:tc>
          <w:tcPr>
            <w:tcW w:w="1850" w:type="dxa"/>
          </w:tcPr>
          <w:p w14:paraId="5EE2D8FF" w14:textId="77777777" w:rsidR="0088429D" w:rsidRPr="0088429D" w:rsidRDefault="0088429D" w:rsidP="00F1796C">
            <w:pPr>
              <w:pStyle w:val="DHHSbody"/>
              <w:jc w:val="right"/>
            </w:pPr>
            <w:r w:rsidRPr="0088429D">
              <w:t>1 (4%)</w:t>
            </w:r>
          </w:p>
        </w:tc>
        <w:tc>
          <w:tcPr>
            <w:tcW w:w="1804" w:type="dxa"/>
          </w:tcPr>
          <w:p w14:paraId="3FAB8D92" w14:textId="77777777" w:rsidR="0088429D" w:rsidRPr="0088429D" w:rsidRDefault="0088429D" w:rsidP="00F1796C">
            <w:pPr>
              <w:pStyle w:val="DHHSbody"/>
              <w:jc w:val="right"/>
            </w:pPr>
            <w:r w:rsidRPr="0088429D">
              <w:t>3 (12%)</w:t>
            </w:r>
          </w:p>
        </w:tc>
      </w:tr>
      <w:tr w:rsidR="0088429D" w:rsidRPr="0088429D" w14:paraId="3949F42F" w14:textId="77777777" w:rsidTr="0088429D">
        <w:tc>
          <w:tcPr>
            <w:tcW w:w="1803" w:type="dxa"/>
          </w:tcPr>
          <w:p w14:paraId="76FEE73A" w14:textId="77777777" w:rsidR="0088429D" w:rsidRPr="0088429D" w:rsidRDefault="0088429D" w:rsidP="0088429D">
            <w:pPr>
              <w:pStyle w:val="DHHSbody"/>
              <w:rPr>
                <w:b/>
              </w:rPr>
            </w:pPr>
            <w:r w:rsidRPr="0088429D">
              <w:rPr>
                <w:b/>
              </w:rPr>
              <w:t>Total</w:t>
            </w:r>
          </w:p>
        </w:tc>
        <w:tc>
          <w:tcPr>
            <w:tcW w:w="1803" w:type="dxa"/>
          </w:tcPr>
          <w:p w14:paraId="2BF983C6" w14:textId="77777777" w:rsidR="0088429D" w:rsidRPr="0088429D" w:rsidRDefault="0088429D" w:rsidP="00F1796C">
            <w:pPr>
              <w:pStyle w:val="DHHSbody"/>
              <w:jc w:val="right"/>
              <w:rPr>
                <w:b/>
              </w:rPr>
            </w:pPr>
            <w:r w:rsidRPr="0088429D">
              <w:rPr>
                <w:b/>
              </w:rPr>
              <w:t>11 (44%)</w:t>
            </w:r>
          </w:p>
        </w:tc>
        <w:tc>
          <w:tcPr>
            <w:tcW w:w="1917" w:type="dxa"/>
          </w:tcPr>
          <w:p w14:paraId="1E410565" w14:textId="77777777" w:rsidR="0088429D" w:rsidRPr="0088429D" w:rsidRDefault="0088429D" w:rsidP="00F1796C">
            <w:pPr>
              <w:pStyle w:val="DHHSbody"/>
              <w:jc w:val="right"/>
              <w:rPr>
                <w:b/>
              </w:rPr>
            </w:pPr>
            <w:r w:rsidRPr="0088429D">
              <w:rPr>
                <w:b/>
              </w:rPr>
              <w:t>8 (32%)</w:t>
            </w:r>
          </w:p>
        </w:tc>
        <w:tc>
          <w:tcPr>
            <w:tcW w:w="1850" w:type="dxa"/>
          </w:tcPr>
          <w:p w14:paraId="3F78AB97" w14:textId="77777777" w:rsidR="0088429D" w:rsidRPr="0088429D" w:rsidRDefault="0088429D" w:rsidP="00F1796C">
            <w:pPr>
              <w:pStyle w:val="DHHSbody"/>
              <w:jc w:val="right"/>
              <w:rPr>
                <w:b/>
              </w:rPr>
            </w:pPr>
            <w:r w:rsidRPr="0088429D">
              <w:rPr>
                <w:b/>
              </w:rPr>
              <w:t>6 (24%)</w:t>
            </w:r>
          </w:p>
        </w:tc>
        <w:tc>
          <w:tcPr>
            <w:tcW w:w="1804" w:type="dxa"/>
          </w:tcPr>
          <w:p w14:paraId="135B86AA" w14:textId="77777777" w:rsidR="0088429D" w:rsidRPr="0088429D" w:rsidRDefault="0088429D" w:rsidP="00F1796C">
            <w:pPr>
              <w:pStyle w:val="DHHSbody"/>
              <w:jc w:val="right"/>
              <w:rPr>
                <w:b/>
              </w:rPr>
            </w:pPr>
            <w:r w:rsidRPr="0088429D">
              <w:rPr>
                <w:b/>
              </w:rPr>
              <w:t>25 (100%)</w:t>
            </w:r>
          </w:p>
        </w:tc>
      </w:tr>
    </w:tbl>
    <w:p w14:paraId="0708B894" w14:textId="77777777" w:rsidR="0088429D" w:rsidRPr="0088429D" w:rsidRDefault="0088429D" w:rsidP="00810F57">
      <w:pPr>
        <w:pStyle w:val="Heading3"/>
      </w:pPr>
      <w:r w:rsidRPr="0088429D">
        <w:t>Case study 2: allergic (red cells)</w:t>
      </w:r>
    </w:p>
    <w:p w14:paraId="749DB74A" w14:textId="7E476066" w:rsidR="0088429D" w:rsidRPr="0088429D" w:rsidRDefault="0088429D" w:rsidP="0088429D">
      <w:pPr>
        <w:pStyle w:val="DHHSbody"/>
      </w:pPr>
      <w:r w:rsidRPr="0088429D">
        <w:t>A man was admitted with symptomatic anaemia of unknown aetiology. A unit of red cells was commenced, and approximately 10 minutes into the transfusion the patient became hypotensive (115/</w:t>
      </w:r>
      <w:r w:rsidR="00803F1E" w:rsidRPr="0088429D">
        <w:t>70</w:t>
      </w:r>
      <w:r w:rsidR="00803F1E">
        <w:t> </w:t>
      </w:r>
      <w:r w:rsidR="005A120A">
        <w:t xml:space="preserve">mmHg </w:t>
      </w:r>
      <w:r w:rsidRPr="0088429D">
        <w:t>to 47/34</w:t>
      </w:r>
      <w:r w:rsidR="00803F1E">
        <w:t> </w:t>
      </w:r>
      <w:r w:rsidR="005A120A">
        <w:t>mmHg</w:t>
      </w:r>
      <w:r w:rsidRPr="0088429D">
        <w:t xml:space="preserve">), with chest pain/discomfort, difficulty breathing (without change in rate or oxygen saturation), tachycardia (85 to 128 bpm) and developed a rash and swelling of lips and tongue. A medical emergency team (MET) call was initiated and the patient received treatment with oxygen, antihistamine, steroids, IM adrenaline, IV </w:t>
      </w:r>
      <w:proofErr w:type="spellStart"/>
      <w:r w:rsidR="00803F1E">
        <w:t>metaraminol</w:t>
      </w:r>
      <w:proofErr w:type="spellEnd"/>
      <w:r w:rsidR="00803F1E" w:rsidRPr="0088429D">
        <w:t xml:space="preserve"> </w:t>
      </w:r>
      <w:r w:rsidRPr="0088429D">
        <w:t>and fluid support. The patient required ICU admission.</w:t>
      </w:r>
    </w:p>
    <w:p w14:paraId="618D948E" w14:textId="77777777" w:rsidR="0088429D" w:rsidRPr="0088429D" w:rsidRDefault="0088429D" w:rsidP="0088429D">
      <w:pPr>
        <w:pStyle w:val="DHHSbody"/>
      </w:pPr>
      <w:r w:rsidRPr="0088429D">
        <w:t xml:space="preserve">Investigations showed a </w:t>
      </w:r>
      <w:proofErr w:type="spellStart"/>
      <w:r w:rsidRPr="0088429D">
        <w:t>tryptase</w:t>
      </w:r>
      <w:proofErr w:type="spellEnd"/>
      <w:r w:rsidRPr="0088429D">
        <w:t xml:space="preserve"> of 1 microgram/mL (in normal range), an </w:t>
      </w:r>
      <w:proofErr w:type="spellStart"/>
      <w:r w:rsidRPr="0088429D">
        <w:t>IgE</w:t>
      </w:r>
      <w:proofErr w:type="spellEnd"/>
      <w:r w:rsidRPr="0088429D">
        <w:t xml:space="preserve"> 268 UI/mL (normal range). Patient blood cultures were negative, </w:t>
      </w:r>
      <w:proofErr w:type="spellStart"/>
      <w:r w:rsidRPr="0088429D">
        <w:t>haptoglobin</w:t>
      </w:r>
      <w:proofErr w:type="spellEnd"/>
      <w:r w:rsidRPr="0088429D">
        <w:t xml:space="preserve"> was in normal range, </w:t>
      </w:r>
      <w:proofErr w:type="spellStart"/>
      <w:proofErr w:type="gramStart"/>
      <w:r w:rsidRPr="0088429D">
        <w:t>Hb</w:t>
      </w:r>
      <w:proofErr w:type="spellEnd"/>
      <w:proofErr w:type="gramEnd"/>
      <w:r w:rsidRPr="0088429D">
        <w:t xml:space="preserve"> had risen from 67g/L to 76g/L. </w:t>
      </w:r>
    </w:p>
    <w:p w14:paraId="0F890366" w14:textId="1E6B62BE" w:rsidR="0088429D" w:rsidRPr="0088429D" w:rsidRDefault="0088429D" w:rsidP="0088429D">
      <w:pPr>
        <w:pStyle w:val="DHHSbody"/>
      </w:pPr>
      <w:r w:rsidRPr="0088429D">
        <w:t>The patient went on to receive two further red cell units the following day with nil reactions. He was referred for immunology review</w:t>
      </w:r>
      <w:r w:rsidR="00803F1E">
        <w:t>,</w:t>
      </w:r>
      <w:r w:rsidRPr="0088429D">
        <w:t xml:space="preserve"> as he also had a previous reaction to </w:t>
      </w:r>
      <w:r w:rsidR="00803F1E">
        <w:t>c</w:t>
      </w:r>
      <w:r w:rsidR="00803F1E" w:rsidRPr="0088429D">
        <w:t xml:space="preserve">omputed </w:t>
      </w:r>
      <w:r w:rsidR="00803F1E">
        <w:t>t</w:t>
      </w:r>
      <w:r w:rsidR="00803F1E" w:rsidRPr="0088429D">
        <w:t xml:space="preserve">omography </w:t>
      </w:r>
      <w:r w:rsidRPr="0088429D">
        <w:t>contrast.</w:t>
      </w:r>
    </w:p>
    <w:p w14:paraId="1654248B" w14:textId="03EF71C1" w:rsidR="0088429D" w:rsidRPr="0088429D" w:rsidRDefault="0088429D" w:rsidP="0088429D">
      <w:pPr>
        <w:pStyle w:val="DHHSbody"/>
      </w:pPr>
      <w:r w:rsidRPr="0088429D">
        <w:t>(STIR review: anaphylaxis, certainly, SR</w:t>
      </w:r>
      <w:r w:rsidR="00803F1E">
        <w:t xml:space="preserve"> </w:t>
      </w:r>
      <w:r w:rsidRPr="0088429D">
        <w:t>2)</w:t>
      </w:r>
    </w:p>
    <w:p w14:paraId="350A9CB9" w14:textId="18B7E659" w:rsidR="0088429D" w:rsidRPr="0088429D" w:rsidRDefault="0088429D" w:rsidP="00F1796C">
      <w:pPr>
        <w:pStyle w:val="Heading4"/>
      </w:pPr>
      <w:r w:rsidRPr="0088429D">
        <w:t>Comment</w:t>
      </w:r>
    </w:p>
    <w:p w14:paraId="732B2FD5" w14:textId="04786B78" w:rsidR="0088429D" w:rsidRPr="0088429D" w:rsidRDefault="0088429D" w:rsidP="0088429D">
      <w:pPr>
        <w:pStyle w:val="DHHSbody"/>
      </w:pPr>
      <w:r w:rsidRPr="0088429D">
        <w:t>Allergic reactions, including anaphylaxis</w:t>
      </w:r>
      <w:r w:rsidR="00803F1E">
        <w:t>,</w:t>
      </w:r>
      <w:r w:rsidRPr="0088429D">
        <w:t xml:space="preserve"> occur regularly due to the inherent, but not necessarily faulty characteristic of the blood product. Patients with an allergic history are possibly somewhat more at risk than others, but these reactions are unpredictable. </w:t>
      </w:r>
    </w:p>
    <w:p w14:paraId="5AD6FB48" w14:textId="7A094246" w:rsidR="0088429D" w:rsidRPr="0088429D" w:rsidRDefault="0088429D" w:rsidP="0088429D">
      <w:pPr>
        <w:pStyle w:val="DHHSbody"/>
      </w:pPr>
      <w:r w:rsidRPr="0088429D">
        <w:t>As in this case, serious allergic reactions can occur early and continuous monitoring of the patient during the early part of the transfusion</w:t>
      </w:r>
      <w:r w:rsidR="00803F1E">
        <w:t>, that is, the</w:t>
      </w:r>
      <w:r w:rsidRPr="0088429D">
        <w:t xml:space="preserve"> first 15 minutes</w:t>
      </w:r>
      <w:r w:rsidR="00803F1E">
        <w:t>,</w:t>
      </w:r>
      <w:r w:rsidRPr="0088429D">
        <w:t xml:space="preserve"> is critical to recognise these reactions, stop the transfusion and start treatment.</w:t>
      </w:r>
    </w:p>
    <w:p w14:paraId="0472F192" w14:textId="77777777" w:rsidR="0088429D" w:rsidRPr="0088429D" w:rsidRDefault="0088429D" w:rsidP="00810F57">
      <w:pPr>
        <w:pStyle w:val="Heading3"/>
      </w:pPr>
      <w:r w:rsidRPr="0088429D">
        <w:t>Case study 3: allergic – FFP used for warfarin reversal</w:t>
      </w:r>
    </w:p>
    <w:p w14:paraId="48AA1D8B" w14:textId="623D2C4B" w:rsidR="0088429D" w:rsidRPr="0088429D" w:rsidRDefault="0088429D" w:rsidP="0088429D">
      <w:pPr>
        <w:pStyle w:val="DHHSbody"/>
      </w:pPr>
      <w:r w:rsidRPr="0088429D">
        <w:t>A patient taking warfarin was admitted with haematuria and severe anaemia. In the emergency department</w:t>
      </w:r>
      <w:r w:rsidR="00803F1E">
        <w:t>,</w:t>
      </w:r>
      <w:r w:rsidRPr="0088429D">
        <w:t xml:space="preserve"> he was given FFP for warfarin reversal. Approximately 20 minutes into the transfusion</w:t>
      </w:r>
      <w:r w:rsidR="00803F1E">
        <w:t>,</w:t>
      </w:r>
      <w:r w:rsidRPr="0088429D">
        <w:t xml:space="preserve"> the patient complained of blurred vision and was becoming less responsive. His heart rate increased, blood pressure (BP) and oxygen saturation dropped. He was treated with antipyretic, antihistamine, steroids, adrenaline, oxygen and IV fluid support. The patient required a temporary increase in care, without the need for increased length of stay or ICU admission. </w:t>
      </w:r>
    </w:p>
    <w:p w14:paraId="413C3D7B" w14:textId="77777777" w:rsidR="0088429D" w:rsidRPr="0088429D" w:rsidRDefault="0088429D" w:rsidP="0088429D">
      <w:pPr>
        <w:pStyle w:val="DHHSbody"/>
      </w:pPr>
      <w:r w:rsidRPr="0088429D">
        <w:t>Review by the health service noted the warfarin reversal guidelines had not been followed and recommended further education around these.</w:t>
      </w:r>
    </w:p>
    <w:p w14:paraId="3F0F654F" w14:textId="48839124" w:rsidR="0088429D" w:rsidRPr="0088429D" w:rsidRDefault="0088429D" w:rsidP="0088429D">
      <w:pPr>
        <w:pStyle w:val="DHHSbody"/>
      </w:pPr>
      <w:r w:rsidRPr="0088429D">
        <w:t>(STIR review: anaphylaxis, certainly, SR</w:t>
      </w:r>
      <w:r w:rsidR="00803F1E">
        <w:t xml:space="preserve"> </w:t>
      </w:r>
      <w:r w:rsidRPr="0088429D">
        <w:t>2)</w:t>
      </w:r>
    </w:p>
    <w:p w14:paraId="4CAE686E" w14:textId="50406905" w:rsidR="0088429D" w:rsidRPr="0088429D" w:rsidRDefault="0088429D" w:rsidP="00F1796C">
      <w:pPr>
        <w:pStyle w:val="Heading4"/>
      </w:pPr>
      <w:r w:rsidRPr="0088429D">
        <w:lastRenderedPageBreak/>
        <w:t>Comments</w:t>
      </w:r>
    </w:p>
    <w:p w14:paraId="6BF6CA9E" w14:textId="77777777" w:rsidR="00803F1E" w:rsidRDefault="0088429D" w:rsidP="0088429D">
      <w:pPr>
        <w:pStyle w:val="DHHSbody"/>
      </w:pPr>
      <w:r w:rsidRPr="0088429D">
        <w:t xml:space="preserve">This is not a lone event, </w:t>
      </w:r>
      <w:r w:rsidR="00803F1E">
        <w:t xml:space="preserve">and </w:t>
      </w:r>
      <w:r w:rsidRPr="0088429D">
        <w:t xml:space="preserve">a number of reactions to FFP used in warfarin reversal have been received. The </w:t>
      </w:r>
      <w:hyperlink r:id="rId21" w:history="1">
        <w:r w:rsidRPr="00803F1E">
          <w:rPr>
            <w:rStyle w:val="Hyperlink"/>
          </w:rPr>
          <w:t>Australian guidelines state</w:t>
        </w:r>
      </w:hyperlink>
      <w:r w:rsidR="00803F1E">
        <w:t xml:space="preserve"> &lt;</w:t>
      </w:r>
      <w:r w:rsidR="00803F1E" w:rsidRPr="00F1796C">
        <w:t>https://www.mja.com.au/journal/2013/198/4/update-consensus-guidelines-warfarin-reversal&gt;</w:t>
      </w:r>
      <w:r w:rsidRPr="0088429D">
        <w:t xml:space="preserve">: </w:t>
      </w:r>
    </w:p>
    <w:p w14:paraId="59E930E8" w14:textId="5D006C63" w:rsidR="0088429D" w:rsidRPr="0088429D" w:rsidRDefault="0088429D" w:rsidP="00F1796C">
      <w:pPr>
        <w:pStyle w:val="DHHSquote"/>
        <w:rPr>
          <w:lang w:val="en"/>
        </w:rPr>
      </w:pPr>
      <w:r w:rsidRPr="0088429D">
        <w:t>‘</w:t>
      </w:r>
      <w:r w:rsidRPr="0088429D">
        <w:rPr>
          <w:lang w:val="en"/>
        </w:rPr>
        <w:t xml:space="preserve">For immediate reversal, prothrombin complex concentrates (PCC) are preferred over fresh frozen plasma (FFP). </w:t>
      </w:r>
      <w:proofErr w:type="spellStart"/>
      <w:r w:rsidRPr="0088429D">
        <w:rPr>
          <w:lang w:val="en"/>
        </w:rPr>
        <w:t>Prothrombinex</w:t>
      </w:r>
      <w:proofErr w:type="spellEnd"/>
      <w:r w:rsidRPr="0088429D">
        <w:rPr>
          <w:lang w:val="en"/>
        </w:rPr>
        <w:t xml:space="preserve">®-VF is the only PCC routinely used for warfarin reversal in Australia and New Zealand. It contains factors II, IX, X and low levels of factor VII. FFP is not routinely needed in combination with </w:t>
      </w:r>
      <w:proofErr w:type="spellStart"/>
      <w:r w:rsidRPr="0088429D">
        <w:rPr>
          <w:lang w:val="en"/>
        </w:rPr>
        <w:t>Prothrombinex</w:t>
      </w:r>
      <w:proofErr w:type="spellEnd"/>
      <w:r w:rsidRPr="0088429D">
        <w:rPr>
          <w:lang w:val="en"/>
        </w:rPr>
        <w:t xml:space="preserve">®-VF. FFP can be used when </w:t>
      </w:r>
      <w:proofErr w:type="spellStart"/>
      <w:r w:rsidRPr="0088429D">
        <w:rPr>
          <w:lang w:val="en"/>
        </w:rPr>
        <w:t>Prothrombinex</w:t>
      </w:r>
      <w:proofErr w:type="spellEnd"/>
      <w:r w:rsidRPr="0088429D">
        <w:rPr>
          <w:lang w:val="en"/>
        </w:rPr>
        <w:t xml:space="preserve">®-VF is unavailable. Vitamin K1 is essential for sustaining the reversal achieved by PCC or FFP.’ </w:t>
      </w:r>
    </w:p>
    <w:p w14:paraId="6206122A" w14:textId="10970765" w:rsidR="0088429D" w:rsidRPr="0088429D" w:rsidRDefault="0088429D" w:rsidP="0088429D">
      <w:pPr>
        <w:pStyle w:val="DHHSbody"/>
        <w:rPr>
          <w:lang w:val="en"/>
        </w:rPr>
      </w:pPr>
      <w:r w:rsidRPr="0088429D">
        <w:rPr>
          <w:lang w:val="en"/>
        </w:rPr>
        <w:t>FFP has greater risk of allergic reactions, compared to other blood products including PPCs, as in this case study. FFP should always be used cautiously</w:t>
      </w:r>
      <w:r w:rsidR="00803F1E">
        <w:rPr>
          <w:lang w:val="en"/>
        </w:rPr>
        <w:t>,</w:t>
      </w:r>
      <w:r w:rsidRPr="0088429D">
        <w:rPr>
          <w:lang w:val="en"/>
        </w:rPr>
        <w:t xml:space="preserve"> as it may also be associated with TACO, due to the larger volume compared </w:t>
      </w:r>
      <w:proofErr w:type="spellStart"/>
      <w:r w:rsidRPr="0088429D">
        <w:rPr>
          <w:lang w:val="en"/>
        </w:rPr>
        <w:t>Prothrombinex</w:t>
      </w:r>
      <w:proofErr w:type="spellEnd"/>
      <w:r w:rsidRPr="0088429D">
        <w:rPr>
          <w:lang w:val="en"/>
        </w:rPr>
        <w:t>®-VF. In addition, TRALI is also a risk with any plasma containing blood component.</w:t>
      </w:r>
    </w:p>
    <w:p w14:paraId="1DF3C5F4" w14:textId="77777777" w:rsidR="0088429D" w:rsidRPr="0088429D" w:rsidRDefault="0088429D" w:rsidP="0088429D">
      <w:pPr>
        <w:pStyle w:val="Heading2"/>
        <w:rPr>
          <w:rFonts w:eastAsia="Times"/>
        </w:rPr>
      </w:pPr>
      <w:bookmarkStart w:id="14" w:name="_Toc46304644"/>
      <w:r w:rsidRPr="0088429D">
        <w:rPr>
          <w:rFonts w:eastAsia="Times"/>
        </w:rPr>
        <w:t>Acute haemolytic transfusion reaction (AHTR)</w:t>
      </w:r>
      <w:bookmarkEnd w:id="14"/>
    </w:p>
    <w:p w14:paraId="2BFDDC50" w14:textId="5A4A0E65" w:rsidR="0088429D" w:rsidRPr="0088429D" w:rsidRDefault="0088429D" w:rsidP="0088429D">
      <w:pPr>
        <w:pStyle w:val="DHHSbody"/>
      </w:pPr>
      <w:r w:rsidRPr="0088429D">
        <w:t>For this period</w:t>
      </w:r>
      <w:r w:rsidR="00803F1E">
        <w:t>,</w:t>
      </w:r>
      <w:r w:rsidRPr="0088429D">
        <w:t xml:space="preserve"> there was one AHTR event. This was reported as a possible FNHTR, but on review</w:t>
      </w:r>
      <w:r w:rsidR="00803F1E">
        <w:t>,</w:t>
      </w:r>
      <w:r w:rsidRPr="0088429D">
        <w:t xml:space="preserve"> it was noted mild haemolysis had occurred post transfusion, with a decreased </w:t>
      </w:r>
      <w:proofErr w:type="spellStart"/>
      <w:r w:rsidRPr="0088429D">
        <w:t>haptoglobin</w:t>
      </w:r>
      <w:proofErr w:type="spellEnd"/>
      <w:r w:rsidRPr="0088429D">
        <w:t xml:space="preserve"> and a mild increase in both bilirubin and LDH in an otherwise </w:t>
      </w:r>
      <w:r w:rsidR="0066183D">
        <w:t>stable</w:t>
      </w:r>
      <w:r w:rsidRPr="0088429D">
        <w:t xml:space="preserve"> individual.</w:t>
      </w:r>
    </w:p>
    <w:p w14:paraId="3841BCEF" w14:textId="77777777" w:rsidR="0088429D" w:rsidRPr="0088429D" w:rsidRDefault="0088429D" w:rsidP="0088429D">
      <w:pPr>
        <w:pStyle w:val="Heading2"/>
        <w:rPr>
          <w:rFonts w:eastAsia="Times"/>
        </w:rPr>
      </w:pPr>
      <w:bookmarkStart w:id="15" w:name="_Toc46304645"/>
      <w:bookmarkStart w:id="16" w:name="_Hlk45106438"/>
      <w:r w:rsidRPr="0088429D">
        <w:rPr>
          <w:rFonts w:eastAsia="Times"/>
        </w:rPr>
        <w:t>Delayed haemolytic transfusion reaction (DHTR)</w:t>
      </w:r>
      <w:bookmarkEnd w:id="15"/>
    </w:p>
    <w:bookmarkEnd w:id="16"/>
    <w:p w14:paraId="4CF9E8A7" w14:textId="77777777" w:rsidR="0088429D" w:rsidRPr="0088429D" w:rsidRDefault="0088429D" w:rsidP="0088429D">
      <w:pPr>
        <w:pStyle w:val="DHHSbody"/>
      </w:pPr>
      <w:r w:rsidRPr="0088429D">
        <w:t xml:space="preserve">For FY19, there were five validated reports. </w:t>
      </w:r>
    </w:p>
    <w:p w14:paraId="2A5F219E" w14:textId="329181FA" w:rsidR="0088429D" w:rsidRPr="0088429D" w:rsidRDefault="0088429D" w:rsidP="0088429D">
      <w:pPr>
        <w:pStyle w:val="DHHStablecaption"/>
        <w:rPr>
          <w:rFonts w:eastAsia="Times"/>
        </w:rPr>
      </w:pPr>
      <w:r w:rsidRPr="0088429D">
        <w:rPr>
          <w:rFonts w:eastAsia="Times"/>
        </w:rPr>
        <w:t xml:space="preserve">Table </w:t>
      </w:r>
      <w:r w:rsidR="00FB0A81" w:rsidRPr="0088429D">
        <w:rPr>
          <w:rFonts w:eastAsia="Times"/>
        </w:rPr>
        <w:t>1</w:t>
      </w:r>
      <w:r w:rsidR="00FB0A81">
        <w:rPr>
          <w:rFonts w:eastAsia="Times"/>
        </w:rPr>
        <w:t>2</w:t>
      </w:r>
      <w:r w:rsidRPr="0088429D">
        <w:rPr>
          <w:rFonts w:eastAsia="Times"/>
        </w:rPr>
        <w:t>: Data summary – delayed haemolytic and delayed serologic reactions</w:t>
      </w:r>
    </w:p>
    <w:tbl>
      <w:tblPr>
        <w:tblStyle w:val="TableGrid"/>
        <w:tblW w:w="0" w:type="auto"/>
        <w:tblLook w:val="04A0" w:firstRow="1" w:lastRow="0" w:firstColumn="1" w:lastColumn="0" w:noHBand="0" w:noVBand="1"/>
      </w:tblPr>
      <w:tblGrid>
        <w:gridCol w:w="2405"/>
        <w:gridCol w:w="1134"/>
        <w:gridCol w:w="1158"/>
      </w:tblGrid>
      <w:tr w:rsidR="0088429D" w:rsidRPr="0088429D" w14:paraId="20C348E3" w14:textId="77777777" w:rsidTr="0088429D">
        <w:trPr>
          <w:tblHeader/>
        </w:trPr>
        <w:tc>
          <w:tcPr>
            <w:tcW w:w="2405" w:type="dxa"/>
          </w:tcPr>
          <w:p w14:paraId="1E9960CC" w14:textId="77777777" w:rsidR="0088429D" w:rsidRPr="0088429D" w:rsidRDefault="0088429D" w:rsidP="0088429D">
            <w:pPr>
              <w:pStyle w:val="DHHSbody"/>
              <w:rPr>
                <w:b/>
              </w:rPr>
            </w:pPr>
            <w:r w:rsidRPr="0088429D">
              <w:rPr>
                <w:b/>
              </w:rPr>
              <w:t>Characteristic</w:t>
            </w:r>
          </w:p>
        </w:tc>
        <w:tc>
          <w:tcPr>
            <w:tcW w:w="1134" w:type="dxa"/>
          </w:tcPr>
          <w:p w14:paraId="7D234700" w14:textId="133417A2" w:rsidR="0088429D" w:rsidRPr="0088429D" w:rsidRDefault="0088429D" w:rsidP="0088429D">
            <w:pPr>
              <w:pStyle w:val="DHHSbody"/>
              <w:rPr>
                <w:b/>
              </w:rPr>
            </w:pPr>
            <w:r w:rsidRPr="0088429D">
              <w:rPr>
                <w:b/>
              </w:rPr>
              <w:t>DHTR</w:t>
            </w:r>
            <w:r w:rsidR="00803F1E">
              <w:rPr>
                <w:b/>
              </w:rPr>
              <w:br/>
            </w:r>
            <w:r w:rsidRPr="0088429D">
              <w:rPr>
                <w:b/>
              </w:rPr>
              <w:t>n</w:t>
            </w:r>
            <w:r w:rsidR="00803F1E">
              <w:rPr>
                <w:b/>
              </w:rPr>
              <w:t> </w:t>
            </w:r>
            <w:r w:rsidRPr="0088429D">
              <w:rPr>
                <w:b/>
              </w:rPr>
              <w:t>=</w:t>
            </w:r>
            <w:r w:rsidR="00803F1E">
              <w:rPr>
                <w:b/>
              </w:rPr>
              <w:t> </w:t>
            </w:r>
            <w:r w:rsidRPr="0088429D">
              <w:rPr>
                <w:b/>
              </w:rPr>
              <w:t>5</w:t>
            </w:r>
          </w:p>
        </w:tc>
        <w:tc>
          <w:tcPr>
            <w:tcW w:w="1158" w:type="dxa"/>
          </w:tcPr>
          <w:p w14:paraId="4D67C37C" w14:textId="6968151F" w:rsidR="0088429D" w:rsidRPr="0088429D" w:rsidRDefault="0088429D" w:rsidP="00FE6832">
            <w:pPr>
              <w:pStyle w:val="DHHSbody"/>
              <w:rPr>
                <w:b/>
              </w:rPr>
            </w:pPr>
            <w:r w:rsidRPr="0088429D">
              <w:rPr>
                <w:b/>
              </w:rPr>
              <w:t>DSTR</w:t>
            </w:r>
            <w:r w:rsidRPr="0088429D">
              <w:rPr>
                <w:b/>
              </w:rPr>
              <w:br/>
              <w:t xml:space="preserve">n = </w:t>
            </w:r>
            <w:r w:rsidR="00FE6832">
              <w:rPr>
                <w:b/>
              </w:rPr>
              <w:t>9</w:t>
            </w:r>
          </w:p>
        </w:tc>
      </w:tr>
      <w:tr w:rsidR="0088429D" w:rsidRPr="0088429D" w14:paraId="6FE338A6" w14:textId="77777777" w:rsidTr="0088429D">
        <w:tc>
          <w:tcPr>
            <w:tcW w:w="2405" w:type="dxa"/>
          </w:tcPr>
          <w:p w14:paraId="7ECFE1F6" w14:textId="77777777" w:rsidR="0088429D" w:rsidRPr="0088429D" w:rsidRDefault="0088429D" w:rsidP="0088429D">
            <w:pPr>
              <w:pStyle w:val="DHHSbody"/>
            </w:pPr>
            <w:r w:rsidRPr="0088429D">
              <w:t>Age: &lt; 1 year</w:t>
            </w:r>
          </w:p>
        </w:tc>
        <w:tc>
          <w:tcPr>
            <w:tcW w:w="1134" w:type="dxa"/>
          </w:tcPr>
          <w:p w14:paraId="081C8EBC" w14:textId="77777777" w:rsidR="0088429D" w:rsidRPr="0088429D" w:rsidRDefault="0088429D" w:rsidP="00F1796C">
            <w:pPr>
              <w:pStyle w:val="DHHSbody"/>
              <w:jc w:val="right"/>
            </w:pPr>
            <w:r w:rsidRPr="0088429D">
              <w:t>-</w:t>
            </w:r>
          </w:p>
        </w:tc>
        <w:tc>
          <w:tcPr>
            <w:tcW w:w="1158" w:type="dxa"/>
          </w:tcPr>
          <w:p w14:paraId="4A9C7938" w14:textId="77777777" w:rsidR="0088429D" w:rsidRPr="0088429D" w:rsidRDefault="0088429D" w:rsidP="00F1796C">
            <w:pPr>
              <w:pStyle w:val="DHHSbody"/>
              <w:jc w:val="right"/>
            </w:pPr>
            <w:r w:rsidRPr="0088429D">
              <w:t>-</w:t>
            </w:r>
          </w:p>
        </w:tc>
      </w:tr>
      <w:tr w:rsidR="0088429D" w:rsidRPr="0088429D" w14:paraId="19EFB4D8" w14:textId="77777777" w:rsidTr="0088429D">
        <w:tc>
          <w:tcPr>
            <w:tcW w:w="2405" w:type="dxa"/>
          </w:tcPr>
          <w:p w14:paraId="7B013A4D" w14:textId="77777777" w:rsidR="0088429D" w:rsidRPr="0088429D" w:rsidRDefault="0088429D" w:rsidP="0088429D">
            <w:pPr>
              <w:pStyle w:val="DHHSbody"/>
            </w:pPr>
            <w:r w:rsidRPr="0088429D">
              <w:t>Age: 1–18 years</w:t>
            </w:r>
          </w:p>
        </w:tc>
        <w:tc>
          <w:tcPr>
            <w:tcW w:w="1134" w:type="dxa"/>
          </w:tcPr>
          <w:p w14:paraId="7926A1DE" w14:textId="77777777" w:rsidR="0088429D" w:rsidRPr="0088429D" w:rsidRDefault="0088429D" w:rsidP="00F1796C">
            <w:pPr>
              <w:pStyle w:val="DHHSbody"/>
              <w:jc w:val="right"/>
            </w:pPr>
            <w:r w:rsidRPr="0088429D">
              <w:t>-</w:t>
            </w:r>
          </w:p>
        </w:tc>
        <w:tc>
          <w:tcPr>
            <w:tcW w:w="1158" w:type="dxa"/>
          </w:tcPr>
          <w:p w14:paraId="5A1CB244" w14:textId="77777777" w:rsidR="0088429D" w:rsidRPr="0088429D" w:rsidRDefault="0088429D" w:rsidP="00F1796C">
            <w:pPr>
              <w:pStyle w:val="DHHSbody"/>
              <w:jc w:val="right"/>
            </w:pPr>
            <w:r w:rsidRPr="0088429D">
              <w:t>-</w:t>
            </w:r>
          </w:p>
        </w:tc>
      </w:tr>
      <w:tr w:rsidR="0088429D" w:rsidRPr="0088429D" w14:paraId="380DFEA8" w14:textId="77777777" w:rsidTr="0088429D">
        <w:tc>
          <w:tcPr>
            <w:tcW w:w="2405" w:type="dxa"/>
          </w:tcPr>
          <w:p w14:paraId="1BF989A7" w14:textId="77777777" w:rsidR="0088429D" w:rsidRPr="0088429D" w:rsidRDefault="0088429D" w:rsidP="0088429D">
            <w:pPr>
              <w:pStyle w:val="DHHSbody"/>
            </w:pPr>
            <w:r w:rsidRPr="0088429D">
              <w:t>Age: 19–29 years</w:t>
            </w:r>
          </w:p>
        </w:tc>
        <w:tc>
          <w:tcPr>
            <w:tcW w:w="1134" w:type="dxa"/>
          </w:tcPr>
          <w:p w14:paraId="4F229493" w14:textId="77777777" w:rsidR="0088429D" w:rsidRPr="0088429D" w:rsidRDefault="0088429D" w:rsidP="00F1796C">
            <w:pPr>
              <w:pStyle w:val="DHHSbody"/>
              <w:jc w:val="right"/>
            </w:pPr>
            <w:r w:rsidRPr="0088429D">
              <w:t>-</w:t>
            </w:r>
          </w:p>
        </w:tc>
        <w:tc>
          <w:tcPr>
            <w:tcW w:w="1158" w:type="dxa"/>
          </w:tcPr>
          <w:p w14:paraId="7CAA9B1F" w14:textId="77777777" w:rsidR="0088429D" w:rsidRPr="0088429D" w:rsidRDefault="0088429D" w:rsidP="00F1796C">
            <w:pPr>
              <w:pStyle w:val="DHHSbody"/>
              <w:jc w:val="right"/>
            </w:pPr>
            <w:r w:rsidRPr="0088429D">
              <w:t>-</w:t>
            </w:r>
          </w:p>
        </w:tc>
      </w:tr>
      <w:tr w:rsidR="0088429D" w:rsidRPr="0088429D" w14:paraId="7C337F4F" w14:textId="77777777" w:rsidTr="0088429D">
        <w:tc>
          <w:tcPr>
            <w:tcW w:w="2405" w:type="dxa"/>
          </w:tcPr>
          <w:p w14:paraId="0BEF3964" w14:textId="77777777" w:rsidR="0088429D" w:rsidRPr="0088429D" w:rsidRDefault="0088429D" w:rsidP="0088429D">
            <w:pPr>
              <w:pStyle w:val="DHHSbody"/>
            </w:pPr>
            <w:r w:rsidRPr="0088429D">
              <w:t>Age: 30–49 years</w:t>
            </w:r>
          </w:p>
        </w:tc>
        <w:tc>
          <w:tcPr>
            <w:tcW w:w="1134" w:type="dxa"/>
          </w:tcPr>
          <w:p w14:paraId="73797A4E" w14:textId="77777777" w:rsidR="0088429D" w:rsidRPr="0088429D" w:rsidRDefault="0088429D" w:rsidP="00F1796C">
            <w:pPr>
              <w:pStyle w:val="DHHSbody"/>
              <w:jc w:val="right"/>
            </w:pPr>
            <w:r w:rsidRPr="0088429D">
              <w:t>-</w:t>
            </w:r>
          </w:p>
        </w:tc>
        <w:tc>
          <w:tcPr>
            <w:tcW w:w="1158" w:type="dxa"/>
          </w:tcPr>
          <w:p w14:paraId="1655FF65" w14:textId="77777777" w:rsidR="0088429D" w:rsidRPr="0088429D" w:rsidRDefault="0088429D" w:rsidP="00F1796C">
            <w:pPr>
              <w:pStyle w:val="DHHSbody"/>
              <w:jc w:val="right"/>
            </w:pPr>
            <w:r w:rsidRPr="0088429D">
              <w:t>-</w:t>
            </w:r>
          </w:p>
        </w:tc>
      </w:tr>
      <w:tr w:rsidR="0088429D" w:rsidRPr="0088429D" w14:paraId="1E7F8437" w14:textId="77777777" w:rsidTr="0088429D">
        <w:tc>
          <w:tcPr>
            <w:tcW w:w="2405" w:type="dxa"/>
          </w:tcPr>
          <w:p w14:paraId="5EA7EDB0" w14:textId="77777777" w:rsidR="0088429D" w:rsidRPr="0088429D" w:rsidRDefault="0088429D" w:rsidP="0088429D">
            <w:pPr>
              <w:pStyle w:val="DHHSbody"/>
            </w:pPr>
            <w:r w:rsidRPr="0088429D">
              <w:t>Age: 50–69 years</w:t>
            </w:r>
          </w:p>
        </w:tc>
        <w:tc>
          <w:tcPr>
            <w:tcW w:w="1134" w:type="dxa"/>
          </w:tcPr>
          <w:p w14:paraId="6B5659AB" w14:textId="77777777" w:rsidR="0088429D" w:rsidRPr="0088429D" w:rsidRDefault="0088429D" w:rsidP="00F1796C">
            <w:pPr>
              <w:pStyle w:val="DHHSbody"/>
              <w:jc w:val="right"/>
            </w:pPr>
            <w:r w:rsidRPr="0088429D">
              <w:t>1 (20%)</w:t>
            </w:r>
          </w:p>
        </w:tc>
        <w:tc>
          <w:tcPr>
            <w:tcW w:w="1158" w:type="dxa"/>
          </w:tcPr>
          <w:p w14:paraId="6ABAE211" w14:textId="77777777" w:rsidR="0088429D" w:rsidRPr="0088429D" w:rsidRDefault="0088429D" w:rsidP="00F1796C">
            <w:pPr>
              <w:pStyle w:val="DHHSbody"/>
              <w:jc w:val="right"/>
            </w:pPr>
            <w:r w:rsidRPr="0088429D">
              <w:t>1 (13%)</w:t>
            </w:r>
          </w:p>
        </w:tc>
      </w:tr>
      <w:tr w:rsidR="0088429D" w:rsidRPr="0088429D" w14:paraId="289C8AA1" w14:textId="77777777" w:rsidTr="0088429D">
        <w:tc>
          <w:tcPr>
            <w:tcW w:w="2405" w:type="dxa"/>
          </w:tcPr>
          <w:p w14:paraId="1CFFE3E3" w14:textId="77777777" w:rsidR="0088429D" w:rsidRPr="0088429D" w:rsidRDefault="0088429D" w:rsidP="0088429D">
            <w:pPr>
              <w:pStyle w:val="DHHSbody"/>
            </w:pPr>
            <w:r w:rsidRPr="0088429D">
              <w:t>Age: 70–79 years</w:t>
            </w:r>
          </w:p>
        </w:tc>
        <w:tc>
          <w:tcPr>
            <w:tcW w:w="1134" w:type="dxa"/>
          </w:tcPr>
          <w:p w14:paraId="1FD62DE5" w14:textId="77777777" w:rsidR="0088429D" w:rsidRPr="0088429D" w:rsidRDefault="0088429D" w:rsidP="00F1796C">
            <w:pPr>
              <w:pStyle w:val="DHHSbody"/>
              <w:jc w:val="right"/>
            </w:pPr>
            <w:r w:rsidRPr="0088429D">
              <w:t>2 (40%)</w:t>
            </w:r>
          </w:p>
        </w:tc>
        <w:tc>
          <w:tcPr>
            <w:tcW w:w="1158" w:type="dxa"/>
          </w:tcPr>
          <w:p w14:paraId="76AB6708" w14:textId="77777777" w:rsidR="0088429D" w:rsidRPr="0088429D" w:rsidRDefault="0088429D" w:rsidP="00F1796C">
            <w:pPr>
              <w:pStyle w:val="DHHSbody"/>
              <w:jc w:val="right"/>
            </w:pPr>
            <w:r w:rsidRPr="0088429D">
              <w:t>6 (75%)</w:t>
            </w:r>
          </w:p>
        </w:tc>
      </w:tr>
      <w:tr w:rsidR="0088429D" w:rsidRPr="0088429D" w14:paraId="05403BD3" w14:textId="77777777" w:rsidTr="0088429D">
        <w:tc>
          <w:tcPr>
            <w:tcW w:w="2405" w:type="dxa"/>
          </w:tcPr>
          <w:p w14:paraId="187F0B8C" w14:textId="77777777" w:rsidR="0088429D" w:rsidRPr="0088429D" w:rsidRDefault="0088429D" w:rsidP="0088429D">
            <w:pPr>
              <w:pStyle w:val="DHHSbody"/>
            </w:pPr>
            <w:r w:rsidRPr="0088429D">
              <w:t>Age: 80+ years</w:t>
            </w:r>
          </w:p>
        </w:tc>
        <w:tc>
          <w:tcPr>
            <w:tcW w:w="1134" w:type="dxa"/>
          </w:tcPr>
          <w:p w14:paraId="5CEAB128" w14:textId="77777777" w:rsidR="0088429D" w:rsidRPr="0088429D" w:rsidRDefault="0088429D" w:rsidP="00F1796C">
            <w:pPr>
              <w:pStyle w:val="DHHSbody"/>
              <w:jc w:val="right"/>
            </w:pPr>
            <w:r w:rsidRPr="0088429D">
              <w:t>2 (40%)</w:t>
            </w:r>
          </w:p>
        </w:tc>
        <w:tc>
          <w:tcPr>
            <w:tcW w:w="1158" w:type="dxa"/>
          </w:tcPr>
          <w:p w14:paraId="329B2752" w14:textId="77777777" w:rsidR="0088429D" w:rsidRPr="0088429D" w:rsidRDefault="0088429D" w:rsidP="00F1796C">
            <w:pPr>
              <w:pStyle w:val="DHHSbody"/>
              <w:jc w:val="right"/>
            </w:pPr>
            <w:r w:rsidRPr="0088429D">
              <w:t>2 (25%)</w:t>
            </w:r>
          </w:p>
        </w:tc>
      </w:tr>
      <w:tr w:rsidR="0088429D" w:rsidRPr="0088429D" w14:paraId="06641D86" w14:textId="77777777" w:rsidTr="0088429D">
        <w:tc>
          <w:tcPr>
            <w:tcW w:w="2405" w:type="dxa"/>
            <w:shd w:val="clear" w:color="auto" w:fill="F2F2F2" w:themeFill="background1" w:themeFillShade="F2"/>
          </w:tcPr>
          <w:p w14:paraId="0C43C8A0" w14:textId="77777777" w:rsidR="0088429D" w:rsidRPr="0088429D" w:rsidRDefault="0088429D" w:rsidP="0088429D">
            <w:pPr>
              <w:pStyle w:val="DHHSbody"/>
            </w:pPr>
            <w:r w:rsidRPr="0088429D">
              <w:t>Gender: male</w:t>
            </w:r>
          </w:p>
        </w:tc>
        <w:tc>
          <w:tcPr>
            <w:tcW w:w="1134" w:type="dxa"/>
            <w:shd w:val="clear" w:color="auto" w:fill="F2F2F2" w:themeFill="background1" w:themeFillShade="F2"/>
          </w:tcPr>
          <w:p w14:paraId="1F7453BB" w14:textId="77777777" w:rsidR="0088429D" w:rsidRPr="0088429D" w:rsidRDefault="0088429D" w:rsidP="00F1796C">
            <w:pPr>
              <w:pStyle w:val="DHHSbody"/>
              <w:jc w:val="right"/>
            </w:pPr>
            <w:r w:rsidRPr="0088429D">
              <w:t>2 (40%)</w:t>
            </w:r>
          </w:p>
        </w:tc>
        <w:tc>
          <w:tcPr>
            <w:tcW w:w="1158" w:type="dxa"/>
            <w:shd w:val="clear" w:color="auto" w:fill="F2F2F2" w:themeFill="background1" w:themeFillShade="F2"/>
          </w:tcPr>
          <w:p w14:paraId="4CBCE9DA" w14:textId="58FF4676" w:rsidR="0088429D" w:rsidRPr="0088429D" w:rsidRDefault="0088429D" w:rsidP="00F1796C">
            <w:pPr>
              <w:pStyle w:val="DHHSbody"/>
              <w:jc w:val="right"/>
            </w:pPr>
            <w:r w:rsidRPr="0088429D">
              <w:t>3 (3</w:t>
            </w:r>
            <w:r w:rsidR="00FE6832">
              <w:t>3</w:t>
            </w:r>
            <w:r w:rsidRPr="0088429D">
              <w:t>%)</w:t>
            </w:r>
          </w:p>
        </w:tc>
      </w:tr>
      <w:tr w:rsidR="0088429D" w:rsidRPr="0088429D" w14:paraId="6FB7C06C" w14:textId="77777777" w:rsidTr="0088429D">
        <w:tc>
          <w:tcPr>
            <w:tcW w:w="2405" w:type="dxa"/>
            <w:shd w:val="clear" w:color="auto" w:fill="F2F2F2" w:themeFill="background1" w:themeFillShade="F2"/>
          </w:tcPr>
          <w:p w14:paraId="49CD628A" w14:textId="77777777" w:rsidR="0088429D" w:rsidRPr="0088429D" w:rsidRDefault="0088429D" w:rsidP="0088429D">
            <w:pPr>
              <w:pStyle w:val="DHHSbody"/>
            </w:pPr>
            <w:r w:rsidRPr="0088429D">
              <w:t>Gender: female</w:t>
            </w:r>
          </w:p>
        </w:tc>
        <w:tc>
          <w:tcPr>
            <w:tcW w:w="1134" w:type="dxa"/>
            <w:shd w:val="clear" w:color="auto" w:fill="F2F2F2" w:themeFill="background1" w:themeFillShade="F2"/>
          </w:tcPr>
          <w:p w14:paraId="674A1F33" w14:textId="77777777" w:rsidR="0088429D" w:rsidRPr="0088429D" w:rsidRDefault="0088429D" w:rsidP="00F1796C">
            <w:pPr>
              <w:pStyle w:val="DHHSbody"/>
              <w:jc w:val="right"/>
            </w:pPr>
            <w:r w:rsidRPr="0088429D">
              <w:t>3 (60%)</w:t>
            </w:r>
          </w:p>
        </w:tc>
        <w:tc>
          <w:tcPr>
            <w:tcW w:w="1158" w:type="dxa"/>
            <w:shd w:val="clear" w:color="auto" w:fill="F2F2F2" w:themeFill="background1" w:themeFillShade="F2"/>
          </w:tcPr>
          <w:p w14:paraId="219BC3EB" w14:textId="1311BB4F" w:rsidR="0088429D" w:rsidRPr="0088429D" w:rsidRDefault="00FE6832" w:rsidP="00F1796C">
            <w:pPr>
              <w:pStyle w:val="DHHSbody"/>
              <w:jc w:val="right"/>
            </w:pPr>
            <w:r>
              <w:t>6</w:t>
            </w:r>
            <w:r w:rsidRPr="0088429D">
              <w:t xml:space="preserve"> </w:t>
            </w:r>
            <w:r w:rsidR="0088429D" w:rsidRPr="0088429D">
              <w:t>(6</w:t>
            </w:r>
            <w:r>
              <w:t>7</w:t>
            </w:r>
            <w:r w:rsidR="0088429D" w:rsidRPr="0088429D">
              <w:t>%)</w:t>
            </w:r>
          </w:p>
        </w:tc>
      </w:tr>
      <w:tr w:rsidR="0088429D" w:rsidRPr="0088429D" w14:paraId="34512D9C" w14:textId="77777777" w:rsidTr="0088429D">
        <w:tc>
          <w:tcPr>
            <w:tcW w:w="2405" w:type="dxa"/>
          </w:tcPr>
          <w:p w14:paraId="775DD5F5" w14:textId="77777777" w:rsidR="0088429D" w:rsidRPr="0088429D" w:rsidRDefault="0088429D" w:rsidP="0088429D">
            <w:pPr>
              <w:pStyle w:val="DHHSbody"/>
            </w:pPr>
            <w:r w:rsidRPr="0088429D">
              <w:t>Implicated blood product: red cells</w:t>
            </w:r>
          </w:p>
        </w:tc>
        <w:tc>
          <w:tcPr>
            <w:tcW w:w="1134" w:type="dxa"/>
          </w:tcPr>
          <w:p w14:paraId="65E61967" w14:textId="77777777" w:rsidR="0088429D" w:rsidRPr="0088429D" w:rsidRDefault="0088429D" w:rsidP="00F1796C">
            <w:pPr>
              <w:pStyle w:val="DHHSbody"/>
              <w:jc w:val="right"/>
            </w:pPr>
            <w:r w:rsidRPr="0088429D">
              <w:t>5 (100%)</w:t>
            </w:r>
          </w:p>
        </w:tc>
        <w:tc>
          <w:tcPr>
            <w:tcW w:w="1158" w:type="dxa"/>
          </w:tcPr>
          <w:p w14:paraId="476978EE" w14:textId="2A4B93ED" w:rsidR="0088429D" w:rsidRPr="0088429D" w:rsidRDefault="00FE6832" w:rsidP="00F1796C">
            <w:pPr>
              <w:pStyle w:val="DHHSbody"/>
              <w:jc w:val="right"/>
            </w:pPr>
            <w:r>
              <w:t>9</w:t>
            </w:r>
            <w:r w:rsidR="0088429D" w:rsidRPr="0088429D">
              <w:t xml:space="preserve"> (100%)</w:t>
            </w:r>
          </w:p>
        </w:tc>
      </w:tr>
      <w:tr w:rsidR="0088429D" w:rsidRPr="0088429D" w14:paraId="5C31BADF" w14:textId="77777777" w:rsidTr="0088429D">
        <w:tc>
          <w:tcPr>
            <w:tcW w:w="2405" w:type="dxa"/>
          </w:tcPr>
          <w:p w14:paraId="294F89C6" w14:textId="77777777" w:rsidR="0088429D" w:rsidRPr="0088429D" w:rsidRDefault="0088429D" w:rsidP="0088429D">
            <w:pPr>
              <w:pStyle w:val="DHHSbody"/>
            </w:pPr>
            <w:r w:rsidRPr="0088429D">
              <w:t>Implicated blood product: FFP</w:t>
            </w:r>
          </w:p>
        </w:tc>
        <w:tc>
          <w:tcPr>
            <w:tcW w:w="1134" w:type="dxa"/>
          </w:tcPr>
          <w:p w14:paraId="6B652B12" w14:textId="77777777" w:rsidR="0088429D" w:rsidRPr="0088429D" w:rsidRDefault="0088429D" w:rsidP="00F1796C">
            <w:pPr>
              <w:pStyle w:val="DHHSbody"/>
              <w:jc w:val="right"/>
            </w:pPr>
            <w:r w:rsidRPr="0088429D">
              <w:t>-</w:t>
            </w:r>
          </w:p>
        </w:tc>
        <w:tc>
          <w:tcPr>
            <w:tcW w:w="1158" w:type="dxa"/>
          </w:tcPr>
          <w:p w14:paraId="23324FF2" w14:textId="77777777" w:rsidR="0088429D" w:rsidRPr="0088429D" w:rsidRDefault="0088429D" w:rsidP="00F1796C">
            <w:pPr>
              <w:pStyle w:val="DHHSbody"/>
              <w:jc w:val="right"/>
            </w:pPr>
            <w:r w:rsidRPr="0088429D">
              <w:t>-</w:t>
            </w:r>
          </w:p>
        </w:tc>
      </w:tr>
      <w:tr w:rsidR="0088429D" w:rsidRPr="0088429D" w14:paraId="712A9B63" w14:textId="77777777" w:rsidTr="0088429D">
        <w:tc>
          <w:tcPr>
            <w:tcW w:w="2405" w:type="dxa"/>
          </w:tcPr>
          <w:p w14:paraId="7ADAF38C" w14:textId="77777777" w:rsidR="0088429D" w:rsidRPr="0088429D" w:rsidRDefault="0088429D" w:rsidP="0088429D">
            <w:pPr>
              <w:pStyle w:val="DHHSbody"/>
            </w:pPr>
            <w:r w:rsidRPr="0088429D">
              <w:t>Implicated blood product: platelets</w:t>
            </w:r>
          </w:p>
        </w:tc>
        <w:tc>
          <w:tcPr>
            <w:tcW w:w="1134" w:type="dxa"/>
          </w:tcPr>
          <w:p w14:paraId="3CBE2956" w14:textId="77777777" w:rsidR="0088429D" w:rsidRPr="0088429D" w:rsidRDefault="0088429D" w:rsidP="00F1796C">
            <w:pPr>
              <w:pStyle w:val="DHHSbody"/>
              <w:jc w:val="right"/>
            </w:pPr>
            <w:r w:rsidRPr="0088429D">
              <w:t>-</w:t>
            </w:r>
          </w:p>
        </w:tc>
        <w:tc>
          <w:tcPr>
            <w:tcW w:w="1158" w:type="dxa"/>
          </w:tcPr>
          <w:p w14:paraId="66449C3C" w14:textId="77777777" w:rsidR="0088429D" w:rsidRPr="0088429D" w:rsidRDefault="0088429D" w:rsidP="00F1796C">
            <w:pPr>
              <w:pStyle w:val="DHHSbody"/>
              <w:jc w:val="right"/>
            </w:pPr>
            <w:r w:rsidRPr="0088429D">
              <w:t>-</w:t>
            </w:r>
          </w:p>
        </w:tc>
      </w:tr>
    </w:tbl>
    <w:p w14:paraId="06335E46" w14:textId="507B6416" w:rsidR="0088429D" w:rsidRPr="0088429D" w:rsidRDefault="0088429D" w:rsidP="00F1796C">
      <w:pPr>
        <w:pStyle w:val="DHHSbodyaftertablefigure"/>
      </w:pPr>
      <w:r w:rsidRPr="0088429D">
        <w:t>As shown is Table 1</w:t>
      </w:r>
      <w:r w:rsidR="00006922">
        <w:t>2</w:t>
      </w:r>
      <w:r w:rsidRPr="0088429D">
        <w:t>, the reported delayed haemolytic and delayed serologic reactions were reported in patients over the age of 50, with women being slightly more commonly affected.</w:t>
      </w:r>
    </w:p>
    <w:p w14:paraId="7BB455EE" w14:textId="28BB8FB6" w:rsidR="0088429D" w:rsidRPr="0088429D" w:rsidRDefault="0088429D" w:rsidP="0088429D">
      <w:pPr>
        <w:pStyle w:val="DHHStablecaption"/>
        <w:rPr>
          <w:rFonts w:eastAsia="Times"/>
        </w:rPr>
      </w:pPr>
      <w:r w:rsidRPr="0088429D">
        <w:rPr>
          <w:rFonts w:eastAsia="Times"/>
        </w:rPr>
        <w:lastRenderedPageBreak/>
        <w:t xml:space="preserve">Table </w:t>
      </w:r>
      <w:r w:rsidR="00FB0A81" w:rsidRPr="0088429D">
        <w:rPr>
          <w:rFonts w:eastAsia="Times"/>
        </w:rPr>
        <w:t>1</w:t>
      </w:r>
      <w:r w:rsidR="00FB0A81">
        <w:rPr>
          <w:rFonts w:eastAsia="Times"/>
        </w:rPr>
        <w:t>3</w:t>
      </w:r>
      <w:r w:rsidRPr="0088429D">
        <w:rPr>
          <w:rFonts w:eastAsia="Times"/>
        </w:rPr>
        <w:t xml:space="preserve">: Severity rating and </w:t>
      </w:r>
      <w:proofErr w:type="spellStart"/>
      <w:r w:rsidRPr="0088429D">
        <w:rPr>
          <w:rFonts w:eastAsia="Times"/>
        </w:rPr>
        <w:t>imputability</w:t>
      </w:r>
      <w:proofErr w:type="spellEnd"/>
      <w:r w:rsidRPr="0088429D">
        <w:rPr>
          <w:rFonts w:eastAsia="Times"/>
        </w:rPr>
        <w:t xml:space="preserve"> – delayed haemolytic reaction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03"/>
        <w:gridCol w:w="1803"/>
        <w:gridCol w:w="1803"/>
        <w:gridCol w:w="1804"/>
      </w:tblGrid>
      <w:tr w:rsidR="0088429D" w:rsidRPr="0088429D" w14:paraId="1429FA23" w14:textId="77777777" w:rsidTr="0088429D">
        <w:trPr>
          <w:tblHeader/>
        </w:trPr>
        <w:tc>
          <w:tcPr>
            <w:tcW w:w="1803" w:type="dxa"/>
            <w:shd w:val="clear" w:color="auto" w:fill="auto"/>
          </w:tcPr>
          <w:p w14:paraId="505175A2" w14:textId="77777777" w:rsidR="0088429D" w:rsidRPr="0088429D" w:rsidRDefault="0088429D" w:rsidP="0088429D">
            <w:pPr>
              <w:pStyle w:val="DHHSbody"/>
              <w:rPr>
                <w:b/>
              </w:rPr>
            </w:pPr>
            <w:r w:rsidRPr="0088429D">
              <w:rPr>
                <w:b/>
              </w:rPr>
              <w:t>Severity rating</w:t>
            </w:r>
          </w:p>
        </w:tc>
        <w:tc>
          <w:tcPr>
            <w:tcW w:w="1803" w:type="dxa"/>
            <w:shd w:val="clear" w:color="auto" w:fill="auto"/>
          </w:tcPr>
          <w:p w14:paraId="601AB086" w14:textId="77777777" w:rsidR="0088429D" w:rsidRPr="0088429D" w:rsidRDefault="0088429D" w:rsidP="0088429D">
            <w:pPr>
              <w:pStyle w:val="DHHSbody"/>
              <w:rPr>
                <w:b/>
              </w:rPr>
            </w:pPr>
            <w:proofErr w:type="spellStart"/>
            <w:r w:rsidRPr="0088429D">
              <w:rPr>
                <w:b/>
              </w:rPr>
              <w:t>Imputability</w:t>
            </w:r>
            <w:proofErr w:type="spellEnd"/>
            <w:r w:rsidRPr="0088429D">
              <w:rPr>
                <w:b/>
              </w:rPr>
              <w:t>: certainly</w:t>
            </w:r>
          </w:p>
        </w:tc>
        <w:tc>
          <w:tcPr>
            <w:tcW w:w="1803" w:type="dxa"/>
            <w:shd w:val="clear" w:color="auto" w:fill="auto"/>
          </w:tcPr>
          <w:p w14:paraId="7AF2FB5D" w14:textId="77777777" w:rsidR="0088429D" w:rsidRPr="0088429D" w:rsidRDefault="0088429D" w:rsidP="0088429D">
            <w:pPr>
              <w:pStyle w:val="DHHSbody"/>
              <w:rPr>
                <w:b/>
              </w:rPr>
            </w:pPr>
            <w:proofErr w:type="spellStart"/>
            <w:r w:rsidRPr="0088429D">
              <w:rPr>
                <w:b/>
              </w:rPr>
              <w:t>Imputability</w:t>
            </w:r>
            <w:proofErr w:type="spellEnd"/>
            <w:r w:rsidRPr="0088429D">
              <w:rPr>
                <w:b/>
              </w:rPr>
              <w:t>: probably</w:t>
            </w:r>
          </w:p>
        </w:tc>
        <w:tc>
          <w:tcPr>
            <w:tcW w:w="1803" w:type="dxa"/>
            <w:shd w:val="clear" w:color="auto" w:fill="auto"/>
          </w:tcPr>
          <w:p w14:paraId="56A21432" w14:textId="77777777" w:rsidR="0088429D" w:rsidRPr="0088429D" w:rsidRDefault="0088429D" w:rsidP="0088429D">
            <w:pPr>
              <w:pStyle w:val="DHHSbody"/>
              <w:rPr>
                <w:b/>
              </w:rPr>
            </w:pPr>
            <w:proofErr w:type="spellStart"/>
            <w:r w:rsidRPr="0088429D">
              <w:rPr>
                <w:b/>
              </w:rPr>
              <w:t>Imputability</w:t>
            </w:r>
            <w:proofErr w:type="spellEnd"/>
            <w:r w:rsidRPr="0088429D">
              <w:rPr>
                <w:b/>
              </w:rPr>
              <w:t>: possibly</w:t>
            </w:r>
          </w:p>
        </w:tc>
        <w:tc>
          <w:tcPr>
            <w:tcW w:w="1804" w:type="dxa"/>
            <w:shd w:val="clear" w:color="auto" w:fill="auto"/>
          </w:tcPr>
          <w:p w14:paraId="22EDB448" w14:textId="77777777" w:rsidR="0088429D" w:rsidRPr="0088429D" w:rsidRDefault="0088429D" w:rsidP="0088429D">
            <w:pPr>
              <w:pStyle w:val="DHHSbody"/>
              <w:rPr>
                <w:b/>
              </w:rPr>
            </w:pPr>
            <w:r w:rsidRPr="0088429D">
              <w:rPr>
                <w:b/>
              </w:rPr>
              <w:t>Total</w:t>
            </w:r>
          </w:p>
        </w:tc>
      </w:tr>
      <w:tr w:rsidR="0088429D" w:rsidRPr="0088429D" w14:paraId="222F8D77" w14:textId="77777777" w:rsidTr="0088429D">
        <w:tc>
          <w:tcPr>
            <w:tcW w:w="1803" w:type="dxa"/>
            <w:shd w:val="clear" w:color="auto" w:fill="auto"/>
          </w:tcPr>
          <w:p w14:paraId="296DCB3C" w14:textId="77777777" w:rsidR="0088429D" w:rsidRPr="0088429D" w:rsidRDefault="0088429D" w:rsidP="0088429D">
            <w:pPr>
              <w:pStyle w:val="DHHSbody"/>
            </w:pPr>
            <w:r w:rsidRPr="0088429D">
              <w:t>SR 1</w:t>
            </w:r>
          </w:p>
        </w:tc>
        <w:tc>
          <w:tcPr>
            <w:tcW w:w="1803" w:type="dxa"/>
            <w:shd w:val="clear" w:color="auto" w:fill="auto"/>
          </w:tcPr>
          <w:p w14:paraId="741A9150" w14:textId="77777777" w:rsidR="0088429D" w:rsidRPr="0088429D" w:rsidRDefault="0088429D" w:rsidP="00F1796C">
            <w:pPr>
              <w:pStyle w:val="DHHSbody"/>
              <w:jc w:val="right"/>
            </w:pPr>
            <w:r w:rsidRPr="0088429D">
              <w:t>-</w:t>
            </w:r>
          </w:p>
        </w:tc>
        <w:tc>
          <w:tcPr>
            <w:tcW w:w="1803" w:type="dxa"/>
            <w:shd w:val="clear" w:color="auto" w:fill="auto"/>
          </w:tcPr>
          <w:p w14:paraId="3A45A612" w14:textId="77777777" w:rsidR="0088429D" w:rsidRPr="0088429D" w:rsidRDefault="0088429D" w:rsidP="00F1796C">
            <w:pPr>
              <w:pStyle w:val="DHHSbody"/>
              <w:jc w:val="right"/>
            </w:pPr>
            <w:r w:rsidRPr="0088429D">
              <w:t>-</w:t>
            </w:r>
          </w:p>
        </w:tc>
        <w:tc>
          <w:tcPr>
            <w:tcW w:w="1803" w:type="dxa"/>
            <w:shd w:val="clear" w:color="auto" w:fill="auto"/>
          </w:tcPr>
          <w:p w14:paraId="1D00CBB2" w14:textId="77777777" w:rsidR="0088429D" w:rsidRPr="0088429D" w:rsidRDefault="0088429D" w:rsidP="00F1796C">
            <w:pPr>
              <w:pStyle w:val="DHHSbody"/>
              <w:jc w:val="right"/>
            </w:pPr>
            <w:r w:rsidRPr="0088429D">
              <w:t>-</w:t>
            </w:r>
          </w:p>
        </w:tc>
        <w:tc>
          <w:tcPr>
            <w:tcW w:w="1804" w:type="dxa"/>
            <w:shd w:val="clear" w:color="auto" w:fill="auto"/>
          </w:tcPr>
          <w:p w14:paraId="42932642" w14:textId="77777777" w:rsidR="0088429D" w:rsidRPr="0088429D" w:rsidRDefault="0088429D" w:rsidP="00F1796C">
            <w:pPr>
              <w:pStyle w:val="DHHSbody"/>
              <w:jc w:val="right"/>
            </w:pPr>
            <w:r w:rsidRPr="0088429D">
              <w:t>-</w:t>
            </w:r>
          </w:p>
        </w:tc>
      </w:tr>
      <w:tr w:rsidR="0088429D" w:rsidRPr="0088429D" w14:paraId="6771E2EC" w14:textId="77777777" w:rsidTr="0088429D">
        <w:tc>
          <w:tcPr>
            <w:tcW w:w="1803" w:type="dxa"/>
            <w:shd w:val="clear" w:color="auto" w:fill="auto"/>
          </w:tcPr>
          <w:p w14:paraId="1552DFC1" w14:textId="77777777" w:rsidR="0088429D" w:rsidRPr="0088429D" w:rsidRDefault="0088429D" w:rsidP="0088429D">
            <w:pPr>
              <w:pStyle w:val="DHHSbody"/>
            </w:pPr>
            <w:r w:rsidRPr="0088429D">
              <w:t>SR 2</w:t>
            </w:r>
          </w:p>
        </w:tc>
        <w:tc>
          <w:tcPr>
            <w:tcW w:w="1803" w:type="dxa"/>
            <w:shd w:val="clear" w:color="auto" w:fill="auto"/>
          </w:tcPr>
          <w:p w14:paraId="275EBA91" w14:textId="77777777" w:rsidR="0088429D" w:rsidRPr="0088429D" w:rsidRDefault="0088429D" w:rsidP="00F1796C">
            <w:pPr>
              <w:pStyle w:val="DHHSbody"/>
              <w:jc w:val="right"/>
            </w:pPr>
            <w:r w:rsidRPr="0088429D">
              <w:t>2 (40%)</w:t>
            </w:r>
          </w:p>
        </w:tc>
        <w:tc>
          <w:tcPr>
            <w:tcW w:w="1803" w:type="dxa"/>
            <w:shd w:val="clear" w:color="auto" w:fill="auto"/>
          </w:tcPr>
          <w:p w14:paraId="78282324" w14:textId="77777777" w:rsidR="0088429D" w:rsidRPr="0088429D" w:rsidRDefault="0088429D" w:rsidP="00F1796C">
            <w:pPr>
              <w:pStyle w:val="DHHSbody"/>
              <w:jc w:val="right"/>
            </w:pPr>
            <w:r w:rsidRPr="0088429D">
              <w:t>-</w:t>
            </w:r>
          </w:p>
        </w:tc>
        <w:tc>
          <w:tcPr>
            <w:tcW w:w="1803" w:type="dxa"/>
            <w:shd w:val="clear" w:color="auto" w:fill="auto"/>
          </w:tcPr>
          <w:p w14:paraId="36D90D72" w14:textId="77777777" w:rsidR="0088429D" w:rsidRPr="0088429D" w:rsidRDefault="0088429D" w:rsidP="00F1796C">
            <w:pPr>
              <w:pStyle w:val="DHHSbody"/>
              <w:jc w:val="right"/>
            </w:pPr>
            <w:r w:rsidRPr="0088429D">
              <w:t>-</w:t>
            </w:r>
          </w:p>
        </w:tc>
        <w:tc>
          <w:tcPr>
            <w:tcW w:w="1804" w:type="dxa"/>
            <w:shd w:val="clear" w:color="auto" w:fill="auto"/>
          </w:tcPr>
          <w:p w14:paraId="3FE5A183" w14:textId="77777777" w:rsidR="0088429D" w:rsidRPr="0088429D" w:rsidRDefault="0088429D" w:rsidP="00F1796C">
            <w:pPr>
              <w:pStyle w:val="DHHSbody"/>
              <w:jc w:val="right"/>
            </w:pPr>
            <w:r w:rsidRPr="0088429D">
              <w:t>2 (40%)</w:t>
            </w:r>
          </w:p>
        </w:tc>
      </w:tr>
      <w:tr w:rsidR="0088429D" w:rsidRPr="0088429D" w14:paraId="1CB03EA9" w14:textId="77777777" w:rsidTr="0088429D">
        <w:tc>
          <w:tcPr>
            <w:tcW w:w="1803" w:type="dxa"/>
            <w:shd w:val="clear" w:color="auto" w:fill="auto"/>
          </w:tcPr>
          <w:p w14:paraId="171B6AC1" w14:textId="77777777" w:rsidR="0088429D" w:rsidRPr="0088429D" w:rsidRDefault="0088429D" w:rsidP="0088429D">
            <w:pPr>
              <w:pStyle w:val="DHHSbody"/>
            </w:pPr>
            <w:r w:rsidRPr="0088429D">
              <w:t>SR 3</w:t>
            </w:r>
          </w:p>
        </w:tc>
        <w:tc>
          <w:tcPr>
            <w:tcW w:w="1803" w:type="dxa"/>
            <w:shd w:val="clear" w:color="auto" w:fill="auto"/>
          </w:tcPr>
          <w:p w14:paraId="11DB1AA0" w14:textId="77777777" w:rsidR="0088429D" w:rsidRPr="0088429D" w:rsidRDefault="0088429D" w:rsidP="00F1796C">
            <w:pPr>
              <w:pStyle w:val="DHHSbody"/>
              <w:jc w:val="right"/>
            </w:pPr>
            <w:r w:rsidRPr="0088429D">
              <w:t>-</w:t>
            </w:r>
          </w:p>
        </w:tc>
        <w:tc>
          <w:tcPr>
            <w:tcW w:w="1803" w:type="dxa"/>
            <w:shd w:val="clear" w:color="auto" w:fill="auto"/>
          </w:tcPr>
          <w:p w14:paraId="1D991B8F" w14:textId="77777777" w:rsidR="0088429D" w:rsidRPr="0088429D" w:rsidRDefault="0088429D" w:rsidP="00F1796C">
            <w:pPr>
              <w:pStyle w:val="DHHSbody"/>
              <w:jc w:val="right"/>
            </w:pPr>
            <w:r w:rsidRPr="0088429D">
              <w:t>-</w:t>
            </w:r>
          </w:p>
        </w:tc>
        <w:tc>
          <w:tcPr>
            <w:tcW w:w="1803" w:type="dxa"/>
            <w:shd w:val="clear" w:color="auto" w:fill="auto"/>
          </w:tcPr>
          <w:p w14:paraId="15C2EF9B" w14:textId="77777777" w:rsidR="0088429D" w:rsidRPr="0088429D" w:rsidRDefault="0088429D" w:rsidP="00F1796C">
            <w:pPr>
              <w:pStyle w:val="DHHSbody"/>
              <w:jc w:val="right"/>
            </w:pPr>
            <w:r w:rsidRPr="0088429D">
              <w:t>-</w:t>
            </w:r>
          </w:p>
        </w:tc>
        <w:tc>
          <w:tcPr>
            <w:tcW w:w="1804" w:type="dxa"/>
            <w:shd w:val="clear" w:color="auto" w:fill="auto"/>
          </w:tcPr>
          <w:p w14:paraId="726EB8B0" w14:textId="77777777" w:rsidR="0088429D" w:rsidRPr="0088429D" w:rsidRDefault="0088429D" w:rsidP="00F1796C">
            <w:pPr>
              <w:pStyle w:val="DHHSbody"/>
              <w:jc w:val="right"/>
            </w:pPr>
            <w:r w:rsidRPr="0088429D">
              <w:t>-</w:t>
            </w:r>
          </w:p>
        </w:tc>
      </w:tr>
      <w:tr w:rsidR="0088429D" w:rsidRPr="0088429D" w14:paraId="6633AE03" w14:textId="77777777" w:rsidTr="0088429D">
        <w:tc>
          <w:tcPr>
            <w:tcW w:w="1803" w:type="dxa"/>
            <w:shd w:val="clear" w:color="auto" w:fill="auto"/>
          </w:tcPr>
          <w:p w14:paraId="3060A3A6" w14:textId="77777777" w:rsidR="0088429D" w:rsidRPr="0088429D" w:rsidRDefault="0088429D" w:rsidP="0088429D">
            <w:pPr>
              <w:pStyle w:val="DHHSbody"/>
            </w:pPr>
            <w:r w:rsidRPr="0088429D">
              <w:t>SR 4</w:t>
            </w:r>
          </w:p>
        </w:tc>
        <w:tc>
          <w:tcPr>
            <w:tcW w:w="1803" w:type="dxa"/>
            <w:shd w:val="clear" w:color="auto" w:fill="auto"/>
          </w:tcPr>
          <w:p w14:paraId="0672F15F" w14:textId="77777777" w:rsidR="0088429D" w:rsidRPr="0088429D" w:rsidRDefault="0088429D" w:rsidP="00F1796C">
            <w:pPr>
              <w:pStyle w:val="DHHSbody"/>
              <w:jc w:val="right"/>
            </w:pPr>
            <w:r w:rsidRPr="0088429D">
              <w:t>3 (60%)</w:t>
            </w:r>
          </w:p>
        </w:tc>
        <w:tc>
          <w:tcPr>
            <w:tcW w:w="1803" w:type="dxa"/>
            <w:shd w:val="clear" w:color="auto" w:fill="auto"/>
          </w:tcPr>
          <w:p w14:paraId="02A289BB" w14:textId="77777777" w:rsidR="0088429D" w:rsidRPr="0088429D" w:rsidRDefault="0088429D" w:rsidP="00F1796C">
            <w:pPr>
              <w:pStyle w:val="DHHSbody"/>
              <w:jc w:val="right"/>
            </w:pPr>
            <w:r w:rsidRPr="0088429D">
              <w:t>-</w:t>
            </w:r>
          </w:p>
        </w:tc>
        <w:tc>
          <w:tcPr>
            <w:tcW w:w="1803" w:type="dxa"/>
            <w:shd w:val="clear" w:color="auto" w:fill="auto"/>
          </w:tcPr>
          <w:p w14:paraId="308A7199" w14:textId="77777777" w:rsidR="0088429D" w:rsidRPr="0088429D" w:rsidRDefault="0088429D" w:rsidP="00F1796C">
            <w:pPr>
              <w:pStyle w:val="DHHSbody"/>
              <w:jc w:val="right"/>
            </w:pPr>
            <w:r w:rsidRPr="0088429D">
              <w:t>-</w:t>
            </w:r>
          </w:p>
        </w:tc>
        <w:tc>
          <w:tcPr>
            <w:tcW w:w="1804" w:type="dxa"/>
            <w:shd w:val="clear" w:color="auto" w:fill="auto"/>
          </w:tcPr>
          <w:p w14:paraId="4A34C9EF" w14:textId="77777777" w:rsidR="0088429D" w:rsidRPr="0088429D" w:rsidRDefault="0088429D" w:rsidP="00F1796C">
            <w:pPr>
              <w:pStyle w:val="DHHSbody"/>
              <w:jc w:val="right"/>
            </w:pPr>
            <w:r w:rsidRPr="0088429D">
              <w:t>3 (60%)</w:t>
            </w:r>
          </w:p>
        </w:tc>
      </w:tr>
      <w:tr w:rsidR="0088429D" w:rsidRPr="0088429D" w14:paraId="4D22CC73" w14:textId="77777777" w:rsidTr="0088429D">
        <w:tc>
          <w:tcPr>
            <w:tcW w:w="1803" w:type="dxa"/>
            <w:shd w:val="clear" w:color="auto" w:fill="auto"/>
          </w:tcPr>
          <w:p w14:paraId="67A7A146" w14:textId="77777777" w:rsidR="0088429D" w:rsidRPr="0088429D" w:rsidRDefault="0088429D" w:rsidP="0088429D">
            <w:pPr>
              <w:pStyle w:val="DHHSbody"/>
              <w:rPr>
                <w:b/>
              </w:rPr>
            </w:pPr>
            <w:r w:rsidRPr="0088429D">
              <w:rPr>
                <w:b/>
              </w:rPr>
              <w:t>Total</w:t>
            </w:r>
          </w:p>
        </w:tc>
        <w:tc>
          <w:tcPr>
            <w:tcW w:w="1803" w:type="dxa"/>
            <w:shd w:val="clear" w:color="auto" w:fill="auto"/>
          </w:tcPr>
          <w:p w14:paraId="24E2E1C2" w14:textId="77777777" w:rsidR="0088429D" w:rsidRPr="0088429D" w:rsidRDefault="0088429D" w:rsidP="00F1796C">
            <w:pPr>
              <w:pStyle w:val="DHHSbody"/>
              <w:jc w:val="right"/>
              <w:rPr>
                <w:b/>
              </w:rPr>
            </w:pPr>
            <w:r w:rsidRPr="0088429D">
              <w:rPr>
                <w:b/>
              </w:rPr>
              <w:t>5 (100%)</w:t>
            </w:r>
          </w:p>
        </w:tc>
        <w:tc>
          <w:tcPr>
            <w:tcW w:w="1803" w:type="dxa"/>
            <w:shd w:val="clear" w:color="auto" w:fill="auto"/>
          </w:tcPr>
          <w:p w14:paraId="2EFB9576" w14:textId="77777777" w:rsidR="0088429D" w:rsidRPr="0088429D" w:rsidRDefault="0088429D" w:rsidP="00F1796C">
            <w:pPr>
              <w:pStyle w:val="DHHSbody"/>
              <w:jc w:val="right"/>
              <w:rPr>
                <w:b/>
              </w:rPr>
            </w:pPr>
            <w:r w:rsidRPr="0088429D">
              <w:rPr>
                <w:b/>
              </w:rPr>
              <w:t>-</w:t>
            </w:r>
          </w:p>
        </w:tc>
        <w:tc>
          <w:tcPr>
            <w:tcW w:w="1803" w:type="dxa"/>
            <w:shd w:val="clear" w:color="auto" w:fill="auto"/>
          </w:tcPr>
          <w:p w14:paraId="04A19C5F" w14:textId="77777777" w:rsidR="0088429D" w:rsidRPr="0088429D" w:rsidRDefault="0088429D" w:rsidP="00F1796C">
            <w:pPr>
              <w:pStyle w:val="DHHSbody"/>
              <w:jc w:val="right"/>
              <w:rPr>
                <w:b/>
              </w:rPr>
            </w:pPr>
            <w:r w:rsidRPr="0088429D">
              <w:rPr>
                <w:b/>
              </w:rPr>
              <w:t>-</w:t>
            </w:r>
          </w:p>
        </w:tc>
        <w:tc>
          <w:tcPr>
            <w:tcW w:w="1804" w:type="dxa"/>
            <w:shd w:val="clear" w:color="auto" w:fill="auto"/>
          </w:tcPr>
          <w:p w14:paraId="46F8AD72" w14:textId="77777777" w:rsidR="0088429D" w:rsidRPr="0088429D" w:rsidRDefault="0088429D" w:rsidP="00F1796C">
            <w:pPr>
              <w:pStyle w:val="DHHSbody"/>
              <w:jc w:val="right"/>
              <w:rPr>
                <w:b/>
              </w:rPr>
            </w:pPr>
            <w:r w:rsidRPr="0088429D">
              <w:rPr>
                <w:b/>
              </w:rPr>
              <w:t>5 (100%)</w:t>
            </w:r>
          </w:p>
        </w:tc>
      </w:tr>
    </w:tbl>
    <w:p w14:paraId="60E1EEC9" w14:textId="38CE7BE1" w:rsidR="0088429D" w:rsidRPr="0088429D" w:rsidRDefault="0088429D" w:rsidP="00F1796C">
      <w:pPr>
        <w:pStyle w:val="DHHSbodyaftertablefigure"/>
      </w:pPr>
      <w:r w:rsidRPr="0088429D">
        <w:t xml:space="preserve">The </w:t>
      </w:r>
      <w:r w:rsidRPr="00803F1E">
        <w:t>incidence</w:t>
      </w:r>
      <w:r w:rsidRPr="0088429D">
        <w:t xml:space="preserve"> of DHTR is about 1:2500, with those at risk </w:t>
      </w:r>
      <w:r w:rsidR="00803F1E">
        <w:t>of</w:t>
      </w:r>
      <w:r w:rsidR="00803F1E" w:rsidRPr="0088429D">
        <w:t xml:space="preserve"> </w:t>
      </w:r>
      <w:r w:rsidRPr="0088429D">
        <w:t xml:space="preserve">delayed haemolytic or serological transfusion reactions </w:t>
      </w:r>
      <w:r w:rsidR="00803F1E">
        <w:t xml:space="preserve">being </w:t>
      </w:r>
      <w:r w:rsidRPr="0088429D">
        <w:t>patients with a history of red blood cell antibodies (through pregnancy or transfusion exposure)</w:t>
      </w:r>
      <w:r w:rsidR="00803F1E">
        <w:t>,</w:t>
      </w:r>
      <w:r w:rsidRPr="0088429D">
        <w:t xml:space="preserve"> in which the antibody titre subsequently decreases to levels undetectable by routine antibody detection testing. (Delany M et al</w:t>
      </w:r>
      <w:r w:rsidR="00803F1E">
        <w:t>.</w:t>
      </w:r>
      <w:r w:rsidRPr="0088429D">
        <w:t xml:space="preserve"> 2016).</w:t>
      </w:r>
    </w:p>
    <w:p w14:paraId="56927839" w14:textId="77777777" w:rsidR="0088429D" w:rsidRPr="0088429D" w:rsidRDefault="0088429D" w:rsidP="0088429D">
      <w:pPr>
        <w:pStyle w:val="DHHSbody"/>
      </w:pPr>
      <w:r w:rsidRPr="0088429D">
        <w:t>The mechanism for both delayed haemolytic and serologic reactions is similar due to an anamnestic immune response when the recipient is unknowingly transfused with a red blood cell unit that expresses the cognate antigen.</w:t>
      </w:r>
    </w:p>
    <w:p w14:paraId="4C1B0F6D" w14:textId="77777777" w:rsidR="0088429D" w:rsidRPr="0088429D" w:rsidRDefault="0088429D" w:rsidP="0088429D">
      <w:pPr>
        <w:pStyle w:val="Heading2"/>
        <w:rPr>
          <w:rFonts w:eastAsia="Times"/>
        </w:rPr>
      </w:pPr>
      <w:bookmarkStart w:id="17" w:name="_Toc46304646"/>
      <w:r w:rsidRPr="0088429D">
        <w:rPr>
          <w:rFonts w:eastAsia="Times"/>
        </w:rPr>
        <w:t>Delayed serologic transfusion reaction (DSTR)</w:t>
      </w:r>
      <w:bookmarkEnd w:id="17"/>
    </w:p>
    <w:p w14:paraId="452BB7F1" w14:textId="3076B6DA" w:rsidR="0088429D" w:rsidRPr="0088429D" w:rsidRDefault="0088429D" w:rsidP="0088429D">
      <w:pPr>
        <w:pStyle w:val="DHHSbody"/>
      </w:pPr>
      <w:r w:rsidRPr="0088429D">
        <w:t xml:space="preserve">For FY19, there were </w:t>
      </w:r>
      <w:r w:rsidR="00FE6832">
        <w:t>nine</w:t>
      </w:r>
      <w:r w:rsidR="00FE6832" w:rsidRPr="0088429D">
        <w:t xml:space="preserve"> </w:t>
      </w:r>
      <w:r w:rsidRPr="0088429D">
        <w:t>validated reports.</w:t>
      </w:r>
    </w:p>
    <w:p w14:paraId="4890DE36" w14:textId="64732B4C" w:rsidR="00803F1E" w:rsidRDefault="0088429D" w:rsidP="0088429D">
      <w:pPr>
        <w:pStyle w:val="DHHSbody"/>
        <w:rPr>
          <w:bCs/>
        </w:rPr>
      </w:pPr>
      <w:r w:rsidRPr="0088429D">
        <w:t xml:space="preserve">Due to the nature of DSTR and the fact that </w:t>
      </w:r>
      <w:r w:rsidRPr="0088429D">
        <w:rPr>
          <w:bCs/>
        </w:rPr>
        <w:t>these reactions are only identified</w:t>
      </w:r>
      <w:r w:rsidRPr="0088429D">
        <w:t xml:space="preserve"> </w:t>
      </w:r>
      <w:r w:rsidRPr="0088429D">
        <w:rPr>
          <w:bCs/>
        </w:rPr>
        <w:t>if a new sample is tested at some point post</w:t>
      </w:r>
      <w:r w:rsidR="00803F1E">
        <w:rPr>
          <w:bCs/>
        </w:rPr>
        <w:t xml:space="preserve"> </w:t>
      </w:r>
      <w:r w:rsidRPr="0088429D">
        <w:rPr>
          <w:bCs/>
        </w:rPr>
        <w:t xml:space="preserve">transfusion, the time interval between transfusion and detection can range from 24 hours to months or even years. </w:t>
      </w:r>
    </w:p>
    <w:p w14:paraId="393C6F3E" w14:textId="6378A6BB" w:rsidR="0088429D" w:rsidRPr="0088429D" w:rsidRDefault="0088429D" w:rsidP="0088429D">
      <w:pPr>
        <w:pStyle w:val="DHHSbody"/>
      </w:pPr>
      <w:r w:rsidRPr="0088429D">
        <w:rPr>
          <w:bCs/>
        </w:rPr>
        <w:t xml:space="preserve">Consequently, STIR has refined the definition to capture those occurring more recently: </w:t>
      </w:r>
      <w:r w:rsidR="00803F1E">
        <w:rPr>
          <w:bCs/>
        </w:rPr>
        <w:t>d</w:t>
      </w:r>
      <w:r w:rsidR="00803F1E" w:rsidRPr="0088429D">
        <w:rPr>
          <w:bCs/>
        </w:rPr>
        <w:t xml:space="preserve">elayed </w:t>
      </w:r>
      <w:r w:rsidRPr="0088429D">
        <w:rPr>
          <w:bCs/>
        </w:rPr>
        <w:t xml:space="preserve">serologic transfusion reaction is when, within 24 hours to </w:t>
      </w:r>
      <w:r w:rsidR="00803F1E">
        <w:rPr>
          <w:bCs/>
        </w:rPr>
        <w:t>three</w:t>
      </w:r>
      <w:r w:rsidR="00803F1E" w:rsidRPr="0088429D">
        <w:rPr>
          <w:bCs/>
        </w:rPr>
        <w:t xml:space="preserve"> </w:t>
      </w:r>
      <w:r w:rsidRPr="0088429D">
        <w:rPr>
          <w:bCs/>
        </w:rPr>
        <w:t xml:space="preserve">months after a transfusion, there is demonstration of clinically significant antibodies against red blood cells (as described in the </w:t>
      </w:r>
      <w:r w:rsidRPr="00F1796C">
        <w:rPr>
          <w:bCs/>
          <w:i/>
          <w:iCs/>
        </w:rPr>
        <w:t xml:space="preserve">ANZSBT guidelines for </w:t>
      </w:r>
      <w:r w:rsidR="00803F1E" w:rsidRPr="00803F1E">
        <w:rPr>
          <w:bCs/>
          <w:i/>
          <w:iCs/>
        </w:rPr>
        <w:t xml:space="preserve">transfusion and </w:t>
      </w:r>
      <w:proofErr w:type="spellStart"/>
      <w:r w:rsidR="00803F1E" w:rsidRPr="00803F1E">
        <w:rPr>
          <w:bCs/>
          <w:i/>
          <w:iCs/>
        </w:rPr>
        <w:t>immunohaematology</w:t>
      </w:r>
      <w:proofErr w:type="spellEnd"/>
      <w:r w:rsidR="00803F1E" w:rsidRPr="00803F1E">
        <w:rPr>
          <w:bCs/>
          <w:i/>
          <w:iCs/>
        </w:rPr>
        <w:t xml:space="preserve"> laboratory practice</w:t>
      </w:r>
      <w:r w:rsidRPr="0088429D">
        <w:rPr>
          <w:bCs/>
        </w:rPr>
        <w:t>, 1</w:t>
      </w:r>
      <w:r w:rsidRPr="0088429D">
        <w:rPr>
          <w:bCs/>
          <w:vertAlign w:val="superscript"/>
        </w:rPr>
        <w:t>st</w:t>
      </w:r>
      <w:r w:rsidRPr="0088429D">
        <w:rPr>
          <w:bCs/>
        </w:rPr>
        <w:t xml:space="preserve"> </w:t>
      </w:r>
      <w:r w:rsidR="00803F1E">
        <w:rPr>
          <w:bCs/>
        </w:rPr>
        <w:t>e</w:t>
      </w:r>
      <w:r w:rsidR="00803F1E" w:rsidRPr="0088429D">
        <w:rPr>
          <w:bCs/>
        </w:rPr>
        <w:t>dition</w:t>
      </w:r>
      <w:r w:rsidRPr="0088429D">
        <w:rPr>
          <w:bCs/>
        </w:rPr>
        <w:t>, revised 2020) which were previously absent</w:t>
      </w:r>
      <w:r w:rsidR="00803F1E">
        <w:rPr>
          <w:bCs/>
        </w:rPr>
        <w:t>,</w:t>
      </w:r>
      <w:r w:rsidRPr="0088429D">
        <w:rPr>
          <w:bCs/>
        </w:rPr>
        <w:t xml:space="preserve"> and where there are no clinical or laboratory features of haemolysis. This change will be effective from </w:t>
      </w:r>
      <w:r w:rsidR="00803F1E">
        <w:rPr>
          <w:bCs/>
        </w:rPr>
        <w:t xml:space="preserve">1 </w:t>
      </w:r>
      <w:r w:rsidRPr="0088429D">
        <w:rPr>
          <w:bCs/>
        </w:rPr>
        <w:t>July 2020.</w:t>
      </w:r>
    </w:p>
    <w:p w14:paraId="5E847D6E" w14:textId="26A13498" w:rsidR="0088429D" w:rsidRPr="0088429D" w:rsidRDefault="0088429D" w:rsidP="0088429D">
      <w:pPr>
        <w:pStyle w:val="DHHStablecaption"/>
        <w:rPr>
          <w:rFonts w:eastAsia="Times"/>
        </w:rPr>
      </w:pPr>
      <w:r w:rsidRPr="0088429D">
        <w:rPr>
          <w:rFonts w:eastAsia="Times"/>
        </w:rPr>
        <w:t xml:space="preserve">Table </w:t>
      </w:r>
      <w:r w:rsidR="00FB0A81" w:rsidRPr="0088429D">
        <w:rPr>
          <w:rFonts w:eastAsia="Times"/>
        </w:rPr>
        <w:t>1</w:t>
      </w:r>
      <w:r w:rsidR="00FB0A81">
        <w:rPr>
          <w:rFonts w:eastAsia="Times"/>
        </w:rPr>
        <w:t>4</w:t>
      </w:r>
      <w:r w:rsidRPr="0088429D">
        <w:rPr>
          <w:rFonts w:eastAsia="Times"/>
        </w:rPr>
        <w:t xml:space="preserve">: Severity rating and </w:t>
      </w:r>
      <w:proofErr w:type="spellStart"/>
      <w:r w:rsidRPr="0088429D">
        <w:rPr>
          <w:rFonts w:eastAsia="Times"/>
        </w:rPr>
        <w:t>imputability</w:t>
      </w:r>
      <w:proofErr w:type="spellEnd"/>
      <w:r w:rsidRPr="0088429D">
        <w:rPr>
          <w:rFonts w:eastAsia="Times"/>
        </w:rPr>
        <w:t xml:space="preserve"> – delayed serologic reaction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03"/>
        <w:gridCol w:w="1803"/>
        <w:gridCol w:w="1803"/>
        <w:gridCol w:w="1804"/>
      </w:tblGrid>
      <w:tr w:rsidR="0088429D" w:rsidRPr="0088429D" w14:paraId="18A00CD8" w14:textId="77777777" w:rsidTr="0088429D">
        <w:trPr>
          <w:tblHeader/>
        </w:trPr>
        <w:tc>
          <w:tcPr>
            <w:tcW w:w="1803" w:type="dxa"/>
            <w:shd w:val="clear" w:color="auto" w:fill="auto"/>
          </w:tcPr>
          <w:p w14:paraId="1BCCD1FC" w14:textId="77777777" w:rsidR="0088429D" w:rsidRPr="0088429D" w:rsidRDefault="0088429D" w:rsidP="0088429D">
            <w:pPr>
              <w:pStyle w:val="DHHSbody"/>
              <w:rPr>
                <w:b/>
              </w:rPr>
            </w:pPr>
            <w:r w:rsidRPr="0088429D">
              <w:rPr>
                <w:b/>
              </w:rPr>
              <w:t>Severity rating</w:t>
            </w:r>
          </w:p>
        </w:tc>
        <w:tc>
          <w:tcPr>
            <w:tcW w:w="1803" w:type="dxa"/>
            <w:shd w:val="clear" w:color="auto" w:fill="auto"/>
          </w:tcPr>
          <w:p w14:paraId="1BA06F0A" w14:textId="77777777" w:rsidR="0088429D" w:rsidRPr="0088429D" w:rsidRDefault="0088429D" w:rsidP="0088429D">
            <w:pPr>
              <w:pStyle w:val="DHHSbody"/>
              <w:rPr>
                <w:b/>
              </w:rPr>
            </w:pPr>
            <w:proofErr w:type="spellStart"/>
            <w:r w:rsidRPr="0088429D">
              <w:rPr>
                <w:b/>
              </w:rPr>
              <w:t>Imputability</w:t>
            </w:r>
            <w:proofErr w:type="spellEnd"/>
            <w:r w:rsidRPr="0088429D">
              <w:rPr>
                <w:b/>
              </w:rPr>
              <w:t>: certainly</w:t>
            </w:r>
          </w:p>
        </w:tc>
        <w:tc>
          <w:tcPr>
            <w:tcW w:w="1803" w:type="dxa"/>
            <w:shd w:val="clear" w:color="auto" w:fill="auto"/>
          </w:tcPr>
          <w:p w14:paraId="74D098D6" w14:textId="77777777" w:rsidR="0088429D" w:rsidRPr="0088429D" w:rsidRDefault="0088429D" w:rsidP="0088429D">
            <w:pPr>
              <w:pStyle w:val="DHHSbody"/>
              <w:rPr>
                <w:b/>
              </w:rPr>
            </w:pPr>
            <w:proofErr w:type="spellStart"/>
            <w:r w:rsidRPr="0088429D">
              <w:rPr>
                <w:b/>
              </w:rPr>
              <w:t>Imputability</w:t>
            </w:r>
            <w:proofErr w:type="spellEnd"/>
            <w:r w:rsidRPr="0088429D">
              <w:rPr>
                <w:b/>
              </w:rPr>
              <w:t>: probably</w:t>
            </w:r>
          </w:p>
        </w:tc>
        <w:tc>
          <w:tcPr>
            <w:tcW w:w="1803" w:type="dxa"/>
            <w:shd w:val="clear" w:color="auto" w:fill="auto"/>
          </w:tcPr>
          <w:p w14:paraId="01845184" w14:textId="77777777" w:rsidR="0088429D" w:rsidRPr="0088429D" w:rsidRDefault="0088429D" w:rsidP="0088429D">
            <w:pPr>
              <w:pStyle w:val="DHHSbody"/>
              <w:rPr>
                <w:b/>
              </w:rPr>
            </w:pPr>
            <w:proofErr w:type="spellStart"/>
            <w:r w:rsidRPr="0088429D">
              <w:rPr>
                <w:b/>
              </w:rPr>
              <w:t>Imputability</w:t>
            </w:r>
            <w:proofErr w:type="spellEnd"/>
            <w:r w:rsidRPr="0088429D">
              <w:rPr>
                <w:b/>
              </w:rPr>
              <w:t>: possibly</w:t>
            </w:r>
          </w:p>
        </w:tc>
        <w:tc>
          <w:tcPr>
            <w:tcW w:w="1804" w:type="dxa"/>
            <w:shd w:val="clear" w:color="auto" w:fill="auto"/>
          </w:tcPr>
          <w:p w14:paraId="4C37ED86" w14:textId="77777777" w:rsidR="0088429D" w:rsidRPr="0088429D" w:rsidRDefault="0088429D" w:rsidP="0088429D">
            <w:pPr>
              <w:pStyle w:val="DHHSbody"/>
              <w:rPr>
                <w:b/>
              </w:rPr>
            </w:pPr>
            <w:r w:rsidRPr="0088429D">
              <w:rPr>
                <w:b/>
              </w:rPr>
              <w:t>Total</w:t>
            </w:r>
          </w:p>
        </w:tc>
      </w:tr>
      <w:tr w:rsidR="0088429D" w:rsidRPr="0088429D" w14:paraId="65881BE2" w14:textId="77777777" w:rsidTr="0088429D">
        <w:tc>
          <w:tcPr>
            <w:tcW w:w="1803" w:type="dxa"/>
            <w:shd w:val="clear" w:color="auto" w:fill="auto"/>
          </w:tcPr>
          <w:p w14:paraId="4F196D45" w14:textId="77777777" w:rsidR="0088429D" w:rsidRPr="0088429D" w:rsidRDefault="0088429D" w:rsidP="0088429D">
            <w:pPr>
              <w:pStyle w:val="DHHSbody"/>
            </w:pPr>
            <w:r w:rsidRPr="0088429D">
              <w:t>SR 1</w:t>
            </w:r>
          </w:p>
        </w:tc>
        <w:tc>
          <w:tcPr>
            <w:tcW w:w="1803" w:type="dxa"/>
            <w:shd w:val="clear" w:color="auto" w:fill="auto"/>
          </w:tcPr>
          <w:p w14:paraId="1D81CFC1" w14:textId="77777777" w:rsidR="0088429D" w:rsidRPr="0088429D" w:rsidRDefault="0088429D" w:rsidP="00F1796C">
            <w:pPr>
              <w:pStyle w:val="DHHSbody"/>
              <w:jc w:val="right"/>
            </w:pPr>
            <w:r w:rsidRPr="0088429D">
              <w:t>-</w:t>
            </w:r>
          </w:p>
        </w:tc>
        <w:tc>
          <w:tcPr>
            <w:tcW w:w="1803" w:type="dxa"/>
            <w:shd w:val="clear" w:color="auto" w:fill="auto"/>
          </w:tcPr>
          <w:p w14:paraId="180BD0DE" w14:textId="77777777" w:rsidR="0088429D" w:rsidRPr="0088429D" w:rsidRDefault="0088429D" w:rsidP="00F1796C">
            <w:pPr>
              <w:pStyle w:val="DHHSbody"/>
              <w:jc w:val="right"/>
            </w:pPr>
            <w:r w:rsidRPr="0088429D">
              <w:t>-</w:t>
            </w:r>
          </w:p>
        </w:tc>
        <w:tc>
          <w:tcPr>
            <w:tcW w:w="1803" w:type="dxa"/>
            <w:shd w:val="clear" w:color="auto" w:fill="auto"/>
          </w:tcPr>
          <w:p w14:paraId="18589F81" w14:textId="77777777" w:rsidR="0088429D" w:rsidRPr="0088429D" w:rsidRDefault="0088429D" w:rsidP="00F1796C">
            <w:pPr>
              <w:pStyle w:val="DHHSbody"/>
              <w:jc w:val="right"/>
            </w:pPr>
            <w:r w:rsidRPr="0088429D">
              <w:t>-</w:t>
            </w:r>
          </w:p>
        </w:tc>
        <w:tc>
          <w:tcPr>
            <w:tcW w:w="1804" w:type="dxa"/>
            <w:shd w:val="clear" w:color="auto" w:fill="auto"/>
          </w:tcPr>
          <w:p w14:paraId="1AEBDCF3" w14:textId="77777777" w:rsidR="0088429D" w:rsidRPr="0088429D" w:rsidRDefault="0088429D" w:rsidP="00F1796C">
            <w:pPr>
              <w:pStyle w:val="DHHSbody"/>
              <w:jc w:val="right"/>
            </w:pPr>
            <w:r w:rsidRPr="0088429D">
              <w:t>-</w:t>
            </w:r>
          </w:p>
        </w:tc>
      </w:tr>
      <w:tr w:rsidR="0088429D" w:rsidRPr="0088429D" w14:paraId="54EB7179" w14:textId="77777777" w:rsidTr="0088429D">
        <w:tc>
          <w:tcPr>
            <w:tcW w:w="1803" w:type="dxa"/>
            <w:shd w:val="clear" w:color="auto" w:fill="auto"/>
          </w:tcPr>
          <w:p w14:paraId="31A2A37D" w14:textId="77777777" w:rsidR="0088429D" w:rsidRPr="0088429D" w:rsidRDefault="0088429D" w:rsidP="0088429D">
            <w:pPr>
              <w:pStyle w:val="DHHSbody"/>
            </w:pPr>
            <w:r w:rsidRPr="0088429D">
              <w:t>SR 2</w:t>
            </w:r>
          </w:p>
        </w:tc>
        <w:tc>
          <w:tcPr>
            <w:tcW w:w="1803" w:type="dxa"/>
            <w:shd w:val="clear" w:color="auto" w:fill="auto"/>
          </w:tcPr>
          <w:p w14:paraId="4766CBF3" w14:textId="77777777" w:rsidR="0088429D" w:rsidRPr="0088429D" w:rsidRDefault="0088429D" w:rsidP="00F1796C">
            <w:pPr>
              <w:pStyle w:val="DHHSbody"/>
              <w:jc w:val="right"/>
            </w:pPr>
            <w:r w:rsidRPr="0088429D">
              <w:t>-</w:t>
            </w:r>
          </w:p>
        </w:tc>
        <w:tc>
          <w:tcPr>
            <w:tcW w:w="1803" w:type="dxa"/>
            <w:shd w:val="clear" w:color="auto" w:fill="auto"/>
          </w:tcPr>
          <w:p w14:paraId="4DAB0570" w14:textId="77777777" w:rsidR="0088429D" w:rsidRPr="0088429D" w:rsidRDefault="0088429D" w:rsidP="00F1796C">
            <w:pPr>
              <w:pStyle w:val="DHHSbody"/>
              <w:jc w:val="right"/>
            </w:pPr>
            <w:r w:rsidRPr="0088429D">
              <w:t>-</w:t>
            </w:r>
          </w:p>
        </w:tc>
        <w:tc>
          <w:tcPr>
            <w:tcW w:w="1803" w:type="dxa"/>
            <w:shd w:val="clear" w:color="auto" w:fill="auto"/>
          </w:tcPr>
          <w:p w14:paraId="34FC8390" w14:textId="77777777" w:rsidR="0088429D" w:rsidRPr="0088429D" w:rsidRDefault="0088429D" w:rsidP="00F1796C">
            <w:pPr>
              <w:pStyle w:val="DHHSbody"/>
              <w:jc w:val="right"/>
            </w:pPr>
            <w:r w:rsidRPr="0088429D">
              <w:t>-</w:t>
            </w:r>
          </w:p>
        </w:tc>
        <w:tc>
          <w:tcPr>
            <w:tcW w:w="1804" w:type="dxa"/>
            <w:shd w:val="clear" w:color="auto" w:fill="auto"/>
          </w:tcPr>
          <w:p w14:paraId="564FF80A" w14:textId="77777777" w:rsidR="0088429D" w:rsidRPr="0088429D" w:rsidRDefault="0088429D" w:rsidP="00F1796C">
            <w:pPr>
              <w:pStyle w:val="DHHSbody"/>
              <w:jc w:val="right"/>
            </w:pPr>
            <w:r w:rsidRPr="0088429D">
              <w:t>-</w:t>
            </w:r>
          </w:p>
        </w:tc>
      </w:tr>
      <w:tr w:rsidR="0088429D" w:rsidRPr="0088429D" w14:paraId="22E06D37" w14:textId="77777777" w:rsidTr="0088429D">
        <w:tc>
          <w:tcPr>
            <w:tcW w:w="1803" w:type="dxa"/>
            <w:shd w:val="clear" w:color="auto" w:fill="auto"/>
          </w:tcPr>
          <w:p w14:paraId="676D00A0" w14:textId="77777777" w:rsidR="0088429D" w:rsidRPr="0088429D" w:rsidRDefault="0088429D" w:rsidP="0088429D">
            <w:pPr>
              <w:pStyle w:val="DHHSbody"/>
            </w:pPr>
            <w:r w:rsidRPr="0088429D">
              <w:t>SR 3</w:t>
            </w:r>
          </w:p>
        </w:tc>
        <w:tc>
          <w:tcPr>
            <w:tcW w:w="1803" w:type="dxa"/>
            <w:shd w:val="clear" w:color="auto" w:fill="auto"/>
          </w:tcPr>
          <w:p w14:paraId="5BBDF9E0" w14:textId="77777777" w:rsidR="0088429D" w:rsidRPr="0088429D" w:rsidRDefault="0088429D" w:rsidP="00F1796C">
            <w:pPr>
              <w:pStyle w:val="DHHSbody"/>
              <w:jc w:val="right"/>
            </w:pPr>
            <w:r w:rsidRPr="0088429D">
              <w:t>-</w:t>
            </w:r>
          </w:p>
        </w:tc>
        <w:tc>
          <w:tcPr>
            <w:tcW w:w="1803" w:type="dxa"/>
            <w:shd w:val="clear" w:color="auto" w:fill="auto"/>
          </w:tcPr>
          <w:p w14:paraId="2227FAF7" w14:textId="77777777" w:rsidR="0088429D" w:rsidRPr="0088429D" w:rsidRDefault="0088429D" w:rsidP="00F1796C">
            <w:pPr>
              <w:pStyle w:val="DHHSbody"/>
              <w:jc w:val="right"/>
            </w:pPr>
            <w:r w:rsidRPr="0088429D">
              <w:t>-</w:t>
            </w:r>
          </w:p>
        </w:tc>
        <w:tc>
          <w:tcPr>
            <w:tcW w:w="1803" w:type="dxa"/>
            <w:shd w:val="clear" w:color="auto" w:fill="auto"/>
          </w:tcPr>
          <w:p w14:paraId="72D3A17B" w14:textId="77777777" w:rsidR="0088429D" w:rsidRPr="0088429D" w:rsidRDefault="0088429D" w:rsidP="00F1796C">
            <w:pPr>
              <w:pStyle w:val="DHHSbody"/>
              <w:jc w:val="right"/>
            </w:pPr>
            <w:r w:rsidRPr="0088429D">
              <w:t>-</w:t>
            </w:r>
          </w:p>
        </w:tc>
        <w:tc>
          <w:tcPr>
            <w:tcW w:w="1804" w:type="dxa"/>
            <w:shd w:val="clear" w:color="auto" w:fill="auto"/>
          </w:tcPr>
          <w:p w14:paraId="3BE6DE06" w14:textId="77777777" w:rsidR="0088429D" w:rsidRPr="0088429D" w:rsidRDefault="0088429D" w:rsidP="00F1796C">
            <w:pPr>
              <w:pStyle w:val="DHHSbody"/>
              <w:jc w:val="right"/>
            </w:pPr>
            <w:r w:rsidRPr="0088429D">
              <w:t>-</w:t>
            </w:r>
          </w:p>
        </w:tc>
      </w:tr>
      <w:tr w:rsidR="0088429D" w:rsidRPr="0088429D" w14:paraId="0B021D91" w14:textId="77777777" w:rsidTr="0088429D">
        <w:tc>
          <w:tcPr>
            <w:tcW w:w="1803" w:type="dxa"/>
            <w:shd w:val="clear" w:color="auto" w:fill="auto"/>
          </w:tcPr>
          <w:p w14:paraId="16CA9313" w14:textId="77777777" w:rsidR="0088429D" w:rsidRPr="0088429D" w:rsidRDefault="0088429D" w:rsidP="0088429D">
            <w:pPr>
              <w:pStyle w:val="DHHSbody"/>
            </w:pPr>
            <w:r w:rsidRPr="0088429D">
              <w:t>SR 4</w:t>
            </w:r>
          </w:p>
        </w:tc>
        <w:tc>
          <w:tcPr>
            <w:tcW w:w="1803" w:type="dxa"/>
            <w:shd w:val="clear" w:color="auto" w:fill="auto"/>
          </w:tcPr>
          <w:p w14:paraId="74790D4D" w14:textId="68CFA605" w:rsidR="0088429D" w:rsidRPr="0088429D" w:rsidRDefault="009D5D28" w:rsidP="00F1796C">
            <w:pPr>
              <w:pStyle w:val="DHHSbody"/>
              <w:jc w:val="right"/>
            </w:pPr>
            <w:r>
              <w:t>3</w:t>
            </w:r>
            <w:r w:rsidRPr="0088429D">
              <w:t xml:space="preserve"> </w:t>
            </w:r>
            <w:r w:rsidR="0088429D" w:rsidRPr="0088429D">
              <w:t>(</w:t>
            </w:r>
            <w:r>
              <w:t>33</w:t>
            </w:r>
            <w:r w:rsidR="0088429D" w:rsidRPr="0088429D">
              <w:t>%)</w:t>
            </w:r>
          </w:p>
        </w:tc>
        <w:tc>
          <w:tcPr>
            <w:tcW w:w="1803" w:type="dxa"/>
            <w:shd w:val="clear" w:color="auto" w:fill="auto"/>
          </w:tcPr>
          <w:p w14:paraId="63003529" w14:textId="66C5A54E" w:rsidR="0088429D" w:rsidRPr="0088429D" w:rsidRDefault="009D5D28" w:rsidP="00F1796C">
            <w:pPr>
              <w:pStyle w:val="DHHSbody"/>
              <w:jc w:val="right"/>
            </w:pPr>
            <w:r>
              <w:t>3</w:t>
            </w:r>
            <w:r w:rsidRPr="0088429D">
              <w:t xml:space="preserve"> </w:t>
            </w:r>
            <w:r w:rsidR="0088429D" w:rsidRPr="0088429D">
              <w:t>(</w:t>
            </w:r>
            <w:r>
              <w:t>33</w:t>
            </w:r>
            <w:r w:rsidR="0088429D" w:rsidRPr="0088429D">
              <w:t>%)</w:t>
            </w:r>
          </w:p>
        </w:tc>
        <w:tc>
          <w:tcPr>
            <w:tcW w:w="1803" w:type="dxa"/>
            <w:shd w:val="clear" w:color="auto" w:fill="auto"/>
          </w:tcPr>
          <w:p w14:paraId="1A045F35" w14:textId="5067B43D" w:rsidR="0088429D" w:rsidRPr="0088429D" w:rsidRDefault="009D5D28" w:rsidP="00F1796C">
            <w:pPr>
              <w:pStyle w:val="DHHSbody"/>
              <w:jc w:val="right"/>
            </w:pPr>
            <w:r>
              <w:t>3</w:t>
            </w:r>
            <w:r w:rsidRPr="0088429D">
              <w:t xml:space="preserve"> </w:t>
            </w:r>
            <w:r w:rsidR="0088429D" w:rsidRPr="0088429D">
              <w:t>(</w:t>
            </w:r>
            <w:r>
              <w:t>33</w:t>
            </w:r>
            <w:r w:rsidR="0088429D" w:rsidRPr="0088429D">
              <w:t>%)</w:t>
            </w:r>
          </w:p>
        </w:tc>
        <w:tc>
          <w:tcPr>
            <w:tcW w:w="1804" w:type="dxa"/>
            <w:shd w:val="clear" w:color="auto" w:fill="auto"/>
          </w:tcPr>
          <w:p w14:paraId="34C52AA7" w14:textId="357A6D9D" w:rsidR="0088429D" w:rsidRPr="0088429D" w:rsidRDefault="009D5D28" w:rsidP="00F1796C">
            <w:pPr>
              <w:pStyle w:val="DHHSbody"/>
              <w:jc w:val="right"/>
            </w:pPr>
            <w:r>
              <w:t>9</w:t>
            </w:r>
            <w:r w:rsidRPr="0088429D">
              <w:t xml:space="preserve"> </w:t>
            </w:r>
            <w:r w:rsidR="0088429D" w:rsidRPr="0088429D">
              <w:t>(100%)</w:t>
            </w:r>
          </w:p>
        </w:tc>
      </w:tr>
      <w:tr w:rsidR="0088429D" w:rsidRPr="0088429D" w14:paraId="488ECCF3" w14:textId="77777777" w:rsidTr="0088429D">
        <w:tc>
          <w:tcPr>
            <w:tcW w:w="1803" w:type="dxa"/>
            <w:shd w:val="clear" w:color="auto" w:fill="auto"/>
          </w:tcPr>
          <w:p w14:paraId="6B34EF6E" w14:textId="77777777" w:rsidR="0088429D" w:rsidRPr="0088429D" w:rsidRDefault="0088429D" w:rsidP="0088429D">
            <w:pPr>
              <w:pStyle w:val="DHHSbody"/>
              <w:rPr>
                <w:b/>
              </w:rPr>
            </w:pPr>
            <w:r w:rsidRPr="0088429D">
              <w:rPr>
                <w:b/>
              </w:rPr>
              <w:t>Total</w:t>
            </w:r>
          </w:p>
        </w:tc>
        <w:tc>
          <w:tcPr>
            <w:tcW w:w="1803" w:type="dxa"/>
            <w:shd w:val="clear" w:color="auto" w:fill="auto"/>
          </w:tcPr>
          <w:p w14:paraId="68D25229" w14:textId="0FE79BEE" w:rsidR="0088429D" w:rsidRPr="0088429D" w:rsidRDefault="009D5D28" w:rsidP="00F1796C">
            <w:pPr>
              <w:pStyle w:val="DHHSbody"/>
              <w:jc w:val="right"/>
              <w:rPr>
                <w:b/>
              </w:rPr>
            </w:pPr>
            <w:r>
              <w:rPr>
                <w:b/>
              </w:rPr>
              <w:t>3</w:t>
            </w:r>
            <w:r w:rsidRPr="0088429D">
              <w:rPr>
                <w:b/>
              </w:rPr>
              <w:t xml:space="preserve"> </w:t>
            </w:r>
            <w:r w:rsidR="0088429D" w:rsidRPr="0088429D">
              <w:rPr>
                <w:b/>
              </w:rPr>
              <w:t>(</w:t>
            </w:r>
            <w:r>
              <w:rPr>
                <w:b/>
              </w:rPr>
              <w:t>33</w:t>
            </w:r>
            <w:r w:rsidR="0088429D" w:rsidRPr="0088429D">
              <w:rPr>
                <w:b/>
              </w:rPr>
              <w:t>%)</w:t>
            </w:r>
          </w:p>
        </w:tc>
        <w:tc>
          <w:tcPr>
            <w:tcW w:w="1803" w:type="dxa"/>
            <w:shd w:val="clear" w:color="auto" w:fill="auto"/>
          </w:tcPr>
          <w:p w14:paraId="67A6CAD4" w14:textId="4A0EB6E4" w:rsidR="0088429D" w:rsidRPr="0088429D" w:rsidRDefault="009D5D28" w:rsidP="00F1796C">
            <w:pPr>
              <w:pStyle w:val="DHHSbody"/>
              <w:jc w:val="right"/>
              <w:rPr>
                <w:b/>
              </w:rPr>
            </w:pPr>
            <w:r>
              <w:rPr>
                <w:b/>
              </w:rPr>
              <w:t>3</w:t>
            </w:r>
            <w:r w:rsidRPr="0088429D">
              <w:rPr>
                <w:b/>
              </w:rPr>
              <w:t xml:space="preserve"> </w:t>
            </w:r>
            <w:r w:rsidR="0088429D" w:rsidRPr="0088429D">
              <w:rPr>
                <w:b/>
              </w:rPr>
              <w:t>(</w:t>
            </w:r>
            <w:r>
              <w:rPr>
                <w:b/>
              </w:rPr>
              <w:t>33</w:t>
            </w:r>
            <w:r w:rsidR="0088429D" w:rsidRPr="0088429D">
              <w:rPr>
                <w:b/>
              </w:rPr>
              <w:t>%)</w:t>
            </w:r>
          </w:p>
        </w:tc>
        <w:tc>
          <w:tcPr>
            <w:tcW w:w="1803" w:type="dxa"/>
            <w:shd w:val="clear" w:color="auto" w:fill="auto"/>
          </w:tcPr>
          <w:p w14:paraId="04C0225A" w14:textId="43F6F230" w:rsidR="0088429D" w:rsidRPr="0088429D" w:rsidRDefault="009D5D28" w:rsidP="00F1796C">
            <w:pPr>
              <w:pStyle w:val="DHHSbody"/>
              <w:jc w:val="right"/>
              <w:rPr>
                <w:b/>
              </w:rPr>
            </w:pPr>
            <w:r>
              <w:rPr>
                <w:b/>
              </w:rPr>
              <w:t>3</w:t>
            </w:r>
            <w:r w:rsidRPr="0088429D">
              <w:rPr>
                <w:b/>
              </w:rPr>
              <w:t xml:space="preserve"> </w:t>
            </w:r>
            <w:r w:rsidR="0088429D" w:rsidRPr="0088429D">
              <w:rPr>
                <w:b/>
              </w:rPr>
              <w:t>(</w:t>
            </w:r>
            <w:r>
              <w:rPr>
                <w:b/>
              </w:rPr>
              <w:t>33</w:t>
            </w:r>
            <w:r w:rsidR="0088429D" w:rsidRPr="0088429D">
              <w:rPr>
                <w:b/>
              </w:rPr>
              <w:t>%)</w:t>
            </w:r>
          </w:p>
        </w:tc>
        <w:tc>
          <w:tcPr>
            <w:tcW w:w="1804" w:type="dxa"/>
            <w:shd w:val="clear" w:color="auto" w:fill="auto"/>
          </w:tcPr>
          <w:p w14:paraId="59F2896C" w14:textId="73B5EA7C" w:rsidR="0088429D" w:rsidRPr="0088429D" w:rsidRDefault="009D5D28" w:rsidP="00F1796C">
            <w:pPr>
              <w:pStyle w:val="DHHSbody"/>
              <w:jc w:val="right"/>
              <w:rPr>
                <w:b/>
              </w:rPr>
            </w:pPr>
            <w:r>
              <w:rPr>
                <w:b/>
              </w:rPr>
              <w:t>9</w:t>
            </w:r>
            <w:r w:rsidRPr="0088429D">
              <w:rPr>
                <w:b/>
              </w:rPr>
              <w:t xml:space="preserve"> </w:t>
            </w:r>
            <w:r w:rsidR="0088429D" w:rsidRPr="0088429D">
              <w:rPr>
                <w:b/>
              </w:rPr>
              <w:t>(100%)</w:t>
            </w:r>
          </w:p>
        </w:tc>
      </w:tr>
    </w:tbl>
    <w:p w14:paraId="65252C6E" w14:textId="316852EC" w:rsidR="0088429D" w:rsidRPr="0088429D" w:rsidRDefault="0088429D" w:rsidP="00F1796C">
      <w:pPr>
        <w:pStyle w:val="DHHSbodyaftertablefigure"/>
      </w:pPr>
      <w:r w:rsidRPr="0088429D">
        <w:t xml:space="preserve">As DSTR do </w:t>
      </w:r>
      <w:r w:rsidRPr="00803F1E">
        <w:t>not</w:t>
      </w:r>
      <w:r w:rsidRPr="0088429D">
        <w:t xml:space="preserve"> cause signs or symptoms in the patient</w:t>
      </w:r>
      <w:r w:rsidR="003C7C0D">
        <w:t>,</w:t>
      </w:r>
      <w:r w:rsidRPr="0088429D">
        <w:t xml:space="preserve"> the severity rating is low, as shown in Table 1</w:t>
      </w:r>
      <w:r w:rsidR="00006922">
        <w:t>4</w:t>
      </w:r>
      <w:r w:rsidRPr="0088429D">
        <w:t>. However, these reactions do have an implication for future transfusions</w:t>
      </w:r>
      <w:r w:rsidR="003C7C0D">
        <w:t>,</w:t>
      </w:r>
      <w:r w:rsidRPr="0088429D">
        <w:t xml:space="preserve"> as antigen</w:t>
      </w:r>
      <w:r w:rsidR="003C7C0D">
        <w:t>-</w:t>
      </w:r>
      <w:r w:rsidRPr="0088429D">
        <w:t>negative blood must be found.</w:t>
      </w:r>
    </w:p>
    <w:p w14:paraId="024792AE" w14:textId="77777777" w:rsidR="0088429D" w:rsidRPr="0088429D" w:rsidRDefault="0088429D" w:rsidP="003C7C0D">
      <w:pPr>
        <w:pStyle w:val="Heading2"/>
        <w:rPr>
          <w:rFonts w:eastAsia="Times"/>
        </w:rPr>
      </w:pPr>
      <w:bookmarkStart w:id="18" w:name="_Toc46304647"/>
      <w:r w:rsidRPr="0088429D">
        <w:rPr>
          <w:rFonts w:eastAsia="Times"/>
        </w:rPr>
        <w:lastRenderedPageBreak/>
        <w:t xml:space="preserve">Transfusion </w:t>
      </w:r>
      <w:r w:rsidRPr="003C7C0D">
        <w:rPr>
          <w:rFonts w:eastAsia="Times"/>
        </w:rPr>
        <w:t>associated</w:t>
      </w:r>
      <w:r w:rsidRPr="0088429D">
        <w:rPr>
          <w:rFonts w:eastAsia="Times"/>
        </w:rPr>
        <w:t xml:space="preserve"> circulatory overload (TACO)</w:t>
      </w:r>
      <w:bookmarkEnd w:id="18"/>
    </w:p>
    <w:p w14:paraId="0ED2C500" w14:textId="57F131E8" w:rsidR="0088429D" w:rsidRPr="0088429D" w:rsidRDefault="0088429D" w:rsidP="0088429D">
      <w:pPr>
        <w:pStyle w:val="DHHStablecaption"/>
        <w:rPr>
          <w:rFonts w:eastAsia="Times"/>
        </w:rPr>
      </w:pPr>
      <w:r w:rsidRPr="0088429D">
        <w:rPr>
          <w:rFonts w:eastAsia="Times"/>
        </w:rPr>
        <w:t xml:space="preserve">Table </w:t>
      </w:r>
      <w:r w:rsidR="00FB0A81" w:rsidRPr="0088429D">
        <w:rPr>
          <w:rFonts w:eastAsia="Times"/>
        </w:rPr>
        <w:t>1</w:t>
      </w:r>
      <w:r w:rsidR="00FB0A81">
        <w:rPr>
          <w:rFonts w:eastAsia="Times"/>
        </w:rPr>
        <w:t>5</w:t>
      </w:r>
      <w:r w:rsidRPr="0088429D">
        <w:rPr>
          <w:rFonts w:eastAsia="Times"/>
        </w:rPr>
        <w:t>: Data summary – TACO, n = 18</w:t>
      </w:r>
    </w:p>
    <w:tbl>
      <w:tblPr>
        <w:tblStyle w:val="TableGrid"/>
        <w:tblW w:w="0" w:type="auto"/>
        <w:tblLook w:val="04A0" w:firstRow="1" w:lastRow="0" w:firstColumn="1" w:lastColumn="0" w:noHBand="0" w:noVBand="1"/>
      </w:tblPr>
      <w:tblGrid>
        <w:gridCol w:w="3441"/>
        <w:gridCol w:w="1066"/>
        <w:gridCol w:w="1464"/>
      </w:tblGrid>
      <w:tr w:rsidR="0088429D" w:rsidRPr="0088429D" w14:paraId="2ED53D42" w14:textId="77777777" w:rsidTr="0088429D">
        <w:trPr>
          <w:tblHeader/>
        </w:trPr>
        <w:tc>
          <w:tcPr>
            <w:tcW w:w="3441" w:type="dxa"/>
          </w:tcPr>
          <w:p w14:paraId="46DC55C9" w14:textId="77777777" w:rsidR="0088429D" w:rsidRPr="0088429D" w:rsidRDefault="0088429D" w:rsidP="0088429D">
            <w:pPr>
              <w:pStyle w:val="DHHSbody"/>
              <w:rPr>
                <w:b/>
              </w:rPr>
            </w:pPr>
            <w:r w:rsidRPr="0088429D">
              <w:rPr>
                <w:b/>
              </w:rPr>
              <w:t>Characteristic</w:t>
            </w:r>
          </w:p>
        </w:tc>
        <w:tc>
          <w:tcPr>
            <w:tcW w:w="1066" w:type="dxa"/>
          </w:tcPr>
          <w:p w14:paraId="0DD3E720" w14:textId="77777777" w:rsidR="0088429D" w:rsidRPr="0088429D" w:rsidRDefault="0088429D" w:rsidP="0088429D">
            <w:pPr>
              <w:pStyle w:val="DHHSbody"/>
              <w:rPr>
                <w:b/>
              </w:rPr>
            </w:pPr>
            <w:r w:rsidRPr="0088429D">
              <w:rPr>
                <w:b/>
              </w:rPr>
              <w:t>Number</w:t>
            </w:r>
          </w:p>
        </w:tc>
        <w:tc>
          <w:tcPr>
            <w:tcW w:w="1464" w:type="dxa"/>
          </w:tcPr>
          <w:p w14:paraId="155667B5" w14:textId="77777777" w:rsidR="0088429D" w:rsidRPr="0088429D" w:rsidRDefault="0088429D" w:rsidP="0088429D">
            <w:pPr>
              <w:pStyle w:val="DHHSbody"/>
              <w:rPr>
                <w:b/>
              </w:rPr>
            </w:pPr>
            <w:r w:rsidRPr="0088429D">
              <w:rPr>
                <w:b/>
              </w:rPr>
              <w:t>Percentage</w:t>
            </w:r>
          </w:p>
        </w:tc>
      </w:tr>
      <w:tr w:rsidR="0088429D" w:rsidRPr="0088429D" w14:paraId="3F2AEA12" w14:textId="77777777" w:rsidTr="0088429D">
        <w:tc>
          <w:tcPr>
            <w:tcW w:w="3441" w:type="dxa"/>
          </w:tcPr>
          <w:p w14:paraId="459BD0C9" w14:textId="77777777" w:rsidR="0088429D" w:rsidRPr="0088429D" w:rsidRDefault="0088429D" w:rsidP="0088429D">
            <w:pPr>
              <w:pStyle w:val="DHHSbody"/>
            </w:pPr>
            <w:r w:rsidRPr="0088429D">
              <w:t>Age: &lt; 1 year</w:t>
            </w:r>
          </w:p>
        </w:tc>
        <w:tc>
          <w:tcPr>
            <w:tcW w:w="1066" w:type="dxa"/>
          </w:tcPr>
          <w:p w14:paraId="05A597A0" w14:textId="77777777" w:rsidR="0088429D" w:rsidRPr="0088429D" w:rsidRDefault="0088429D" w:rsidP="00F1796C">
            <w:pPr>
              <w:pStyle w:val="DHHSbody"/>
              <w:jc w:val="right"/>
            </w:pPr>
            <w:r w:rsidRPr="0088429D">
              <w:t>-</w:t>
            </w:r>
          </w:p>
        </w:tc>
        <w:tc>
          <w:tcPr>
            <w:tcW w:w="1464" w:type="dxa"/>
          </w:tcPr>
          <w:p w14:paraId="3CB6781E" w14:textId="77777777" w:rsidR="0088429D" w:rsidRPr="0088429D" w:rsidRDefault="0088429D" w:rsidP="00F1796C">
            <w:pPr>
              <w:pStyle w:val="DHHSbody"/>
              <w:jc w:val="right"/>
            </w:pPr>
            <w:r w:rsidRPr="0088429D">
              <w:t>-</w:t>
            </w:r>
          </w:p>
        </w:tc>
      </w:tr>
      <w:tr w:rsidR="0088429D" w:rsidRPr="0088429D" w14:paraId="59740428" w14:textId="77777777" w:rsidTr="0088429D">
        <w:tc>
          <w:tcPr>
            <w:tcW w:w="3441" w:type="dxa"/>
          </w:tcPr>
          <w:p w14:paraId="6C627FD7" w14:textId="77777777" w:rsidR="0088429D" w:rsidRPr="0088429D" w:rsidRDefault="0088429D" w:rsidP="0088429D">
            <w:pPr>
              <w:pStyle w:val="DHHSbody"/>
            </w:pPr>
            <w:r w:rsidRPr="0088429D">
              <w:t>Age: 1–18 years</w:t>
            </w:r>
          </w:p>
        </w:tc>
        <w:tc>
          <w:tcPr>
            <w:tcW w:w="1066" w:type="dxa"/>
          </w:tcPr>
          <w:p w14:paraId="19CF4A01" w14:textId="77777777" w:rsidR="0088429D" w:rsidRPr="0088429D" w:rsidRDefault="0088429D" w:rsidP="00F1796C">
            <w:pPr>
              <w:pStyle w:val="DHHSbody"/>
              <w:jc w:val="right"/>
            </w:pPr>
            <w:r w:rsidRPr="0088429D">
              <w:t>-</w:t>
            </w:r>
          </w:p>
        </w:tc>
        <w:tc>
          <w:tcPr>
            <w:tcW w:w="1464" w:type="dxa"/>
          </w:tcPr>
          <w:p w14:paraId="4056B53F" w14:textId="77777777" w:rsidR="0088429D" w:rsidRPr="0088429D" w:rsidRDefault="0088429D" w:rsidP="00F1796C">
            <w:pPr>
              <w:pStyle w:val="DHHSbody"/>
              <w:jc w:val="right"/>
            </w:pPr>
            <w:r w:rsidRPr="0088429D">
              <w:t>-</w:t>
            </w:r>
          </w:p>
        </w:tc>
      </w:tr>
      <w:tr w:rsidR="0088429D" w:rsidRPr="0088429D" w14:paraId="7F94BF47" w14:textId="77777777" w:rsidTr="0088429D">
        <w:tc>
          <w:tcPr>
            <w:tcW w:w="3441" w:type="dxa"/>
          </w:tcPr>
          <w:p w14:paraId="52D05D4E" w14:textId="77777777" w:rsidR="0088429D" w:rsidRPr="0088429D" w:rsidRDefault="0088429D" w:rsidP="0088429D">
            <w:pPr>
              <w:pStyle w:val="DHHSbody"/>
            </w:pPr>
            <w:r w:rsidRPr="0088429D">
              <w:t>Age: 19–29 years</w:t>
            </w:r>
          </w:p>
        </w:tc>
        <w:tc>
          <w:tcPr>
            <w:tcW w:w="1066" w:type="dxa"/>
          </w:tcPr>
          <w:p w14:paraId="1E984CF5" w14:textId="77777777" w:rsidR="0088429D" w:rsidRPr="0088429D" w:rsidRDefault="0088429D" w:rsidP="00F1796C">
            <w:pPr>
              <w:pStyle w:val="DHHSbody"/>
              <w:jc w:val="right"/>
            </w:pPr>
            <w:r w:rsidRPr="0088429D">
              <w:t>-</w:t>
            </w:r>
          </w:p>
        </w:tc>
        <w:tc>
          <w:tcPr>
            <w:tcW w:w="1464" w:type="dxa"/>
          </w:tcPr>
          <w:p w14:paraId="53CD21C1" w14:textId="77777777" w:rsidR="0088429D" w:rsidRPr="0088429D" w:rsidRDefault="0088429D" w:rsidP="00F1796C">
            <w:pPr>
              <w:pStyle w:val="DHHSbody"/>
              <w:jc w:val="right"/>
            </w:pPr>
            <w:r w:rsidRPr="0088429D">
              <w:t>-</w:t>
            </w:r>
          </w:p>
        </w:tc>
      </w:tr>
      <w:tr w:rsidR="0088429D" w:rsidRPr="0088429D" w14:paraId="0534D4B7" w14:textId="77777777" w:rsidTr="0088429D">
        <w:tc>
          <w:tcPr>
            <w:tcW w:w="3441" w:type="dxa"/>
          </w:tcPr>
          <w:p w14:paraId="087B02A7" w14:textId="77777777" w:rsidR="0088429D" w:rsidRPr="0088429D" w:rsidRDefault="0088429D" w:rsidP="0088429D">
            <w:pPr>
              <w:pStyle w:val="DHHSbody"/>
            </w:pPr>
            <w:r w:rsidRPr="0088429D">
              <w:t>Age: 30–49 years</w:t>
            </w:r>
          </w:p>
        </w:tc>
        <w:tc>
          <w:tcPr>
            <w:tcW w:w="1066" w:type="dxa"/>
          </w:tcPr>
          <w:p w14:paraId="72217DE2" w14:textId="77777777" w:rsidR="0088429D" w:rsidRPr="0088429D" w:rsidRDefault="0088429D" w:rsidP="00F1796C">
            <w:pPr>
              <w:pStyle w:val="DHHSbody"/>
              <w:jc w:val="right"/>
            </w:pPr>
            <w:r w:rsidRPr="0088429D">
              <w:t>1</w:t>
            </w:r>
          </w:p>
        </w:tc>
        <w:tc>
          <w:tcPr>
            <w:tcW w:w="1464" w:type="dxa"/>
          </w:tcPr>
          <w:p w14:paraId="09E7304E" w14:textId="77777777" w:rsidR="0088429D" w:rsidRPr="0088429D" w:rsidRDefault="0088429D" w:rsidP="00F1796C">
            <w:pPr>
              <w:pStyle w:val="DHHSbody"/>
              <w:jc w:val="right"/>
            </w:pPr>
            <w:r w:rsidRPr="0088429D">
              <w:t>6%</w:t>
            </w:r>
          </w:p>
        </w:tc>
      </w:tr>
      <w:tr w:rsidR="0088429D" w:rsidRPr="0088429D" w14:paraId="533803F0" w14:textId="77777777" w:rsidTr="0088429D">
        <w:tc>
          <w:tcPr>
            <w:tcW w:w="3441" w:type="dxa"/>
          </w:tcPr>
          <w:p w14:paraId="56D122AE" w14:textId="77777777" w:rsidR="0088429D" w:rsidRPr="0088429D" w:rsidRDefault="0088429D" w:rsidP="0088429D">
            <w:pPr>
              <w:pStyle w:val="DHHSbody"/>
            </w:pPr>
            <w:r w:rsidRPr="0088429D">
              <w:t>Age: 50–69 years</w:t>
            </w:r>
          </w:p>
        </w:tc>
        <w:tc>
          <w:tcPr>
            <w:tcW w:w="1066" w:type="dxa"/>
          </w:tcPr>
          <w:p w14:paraId="302C61E0" w14:textId="77777777" w:rsidR="0088429D" w:rsidRPr="0088429D" w:rsidRDefault="0088429D" w:rsidP="00F1796C">
            <w:pPr>
              <w:pStyle w:val="DHHSbody"/>
              <w:jc w:val="right"/>
            </w:pPr>
            <w:r w:rsidRPr="0088429D">
              <w:t>5</w:t>
            </w:r>
          </w:p>
        </w:tc>
        <w:tc>
          <w:tcPr>
            <w:tcW w:w="1464" w:type="dxa"/>
          </w:tcPr>
          <w:p w14:paraId="31B3A119" w14:textId="77777777" w:rsidR="0088429D" w:rsidRPr="0088429D" w:rsidRDefault="0088429D" w:rsidP="00F1796C">
            <w:pPr>
              <w:pStyle w:val="DHHSbody"/>
              <w:jc w:val="right"/>
            </w:pPr>
            <w:r w:rsidRPr="0088429D">
              <w:t>28%</w:t>
            </w:r>
          </w:p>
        </w:tc>
      </w:tr>
      <w:tr w:rsidR="0088429D" w:rsidRPr="0088429D" w14:paraId="3EA63FD0" w14:textId="77777777" w:rsidTr="0088429D">
        <w:tc>
          <w:tcPr>
            <w:tcW w:w="3441" w:type="dxa"/>
          </w:tcPr>
          <w:p w14:paraId="26FBEF72" w14:textId="77777777" w:rsidR="0088429D" w:rsidRPr="0088429D" w:rsidRDefault="0088429D" w:rsidP="0088429D">
            <w:pPr>
              <w:pStyle w:val="DHHSbody"/>
            </w:pPr>
            <w:r w:rsidRPr="0088429D">
              <w:t>Age: 70–79 years</w:t>
            </w:r>
          </w:p>
        </w:tc>
        <w:tc>
          <w:tcPr>
            <w:tcW w:w="1066" w:type="dxa"/>
          </w:tcPr>
          <w:p w14:paraId="2A1DB96A" w14:textId="77777777" w:rsidR="0088429D" w:rsidRPr="0088429D" w:rsidRDefault="0088429D" w:rsidP="00F1796C">
            <w:pPr>
              <w:pStyle w:val="DHHSbody"/>
              <w:jc w:val="right"/>
            </w:pPr>
            <w:r w:rsidRPr="0088429D">
              <w:t>4</w:t>
            </w:r>
          </w:p>
        </w:tc>
        <w:tc>
          <w:tcPr>
            <w:tcW w:w="1464" w:type="dxa"/>
          </w:tcPr>
          <w:p w14:paraId="515ED88B" w14:textId="77777777" w:rsidR="0088429D" w:rsidRPr="0088429D" w:rsidRDefault="0088429D" w:rsidP="00F1796C">
            <w:pPr>
              <w:pStyle w:val="DHHSbody"/>
              <w:jc w:val="right"/>
            </w:pPr>
            <w:r w:rsidRPr="0088429D">
              <w:t>22%</w:t>
            </w:r>
          </w:p>
        </w:tc>
      </w:tr>
      <w:tr w:rsidR="0088429D" w:rsidRPr="0088429D" w14:paraId="72C43E5D" w14:textId="77777777" w:rsidTr="0088429D">
        <w:tc>
          <w:tcPr>
            <w:tcW w:w="3441" w:type="dxa"/>
          </w:tcPr>
          <w:p w14:paraId="0AEAD6F2" w14:textId="77777777" w:rsidR="0088429D" w:rsidRPr="0088429D" w:rsidRDefault="0088429D" w:rsidP="0088429D">
            <w:pPr>
              <w:pStyle w:val="DHHSbody"/>
            </w:pPr>
            <w:r w:rsidRPr="0088429D">
              <w:t>Age: 80+ years</w:t>
            </w:r>
          </w:p>
        </w:tc>
        <w:tc>
          <w:tcPr>
            <w:tcW w:w="1066" w:type="dxa"/>
          </w:tcPr>
          <w:p w14:paraId="6E44C738" w14:textId="77777777" w:rsidR="0088429D" w:rsidRPr="0088429D" w:rsidRDefault="0088429D" w:rsidP="00F1796C">
            <w:pPr>
              <w:pStyle w:val="DHHSbody"/>
              <w:jc w:val="right"/>
            </w:pPr>
            <w:r w:rsidRPr="0088429D">
              <w:t>8</w:t>
            </w:r>
          </w:p>
        </w:tc>
        <w:tc>
          <w:tcPr>
            <w:tcW w:w="1464" w:type="dxa"/>
          </w:tcPr>
          <w:p w14:paraId="5F9BB038" w14:textId="77777777" w:rsidR="0088429D" w:rsidRPr="0088429D" w:rsidRDefault="0088429D" w:rsidP="00F1796C">
            <w:pPr>
              <w:pStyle w:val="DHHSbody"/>
              <w:jc w:val="right"/>
            </w:pPr>
            <w:r w:rsidRPr="0088429D">
              <w:t>44%</w:t>
            </w:r>
          </w:p>
        </w:tc>
      </w:tr>
      <w:tr w:rsidR="0088429D" w:rsidRPr="0088429D" w14:paraId="7AB8576C" w14:textId="77777777" w:rsidTr="0088429D">
        <w:tc>
          <w:tcPr>
            <w:tcW w:w="3441" w:type="dxa"/>
            <w:shd w:val="clear" w:color="auto" w:fill="E7E6E6" w:themeFill="background2"/>
          </w:tcPr>
          <w:p w14:paraId="6D9976CF" w14:textId="77777777" w:rsidR="0088429D" w:rsidRPr="0088429D" w:rsidRDefault="0088429D" w:rsidP="0088429D">
            <w:pPr>
              <w:pStyle w:val="DHHSbody"/>
            </w:pPr>
            <w:r w:rsidRPr="0088429D">
              <w:t>Gender: male</w:t>
            </w:r>
          </w:p>
        </w:tc>
        <w:tc>
          <w:tcPr>
            <w:tcW w:w="1066" w:type="dxa"/>
            <w:shd w:val="clear" w:color="auto" w:fill="E7E6E6" w:themeFill="background2"/>
          </w:tcPr>
          <w:p w14:paraId="336FDB4F" w14:textId="77777777" w:rsidR="0088429D" w:rsidRPr="0088429D" w:rsidRDefault="0088429D" w:rsidP="00F1796C">
            <w:pPr>
              <w:pStyle w:val="DHHSbody"/>
              <w:jc w:val="right"/>
            </w:pPr>
            <w:r w:rsidRPr="0088429D">
              <w:t>9</w:t>
            </w:r>
          </w:p>
        </w:tc>
        <w:tc>
          <w:tcPr>
            <w:tcW w:w="1464" w:type="dxa"/>
            <w:shd w:val="clear" w:color="auto" w:fill="E7E6E6" w:themeFill="background2"/>
          </w:tcPr>
          <w:p w14:paraId="653D4621" w14:textId="77777777" w:rsidR="0088429D" w:rsidRPr="0088429D" w:rsidRDefault="0088429D" w:rsidP="00F1796C">
            <w:pPr>
              <w:pStyle w:val="DHHSbody"/>
              <w:jc w:val="right"/>
            </w:pPr>
            <w:r w:rsidRPr="0088429D">
              <w:t>50%</w:t>
            </w:r>
          </w:p>
        </w:tc>
      </w:tr>
      <w:tr w:rsidR="0088429D" w:rsidRPr="0088429D" w14:paraId="1CF2896C" w14:textId="77777777" w:rsidTr="0088429D">
        <w:tc>
          <w:tcPr>
            <w:tcW w:w="3441" w:type="dxa"/>
            <w:shd w:val="clear" w:color="auto" w:fill="E7E6E6" w:themeFill="background2"/>
          </w:tcPr>
          <w:p w14:paraId="0CFEB89B" w14:textId="77777777" w:rsidR="0088429D" w:rsidRPr="0088429D" w:rsidRDefault="0088429D" w:rsidP="0088429D">
            <w:pPr>
              <w:pStyle w:val="DHHSbody"/>
            </w:pPr>
            <w:r w:rsidRPr="0088429D">
              <w:t>Gender: female</w:t>
            </w:r>
          </w:p>
        </w:tc>
        <w:tc>
          <w:tcPr>
            <w:tcW w:w="1066" w:type="dxa"/>
            <w:shd w:val="clear" w:color="auto" w:fill="E7E6E6" w:themeFill="background2"/>
          </w:tcPr>
          <w:p w14:paraId="22FCDB37" w14:textId="77777777" w:rsidR="0088429D" w:rsidRPr="0088429D" w:rsidRDefault="0088429D" w:rsidP="00F1796C">
            <w:pPr>
              <w:pStyle w:val="DHHSbody"/>
              <w:jc w:val="right"/>
            </w:pPr>
            <w:r w:rsidRPr="0088429D">
              <w:t>9</w:t>
            </w:r>
          </w:p>
        </w:tc>
        <w:tc>
          <w:tcPr>
            <w:tcW w:w="1464" w:type="dxa"/>
            <w:shd w:val="clear" w:color="auto" w:fill="E7E6E6" w:themeFill="background2"/>
          </w:tcPr>
          <w:p w14:paraId="59729CB4" w14:textId="77777777" w:rsidR="0088429D" w:rsidRPr="0088429D" w:rsidRDefault="0088429D" w:rsidP="00F1796C">
            <w:pPr>
              <w:pStyle w:val="DHHSbody"/>
              <w:jc w:val="right"/>
            </w:pPr>
            <w:r w:rsidRPr="0088429D">
              <w:t>50%</w:t>
            </w:r>
          </w:p>
        </w:tc>
      </w:tr>
      <w:tr w:rsidR="0088429D" w:rsidRPr="0088429D" w14:paraId="65D1550C" w14:textId="77777777" w:rsidTr="0088429D">
        <w:tc>
          <w:tcPr>
            <w:tcW w:w="3441" w:type="dxa"/>
          </w:tcPr>
          <w:p w14:paraId="1F8EBA85" w14:textId="77777777" w:rsidR="0088429D" w:rsidRPr="0088429D" w:rsidRDefault="0088429D" w:rsidP="0088429D">
            <w:pPr>
              <w:pStyle w:val="DHHSbody"/>
            </w:pPr>
            <w:r w:rsidRPr="0088429D">
              <w:t>Implicated blood product: red cells</w:t>
            </w:r>
            <w:r w:rsidRPr="0088429D">
              <w:rPr>
                <w:vertAlign w:val="superscript"/>
              </w:rPr>
              <w:footnoteReference w:id="4"/>
            </w:r>
          </w:p>
        </w:tc>
        <w:tc>
          <w:tcPr>
            <w:tcW w:w="1066" w:type="dxa"/>
          </w:tcPr>
          <w:p w14:paraId="41964254" w14:textId="77777777" w:rsidR="0088429D" w:rsidRPr="0088429D" w:rsidRDefault="0088429D" w:rsidP="00F1796C">
            <w:pPr>
              <w:pStyle w:val="DHHSbody"/>
              <w:jc w:val="right"/>
            </w:pPr>
            <w:r w:rsidRPr="0088429D">
              <w:t>17</w:t>
            </w:r>
          </w:p>
        </w:tc>
        <w:tc>
          <w:tcPr>
            <w:tcW w:w="1464" w:type="dxa"/>
          </w:tcPr>
          <w:p w14:paraId="3C7B6B54" w14:textId="77777777" w:rsidR="0088429D" w:rsidRPr="0088429D" w:rsidRDefault="0088429D" w:rsidP="00F1796C">
            <w:pPr>
              <w:pStyle w:val="DHHSbody"/>
              <w:jc w:val="right"/>
            </w:pPr>
            <w:r w:rsidRPr="0088429D">
              <w:t>94%</w:t>
            </w:r>
          </w:p>
        </w:tc>
      </w:tr>
      <w:tr w:rsidR="0088429D" w:rsidRPr="0088429D" w14:paraId="0FC3A50A" w14:textId="77777777" w:rsidTr="0088429D">
        <w:tc>
          <w:tcPr>
            <w:tcW w:w="3441" w:type="dxa"/>
          </w:tcPr>
          <w:p w14:paraId="2AB89DE7" w14:textId="77777777" w:rsidR="0088429D" w:rsidRPr="0088429D" w:rsidRDefault="0088429D" w:rsidP="0088429D">
            <w:pPr>
              <w:pStyle w:val="DHHSbody"/>
            </w:pPr>
            <w:r w:rsidRPr="0088429D">
              <w:t>Implicated blood product: FFP</w:t>
            </w:r>
          </w:p>
        </w:tc>
        <w:tc>
          <w:tcPr>
            <w:tcW w:w="1066" w:type="dxa"/>
          </w:tcPr>
          <w:p w14:paraId="078E7A04" w14:textId="77777777" w:rsidR="0088429D" w:rsidRPr="0088429D" w:rsidRDefault="0088429D" w:rsidP="00F1796C">
            <w:pPr>
              <w:pStyle w:val="DHHSbody"/>
              <w:jc w:val="right"/>
            </w:pPr>
            <w:r w:rsidRPr="0088429D">
              <w:t>-</w:t>
            </w:r>
          </w:p>
        </w:tc>
        <w:tc>
          <w:tcPr>
            <w:tcW w:w="1464" w:type="dxa"/>
          </w:tcPr>
          <w:p w14:paraId="7FEBAFC9" w14:textId="77777777" w:rsidR="0088429D" w:rsidRPr="0088429D" w:rsidRDefault="0088429D" w:rsidP="00F1796C">
            <w:pPr>
              <w:pStyle w:val="DHHSbody"/>
              <w:jc w:val="right"/>
            </w:pPr>
            <w:r w:rsidRPr="0088429D">
              <w:t>-</w:t>
            </w:r>
          </w:p>
        </w:tc>
      </w:tr>
      <w:tr w:rsidR="0088429D" w:rsidRPr="0088429D" w14:paraId="6C25FD91" w14:textId="77777777" w:rsidTr="0088429D">
        <w:tc>
          <w:tcPr>
            <w:tcW w:w="3441" w:type="dxa"/>
          </w:tcPr>
          <w:p w14:paraId="5F9F1D37" w14:textId="77777777" w:rsidR="0088429D" w:rsidRPr="0088429D" w:rsidRDefault="0088429D" w:rsidP="0088429D">
            <w:pPr>
              <w:pStyle w:val="DHHSbody"/>
            </w:pPr>
            <w:r w:rsidRPr="0088429D">
              <w:t>Implicated blood product: platelets</w:t>
            </w:r>
          </w:p>
        </w:tc>
        <w:tc>
          <w:tcPr>
            <w:tcW w:w="1066" w:type="dxa"/>
          </w:tcPr>
          <w:p w14:paraId="7630A3BD" w14:textId="77777777" w:rsidR="0088429D" w:rsidRPr="0088429D" w:rsidRDefault="0088429D" w:rsidP="00F1796C">
            <w:pPr>
              <w:pStyle w:val="DHHSbody"/>
              <w:jc w:val="right"/>
            </w:pPr>
            <w:r w:rsidRPr="0088429D">
              <w:t>4</w:t>
            </w:r>
          </w:p>
        </w:tc>
        <w:tc>
          <w:tcPr>
            <w:tcW w:w="1464" w:type="dxa"/>
          </w:tcPr>
          <w:p w14:paraId="430684EB" w14:textId="77777777" w:rsidR="0088429D" w:rsidRPr="0088429D" w:rsidRDefault="0088429D" w:rsidP="00F1796C">
            <w:pPr>
              <w:pStyle w:val="DHHSbody"/>
              <w:jc w:val="right"/>
            </w:pPr>
            <w:r w:rsidRPr="0088429D">
              <w:t>22%</w:t>
            </w:r>
          </w:p>
        </w:tc>
      </w:tr>
    </w:tbl>
    <w:p w14:paraId="52C3516C" w14:textId="5B147C0E" w:rsidR="0088429D" w:rsidRPr="0088429D" w:rsidRDefault="0088429D" w:rsidP="0088429D">
      <w:pPr>
        <w:pStyle w:val="DHHStablecaption"/>
        <w:rPr>
          <w:rFonts w:eastAsia="Times"/>
        </w:rPr>
      </w:pPr>
      <w:r w:rsidRPr="0088429D">
        <w:rPr>
          <w:rFonts w:eastAsia="Times"/>
        </w:rPr>
        <w:t xml:space="preserve">Table </w:t>
      </w:r>
      <w:r w:rsidR="00FB0A81" w:rsidRPr="0088429D">
        <w:rPr>
          <w:rFonts w:eastAsia="Times"/>
        </w:rPr>
        <w:t>1</w:t>
      </w:r>
      <w:r w:rsidR="00FB0A81">
        <w:rPr>
          <w:rFonts w:eastAsia="Times"/>
        </w:rPr>
        <w:t>6</w:t>
      </w:r>
      <w:r w:rsidRPr="0088429D">
        <w:rPr>
          <w:rFonts w:eastAsia="Times"/>
        </w:rPr>
        <w:t xml:space="preserve">: Severity rating and </w:t>
      </w:r>
      <w:proofErr w:type="spellStart"/>
      <w:r w:rsidRPr="0088429D">
        <w:rPr>
          <w:rFonts w:eastAsia="Times"/>
        </w:rPr>
        <w:t>imputability</w:t>
      </w:r>
      <w:proofErr w:type="spellEnd"/>
      <w:r w:rsidRPr="0088429D">
        <w:rPr>
          <w:rFonts w:eastAsia="Times"/>
        </w:rPr>
        <w:t xml:space="preserve"> – TACO</w:t>
      </w:r>
    </w:p>
    <w:tbl>
      <w:tblPr>
        <w:tblStyle w:val="TableGrid"/>
        <w:tblW w:w="0" w:type="auto"/>
        <w:tblLook w:val="04A0" w:firstRow="1" w:lastRow="0" w:firstColumn="1" w:lastColumn="0" w:noHBand="0" w:noVBand="1"/>
      </w:tblPr>
      <w:tblGrid>
        <w:gridCol w:w="1803"/>
        <w:gridCol w:w="1803"/>
        <w:gridCol w:w="1917"/>
        <w:gridCol w:w="1803"/>
        <w:gridCol w:w="1804"/>
      </w:tblGrid>
      <w:tr w:rsidR="0088429D" w:rsidRPr="0088429D" w14:paraId="2B1C0C02" w14:textId="77777777" w:rsidTr="0088429D">
        <w:trPr>
          <w:tblHeader/>
        </w:trPr>
        <w:tc>
          <w:tcPr>
            <w:tcW w:w="1803" w:type="dxa"/>
          </w:tcPr>
          <w:p w14:paraId="2A1790F9" w14:textId="77777777" w:rsidR="0088429D" w:rsidRPr="0088429D" w:rsidRDefault="0088429D" w:rsidP="0088429D">
            <w:pPr>
              <w:pStyle w:val="DHHSbody"/>
              <w:rPr>
                <w:b/>
              </w:rPr>
            </w:pPr>
            <w:r w:rsidRPr="0088429D">
              <w:rPr>
                <w:b/>
              </w:rPr>
              <w:t>Severity rating</w:t>
            </w:r>
          </w:p>
        </w:tc>
        <w:tc>
          <w:tcPr>
            <w:tcW w:w="1803" w:type="dxa"/>
          </w:tcPr>
          <w:p w14:paraId="65217A25" w14:textId="77777777" w:rsidR="0088429D" w:rsidRPr="0088429D" w:rsidRDefault="0088429D" w:rsidP="0088429D">
            <w:pPr>
              <w:pStyle w:val="DHHSbody"/>
              <w:rPr>
                <w:b/>
              </w:rPr>
            </w:pPr>
            <w:proofErr w:type="spellStart"/>
            <w:r w:rsidRPr="0088429D">
              <w:rPr>
                <w:b/>
              </w:rPr>
              <w:t>Imputability</w:t>
            </w:r>
            <w:proofErr w:type="spellEnd"/>
            <w:r w:rsidRPr="0088429D">
              <w:rPr>
                <w:b/>
              </w:rPr>
              <w:t>: certainly</w:t>
            </w:r>
          </w:p>
        </w:tc>
        <w:tc>
          <w:tcPr>
            <w:tcW w:w="1917" w:type="dxa"/>
          </w:tcPr>
          <w:p w14:paraId="5057C78A" w14:textId="77777777" w:rsidR="0088429D" w:rsidRPr="0088429D" w:rsidRDefault="0088429D" w:rsidP="0088429D">
            <w:pPr>
              <w:pStyle w:val="DHHSbody"/>
              <w:rPr>
                <w:b/>
              </w:rPr>
            </w:pPr>
            <w:proofErr w:type="spellStart"/>
            <w:r w:rsidRPr="0088429D">
              <w:rPr>
                <w:b/>
              </w:rPr>
              <w:t>Imputability</w:t>
            </w:r>
            <w:proofErr w:type="spellEnd"/>
            <w:r w:rsidRPr="0088429D">
              <w:rPr>
                <w:b/>
              </w:rPr>
              <w:t>: probably</w:t>
            </w:r>
          </w:p>
        </w:tc>
        <w:tc>
          <w:tcPr>
            <w:tcW w:w="1803" w:type="dxa"/>
          </w:tcPr>
          <w:p w14:paraId="528EDAC3" w14:textId="77777777" w:rsidR="0088429D" w:rsidRPr="0088429D" w:rsidRDefault="0088429D" w:rsidP="0088429D">
            <w:pPr>
              <w:pStyle w:val="DHHSbody"/>
              <w:rPr>
                <w:b/>
              </w:rPr>
            </w:pPr>
            <w:proofErr w:type="spellStart"/>
            <w:r w:rsidRPr="0088429D">
              <w:rPr>
                <w:b/>
              </w:rPr>
              <w:t>Imputability</w:t>
            </w:r>
            <w:proofErr w:type="spellEnd"/>
            <w:r w:rsidRPr="0088429D">
              <w:rPr>
                <w:b/>
              </w:rPr>
              <w:t>: possibly</w:t>
            </w:r>
          </w:p>
        </w:tc>
        <w:tc>
          <w:tcPr>
            <w:tcW w:w="1804" w:type="dxa"/>
          </w:tcPr>
          <w:p w14:paraId="4D6B5EAE" w14:textId="77777777" w:rsidR="0088429D" w:rsidRPr="0088429D" w:rsidRDefault="0088429D" w:rsidP="0088429D">
            <w:pPr>
              <w:pStyle w:val="DHHSbody"/>
              <w:rPr>
                <w:b/>
              </w:rPr>
            </w:pPr>
            <w:r w:rsidRPr="0088429D">
              <w:rPr>
                <w:b/>
              </w:rPr>
              <w:t>Total</w:t>
            </w:r>
          </w:p>
        </w:tc>
      </w:tr>
      <w:tr w:rsidR="0088429D" w:rsidRPr="0088429D" w14:paraId="447A3633" w14:textId="77777777" w:rsidTr="0088429D">
        <w:tc>
          <w:tcPr>
            <w:tcW w:w="1803" w:type="dxa"/>
          </w:tcPr>
          <w:p w14:paraId="6E05778C" w14:textId="77777777" w:rsidR="0088429D" w:rsidRPr="0088429D" w:rsidRDefault="0088429D" w:rsidP="0088429D">
            <w:pPr>
              <w:pStyle w:val="DHHSbody"/>
            </w:pPr>
            <w:r w:rsidRPr="0088429D">
              <w:t>SR 1</w:t>
            </w:r>
          </w:p>
        </w:tc>
        <w:tc>
          <w:tcPr>
            <w:tcW w:w="1803" w:type="dxa"/>
          </w:tcPr>
          <w:p w14:paraId="62C8395B" w14:textId="77777777" w:rsidR="0088429D" w:rsidRPr="0088429D" w:rsidRDefault="0088429D" w:rsidP="00F1796C">
            <w:pPr>
              <w:pStyle w:val="DHHSbody"/>
              <w:jc w:val="right"/>
            </w:pPr>
            <w:r w:rsidRPr="0088429D">
              <w:t>-</w:t>
            </w:r>
          </w:p>
        </w:tc>
        <w:tc>
          <w:tcPr>
            <w:tcW w:w="1917" w:type="dxa"/>
          </w:tcPr>
          <w:p w14:paraId="364D4FDF" w14:textId="77777777" w:rsidR="0088429D" w:rsidRPr="0088429D" w:rsidRDefault="0088429D" w:rsidP="00F1796C">
            <w:pPr>
              <w:pStyle w:val="DHHSbody"/>
              <w:jc w:val="right"/>
            </w:pPr>
            <w:r w:rsidRPr="0088429D">
              <w:t>-</w:t>
            </w:r>
          </w:p>
        </w:tc>
        <w:tc>
          <w:tcPr>
            <w:tcW w:w="1803" w:type="dxa"/>
          </w:tcPr>
          <w:p w14:paraId="4EFDE27F" w14:textId="77777777" w:rsidR="0088429D" w:rsidRPr="0088429D" w:rsidRDefault="0088429D" w:rsidP="00F1796C">
            <w:pPr>
              <w:pStyle w:val="DHHSbody"/>
              <w:jc w:val="right"/>
            </w:pPr>
            <w:r w:rsidRPr="0088429D">
              <w:t>-</w:t>
            </w:r>
          </w:p>
        </w:tc>
        <w:tc>
          <w:tcPr>
            <w:tcW w:w="1804" w:type="dxa"/>
          </w:tcPr>
          <w:p w14:paraId="7CE6FCB9" w14:textId="77777777" w:rsidR="0088429D" w:rsidRPr="0088429D" w:rsidRDefault="0088429D" w:rsidP="00F1796C">
            <w:pPr>
              <w:pStyle w:val="DHHSbody"/>
              <w:jc w:val="right"/>
            </w:pPr>
            <w:r w:rsidRPr="0088429D">
              <w:t>-</w:t>
            </w:r>
          </w:p>
        </w:tc>
      </w:tr>
      <w:tr w:rsidR="0088429D" w:rsidRPr="0088429D" w14:paraId="5641C025" w14:textId="77777777" w:rsidTr="0088429D">
        <w:tc>
          <w:tcPr>
            <w:tcW w:w="1803" w:type="dxa"/>
          </w:tcPr>
          <w:p w14:paraId="1F7E1912" w14:textId="77777777" w:rsidR="0088429D" w:rsidRPr="0088429D" w:rsidRDefault="0088429D" w:rsidP="0088429D">
            <w:pPr>
              <w:pStyle w:val="DHHSbody"/>
            </w:pPr>
            <w:r w:rsidRPr="0088429D">
              <w:t>SR 2</w:t>
            </w:r>
          </w:p>
        </w:tc>
        <w:tc>
          <w:tcPr>
            <w:tcW w:w="1803" w:type="dxa"/>
          </w:tcPr>
          <w:p w14:paraId="43949983" w14:textId="77777777" w:rsidR="0088429D" w:rsidRPr="0088429D" w:rsidRDefault="0088429D" w:rsidP="00F1796C">
            <w:pPr>
              <w:pStyle w:val="DHHSbody"/>
              <w:jc w:val="right"/>
            </w:pPr>
            <w:r w:rsidRPr="0088429D">
              <w:t>1 (6%)</w:t>
            </w:r>
          </w:p>
        </w:tc>
        <w:tc>
          <w:tcPr>
            <w:tcW w:w="1917" w:type="dxa"/>
          </w:tcPr>
          <w:p w14:paraId="36D2057D" w14:textId="77777777" w:rsidR="0088429D" w:rsidRPr="0088429D" w:rsidRDefault="0088429D" w:rsidP="00F1796C">
            <w:pPr>
              <w:pStyle w:val="DHHSbody"/>
              <w:jc w:val="right"/>
            </w:pPr>
            <w:r w:rsidRPr="0088429D">
              <w:t>5 (28%)</w:t>
            </w:r>
          </w:p>
        </w:tc>
        <w:tc>
          <w:tcPr>
            <w:tcW w:w="1803" w:type="dxa"/>
          </w:tcPr>
          <w:p w14:paraId="32297084" w14:textId="77777777" w:rsidR="0088429D" w:rsidRPr="0088429D" w:rsidRDefault="0088429D" w:rsidP="00F1796C">
            <w:pPr>
              <w:pStyle w:val="DHHSbody"/>
              <w:jc w:val="right"/>
            </w:pPr>
            <w:r w:rsidRPr="0088429D">
              <w:t>3 (17%)</w:t>
            </w:r>
          </w:p>
        </w:tc>
        <w:tc>
          <w:tcPr>
            <w:tcW w:w="1804" w:type="dxa"/>
          </w:tcPr>
          <w:p w14:paraId="7ACE4533" w14:textId="77777777" w:rsidR="0088429D" w:rsidRPr="0088429D" w:rsidRDefault="0088429D" w:rsidP="00F1796C">
            <w:pPr>
              <w:pStyle w:val="DHHSbody"/>
              <w:jc w:val="right"/>
              <w:rPr>
                <w:b/>
              </w:rPr>
            </w:pPr>
            <w:r w:rsidRPr="0088429D">
              <w:rPr>
                <w:b/>
              </w:rPr>
              <w:t>9 (50%)</w:t>
            </w:r>
          </w:p>
        </w:tc>
      </w:tr>
      <w:tr w:rsidR="0088429D" w:rsidRPr="0088429D" w14:paraId="4F1D92CA" w14:textId="77777777" w:rsidTr="0088429D">
        <w:tc>
          <w:tcPr>
            <w:tcW w:w="1803" w:type="dxa"/>
          </w:tcPr>
          <w:p w14:paraId="337526C8" w14:textId="77777777" w:rsidR="0088429D" w:rsidRPr="0088429D" w:rsidRDefault="0088429D" w:rsidP="0088429D">
            <w:pPr>
              <w:pStyle w:val="DHHSbody"/>
            </w:pPr>
            <w:r w:rsidRPr="0088429D">
              <w:t>SR 3</w:t>
            </w:r>
          </w:p>
        </w:tc>
        <w:tc>
          <w:tcPr>
            <w:tcW w:w="1803" w:type="dxa"/>
          </w:tcPr>
          <w:p w14:paraId="305D8A3E" w14:textId="77777777" w:rsidR="0088429D" w:rsidRPr="0088429D" w:rsidRDefault="0088429D" w:rsidP="00F1796C">
            <w:pPr>
              <w:pStyle w:val="DHHSbody"/>
              <w:jc w:val="right"/>
            </w:pPr>
          </w:p>
        </w:tc>
        <w:tc>
          <w:tcPr>
            <w:tcW w:w="1917" w:type="dxa"/>
          </w:tcPr>
          <w:p w14:paraId="0F8D4039" w14:textId="77777777" w:rsidR="0088429D" w:rsidRPr="0088429D" w:rsidRDefault="0088429D" w:rsidP="00F1796C">
            <w:pPr>
              <w:pStyle w:val="DHHSbody"/>
              <w:jc w:val="right"/>
            </w:pPr>
            <w:r w:rsidRPr="0088429D">
              <w:t>3 (17%)</w:t>
            </w:r>
          </w:p>
        </w:tc>
        <w:tc>
          <w:tcPr>
            <w:tcW w:w="1803" w:type="dxa"/>
          </w:tcPr>
          <w:p w14:paraId="38E57A10" w14:textId="77777777" w:rsidR="0088429D" w:rsidRPr="0088429D" w:rsidRDefault="0088429D" w:rsidP="00F1796C">
            <w:pPr>
              <w:pStyle w:val="DHHSbody"/>
              <w:jc w:val="right"/>
            </w:pPr>
            <w:r w:rsidRPr="0088429D">
              <w:t>5 (28%)</w:t>
            </w:r>
          </w:p>
        </w:tc>
        <w:tc>
          <w:tcPr>
            <w:tcW w:w="1804" w:type="dxa"/>
          </w:tcPr>
          <w:p w14:paraId="568889DC" w14:textId="77777777" w:rsidR="0088429D" w:rsidRPr="0088429D" w:rsidRDefault="0088429D" w:rsidP="00F1796C">
            <w:pPr>
              <w:pStyle w:val="DHHSbody"/>
              <w:jc w:val="right"/>
              <w:rPr>
                <w:b/>
              </w:rPr>
            </w:pPr>
            <w:r w:rsidRPr="0088429D">
              <w:rPr>
                <w:b/>
              </w:rPr>
              <w:t>8 (44%)</w:t>
            </w:r>
          </w:p>
        </w:tc>
      </w:tr>
      <w:tr w:rsidR="0088429D" w:rsidRPr="0088429D" w14:paraId="2C38691B" w14:textId="77777777" w:rsidTr="0088429D">
        <w:tc>
          <w:tcPr>
            <w:tcW w:w="1803" w:type="dxa"/>
          </w:tcPr>
          <w:p w14:paraId="3C952F5E" w14:textId="77777777" w:rsidR="0088429D" w:rsidRPr="0088429D" w:rsidRDefault="0088429D" w:rsidP="0088429D">
            <w:pPr>
              <w:pStyle w:val="DHHSbody"/>
            </w:pPr>
            <w:r w:rsidRPr="0088429D">
              <w:t>SR 4</w:t>
            </w:r>
          </w:p>
        </w:tc>
        <w:tc>
          <w:tcPr>
            <w:tcW w:w="1803" w:type="dxa"/>
          </w:tcPr>
          <w:p w14:paraId="4246F6C6" w14:textId="77777777" w:rsidR="0088429D" w:rsidRPr="0088429D" w:rsidRDefault="0088429D" w:rsidP="00F1796C">
            <w:pPr>
              <w:pStyle w:val="DHHSbody"/>
              <w:jc w:val="right"/>
            </w:pPr>
          </w:p>
        </w:tc>
        <w:tc>
          <w:tcPr>
            <w:tcW w:w="1917" w:type="dxa"/>
          </w:tcPr>
          <w:p w14:paraId="3775EAAA" w14:textId="77777777" w:rsidR="0088429D" w:rsidRPr="0088429D" w:rsidRDefault="0088429D" w:rsidP="00F1796C">
            <w:pPr>
              <w:pStyle w:val="DHHSbody"/>
              <w:jc w:val="right"/>
            </w:pPr>
          </w:p>
        </w:tc>
        <w:tc>
          <w:tcPr>
            <w:tcW w:w="1803" w:type="dxa"/>
          </w:tcPr>
          <w:p w14:paraId="41B84257" w14:textId="77777777" w:rsidR="0088429D" w:rsidRPr="0088429D" w:rsidRDefault="0088429D" w:rsidP="00F1796C">
            <w:pPr>
              <w:pStyle w:val="DHHSbody"/>
              <w:jc w:val="right"/>
            </w:pPr>
            <w:r w:rsidRPr="0088429D">
              <w:t>1 (6%)</w:t>
            </w:r>
          </w:p>
        </w:tc>
        <w:tc>
          <w:tcPr>
            <w:tcW w:w="1804" w:type="dxa"/>
          </w:tcPr>
          <w:p w14:paraId="54D5E17D" w14:textId="77777777" w:rsidR="0088429D" w:rsidRPr="0088429D" w:rsidRDefault="0088429D" w:rsidP="00F1796C">
            <w:pPr>
              <w:pStyle w:val="DHHSbody"/>
              <w:jc w:val="right"/>
              <w:rPr>
                <w:b/>
              </w:rPr>
            </w:pPr>
            <w:r w:rsidRPr="0088429D">
              <w:rPr>
                <w:b/>
              </w:rPr>
              <w:t>1 (6%)</w:t>
            </w:r>
          </w:p>
        </w:tc>
      </w:tr>
      <w:tr w:rsidR="0088429D" w:rsidRPr="0088429D" w14:paraId="1F1FFF9B" w14:textId="77777777" w:rsidTr="0088429D">
        <w:tc>
          <w:tcPr>
            <w:tcW w:w="1803" w:type="dxa"/>
          </w:tcPr>
          <w:p w14:paraId="0B24EB7B" w14:textId="77777777" w:rsidR="0088429D" w:rsidRPr="0088429D" w:rsidRDefault="0088429D" w:rsidP="0088429D">
            <w:pPr>
              <w:pStyle w:val="DHHSbody"/>
              <w:rPr>
                <w:b/>
              </w:rPr>
            </w:pPr>
            <w:r w:rsidRPr="0088429D">
              <w:rPr>
                <w:b/>
              </w:rPr>
              <w:t>Total</w:t>
            </w:r>
          </w:p>
        </w:tc>
        <w:tc>
          <w:tcPr>
            <w:tcW w:w="1803" w:type="dxa"/>
          </w:tcPr>
          <w:p w14:paraId="226A89C7" w14:textId="77777777" w:rsidR="0088429D" w:rsidRPr="0088429D" w:rsidRDefault="0088429D" w:rsidP="00F1796C">
            <w:pPr>
              <w:pStyle w:val="DHHSbody"/>
              <w:jc w:val="right"/>
              <w:rPr>
                <w:b/>
              </w:rPr>
            </w:pPr>
            <w:r w:rsidRPr="0088429D">
              <w:rPr>
                <w:b/>
              </w:rPr>
              <w:t>1 (6%)</w:t>
            </w:r>
          </w:p>
        </w:tc>
        <w:tc>
          <w:tcPr>
            <w:tcW w:w="1917" w:type="dxa"/>
          </w:tcPr>
          <w:p w14:paraId="6C3464B1" w14:textId="77777777" w:rsidR="0088429D" w:rsidRPr="0088429D" w:rsidRDefault="0088429D" w:rsidP="00F1796C">
            <w:pPr>
              <w:pStyle w:val="DHHSbody"/>
              <w:jc w:val="right"/>
              <w:rPr>
                <w:b/>
              </w:rPr>
            </w:pPr>
            <w:r w:rsidRPr="0088429D">
              <w:rPr>
                <w:b/>
              </w:rPr>
              <w:t>8 (44%)</w:t>
            </w:r>
          </w:p>
        </w:tc>
        <w:tc>
          <w:tcPr>
            <w:tcW w:w="1803" w:type="dxa"/>
          </w:tcPr>
          <w:p w14:paraId="3107CC7E" w14:textId="77777777" w:rsidR="0088429D" w:rsidRPr="0088429D" w:rsidRDefault="0088429D" w:rsidP="00F1796C">
            <w:pPr>
              <w:pStyle w:val="DHHSbody"/>
              <w:jc w:val="right"/>
              <w:rPr>
                <w:b/>
              </w:rPr>
            </w:pPr>
            <w:r w:rsidRPr="0088429D">
              <w:rPr>
                <w:b/>
              </w:rPr>
              <w:t>9 (50%)</w:t>
            </w:r>
          </w:p>
        </w:tc>
        <w:tc>
          <w:tcPr>
            <w:tcW w:w="1804" w:type="dxa"/>
          </w:tcPr>
          <w:p w14:paraId="133CD0B9" w14:textId="77777777" w:rsidR="0088429D" w:rsidRPr="0088429D" w:rsidRDefault="0088429D" w:rsidP="00F1796C">
            <w:pPr>
              <w:pStyle w:val="DHHSbody"/>
              <w:jc w:val="right"/>
              <w:rPr>
                <w:b/>
              </w:rPr>
            </w:pPr>
            <w:r w:rsidRPr="0088429D">
              <w:rPr>
                <w:b/>
              </w:rPr>
              <w:t>18 (100%)</w:t>
            </w:r>
          </w:p>
        </w:tc>
      </w:tr>
    </w:tbl>
    <w:p w14:paraId="21CA4704" w14:textId="3BE7F8B5" w:rsidR="0088429D" w:rsidRPr="0088429D" w:rsidRDefault="0088429D" w:rsidP="00F1796C">
      <w:pPr>
        <w:pStyle w:val="DHHSbodyaftertablefigure"/>
      </w:pPr>
      <w:r w:rsidRPr="0088429D">
        <w:t>TACO continues to occur regularly, with the majority of reports to STIR occurring in those over the age of 50. The differential diagnosis of TACO includes transfusion-related acute lung injury, septic transfusion reaction and acute haemolytic transfusion reaction.</w:t>
      </w:r>
    </w:p>
    <w:p w14:paraId="68131AED" w14:textId="77777777" w:rsidR="0088429D" w:rsidRPr="0088429D" w:rsidRDefault="0088429D" w:rsidP="00810F57">
      <w:pPr>
        <w:pStyle w:val="Heading3"/>
      </w:pPr>
      <w:r w:rsidRPr="0088429D">
        <w:t>Case study 4: TACO in patient with risk factors</w:t>
      </w:r>
    </w:p>
    <w:p w14:paraId="3FFCD1F6" w14:textId="4646F58F" w:rsidR="0088429D" w:rsidRPr="0088429D" w:rsidRDefault="0088429D" w:rsidP="0088429D">
      <w:pPr>
        <w:pStyle w:val="DHHSbody"/>
      </w:pPr>
      <w:r w:rsidRPr="0088429D">
        <w:t>An 82</w:t>
      </w:r>
      <w:r w:rsidR="003C7C0D">
        <w:t>-</w:t>
      </w:r>
      <w:r w:rsidRPr="0088429D">
        <w:t>year</w:t>
      </w:r>
      <w:r w:rsidR="003C7C0D">
        <w:t>-</w:t>
      </w:r>
      <w:r w:rsidRPr="0088429D">
        <w:t xml:space="preserve">old woman admitted with infective exacerbation of asthma and community-acquired pneumonia required a transfusion for symptomatic anaemia with </w:t>
      </w:r>
      <w:proofErr w:type="spellStart"/>
      <w:r w:rsidRPr="0088429D">
        <w:t>Hb</w:t>
      </w:r>
      <w:proofErr w:type="spellEnd"/>
      <w:r w:rsidRPr="0088429D">
        <w:t xml:space="preserve"> 79g/L on day of admission. She had a history of ischaemic heart disease with cardiac stents, a previous non-ST elevation myocardial infarction, and an ejection fraction of 40 per cent</w:t>
      </w:r>
      <w:r w:rsidR="003C7C0D">
        <w:t>.</w:t>
      </w:r>
      <w:r w:rsidR="003C7C0D" w:rsidRPr="0088429D">
        <w:t xml:space="preserve"> </w:t>
      </w:r>
      <w:r w:rsidR="003C7C0D">
        <w:t>S</w:t>
      </w:r>
      <w:r w:rsidR="003C7C0D" w:rsidRPr="0088429D">
        <w:t xml:space="preserve">he </w:t>
      </w:r>
      <w:r w:rsidRPr="0088429D">
        <w:t>was taking regular diuretics.</w:t>
      </w:r>
    </w:p>
    <w:p w14:paraId="610F985E" w14:textId="6A023091" w:rsidR="0088429D" w:rsidRPr="0088429D" w:rsidRDefault="003C7C0D" w:rsidP="0088429D">
      <w:pPr>
        <w:pStyle w:val="DHHSbody"/>
      </w:pPr>
      <w:r w:rsidRPr="0088429D">
        <w:t>Whil</w:t>
      </w:r>
      <w:r>
        <w:t>e</w:t>
      </w:r>
      <w:r w:rsidRPr="0088429D">
        <w:t xml:space="preserve"> </w:t>
      </w:r>
      <w:r w:rsidR="0088429D" w:rsidRPr="0088429D">
        <w:t>receiving the second of two units of red cells (the second unit run over approximately three hours), she developed dyspnoea/difficulty breathing, reduced oxygen saturation, tachycardia and hypertension. Fluid balance was unknown, the patient weighed 74</w:t>
      </w:r>
      <w:r>
        <w:t> </w:t>
      </w:r>
      <w:r w:rsidR="0088429D" w:rsidRPr="0088429D">
        <w:t>kg.</w:t>
      </w:r>
    </w:p>
    <w:p w14:paraId="2E552B5C" w14:textId="47508E41" w:rsidR="0088429D" w:rsidRPr="0088429D" w:rsidRDefault="0088429D" w:rsidP="0088429D">
      <w:pPr>
        <w:pStyle w:val="DHHSbody"/>
      </w:pPr>
      <w:r w:rsidRPr="0088429D">
        <w:lastRenderedPageBreak/>
        <w:t>She was treated with oxygen and assisted ventilation, diuretics and morphine. She also received paracetamol for an elevated temperature (38.5</w:t>
      </w:r>
      <w:r w:rsidR="003C7C0D" w:rsidRPr="00D65083">
        <w:t>°</w:t>
      </w:r>
      <w:r w:rsidR="003C7C0D">
        <w:rPr>
          <w:vertAlign w:val="superscript"/>
        </w:rPr>
        <w:t xml:space="preserve"> </w:t>
      </w:r>
      <w:r w:rsidRPr="0088429D">
        <w:t xml:space="preserve">C). Chest </w:t>
      </w:r>
      <w:r w:rsidR="003C7C0D">
        <w:t>X</w:t>
      </w:r>
      <w:r w:rsidRPr="0088429D">
        <w:t xml:space="preserve">-ray showed increased basal opacity/atelectasis, hazy </w:t>
      </w:r>
      <w:proofErr w:type="spellStart"/>
      <w:r w:rsidRPr="0088429D">
        <w:t>perihilar</w:t>
      </w:r>
      <w:proofErr w:type="spellEnd"/>
      <w:r w:rsidRPr="0088429D">
        <w:t xml:space="preserve"> infiltrates consistent with </w:t>
      </w:r>
      <w:r w:rsidR="005A120A">
        <w:t xml:space="preserve">fluid </w:t>
      </w:r>
      <w:r w:rsidRPr="0088429D">
        <w:t>retention /</w:t>
      </w:r>
      <w:r w:rsidR="003C7C0D">
        <w:t xml:space="preserve"> </w:t>
      </w:r>
      <w:r w:rsidRPr="0088429D">
        <w:t>heart failure. She was transferred to ICU.</w:t>
      </w:r>
    </w:p>
    <w:p w14:paraId="146D40C4" w14:textId="77777777" w:rsidR="0088429D" w:rsidRPr="0088429D" w:rsidRDefault="0088429D" w:rsidP="0088429D">
      <w:pPr>
        <w:pStyle w:val="DHHSbody"/>
      </w:pPr>
      <w:r w:rsidRPr="0088429D">
        <w:t>(STIR Expert review: TACO, probably, SR2)</w:t>
      </w:r>
    </w:p>
    <w:p w14:paraId="759E3753" w14:textId="77777777" w:rsidR="003C7C0D" w:rsidRDefault="0088429D" w:rsidP="0088429D">
      <w:pPr>
        <w:pStyle w:val="DHHSbody"/>
      </w:pPr>
      <w:r w:rsidRPr="0088429D">
        <w:t>The reviewer commented</w:t>
      </w:r>
      <w:r w:rsidR="003C7C0D">
        <w:t xml:space="preserve">: </w:t>
      </w:r>
    </w:p>
    <w:p w14:paraId="3E5A5899" w14:textId="37D7F589" w:rsidR="0088429D" w:rsidRPr="0088429D" w:rsidRDefault="0088429D" w:rsidP="00F1796C">
      <w:pPr>
        <w:pStyle w:val="DHHSquote"/>
      </w:pPr>
      <w:r w:rsidRPr="0088429D">
        <w:t xml:space="preserve">‘Deterioration occurred same day as admission </w:t>
      </w:r>
      <w:r w:rsidR="003C7C0D">
        <w:t>–</w:t>
      </w:r>
      <w:r w:rsidR="003C7C0D" w:rsidRPr="0088429D">
        <w:t xml:space="preserve"> </w:t>
      </w:r>
      <w:r w:rsidRPr="0088429D">
        <w:t xml:space="preserve">possible normal progression of admission diagnosis (community-acquired pneumonia). </w:t>
      </w:r>
      <w:r w:rsidRPr="003C7C0D">
        <w:t>Two</w:t>
      </w:r>
      <w:r w:rsidRPr="0088429D">
        <w:t xml:space="preserve"> units prescribed/transfused, patient with multiple TACO risk factors. Patient review post first unit may have abrogated need for second unit and/or prompted intervention (e.g. diuretics) that may have reduced risk of transfusion reaction.’</w:t>
      </w:r>
    </w:p>
    <w:p w14:paraId="2B05C4AB" w14:textId="72F3556B" w:rsidR="0088429D" w:rsidRPr="0088429D" w:rsidRDefault="0088429D" w:rsidP="00F1796C">
      <w:pPr>
        <w:pStyle w:val="Heading4"/>
      </w:pPr>
      <w:r w:rsidRPr="0088429D">
        <w:t>Comment</w:t>
      </w:r>
    </w:p>
    <w:p w14:paraId="17569ADB" w14:textId="14B558C1" w:rsidR="0088429D" w:rsidRPr="0088429D" w:rsidRDefault="0088429D" w:rsidP="0088429D">
      <w:pPr>
        <w:pStyle w:val="DHHSbody"/>
      </w:pPr>
      <w:r w:rsidRPr="0088429D">
        <w:t xml:space="preserve">Review between units looking at both the risk of fluid overload and the need for further transfusion is important, particularly in situations where there are risk factors for TACO. A slow transfusion rate, as in this case, is helpful but not the entire answer </w:t>
      </w:r>
      <w:r w:rsidR="003C7C0D">
        <w:t>to</w:t>
      </w:r>
      <w:r w:rsidR="003C7C0D" w:rsidRPr="0088429D">
        <w:t xml:space="preserve"> reduc</w:t>
      </w:r>
      <w:r w:rsidR="003C7C0D">
        <w:t>e</w:t>
      </w:r>
      <w:r w:rsidR="003C7C0D" w:rsidRPr="0088429D">
        <w:t xml:space="preserve"> </w:t>
      </w:r>
      <w:r w:rsidRPr="0088429D">
        <w:t>the risk of overload.</w:t>
      </w:r>
    </w:p>
    <w:p w14:paraId="707F8904" w14:textId="77777777" w:rsidR="0088429D" w:rsidRPr="0088429D" w:rsidRDefault="0088429D" w:rsidP="0088429D">
      <w:pPr>
        <w:pStyle w:val="Heading2"/>
        <w:rPr>
          <w:rFonts w:eastAsia="Times"/>
        </w:rPr>
      </w:pPr>
      <w:bookmarkStart w:id="19" w:name="_Toc46304648"/>
      <w:r w:rsidRPr="0088429D">
        <w:rPr>
          <w:rFonts w:eastAsia="Times"/>
        </w:rPr>
        <w:t>Transfusion related acute lung injury (TRALI)</w:t>
      </w:r>
      <w:bookmarkEnd w:id="19"/>
    </w:p>
    <w:p w14:paraId="67B846E7" w14:textId="77777777" w:rsidR="0088429D" w:rsidRPr="0088429D" w:rsidRDefault="0088429D" w:rsidP="0088429D">
      <w:pPr>
        <w:pStyle w:val="DHHSbody"/>
      </w:pPr>
      <w:r w:rsidRPr="0088429D">
        <w:t>During FY19, three potential cases of TRALI were reported; however, none were validated as TRALI by the STIR Expert Group.</w:t>
      </w:r>
    </w:p>
    <w:p w14:paraId="2384EDDA" w14:textId="36F7570D" w:rsidR="0088429D" w:rsidRPr="0088429D" w:rsidRDefault="0088429D" w:rsidP="0088429D">
      <w:pPr>
        <w:pStyle w:val="DHHSbody"/>
      </w:pPr>
      <w:r w:rsidRPr="0088429D">
        <w:t>As noted in validation and reconciliation, a number of TRALI events were reported both to Lifeblood and to STIR. None of those reported to STIR were validated as TRALI by either STIR or Lifeblood. There was one report to Lifeblood that was determined to be TRALI,</w:t>
      </w:r>
      <w:r w:rsidR="003C7C0D">
        <w:t xml:space="preserve"> but</w:t>
      </w:r>
      <w:r w:rsidRPr="0088429D">
        <w:t xml:space="preserve"> we cannot report this as a case study as it was not reported to STIR.</w:t>
      </w:r>
    </w:p>
    <w:p w14:paraId="3DA5872F" w14:textId="08A66E6F" w:rsidR="0088429D" w:rsidRPr="0088429D" w:rsidRDefault="0088429D" w:rsidP="0088429D">
      <w:pPr>
        <w:pStyle w:val="DHHSbody"/>
      </w:pPr>
      <w:r w:rsidRPr="0088429D">
        <w:t xml:space="preserve">Figure </w:t>
      </w:r>
      <w:r w:rsidR="004B094B">
        <w:t>4</w:t>
      </w:r>
      <w:r w:rsidR="00006922" w:rsidRPr="0088429D">
        <w:t xml:space="preserve"> </w:t>
      </w:r>
      <w:r w:rsidRPr="0088429D">
        <w:t>shows that the number of validated TRALI reports to STIR is very small. We encourage health services to report to Lifeblood in the first instance, to ensure appropriate quarantine of associated products and follow up of donors to prevent further clinical reactions.</w:t>
      </w:r>
    </w:p>
    <w:p w14:paraId="123FD864" w14:textId="5AF5F16E" w:rsidR="0088429D" w:rsidRPr="0088429D" w:rsidRDefault="0088429D" w:rsidP="0088429D">
      <w:pPr>
        <w:pStyle w:val="DHHStablecaption"/>
        <w:rPr>
          <w:rFonts w:eastAsia="Times"/>
        </w:rPr>
      </w:pPr>
      <w:r w:rsidRPr="0088429D">
        <w:rPr>
          <w:rFonts w:eastAsia="Times"/>
        </w:rPr>
        <w:t xml:space="preserve">Figure </w:t>
      </w:r>
      <w:r w:rsidR="004B094B">
        <w:rPr>
          <w:rFonts w:eastAsia="Times"/>
        </w:rPr>
        <w:t>4</w:t>
      </w:r>
      <w:r w:rsidRPr="0088429D">
        <w:rPr>
          <w:rFonts w:eastAsia="Times"/>
        </w:rPr>
        <w:t>: Validated TRALI reactions repor</w:t>
      </w:r>
      <w:r>
        <w:rPr>
          <w:rFonts w:eastAsia="Times"/>
        </w:rPr>
        <w:t>ted to STIR</w:t>
      </w:r>
      <w:r w:rsidR="003C7C0D">
        <w:rPr>
          <w:rFonts w:eastAsia="Times"/>
        </w:rPr>
        <w:t xml:space="preserve"> </w:t>
      </w:r>
      <w:r w:rsidRPr="0088429D">
        <w:rPr>
          <w:rFonts w:eastAsia="Times"/>
        </w:rPr>
        <w:t>–</w:t>
      </w:r>
      <w:r w:rsidR="003C7C0D">
        <w:rPr>
          <w:rFonts w:eastAsia="Times"/>
        </w:rPr>
        <w:t xml:space="preserve"> </w:t>
      </w:r>
      <w:r w:rsidRPr="0088429D">
        <w:rPr>
          <w:rFonts w:eastAsia="Times"/>
        </w:rPr>
        <w:t>FY06–FY19</w:t>
      </w:r>
    </w:p>
    <w:p w14:paraId="365D1E4A" w14:textId="67D756E6" w:rsidR="0088429D" w:rsidRPr="0088429D" w:rsidRDefault="004B094B" w:rsidP="0088429D">
      <w:pPr>
        <w:pStyle w:val="DHHSbody"/>
      </w:pPr>
      <w:r>
        <w:rPr>
          <w:noProof/>
          <w:lang w:eastAsia="en-AU"/>
        </w:rPr>
        <w:drawing>
          <wp:inline distT="0" distB="0" distL="0" distR="0" wp14:anchorId="4B2D9D2E" wp14:editId="5733D507">
            <wp:extent cx="4572000" cy="2654300"/>
            <wp:effectExtent l="0" t="0" r="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1F5B80" w14:textId="77777777" w:rsidR="0088429D" w:rsidRPr="0088429D" w:rsidRDefault="0088429D" w:rsidP="005B6D53">
      <w:pPr>
        <w:pStyle w:val="Heading2"/>
      </w:pPr>
      <w:bookmarkStart w:id="20" w:name="_Toc46304649"/>
      <w:r w:rsidRPr="0088429D">
        <w:t>Transfusion associated dyspnoea (TAD)</w:t>
      </w:r>
      <w:bookmarkEnd w:id="20"/>
    </w:p>
    <w:p w14:paraId="010628E0" w14:textId="77777777" w:rsidR="0088429D" w:rsidRPr="0088429D" w:rsidRDefault="0088429D" w:rsidP="0088429D">
      <w:pPr>
        <w:pStyle w:val="DHHSbody"/>
      </w:pPr>
      <w:r w:rsidRPr="0088429D">
        <w:t>During FY19, three TAD were reported, with none validated as TAD. All events were reclassified following expert review as TACO.</w:t>
      </w:r>
    </w:p>
    <w:p w14:paraId="71FE0335" w14:textId="77777777" w:rsidR="0088429D" w:rsidRPr="0088429D" w:rsidRDefault="0088429D" w:rsidP="005B6D53">
      <w:pPr>
        <w:pStyle w:val="Heading2"/>
      </w:pPr>
      <w:bookmarkStart w:id="21" w:name="_Toc46304650"/>
      <w:r w:rsidRPr="0088429D">
        <w:lastRenderedPageBreak/>
        <w:t>Transfusion associated graft vs host disease (TAGVHD)</w:t>
      </w:r>
      <w:bookmarkEnd w:id="21"/>
    </w:p>
    <w:p w14:paraId="38CE0649" w14:textId="5BC2A5D3" w:rsidR="0088429D" w:rsidRPr="0088429D" w:rsidRDefault="0088429D" w:rsidP="0088429D">
      <w:pPr>
        <w:pStyle w:val="DHHSbody"/>
      </w:pPr>
      <w:r w:rsidRPr="0088429D">
        <w:t xml:space="preserve">There </w:t>
      </w:r>
      <w:r w:rsidR="003C7C0D">
        <w:t>were</w:t>
      </w:r>
      <w:r w:rsidRPr="0088429D">
        <w:t xml:space="preserve"> no reports of TAGVHD in FY19. This is a rare complication of transfusion and the use of irradiation of products for those patients we know to be at risk ensures this remains the case.</w:t>
      </w:r>
    </w:p>
    <w:p w14:paraId="262E52A7" w14:textId="77777777" w:rsidR="0088429D" w:rsidRPr="0088429D" w:rsidRDefault="0088429D" w:rsidP="005B6D53">
      <w:pPr>
        <w:pStyle w:val="Heading2"/>
      </w:pPr>
      <w:bookmarkStart w:id="22" w:name="_Toc46304651"/>
      <w:r w:rsidRPr="0088429D">
        <w:t>Post-transfusion purpura (PTP)</w:t>
      </w:r>
      <w:bookmarkEnd w:id="22"/>
    </w:p>
    <w:p w14:paraId="5A258BC9" w14:textId="77777777" w:rsidR="0088429D" w:rsidRPr="0088429D" w:rsidRDefault="0088429D" w:rsidP="0088429D">
      <w:pPr>
        <w:pStyle w:val="DHHSbody"/>
      </w:pPr>
      <w:r w:rsidRPr="0088429D">
        <w:t>There have been no reports of PTP in FY19.</w:t>
      </w:r>
    </w:p>
    <w:p w14:paraId="1081CFC7" w14:textId="540906E3" w:rsidR="0088429D" w:rsidRPr="0088429D" w:rsidRDefault="0088429D" w:rsidP="005B6D53">
      <w:pPr>
        <w:pStyle w:val="Heading2"/>
      </w:pPr>
      <w:bookmarkStart w:id="23" w:name="_Toc46304652"/>
      <w:r w:rsidRPr="0088429D">
        <w:t>Other</w:t>
      </w:r>
      <w:r w:rsidR="003C7C0D">
        <w:t xml:space="preserve"> </w:t>
      </w:r>
      <w:r w:rsidR="005B6D53" w:rsidRPr="005B6D53">
        <w:t>–</w:t>
      </w:r>
      <w:r w:rsidR="003C7C0D">
        <w:t xml:space="preserve"> </w:t>
      </w:r>
      <w:r w:rsidRPr="0088429D">
        <w:t>ATR</w:t>
      </w:r>
      <w:bookmarkEnd w:id="23"/>
    </w:p>
    <w:p w14:paraId="5F0CAD14" w14:textId="77777777" w:rsidR="0088429D" w:rsidRPr="0088429D" w:rsidRDefault="0088429D" w:rsidP="0088429D">
      <w:pPr>
        <w:pStyle w:val="DHHSbody"/>
      </w:pPr>
      <w:r w:rsidRPr="0088429D">
        <w:t xml:space="preserve">There were three ATRs which were notified and validated as possible other acute reactions. </w:t>
      </w:r>
    </w:p>
    <w:p w14:paraId="0458C36B" w14:textId="51BD1804" w:rsidR="0088429D" w:rsidRPr="0088429D" w:rsidRDefault="0088429D" w:rsidP="0088429D">
      <w:pPr>
        <w:pStyle w:val="DHHSbody"/>
      </w:pPr>
      <w:r w:rsidRPr="0088429D">
        <w:t xml:space="preserve">These included a child who developed bradycardia and broad QRS </w:t>
      </w:r>
      <w:r w:rsidR="005A120A">
        <w:t xml:space="preserve">complexes </w:t>
      </w:r>
      <w:r w:rsidRPr="0088429D">
        <w:t xml:space="preserve">leading to CPR after rapid infusion of red cells in the setting of surgical bleeding. These symptoms were due to possible hyperkalaemia associated with the transfusion. </w:t>
      </w:r>
    </w:p>
    <w:p w14:paraId="5C4D899B" w14:textId="5629F89F" w:rsidR="0088429D" w:rsidRPr="0088429D" w:rsidRDefault="0088429D" w:rsidP="0088429D">
      <w:pPr>
        <w:pStyle w:val="DHHSbody"/>
      </w:pPr>
      <w:r w:rsidRPr="0088429D">
        <w:t xml:space="preserve">A patient </w:t>
      </w:r>
      <w:r w:rsidR="00810F57" w:rsidRPr="0088429D">
        <w:t xml:space="preserve">with </w:t>
      </w:r>
      <w:r w:rsidR="003C7C0D">
        <w:t>h</w:t>
      </w:r>
      <w:r w:rsidR="003C7C0D" w:rsidRPr="0088429D">
        <w:t xml:space="preserve">aemoglobin </w:t>
      </w:r>
      <w:r w:rsidRPr="0088429D">
        <w:t>H disease, admitted with infection, developed haemoglobinuria post transfusion. It was unclear if the haemoglobinuria related to the transfusion or underlying disease, but was possibly transfusion related.</w:t>
      </w:r>
    </w:p>
    <w:p w14:paraId="411A79CD" w14:textId="2E484EB5" w:rsidR="00582994" w:rsidRDefault="0088429D" w:rsidP="00F1796C">
      <w:pPr>
        <w:pStyle w:val="DHHSbody"/>
        <w:rPr>
          <w:bCs/>
          <w:color w:val="D50032"/>
          <w:sz w:val="44"/>
          <w:szCs w:val="44"/>
        </w:rPr>
      </w:pPr>
      <w:r w:rsidRPr="0088429D">
        <w:t>A patient who developed tachycardia, hypotension and dyspnoea, without fever toward</w:t>
      </w:r>
      <w:r w:rsidR="00C24C20">
        <w:t>s</w:t>
      </w:r>
      <w:r w:rsidRPr="0088429D">
        <w:t xml:space="preserve"> the end of a red cell transfusion. There was no sign of serologic incompatibility with the unit on testing, but </w:t>
      </w:r>
      <w:r w:rsidR="003C7C0D">
        <w:t xml:space="preserve">it </w:t>
      </w:r>
      <w:r w:rsidRPr="0088429D">
        <w:t>was thought this could be a reaction to HLA antigens.</w:t>
      </w:r>
      <w:r w:rsidR="00582994">
        <w:br w:type="page"/>
      </w:r>
    </w:p>
    <w:p w14:paraId="43E50B63" w14:textId="6CACED5A" w:rsidR="0088429D" w:rsidRPr="0088429D" w:rsidRDefault="0088429D" w:rsidP="005B6D53">
      <w:pPr>
        <w:pStyle w:val="Heading1"/>
      </w:pPr>
      <w:bookmarkStart w:id="24" w:name="_Toc46304653"/>
      <w:r w:rsidRPr="0088429D">
        <w:lastRenderedPageBreak/>
        <w:t>Procedural reports</w:t>
      </w:r>
      <w:bookmarkEnd w:id="24"/>
    </w:p>
    <w:p w14:paraId="44F2C090" w14:textId="0994BB89" w:rsidR="0088429D" w:rsidRPr="0088429D" w:rsidRDefault="0088429D" w:rsidP="005B6D53">
      <w:pPr>
        <w:pStyle w:val="DHHStablecaption"/>
      </w:pPr>
      <w:r w:rsidRPr="0088429D">
        <w:t xml:space="preserve">Figure </w:t>
      </w:r>
      <w:r w:rsidR="004B094B">
        <w:t>5</w:t>
      </w:r>
      <w:r w:rsidR="00166E38">
        <w:t>:</w:t>
      </w:r>
      <w:r w:rsidR="00166E38" w:rsidRPr="0088429D">
        <w:t xml:space="preserve"> </w:t>
      </w:r>
      <w:r w:rsidRPr="0088429D">
        <w:t>Validated procedural events reported to STIR FY19</w:t>
      </w:r>
    </w:p>
    <w:p w14:paraId="2FD227DC" w14:textId="57177C8B" w:rsidR="0088429D" w:rsidRPr="0088429D" w:rsidRDefault="00654FAE" w:rsidP="0088429D">
      <w:pPr>
        <w:pStyle w:val="DHHSbody"/>
        <w:rPr>
          <w:b/>
        </w:rPr>
      </w:pPr>
      <w:bookmarkStart w:id="25" w:name="_GoBack"/>
      <w:r>
        <w:rPr>
          <w:b/>
          <w:noProof/>
          <w:lang w:eastAsia="en-AU"/>
        </w:rPr>
        <w:drawing>
          <wp:inline distT="0" distB="0" distL="0" distR="0" wp14:anchorId="5571D624" wp14:editId="5CA71CD6">
            <wp:extent cx="4566589" cy="2133498"/>
            <wp:effectExtent l="0" t="0" r="0" b="635"/>
            <wp:docPr id="2" name="Picture 2" descr="Pie graph showing the breakdown of procedural events discussed in thi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e graph showing the breakdown of procedural events discussed in this section."/>
                    <pic:cNvPicPr/>
                  </pic:nvPicPr>
                  <pic:blipFill>
                    <a:blip r:embed="rId23"/>
                    <a:stretch>
                      <a:fillRect/>
                    </a:stretch>
                  </pic:blipFill>
                  <pic:spPr>
                    <a:xfrm>
                      <a:off x="0" y="0"/>
                      <a:ext cx="4583282" cy="2141297"/>
                    </a:xfrm>
                    <a:prstGeom prst="rect">
                      <a:avLst/>
                    </a:prstGeom>
                  </pic:spPr>
                </pic:pic>
              </a:graphicData>
            </a:graphic>
          </wp:inline>
        </w:drawing>
      </w:r>
      <w:bookmarkEnd w:id="25"/>
    </w:p>
    <w:p w14:paraId="2C4FEAB4" w14:textId="2C9197AE" w:rsidR="0088429D" w:rsidRPr="0088429D" w:rsidRDefault="0088429D" w:rsidP="0088429D">
      <w:pPr>
        <w:pStyle w:val="DHHSbody"/>
      </w:pPr>
      <w:r w:rsidRPr="0088429D">
        <w:t xml:space="preserve">In FY19, there were 55 procedural events validated. Procedural errors predominantly occur due to human error and are often preventable if protocols and guidelines are put in place and followed. In FY19, 41 per cent of investigations were for procedural errors. As shown in Figure </w:t>
      </w:r>
      <w:r w:rsidR="004B094B">
        <w:t>5</w:t>
      </w:r>
      <w:r w:rsidRPr="0088429D">
        <w:t>, wrong blood in tube events are the largest proportion of all procedural events reported again this year.</w:t>
      </w:r>
    </w:p>
    <w:p w14:paraId="10EBD5AF" w14:textId="77777777" w:rsidR="0088429D" w:rsidRPr="0088429D" w:rsidRDefault="0088429D" w:rsidP="005B6D53">
      <w:pPr>
        <w:pStyle w:val="Heading2"/>
      </w:pPr>
      <w:bookmarkStart w:id="26" w:name="_Toc46304654"/>
      <w:r w:rsidRPr="0088429D">
        <w:t>Incorrect blood component transfused (IBCT)</w:t>
      </w:r>
      <w:bookmarkEnd w:id="26"/>
    </w:p>
    <w:p w14:paraId="42714954" w14:textId="6689DDC7" w:rsidR="0088429D" w:rsidRPr="0088429D" w:rsidRDefault="0088429D" w:rsidP="0088429D">
      <w:pPr>
        <w:pStyle w:val="DHHSbody"/>
      </w:pPr>
      <w:r w:rsidRPr="0088429D">
        <w:t>In FY19</w:t>
      </w:r>
      <w:r w:rsidR="00AE2AF7">
        <w:t>,</w:t>
      </w:r>
      <w:r w:rsidRPr="0088429D">
        <w:t xml:space="preserve"> there were 11 reports of IBCT. Although there was one AB</w:t>
      </w:r>
      <w:r w:rsidR="00AE2AF7">
        <w:t>O-i</w:t>
      </w:r>
      <w:r w:rsidRPr="0088429D">
        <w:t xml:space="preserve">ncompatible transfusion reported (Table </w:t>
      </w:r>
      <w:r w:rsidR="00006922" w:rsidRPr="0088429D">
        <w:t>1</w:t>
      </w:r>
      <w:r w:rsidR="00006922">
        <w:t>7</w:t>
      </w:r>
      <w:r w:rsidRPr="0088429D">
        <w:t>) to cryoprecipitate</w:t>
      </w:r>
      <w:r w:rsidR="00AE2AF7">
        <w:t>,</w:t>
      </w:r>
      <w:r w:rsidRPr="0088429D">
        <w:t xml:space="preserve"> </w:t>
      </w:r>
      <w:r w:rsidR="00E06567">
        <w:t>it</w:t>
      </w:r>
      <w:r w:rsidRPr="0088429D">
        <w:t xml:space="preserve"> does not appear to have caused harm to the patient. </w:t>
      </w:r>
    </w:p>
    <w:p w14:paraId="0F17028C" w14:textId="77777777" w:rsidR="0088429D" w:rsidRPr="0088429D" w:rsidRDefault="0088429D" w:rsidP="0088429D">
      <w:pPr>
        <w:pStyle w:val="DHHSbody"/>
      </w:pPr>
      <w:r w:rsidRPr="0088429D">
        <w:t xml:space="preserve">Communication between clinical and laboratory staff regarding the need for irradiated products continues to be an issue for health services. Components that did not meet specific requirements for the patient were all instances where irradiated units were not provided as needed. </w:t>
      </w:r>
    </w:p>
    <w:p w14:paraId="00C95EF9" w14:textId="520E1B45" w:rsidR="0088429D" w:rsidRPr="0088429D" w:rsidRDefault="0088429D" w:rsidP="005B6D53">
      <w:pPr>
        <w:pStyle w:val="DHHStablecaption"/>
      </w:pPr>
      <w:r w:rsidRPr="0088429D">
        <w:t xml:space="preserve">Table </w:t>
      </w:r>
      <w:r w:rsidR="00FB0A81" w:rsidRPr="0088429D">
        <w:t>1</w:t>
      </w:r>
      <w:r w:rsidR="00FB0A81">
        <w:t>7</w:t>
      </w:r>
      <w:r w:rsidRPr="0088429D">
        <w:t xml:space="preserve">: </w:t>
      </w:r>
      <w:bookmarkStart w:id="27" w:name="_Hlk38268982"/>
      <w:r w:rsidRPr="0088429D">
        <w:t>Types of IBCT events FY19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1839"/>
      </w:tblGrid>
      <w:tr w:rsidR="0088429D" w:rsidRPr="0088429D" w14:paraId="58ABB9FF" w14:textId="77777777" w:rsidTr="0088429D">
        <w:trPr>
          <w:tblHeader/>
        </w:trPr>
        <w:tc>
          <w:tcPr>
            <w:tcW w:w="0" w:type="auto"/>
            <w:shd w:val="clear" w:color="auto" w:fill="auto"/>
            <w:hideMark/>
          </w:tcPr>
          <w:bookmarkEnd w:id="27"/>
          <w:p w14:paraId="484D2D14" w14:textId="77777777" w:rsidR="0088429D" w:rsidRPr="0088429D" w:rsidRDefault="0088429D" w:rsidP="0088429D">
            <w:pPr>
              <w:pStyle w:val="DHHSbody"/>
              <w:rPr>
                <w:b/>
              </w:rPr>
            </w:pPr>
            <w:r w:rsidRPr="0088429D">
              <w:rPr>
                <w:b/>
              </w:rPr>
              <w:t>Category</w:t>
            </w:r>
          </w:p>
        </w:tc>
        <w:tc>
          <w:tcPr>
            <w:tcW w:w="0" w:type="auto"/>
            <w:shd w:val="clear" w:color="auto" w:fill="auto"/>
            <w:hideMark/>
          </w:tcPr>
          <w:p w14:paraId="53C74211" w14:textId="77777777" w:rsidR="0088429D" w:rsidRPr="0088429D" w:rsidRDefault="0088429D" w:rsidP="0088429D">
            <w:pPr>
              <w:pStyle w:val="DHHSbody"/>
              <w:rPr>
                <w:b/>
              </w:rPr>
            </w:pPr>
            <w:r w:rsidRPr="0088429D">
              <w:rPr>
                <w:b/>
              </w:rPr>
              <w:t>Number reported</w:t>
            </w:r>
          </w:p>
          <w:p w14:paraId="1E3E5767" w14:textId="77777777" w:rsidR="0088429D" w:rsidRPr="0088429D" w:rsidRDefault="0088429D" w:rsidP="0088429D">
            <w:pPr>
              <w:pStyle w:val="DHHSbody"/>
              <w:rPr>
                <w:b/>
              </w:rPr>
            </w:pPr>
            <w:r w:rsidRPr="0088429D">
              <w:rPr>
                <w:b/>
              </w:rPr>
              <w:t>N = 11</w:t>
            </w:r>
          </w:p>
        </w:tc>
      </w:tr>
      <w:tr w:rsidR="0088429D" w:rsidRPr="0088429D" w14:paraId="52218E87" w14:textId="77777777" w:rsidTr="0088429D">
        <w:tc>
          <w:tcPr>
            <w:tcW w:w="0" w:type="auto"/>
            <w:shd w:val="clear" w:color="auto" w:fill="auto"/>
            <w:hideMark/>
          </w:tcPr>
          <w:p w14:paraId="4F0B5296" w14:textId="77777777" w:rsidR="0088429D" w:rsidRPr="0088429D" w:rsidRDefault="0088429D" w:rsidP="0088429D">
            <w:pPr>
              <w:pStyle w:val="DHHSbody"/>
            </w:pPr>
            <w:r w:rsidRPr="0088429D">
              <w:t>Antigen-antibody issues</w:t>
            </w:r>
          </w:p>
        </w:tc>
        <w:tc>
          <w:tcPr>
            <w:tcW w:w="0" w:type="auto"/>
            <w:shd w:val="clear" w:color="auto" w:fill="auto"/>
          </w:tcPr>
          <w:p w14:paraId="006C345D" w14:textId="77777777" w:rsidR="0088429D" w:rsidRPr="0088429D" w:rsidRDefault="0088429D" w:rsidP="00F1796C">
            <w:pPr>
              <w:pStyle w:val="DHHSbody"/>
              <w:jc w:val="right"/>
            </w:pPr>
            <w:r w:rsidRPr="0088429D">
              <w:t>1 (9%)</w:t>
            </w:r>
          </w:p>
        </w:tc>
      </w:tr>
      <w:tr w:rsidR="0088429D" w:rsidRPr="0088429D" w14:paraId="045C67DE" w14:textId="77777777" w:rsidTr="0088429D">
        <w:tc>
          <w:tcPr>
            <w:tcW w:w="0" w:type="auto"/>
            <w:shd w:val="clear" w:color="auto" w:fill="auto"/>
            <w:hideMark/>
          </w:tcPr>
          <w:p w14:paraId="6C65BA77" w14:textId="77777777" w:rsidR="0088429D" w:rsidRPr="0088429D" w:rsidRDefault="0088429D" w:rsidP="0088429D">
            <w:pPr>
              <w:pStyle w:val="DHHSbody"/>
            </w:pPr>
            <w:r w:rsidRPr="0088429D">
              <w:t>Components that did not meet specific requirements for patient</w:t>
            </w:r>
          </w:p>
        </w:tc>
        <w:tc>
          <w:tcPr>
            <w:tcW w:w="0" w:type="auto"/>
            <w:shd w:val="clear" w:color="auto" w:fill="auto"/>
          </w:tcPr>
          <w:p w14:paraId="15AF6257" w14:textId="77777777" w:rsidR="0088429D" w:rsidRPr="0088429D" w:rsidRDefault="0088429D" w:rsidP="00F1796C">
            <w:pPr>
              <w:pStyle w:val="DHHSbody"/>
              <w:jc w:val="right"/>
            </w:pPr>
            <w:r w:rsidRPr="0088429D">
              <w:t>4 (36%)</w:t>
            </w:r>
          </w:p>
        </w:tc>
      </w:tr>
      <w:tr w:rsidR="0088429D" w:rsidRPr="0088429D" w14:paraId="3518846E" w14:textId="77777777" w:rsidTr="0088429D">
        <w:tc>
          <w:tcPr>
            <w:tcW w:w="0" w:type="auto"/>
            <w:shd w:val="clear" w:color="auto" w:fill="auto"/>
            <w:hideMark/>
          </w:tcPr>
          <w:p w14:paraId="68097554" w14:textId="77777777" w:rsidR="0088429D" w:rsidRPr="0088429D" w:rsidRDefault="0088429D" w:rsidP="0088429D">
            <w:pPr>
              <w:pStyle w:val="DHHSbody"/>
            </w:pPr>
            <w:r w:rsidRPr="0088429D">
              <w:t>Inappropriate platelet/plasma product</w:t>
            </w:r>
          </w:p>
        </w:tc>
        <w:tc>
          <w:tcPr>
            <w:tcW w:w="0" w:type="auto"/>
            <w:shd w:val="clear" w:color="auto" w:fill="auto"/>
          </w:tcPr>
          <w:p w14:paraId="4DE714DF" w14:textId="77777777" w:rsidR="0088429D" w:rsidRPr="0088429D" w:rsidRDefault="0088429D" w:rsidP="00F1796C">
            <w:pPr>
              <w:pStyle w:val="DHHSbody"/>
              <w:jc w:val="right"/>
            </w:pPr>
            <w:r w:rsidRPr="0088429D">
              <w:t>-</w:t>
            </w:r>
          </w:p>
        </w:tc>
      </w:tr>
      <w:tr w:rsidR="0088429D" w:rsidRPr="0088429D" w14:paraId="4BA9BBE5" w14:textId="77777777" w:rsidTr="0088429D">
        <w:tc>
          <w:tcPr>
            <w:tcW w:w="0" w:type="auto"/>
            <w:shd w:val="clear" w:color="auto" w:fill="auto"/>
          </w:tcPr>
          <w:p w14:paraId="089D4C80" w14:textId="77777777" w:rsidR="0088429D" w:rsidRPr="0088429D" w:rsidRDefault="0088429D" w:rsidP="0088429D">
            <w:pPr>
              <w:pStyle w:val="DHHSbody"/>
            </w:pPr>
            <w:r w:rsidRPr="0088429D">
              <w:t xml:space="preserve">ABO compatible </w:t>
            </w:r>
          </w:p>
        </w:tc>
        <w:tc>
          <w:tcPr>
            <w:tcW w:w="0" w:type="auto"/>
            <w:shd w:val="clear" w:color="auto" w:fill="auto"/>
          </w:tcPr>
          <w:p w14:paraId="158C8A7E" w14:textId="77777777" w:rsidR="0088429D" w:rsidRPr="0088429D" w:rsidRDefault="0088429D" w:rsidP="00F1796C">
            <w:pPr>
              <w:pStyle w:val="DHHSbody"/>
              <w:jc w:val="right"/>
            </w:pPr>
            <w:r w:rsidRPr="0088429D">
              <w:t>-</w:t>
            </w:r>
          </w:p>
        </w:tc>
      </w:tr>
      <w:tr w:rsidR="0088429D" w:rsidRPr="0088429D" w14:paraId="3DE33C6C" w14:textId="77777777" w:rsidTr="0088429D">
        <w:tc>
          <w:tcPr>
            <w:tcW w:w="0" w:type="auto"/>
            <w:shd w:val="clear" w:color="auto" w:fill="auto"/>
          </w:tcPr>
          <w:p w14:paraId="499A1BE7" w14:textId="77777777" w:rsidR="0088429D" w:rsidRPr="0088429D" w:rsidRDefault="0088429D" w:rsidP="0088429D">
            <w:pPr>
              <w:pStyle w:val="DHHSbody"/>
            </w:pPr>
            <w:r w:rsidRPr="0088429D">
              <w:t>ABO incompatible (cryoprecipitate)</w:t>
            </w:r>
          </w:p>
        </w:tc>
        <w:tc>
          <w:tcPr>
            <w:tcW w:w="0" w:type="auto"/>
            <w:shd w:val="clear" w:color="auto" w:fill="auto"/>
          </w:tcPr>
          <w:p w14:paraId="382D5359" w14:textId="77777777" w:rsidR="0088429D" w:rsidRPr="0088429D" w:rsidRDefault="0088429D" w:rsidP="00F1796C">
            <w:pPr>
              <w:pStyle w:val="DHHSbody"/>
              <w:jc w:val="right"/>
            </w:pPr>
            <w:r w:rsidRPr="0088429D">
              <w:t>1 (9%)</w:t>
            </w:r>
          </w:p>
        </w:tc>
      </w:tr>
      <w:tr w:rsidR="0088429D" w:rsidRPr="0088429D" w14:paraId="77907712" w14:textId="77777777" w:rsidTr="0088429D">
        <w:tc>
          <w:tcPr>
            <w:tcW w:w="0" w:type="auto"/>
            <w:shd w:val="clear" w:color="auto" w:fill="auto"/>
          </w:tcPr>
          <w:p w14:paraId="5191D2D3" w14:textId="77777777" w:rsidR="0088429D" w:rsidRPr="0088429D" w:rsidRDefault="0088429D" w:rsidP="0088429D">
            <w:pPr>
              <w:pStyle w:val="DHHSbody"/>
            </w:pPr>
            <w:proofErr w:type="spellStart"/>
            <w:r w:rsidRPr="0088429D">
              <w:t>RhD</w:t>
            </w:r>
            <w:proofErr w:type="spellEnd"/>
            <w:r w:rsidRPr="0088429D">
              <w:t xml:space="preserve"> incompatible</w:t>
            </w:r>
          </w:p>
        </w:tc>
        <w:tc>
          <w:tcPr>
            <w:tcW w:w="0" w:type="auto"/>
            <w:shd w:val="clear" w:color="auto" w:fill="auto"/>
          </w:tcPr>
          <w:p w14:paraId="6251CF74" w14:textId="77777777" w:rsidR="0088429D" w:rsidRPr="0088429D" w:rsidRDefault="0088429D" w:rsidP="00F1796C">
            <w:pPr>
              <w:pStyle w:val="DHHSbody"/>
              <w:jc w:val="right"/>
            </w:pPr>
            <w:r w:rsidRPr="0088429D">
              <w:t>1 (9%)</w:t>
            </w:r>
          </w:p>
        </w:tc>
      </w:tr>
      <w:tr w:rsidR="0088429D" w:rsidRPr="0088429D" w14:paraId="5CCFDE61" w14:textId="77777777" w:rsidTr="0088429D">
        <w:tc>
          <w:tcPr>
            <w:tcW w:w="0" w:type="auto"/>
            <w:shd w:val="clear" w:color="auto" w:fill="auto"/>
          </w:tcPr>
          <w:p w14:paraId="7C34D6E3" w14:textId="77777777" w:rsidR="0088429D" w:rsidRPr="0088429D" w:rsidRDefault="0088429D" w:rsidP="0088429D">
            <w:pPr>
              <w:pStyle w:val="DHHSbody"/>
            </w:pPr>
            <w:r w:rsidRPr="0088429D">
              <w:t xml:space="preserve">Other: </w:t>
            </w:r>
          </w:p>
          <w:p w14:paraId="1224AB4B" w14:textId="77777777" w:rsidR="0088429D" w:rsidRPr="0088429D" w:rsidRDefault="0088429D" w:rsidP="0088429D">
            <w:pPr>
              <w:pStyle w:val="DHHSbody"/>
            </w:pPr>
            <w:r w:rsidRPr="0088429D">
              <w:t>Excessive time to transfuse (x1)</w:t>
            </w:r>
          </w:p>
          <w:p w14:paraId="23CC1438" w14:textId="77777777" w:rsidR="0088429D" w:rsidRPr="0088429D" w:rsidRDefault="0088429D" w:rsidP="0088429D">
            <w:pPr>
              <w:pStyle w:val="DHHSbody"/>
            </w:pPr>
            <w:r w:rsidRPr="0088429D">
              <w:t>Administration with incorrect/incomplete details on the label (x2)</w:t>
            </w:r>
          </w:p>
          <w:p w14:paraId="6730761E" w14:textId="77777777" w:rsidR="0088429D" w:rsidRPr="0088429D" w:rsidRDefault="0088429D" w:rsidP="0088429D">
            <w:pPr>
              <w:pStyle w:val="DHHSbody"/>
            </w:pPr>
            <w:r w:rsidRPr="0088429D">
              <w:t>Crossmatched blood knowingly given to another patient (x1)</w:t>
            </w:r>
          </w:p>
        </w:tc>
        <w:tc>
          <w:tcPr>
            <w:tcW w:w="0" w:type="auto"/>
            <w:shd w:val="clear" w:color="auto" w:fill="auto"/>
          </w:tcPr>
          <w:p w14:paraId="49304B91" w14:textId="77777777" w:rsidR="0088429D" w:rsidRPr="0088429D" w:rsidRDefault="0088429D" w:rsidP="00F1796C">
            <w:pPr>
              <w:pStyle w:val="DHHSbody"/>
              <w:jc w:val="right"/>
            </w:pPr>
            <w:r w:rsidRPr="0088429D">
              <w:t>4 (36%)</w:t>
            </w:r>
          </w:p>
        </w:tc>
      </w:tr>
    </w:tbl>
    <w:p w14:paraId="2D930DE0" w14:textId="77777777" w:rsidR="0088429D" w:rsidRPr="0088429D" w:rsidRDefault="0088429D" w:rsidP="0088429D">
      <w:pPr>
        <w:pStyle w:val="DHHSbody"/>
      </w:pPr>
    </w:p>
    <w:p w14:paraId="7D880DA8" w14:textId="77777777" w:rsidR="0088429D" w:rsidRPr="0088429D" w:rsidRDefault="0088429D" w:rsidP="00810F57">
      <w:pPr>
        <w:pStyle w:val="Heading3"/>
      </w:pPr>
      <w:r w:rsidRPr="0088429D">
        <w:lastRenderedPageBreak/>
        <w:t xml:space="preserve">Case study 5: </w:t>
      </w:r>
      <w:proofErr w:type="spellStart"/>
      <w:r w:rsidRPr="0088429D">
        <w:t>RhD</w:t>
      </w:r>
      <w:proofErr w:type="spellEnd"/>
      <w:r w:rsidRPr="0088429D">
        <w:t xml:space="preserve"> incompatible red cell units cross matched and transfused</w:t>
      </w:r>
    </w:p>
    <w:p w14:paraId="6780EA94" w14:textId="77777777" w:rsidR="0088429D" w:rsidRPr="0088429D" w:rsidRDefault="0088429D" w:rsidP="0088429D">
      <w:pPr>
        <w:pStyle w:val="DHHSbody"/>
      </w:pPr>
      <w:r w:rsidRPr="0088429D">
        <w:t xml:space="preserve">A patient with </w:t>
      </w:r>
      <w:proofErr w:type="spellStart"/>
      <w:r w:rsidRPr="0088429D">
        <w:t>melaena</w:t>
      </w:r>
      <w:proofErr w:type="spellEnd"/>
      <w:r w:rsidRPr="0088429D">
        <w:t xml:space="preserve"> and anaemia (blood group A </w:t>
      </w:r>
      <w:proofErr w:type="spellStart"/>
      <w:r w:rsidRPr="0088429D">
        <w:t>RhD</w:t>
      </w:r>
      <w:proofErr w:type="spellEnd"/>
      <w:r w:rsidRPr="0088429D">
        <w:t xml:space="preserve"> negative) was admitted for investigation of possible upper gastrointestinal bleeding on a background of transfusion dependent myelodysplastic syndrome. He required transfusion for </w:t>
      </w:r>
      <w:proofErr w:type="spellStart"/>
      <w:r w:rsidRPr="0088429D">
        <w:t>Hb</w:t>
      </w:r>
      <w:proofErr w:type="spellEnd"/>
      <w:r w:rsidRPr="0088429D">
        <w:t xml:space="preserve"> 70g/L and ongoing blood loss. Two units of red cells and one bag of platelets were requested. Two units of A </w:t>
      </w:r>
      <w:proofErr w:type="spellStart"/>
      <w:r w:rsidRPr="0088429D">
        <w:t>RhD</w:t>
      </w:r>
      <w:proofErr w:type="spellEnd"/>
      <w:r w:rsidRPr="0088429D">
        <w:t xml:space="preserve"> positive red cells were assigned by the laboratory scientist, manually overriding warnings in the transfusion module alerting to an </w:t>
      </w:r>
      <w:proofErr w:type="spellStart"/>
      <w:r w:rsidRPr="0088429D">
        <w:t>RhD</w:t>
      </w:r>
      <w:proofErr w:type="spellEnd"/>
      <w:r w:rsidRPr="0088429D">
        <w:t xml:space="preserve"> discrepancy. </w:t>
      </w:r>
    </w:p>
    <w:p w14:paraId="57B4160B" w14:textId="09B70C7A" w:rsidR="0088429D" w:rsidRPr="0088429D" w:rsidRDefault="0088429D" w:rsidP="0088429D">
      <w:pPr>
        <w:pStyle w:val="DHHSbody"/>
      </w:pPr>
      <w:r w:rsidRPr="0088429D">
        <w:t>Subsequently, one of the units was transfused to the patient. There was no double independent check of the unit or compatibility. Of the two staff members involved in checking</w:t>
      </w:r>
      <w:r w:rsidR="00A61A0A">
        <w:t>,</w:t>
      </w:r>
      <w:r w:rsidR="00A61A0A" w:rsidRPr="0088429D">
        <w:t xml:space="preserve"> </w:t>
      </w:r>
      <w:r w:rsidRPr="0088429D">
        <w:t xml:space="preserve">one checked the information on the unit of blood and the second checked the information on the transfusion report. Neither crosschecked both </w:t>
      </w:r>
      <w:r w:rsidR="00A61A0A">
        <w:t>n</w:t>
      </w:r>
      <w:r w:rsidRPr="0088429D">
        <w:t xml:space="preserve">or questioned the discrepancy in blood groups. </w:t>
      </w:r>
    </w:p>
    <w:p w14:paraId="32BE7B83" w14:textId="27D61317" w:rsidR="0088429D" w:rsidRPr="0088429D" w:rsidRDefault="0088429D" w:rsidP="0088429D">
      <w:pPr>
        <w:pStyle w:val="DHHSbody"/>
      </w:pPr>
      <w:r w:rsidRPr="0088429D">
        <w:t>The error was not discovered until two days after the event. The patient did not develop signs or symptoms of a reaction at the time</w:t>
      </w:r>
      <w:r w:rsidR="00A61A0A">
        <w:t>,</w:t>
      </w:r>
      <w:r w:rsidRPr="0088429D">
        <w:t xml:space="preserve"> and there was no evidence of antibody development.</w:t>
      </w:r>
    </w:p>
    <w:p w14:paraId="5095306C" w14:textId="4E666B47" w:rsidR="0088429D" w:rsidRPr="0088429D" w:rsidRDefault="0088429D" w:rsidP="00F1796C">
      <w:pPr>
        <w:pStyle w:val="Heading4"/>
      </w:pPr>
      <w:r w:rsidRPr="0088429D">
        <w:t>Comments</w:t>
      </w:r>
    </w:p>
    <w:p w14:paraId="066F854A" w14:textId="29368354" w:rsidR="0088429D" w:rsidRPr="0088429D" w:rsidRDefault="0088429D" w:rsidP="0088429D">
      <w:pPr>
        <w:pStyle w:val="DHHSbody"/>
      </w:pPr>
      <w:r w:rsidRPr="0088429D">
        <w:t xml:space="preserve">The 2018 ANZSBT/ACN administration guidelines were updated to reinforce the need for </w:t>
      </w:r>
      <w:r w:rsidR="00A61A0A">
        <w:t>‘</w:t>
      </w:r>
      <w:r w:rsidRPr="0088429D">
        <w:t>double independent checking</w:t>
      </w:r>
      <w:r w:rsidR="00A61A0A">
        <w:t>’</w:t>
      </w:r>
      <w:r w:rsidR="00A61A0A" w:rsidRPr="0088429D">
        <w:t xml:space="preserve">, </w:t>
      </w:r>
      <w:r w:rsidRPr="0088429D">
        <w:t xml:space="preserve">as </w:t>
      </w:r>
      <w:r w:rsidR="00A61A0A">
        <w:t>distinct</w:t>
      </w:r>
      <w:r w:rsidR="00A61A0A" w:rsidRPr="0088429D">
        <w:t xml:space="preserve"> </w:t>
      </w:r>
      <w:r w:rsidRPr="0088429D">
        <w:t xml:space="preserve">from the shared checking that often occurs in practice with two-person checks. Shared checks allow for important pieces of information to be missed when each person assumes the other has reviewed something, such as blood group. Double independent checking requires each person to complete all the checks independently. Blood Matters has prepared </w:t>
      </w:r>
      <w:hyperlink r:id="rId24" w:history="1">
        <w:r w:rsidRPr="00A61A0A">
          <w:rPr>
            <w:rStyle w:val="Hyperlink"/>
          </w:rPr>
          <w:t>posters to reinforce double independent checking</w:t>
        </w:r>
      </w:hyperlink>
      <w:r w:rsidRPr="0088429D">
        <w:t xml:space="preserve"> </w:t>
      </w:r>
      <w:r w:rsidR="00A61A0A">
        <w:t>&lt;</w:t>
      </w:r>
      <w:r w:rsidR="00A61A0A" w:rsidRPr="00F1796C">
        <w:t>https://www2.health.vic.gov.au/about/publications/factsheets/two-person-independent-checking-safe-transfusion-poster</w:t>
      </w:r>
      <w:r w:rsidR="00A61A0A">
        <w:t>&gt;</w:t>
      </w:r>
      <w:r w:rsidR="00A61A0A" w:rsidRPr="0088429D">
        <w:t xml:space="preserve">. </w:t>
      </w:r>
    </w:p>
    <w:p w14:paraId="7F592A7E" w14:textId="3037FEE5" w:rsidR="0088429D" w:rsidRPr="0088429D" w:rsidRDefault="0088429D" w:rsidP="0088429D">
      <w:pPr>
        <w:pStyle w:val="DHHSbody"/>
      </w:pPr>
      <w:r w:rsidRPr="0088429D">
        <w:t>While in some circumstances</w:t>
      </w:r>
      <w:r w:rsidR="00FA4CA0">
        <w:t>,</w:t>
      </w:r>
      <w:r w:rsidRPr="0088429D">
        <w:t xml:space="preserve"> it may be necessary to transfuse an </w:t>
      </w:r>
      <w:proofErr w:type="spellStart"/>
      <w:r w:rsidRPr="0088429D">
        <w:t>RhD</w:t>
      </w:r>
      <w:proofErr w:type="spellEnd"/>
      <w:r w:rsidRPr="0088429D">
        <w:t xml:space="preserve"> incompatible unit, </w:t>
      </w:r>
      <w:r w:rsidR="00FA4CA0">
        <w:t xml:space="preserve">it </w:t>
      </w:r>
      <w:r w:rsidRPr="0088429D">
        <w:t xml:space="preserve">does not appear </w:t>
      </w:r>
      <w:r w:rsidR="00FA4CA0">
        <w:t>to be the</w:t>
      </w:r>
      <w:r w:rsidRPr="0088429D">
        <w:t xml:space="preserve"> case</w:t>
      </w:r>
      <w:r w:rsidR="00FA4CA0">
        <w:t xml:space="preserve"> in this instance</w:t>
      </w:r>
      <w:r w:rsidRPr="0088429D">
        <w:t>. If a clinical decision was made that waiting for blood of the correct group is not in the patient’s best interest, then this would not be an IBCT. This event occurred after a series of errors (laboratory selecting incorrect component, laboratory overriding system alerts, bedside check not performed correctly), not as a considered clinical decision.</w:t>
      </w:r>
    </w:p>
    <w:p w14:paraId="1AC00FF9" w14:textId="2309E918" w:rsidR="0088429D" w:rsidRPr="0088429D" w:rsidRDefault="00FA4CA0" w:rsidP="0088429D">
      <w:pPr>
        <w:pStyle w:val="DHHSbody"/>
      </w:pPr>
      <w:r>
        <w:t>T</w:t>
      </w:r>
      <w:r w:rsidR="0088429D" w:rsidRPr="0088429D">
        <w:t xml:space="preserve">he </w:t>
      </w:r>
      <w:r w:rsidR="0088429D" w:rsidRPr="00F1796C">
        <w:rPr>
          <w:i/>
          <w:iCs/>
        </w:rPr>
        <w:t>2017</w:t>
      </w:r>
      <w:r w:rsidRPr="00F1796C">
        <w:rPr>
          <w:i/>
          <w:iCs/>
        </w:rPr>
        <w:t>–</w:t>
      </w:r>
      <w:r w:rsidR="0088429D" w:rsidRPr="00F1796C">
        <w:rPr>
          <w:i/>
          <w:iCs/>
        </w:rPr>
        <w:t>18 STIR annual report</w:t>
      </w:r>
      <w:r>
        <w:t xml:space="preserve"> reported </w:t>
      </w:r>
      <w:r w:rsidR="0088429D" w:rsidRPr="0088429D">
        <w:t xml:space="preserve">a similar incident, </w:t>
      </w:r>
      <w:r>
        <w:t xml:space="preserve">which </w:t>
      </w:r>
      <w:r w:rsidR="0088429D" w:rsidRPr="0088429D">
        <w:t>resul</w:t>
      </w:r>
      <w:r>
        <w:t>ted</w:t>
      </w:r>
      <w:r w:rsidR="0088429D" w:rsidRPr="0088429D">
        <w:t xml:space="preserve"> in the health service undertaking a </w:t>
      </w:r>
      <w:hyperlink r:id="rId25" w:history="1">
        <w:r w:rsidR="0088429D" w:rsidRPr="00FA4CA0">
          <w:rPr>
            <w:rStyle w:val="Hyperlink"/>
          </w:rPr>
          <w:t>root cause analysis of the event</w:t>
        </w:r>
      </w:hyperlink>
      <w:r>
        <w:t xml:space="preserve"> &lt;</w:t>
      </w:r>
      <w:r w:rsidRPr="00F1796C">
        <w:t>https://www2.health.vic.gov.au/about/publications/researchandreports/serious-transfusion-incident-report-2017-18</w:t>
      </w:r>
      <w:r>
        <w:t>&gt;.</w:t>
      </w:r>
    </w:p>
    <w:p w14:paraId="6755ED5B" w14:textId="4E3FF2FE" w:rsidR="0088429D" w:rsidRPr="0088429D" w:rsidRDefault="0088429D" w:rsidP="00810F57">
      <w:pPr>
        <w:pStyle w:val="Heading3"/>
      </w:pPr>
      <w:r w:rsidRPr="0088429D">
        <w:t xml:space="preserve">Case study 6: </w:t>
      </w:r>
      <w:proofErr w:type="spellStart"/>
      <w:r w:rsidRPr="0088429D">
        <w:t>Kell</w:t>
      </w:r>
      <w:proofErr w:type="spellEnd"/>
      <w:r w:rsidR="00FA4CA0">
        <w:t>-</w:t>
      </w:r>
      <w:r w:rsidRPr="0088429D">
        <w:t>positive red cell unit to woman of child-bearing age</w:t>
      </w:r>
    </w:p>
    <w:p w14:paraId="667F9958" w14:textId="4AE78760" w:rsidR="0088429D" w:rsidRPr="0088429D" w:rsidRDefault="0088429D" w:rsidP="0088429D">
      <w:pPr>
        <w:pStyle w:val="DHHSbody"/>
      </w:pPr>
      <w:r w:rsidRPr="0088429D">
        <w:t>A 25</w:t>
      </w:r>
      <w:r w:rsidR="00FA4CA0">
        <w:t>-</w:t>
      </w:r>
      <w:r w:rsidRPr="0088429D">
        <w:t>year</w:t>
      </w:r>
      <w:r w:rsidR="00FA4CA0">
        <w:t>-</w:t>
      </w:r>
      <w:r w:rsidRPr="0088429D">
        <w:t>old woman post a normal vaginal birth had a retained placenta and postpartum haemorrhage. A Code Pink (</w:t>
      </w:r>
      <w:r w:rsidR="00FA4CA0">
        <w:t>o</w:t>
      </w:r>
      <w:r w:rsidR="00FA4CA0" w:rsidRPr="0088429D">
        <w:t xml:space="preserve">bstetric </w:t>
      </w:r>
      <w:r w:rsidRPr="0088429D">
        <w:t>emergency) was called and the patient prepped for theatre, where manual removal of placenta and insertion of Bakri balloon was performed. Total blood loss of 2</w:t>
      </w:r>
      <w:r w:rsidR="00FA4CA0">
        <w:t>,</w:t>
      </w:r>
      <w:r w:rsidRPr="0088429D">
        <w:t>800</w:t>
      </w:r>
      <w:r w:rsidR="00FA4CA0">
        <w:t> </w:t>
      </w:r>
      <w:proofErr w:type="spellStart"/>
      <w:r w:rsidRPr="0088429D">
        <w:t>mL.</w:t>
      </w:r>
      <w:proofErr w:type="spellEnd"/>
      <w:r w:rsidRPr="0088429D">
        <w:t xml:space="preserve"> </w:t>
      </w:r>
    </w:p>
    <w:p w14:paraId="482AA447" w14:textId="74F639D5" w:rsidR="0088429D" w:rsidRPr="0088429D" w:rsidRDefault="0088429D" w:rsidP="0088429D">
      <w:pPr>
        <w:pStyle w:val="DHHSbody"/>
      </w:pPr>
      <w:r w:rsidRPr="0088429D">
        <w:t>When the patient arrived in theatre</w:t>
      </w:r>
      <w:r w:rsidR="00FA4CA0">
        <w:t>,</w:t>
      </w:r>
      <w:r w:rsidRPr="0088429D">
        <w:t xml:space="preserve"> the first unit of emergency O </w:t>
      </w:r>
      <w:proofErr w:type="spellStart"/>
      <w:r w:rsidRPr="0088429D">
        <w:t>RhD</w:t>
      </w:r>
      <w:proofErr w:type="spellEnd"/>
      <w:r w:rsidRPr="0088429D">
        <w:t xml:space="preserve"> negative blood was requested and a second unit followed. The first unit transfused carried an attached handwritten message</w:t>
      </w:r>
      <w:r w:rsidR="00FA4CA0">
        <w:t>,</w:t>
      </w:r>
      <w:r w:rsidRPr="0088429D">
        <w:t xml:space="preserve"> </w:t>
      </w:r>
      <w:r w:rsidR="00FA4CA0">
        <w:t>‘</w:t>
      </w:r>
      <w:r w:rsidRPr="0088429D">
        <w:t>Do not use on pregnant patient</w:t>
      </w:r>
      <w:r w:rsidR="00FA4CA0" w:rsidRPr="0088429D">
        <w:t>!</w:t>
      </w:r>
      <w:proofErr w:type="gramStart"/>
      <w:r w:rsidR="00FA4CA0">
        <w:t>’</w:t>
      </w:r>
      <w:r w:rsidR="00FA4CA0" w:rsidRPr="0088429D">
        <w:t>.</w:t>
      </w:r>
      <w:proofErr w:type="gramEnd"/>
      <w:r w:rsidR="00FA4CA0" w:rsidRPr="0088429D">
        <w:t xml:space="preserve"> </w:t>
      </w:r>
      <w:r w:rsidRPr="0088429D">
        <w:t xml:space="preserve">Staff questioned the use of this unit at the time the unit was to be transfused and were advised to give as the patient was no longer pregnant. </w:t>
      </w:r>
    </w:p>
    <w:p w14:paraId="26ED136F" w14:textId="25159AAA" w:rsidR="0088429D" w:rsidRPr="0088429D" w:rsidRDefault="0088429D" w:rsidP="0088429D">
      <w:pPr>
        <w:pStyle w:val="DHHSbody"/>
      </w:pPr>
      <w:r w:rsidRPr="0088429D">
        <w:t xml:space="preserve">Follow up of the transfusion incident identified the woman was given a </w:t>
      </w:r>
      <w:proofErr w:type="spellStart"/>
      <w:r w:rsidRPr="0088429D">
        <w:t>Kell</w:t>
      </w:r>
      <w:proofErr w:type="spellEnd"/>
      <w:r w:rsidR="00FA4CA0">
        <w:t>-</w:t>
      </w:r>
      <w:r w:rsidRPr="0088429D">
        <w:t>positive transfusion, and had the potential to develop an alloantibody which could affect future pregnancies.</w:t>
      </w:r>
    </w:p>
    <w:p w14:paraId="700F426B" w14:textId="77777777" w:rsidR="0088429D" w:rsidRPr="0088429D" w:rsidRDefault="0088429D" w:rsidP="0088429D">
      <w:pPr>
        <w:pStyle w:val="DHHSbody"/>
      </w:pPr>
      <w:r w:rsidRPr="0088429D">
        <w:t xml:space="preserve">An open disclosure meeting was held with the patient and her family and blood tests ordered for the patient. The blood test results showed there was no evidence of antibody development from the transfusion. </w:t>
      </w:r>
    </w:p>
    <w:p w14:paraId="1473EC73" w14:textId="5E20A760" w:rsidR="0088429D" w:rsidRDefault="0088429D" w:rsidP="0088429D">
      <w:pPr>
        <w:pStyle w:val="DHHSbody"/>
      </w:pPr>
      <w:r w:rsidRPr="0088429D">
        <w:t>A root cause analysis investigation was commissioned to ascertain if the blood transfusion was appropriate and to identify system and process improvement opportunities.</w:t>
      </w:r>
    </w:p>
    <w:p w14:paraId="233CDBF5" w14:textId="4DFFDEC3" w:rsidR="004D2E68" w:rsidRPr="004D2E68" w:rsidRDefault="004D2E68" w:rsidP="004D2E68">
      <w:pPr>
        <w:rPr>
          <w:rFonts w:ascii="Arial" w:eastAsia="Times" w:hAnsi="Arial"/>
        </w:rPr>
      </w:pP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25"/>
        <w:gridCol w:w="7031"/>
        <w:gridCol w:w="2268"/>
      </w:tblGrid>
      <w:tr w:rsidR="0088429D" w:rsidRPr="0088429D" w14:paraId="55C0EFA0" w14:textId="77777777" w:rsidTr="0088429D">
        <w:trPr>
          <w:tblHeader/>
        </w:trPr>
        <w:tc>
          <w:tcPr>
            <w:tcW w:w="7456" w:type="dxa"/>
            <w:gridSpan w:val="2"/>
            <w:tcBorders>
              <w:top w:val="nil"/>
              <w:left w:val="nil"/>
              <w:right w:val="nil"/>
            </w:tcBorders>
            <w:shd w:val="clear" w:color="auto" w:fill="auto"/>
          </w:tcPr>
          <w:p w14:paraId="3E42A8B5" w14:textId="77777777" w:rsidR="0088429D" w:rsidRPr="0088429D" w:rsidRDefault="0088429D" w:rsidP="005B6D53">
            <w:pPr>
              <w:pStyle w:val="DHHStablecaption"/>
            </w:pPr>
            <w:r w:rsidRPr="0088429D">
              <w:t>Recommendations:</w:t>
            </w:r>
          </w:p>
        </w:tc>
        <w:tc>
          <w:tcPr>
            <w:tcW w:w="2268" w:type="dxa"/>
            <w:tcBorders>
              <w:top w:val="nil"/>
              <w:left w:val="nil"/>
              <w:right w:val="nil"/>
            </w:tcBorders>
            <w:shd w:val="clear" w:color="auto" w:fill="auto"/>
          </w:tcPr>
          <w:p w14:paraId="1E4EF2AF" w14:textId="77777777" w:rsidR="0088429D" w:rsidRPr="0088429D" w:rsidRDefault="0088429D" w:rsidP="005B6D53">
            <w:pPr>
              <w:pStyle w:val="DHHStablecaption"/>
            </w:pPr>
            <w:r w:rsidRPr="0088429D">
              <w:t>Strength:</w:t>
            </w:r>
          </w:p>
        </w:tc>
      </w:tr>
      <w:tr w:rsidR="0088429D" w:rsidRPr="0088429D" w14:paraId="577E0C57" w14:textId="77777777" w:rsidTr="0088429D">
        <w:trPr>
          <w:trHeight w:val="520"/>
        </w:trPr>
        <w:tc>
          <w:tcPr>
            <w:tcW w:w="425" w:type="dxa"/>
            <w:tcBorders>
              <w:left w:val="single" w:sz="4" w:space="0" w:color="auto"/>
              <w:right w:val="single" w:sz="4" w:space="0" w:color="auto"/>
            </w:tcBorders>
            <w:shd w:val="clear" w:color="auto" w:fill="auto"/>
          </w:tcPr>
          <w:p w14:paraId="65B5B4F9" w14:textId="77777777" w:rsidR="0088429D" w:rsidRPr="0088429D" w:rsidRDefault="0088429D" w:rsidP="00D74BC1">
            <w:pPr>
              <w:pStyle w:val="DHHSbody"/>
              <w:numPr>
                <w:ilvl w:val="0"/>
                <w:numId w:val="14"/>
              </w:numPr>
            </w:pPr>
          </w:p>
        </w:tc>
        <w:tc>
          <w:tcPr>
            <w:tcW w:w="7031" w:type="dxa"/>
            <w:tcBorders>
              <w:left w:val="single" w:sz="4" w:space="0" w:color="auto"/>
              <w:right w:val="single" w:sz="4" w:space="0" w:color="auto"/>
            </w:tcBorders>
            <w:shd w:val="clear" w:color="auto" w:fill="auto"/>
            <w:tcMar>
              <w:left w:w="85" w:type="dxa"/>
              <w:right w:w="85" w:type="dxa"/>
            </w:tcMar>
          </w:tcPr>
          <w:p w14:paraId="06ECAB39" w14:textId="77777777" w:rsidR="0088429D" w:rsidRPr="0088429D" w:rsidRDefault="0088429D" w:rsidP="0088429D">
            <w:pPr>
              <w:pStyle w:val="DHHSbody"/>
            </w:pPr>
            <w:r w:rsidRPr="0088429D">
              <w:t xml:space="preserve">Labelling being clear about meaning </w:t>
            </w:r>
          </w:p>
        </w:tc>
        <w:tc>
          <w:tcPr>
            <w:tcW w:w="2268" w:type="dxa"/>
            <w:tcBorders>
              <w:left w:val="single" w:sz="4" w:space="0" w:color="auto"/>
              <w:right w:val="single" w:sz="4" w:space="0" w:color="auto"/>
            </w:tcBorders>
            <w:shd w:val="clear" w:color="auto" w:fill="auto"/>
            <w:tcMar>
              <w:left w:w="85" w:type="dxa"/>
              <w:right w:w="85" w:type="dxa"/>
            </w:tcMar>
          </w:tcPr>
          <w:p w14:paraId="4071595D" w14:textId="77777777" w:rsidR="0088429D" w:rsidRPr="0088429D" w:rsidRDefault="0088429D" w:rsidP="0088429D">
            <w:pPr>
              <w:pStyle w:val="DHHSbody"/>
            </w:pPr>
            <w:r w:rsidRPr="0088429D">
              <w:t>Moderate</w:t>
            </w:r>
          </w:p>
        </w:tc>
      </w:tr>
      <w:tr w:rsidR="0088429D" w:rsidRPr="0088429D" w14:paraId="1F50694B" w14:textId="77777777" w:rsidTr="0088429D">
        <w:trPr>
          <w:trHeight w:val="556"/>
        </w:trPr>
        <w:tc>
          <w:tcPr>
            <w:tcW w:w="425" w:type="dxa"/>
            <w:tcBorders>
              <w:left w:val="single" w:sz="4" w:space="0" w:color="auto"/>
              <w:right w:val="single" w:sz="4" w:space="0" w:color="auto"/>
            </w:tcBorders>
            <w:shd w:val="clear" w:color="auto" w:fill="auto"/>
          </w:tcPr>
          <w:p w14:paraId="19AC515B" w14:textId="77777777" w:rsidR="0088429D" w:rsidRPr="0088429D" w:rsidRDefault="0088429D" w:rsidP="00D74BC1">
            <w:pPr>
              <w:pStyle w:val="DHHSbody"/>
              <w:numPr>
                <w:ilvl w:val="0"/>
                <w:numId w:val="14"/>
              </w:numPr>
            </w:pPr>
          </w:p>
        </w:tc>
        <w:tc>
          <w:tcPr>
            <w:tcW w:w="7031" w:type="dxa"/>
            <w:tcBorders>
              <w:left w:val="single" w:sz="4" w:space="0" w:color="auto"/>
              <w:right w:val="single" w:sz="4" w:space="0" w:color="auto"/>
            </w:tcBorders>
            <w:shd w:val="clear" w:color="auto" w:fill="auto"/>
            <w:tcMar>
              <w:left w:w="85" w:type="dxa"/>
              <w:right w:w="85" w:type="dxa"/>
            </w:tcMar>
          </w:tcPr>
          <w:p w14:paraId="02B9CB2E" w14:textId="48DB3004" w:rsidR="0088429D" w:rsidRPr="0088429D" w:rsidRDefault="0088429D" w:rsidP="00B55C1D">
            <w:pPr>
              <w:pStyle w:val="DHHSbody"/>
            </w:pPr>
            <w:r w:rsidRPr="0088429D">
              <w:t xml:space="preserve">Provision of </w:t>
            </w:r>
            <w:proofErr w:type="spellStart"/>
            <w:r w:rsidRPr="0088429D">
              <w:t>Kell</w:t>
            </w:r>
            <w:proofErr w:type="spellEnd"/>
            <w:r w:rsidR="00FA4CA0">
              <w:t>-</w:t>
            </w:r>
            <w:r w:rsidRPr="0088429D">
              <w:t>negative blood only by Lifeblood</w:t>
            </w:r>
          </w:p>
        </w:tc>
        <w:tc>
          <w:tcPr>
            <w:tcW w:w="2268" w:type="dxa"/>
            <w:tcBorders>
              <w:left w:val="single" w:sz="4" w:space="0" w:color="auto"/>
              <w:right w:val="single" w:sz="4" w:space="0" w:color="auto"/>
            </w:tcBorders>
            <w:shd w:val="clear" w:color="auto" w:fill="auto"/>
            <w:tcMar>
              <w:left w:w="85" w:type="dxa"/>
              <w:right w:w="85" w:type="dxa"/>
            </w:tcMar>
          </w:tcPr>
          <w:p w14:paraId="2CB46340" w14:textId="7020E435" w:rsidR="0088429D" w:rsidRPr="0088429D" w:rsidRDefault="0088429D" w:rsidP="0088429D">
            <w:pPr>
              <w:pStyle w:val="DHHSbody"/>
            </w:pPr>
            <w:r w:rsidRPr="0088429D">
              <w:t>Strong</w:t>
            </w:r>
            <w:r w:rsidR="004D2E68">
              <w:rPr>
                <w:rStyle w:val="FootnoteReference"/>
              </w:rPr>
              <w:footnoteReference w:id="5"/>
            </w:r>
          </w:p>
        </w:tc>
      </w:tr>
      <w:tr w:rsidR="0088429D" w:rsidRPr="0088429D" w14:paraId="1FCC2EA1" w14:textId="77777777" w:rsidTr="0088429D">
        <w:trPr>
          <w:trHeight w:val="692"/>
        </w:trPr>
        <w:tc>
          <w:tcPr>
            <w:tcW w:w="425" w:type="dxa"/>
            <w:tcBorders>
              <w:left w:val="single" w:sz="4" w:space="0" w:color="auto"/>
              <w:right w:val="single" w:sz="4" w:space="0" w:color="auto"/>
            </w:tcBorders>
            <w:shd w:val="clear" w:color="auto" w:fill="auto"/>
          </w:tcPr>
          <w:p w14:paraId="6AE420F5" w14:textId="77777777" w:rsidR="0088429D" w:rsidRPr="0088429D" w:rsidRDefault="0088429D" w:rsidP="00D74BC1">
            <w:pPr>
              <w:pStyle w:val="DHHSbody"/>
              <w:numPr>
                <w:ilvl w:val="0"/>
                <w:numId w:val="14"/>
              </w:numPr>
            </w:pPr>
          </w:p>
        </w:tc>
        <w:tc>
          <w:tcPr>
            <w:tcW w:w="7031" w:type="dxa"/>
            <w:tcBorders>
              <w:left w:val="single" w:sz="4" w:space="0" w:color="auto"/>
              <w:right w:val="single" w:sz="4" w:space="0" w:color="auto"/>
            </w:tcBorders>
            <w:shd w:val="clear" w:color="auto" w:fill="auto"/>
            <w:tcMar>
              <w:left w:w="85" w:type="dxa"/>
              <w:right w:w="85" w:type="dxa"/>
            </w:tcMar>
          </w:tcPr>
          <w:p w14:paraId="4CD1587B" w14:textId="1BCDF581" w:rsidR="0088429D" w:rsidRPr="0088429D" w:rsidRDefault="0088429D" w:rsidP="0088429D">
            <w:pPr>
              <w:pStyle w:val="DHHSbody"/>
            </w:pPr>
            <w:r w:rsidRPr="0088429D">
              <w:t xml:space="preserve">Separate blood registry folders for </w:t>
            </w:r>
            <w:r w:rsidR="00FA4CA0">
              <w:t>e</w:t>
            </w:r>
            <w:r w:rsidRPr="0088429D">
              <w:t xml:space="preserve">mergency O </w:t>
            </w:r>
            <w:proofErr w:type="spellStart"/>
            <w:r w:rsidRPr="0088429D">
              <w:t>RhD</w:t>
            </w:r>
            <w:proofErr w:type="spellEnd"/>
            <w:r w:rsidRPr="0088429D">
              <w:t xml:space="preserve"> negative blood and red cells for specific patients with appropriate labelling</w:t>
            </w:r>
          </w:p>
        </w:tc>
        <w:tc>
          <w:tcPr>
            <w:tcW w:w="2268" w:type="dxa"/>
            <w:tcBorders>
              <w:left w:val="single" w:sz="4" w:space="0" w:color="auto"/>
              <w:right w:val="single" w:sz="4" w:space="0" w:color="auto"/>
            </w:tcBorders>
            <w:shd w:val="clear" w:color="auto" w:fill="auto"/>
            <w:tcMar>
              <w:left w:w="85" w:type="dxa"/>
              <w:right w:w="85" w:type="dxa"/>
            </w:tcMar>
          </w:tcPr>
          <w:p w14:paraId="163C3BBB" w14:textId="77777777" w:rsidR="0088429D" w:rsidRPr="0088429D" w:rsidRDefault="0088429D" w:rsidP="0088429D">
            <w:pPr>
              <w:pStyle w:val="DHHSbody"/>
            </w:pPr>
            <w:r w:rsidRPr="0088429D">
              <w:t>Moderate</w:t>
            </w:r>
          </w:p>
        </w:tc>
      </w:tr>
      <w:tr w:rsidR="0088429D" w:rsidRPr="0088429D" w14:paraId="7A095F1E" w14:textId="77777777" w:rsidTr="0088429D">
        <w:trPr>
          <w:trHeight w:val="495"/>
        </w:trPr>
        <w:tc>
          <w:tcPr>
            <w:tcW w:w="425" w:type="dxa"/>
            <w:tcBorders>
              <w:left w:val="single" w:sz="4" w:space="0" w:color="auto"/>
              <w:right w:val="single" w:sz="4" w:space="0" w:color="auto"/>
            </w:tcBorders>
            <w:shd w:val="clear" w:color="auto" w:fill="auto"/>
          </w:tcPr>
          <w:p w14:paraId="7725AB14" w14:textId="77777777" w:rsidR="0088429D" w:rsidRPr="0088429D" w:rsidRDefault="0088429D" w:rsidP="00D74BC1">
            <w:pPr>
              <w:pStyle w:val="DHHSbody"/>
              <w:numPr>
                <w:ilvl w:val="0"/>
                <w:numId w:val="14"/>
              </w:numPr>
            </w:pPr>
          </w:p>
        </w:tc>
        <w:tc>
          <w:tcPr>
            <w:tcW w:w="7031" w:type="dxa"/>
            <w:tcBorders>
              <w:left w:val="single" w:sz="4" w:space="0" w:color="auto"/>
              <w:right w:val="single" w:sz="4" w:space="0" w:color="auto"/>
            </w:tcBorders>
            <w:shd w:val="clear" w:color="auto" w:fill="auto"/>
            <w:tcMar>
              <w:left w:w="85" w:type="dxa"/>
              <w:right w:w="85" w:type="dxa"/>
            </w:tcMar>
          </w:tcPr>
          <w:p w14:paraId="7B21213D" w14:textId="77777777" w:rsidR="0088429D" w:rsidRPr="0088429D" w:rsidRDefault="0088429D" w:rsidP="0088429D">
            <w:pPr>
              <w:pStyle w:val="DHHSbody"/>
            </w:pPr>
            <w:r w:rsidRPr="0088429D">
              <w:t>Blood policies and procedures to reflect changes in recommendation 2 and 3</w:t>
            </w:r>
          </w:p>
        </w:tc>
        <w:tc>
          <w:tcPr>
            <w:tcW w:w="2268" w:type="dxa"/>
            <w:tcBorders>
              <w:left w:val="single" w:sz="4" w:space="0" w:color="auto"/>
              <w:right w:val="single" w:sz="4" w:space="0" w:color="auto"/>
            </w:tcBorders>
            <w:shd w:val="clear" w:color="auto" w:fill="auto"/>
            <w:tcMar>
              <w:left w:w="85" w:type="dxa"/>
              <w:right w:w="85" w:type="dxa"/>
            </w:tcMar>
          </w:tcPr>
          <w:p w14:paraId="41050E7B" w14:textId="77777777" w:rsidR="0088429D" w:rsidRPr="0088429D" w:rsidRDefault="0088429D" w:rsidP="0088429D">
            <w:pPr>
              <w:pStyle w:val="DHHSbody"/>
            </w:pPr>
            <w:r w:rsidRPr="0088429D">
              <w:t>Weak</w:t>
            </w:r>
          </w:p>
        </w:tc>
      </w:tr>
      <w:tr w:rsidR="0088429D" w:rsidRPr="0088429D" w14:paraId="7FA5A938" w14:textId="77777777" w:rsidTr="0088429D">
        <w:trPr>
          <w:trHeight w:val="1048"/>
        </w:trPr>
        <w:tc>
          <w:tcPr>
            <w:tcW w:w="425" w:type="dxa"/>
            <w:tcBorders>
              <w:left w:val="single" w:sz="4" w:space="0" w:color="auto"/>
              <w:right w:val="single" w:sz="4" w:space="0" w:color="auto"/>
            </w:tcBorders>
            <w:shd w:val="clear" w:color="auto" w:fill="auto"/>
          </w:tcPr>
          <w:p w14:paraId="54930B51" w14:textId="77777777" w:rsidR="0088429D" w:rsidRPr="0088429D" w:rsidRDefault="0088429D" w:rsidP="00D74BC1">
            <w:pPr>
              <w:pStyle w:val="DHHSbody"/>
              <w:numPr>
                <w:ilvl w:val="0"/>
                <w:numId w:val="14"/>
              </w:numPr>
            </w:pPr>
          </w:p>
        </w:tc>
        <w:tc>
          <w:tcPr>
            <w:tcW w:w="7031" w:type="dxa"/>
            <w:tcBorders>
              <w:left w:val="single" w:sz="4" w:space="0" w:color="auto"/>
              <w:right w:val="single" w:sz="4" w:space="0" w:color="auto"/>
            </w:tcBorders>
            <w:shd w:val="clear" w:color="auto" w:fill="auto"/>
            <w:tcMar>
              <w:left w:w="85" w:type="dxa"/>
              <w:right w:w="85" w:type="dxa"/>
            </w:tcMar>
          </w:tcPr>
          <w:p w14:paraId="2826015D" w14:textId="77777777" w:rsidR="0088429D" w:rsidRPr="0088429D" w:rsidRDefault="0088429D" w:rsidP="0088429D">
            <w:pPr>
              <w:pStyle w:val="DHHSbody"/>
            </w:pPr>
            <w:r w:rsidRPr="0088429D">
              <w:t xml:space="preserve">Staff documentation education </w:t>
            </w:r>
          </w:p>
          <w:p w14:paraId="550F0594" w14:textId="77777777" w:rsidR="0088429D" w:rsidRPr="0088429D" w:rsidRDefault="0088429D" w:rsidP="00D74BC1">
            <w:pPr>
              <w:pStyle w:val="DHHSbody"/>
              <w:numPr>
                <w:ilvl w:val="0"/>
                <w:numId w:val="13"/>
              </w:numPr>
            </w:pPr>
            <w:r w:rsidRPr="0088429D">
              <w:t>Hospital transfer form</w:t>
            </w:r>
          </w:p>
          <w:p w14:paraId="3C55F2D5" w14:textId="741DB0D3" w:rsidR="0088429D" w:rsidRPr="0088429D" w:rsidRDefault="0088429D" w:rsidP="00D74BC1">
            <w:pPr>
              <w:pStyle w:val="DHHSbody"/>
              <w:numPr>
                <w:ilvl w:val="0"/>
                <w:numId w:val="13"/>
              </w:numPr>
            </w:pPr>
            <w:r w:rsidRPr="0088429D">
              <w:t xml:space="preserve">Data entered on </w:t>
            </w:r>
            <w:r w:rsidR="009316D5">
              <w:t>birthing outcomes system</w:t>
            </w:r>
          </w:p>
          <w:p w14:paraId="485196B7" w14:textId="77777777" w:rsidR="0088429D" w:rsidRPr="0088429D" w:rsidRDefault="0088429D" w:rsidP="00D74BC1">
            <w:pPr>
              <w:pStyle w:val="DHHSbody"/>
              <w:numPr>
                <w:ilvl w:val="0"/>
                <w:numId w:val="13"/>
              </w:numPr>
            </w:pPr>
            <w:r w:rsidRPr="0088429D">
              <w:t>Recording of observations as per hospital procedures</w:t>
            </w:r>
          </w:p>
          <w:p w14:paraId="7D0FD34D" w14:textId="77777777" w:rsidR="0088429D" w:rsidRPr="0088429D" w:rsidRDefault="0088429D" w:rsidP="00D74BC1">
            <w:pPr>
              <w:pStyle w:val="DHHSbody"/>
              <w:numPr>
                <w:ilvl w:val="0"/>
                <w:numId w:val="13"/>
              </w:numPr>
            </w:pPr>
            <w:r w:rsidRPr="0088429D">
              <w:t xml:space="preserve">Fluid balance chart </w:t>
            </w:r>
          </w:p>
          <w:p w14:paraId="632A3598" w14:textId="4750067E" w:rsidR="0088429D" w:rsidRPr="0088429D" w:rsidRDefault="0088429D" w:rsidP="00D74BC1">
            <w:pPr>
              <w:pStyle w:val="DHHSbody"/>
              <w:numPr>
                <w:ilvl w:val="0"/>
                <w:numId w:val="13"/>
              </w:numPr>
            </w:pPr>
            <w:r w:rsidRPr="0088429D">
              <w:t>Code Pink – document time of MET attendance, actions, handover to theatre. Stand down only when Bakri balloon inserted.</w:t>
            </w:r>
          </w:p>
          <w:p w14:paraId="6556F58A" w14:textId="77777777" w:rsidR="0088429D" w:rsidRPr="0088429D" w:rsidRDefault="0088429D" w:rsidP="00D74BC1">
            <w:pPr>
              <w:pStyle w:val="DHHSbody"/>
              <w:numPr>
                <w:ilvl w:val="0"/>
                <w:numId w:val="13"/>
              </w:numPr>
            </w:pPr>
            <w:r w:rsidRPr="0088429D">
              <w:t>Blood transfusion documentation in theatre – to be on anaesthetic chart and fluid balance chart</w:t>
            </w:r>
          </w:p>
        </w:tc>
        <w:tc>
          <w:tcPr>
            <w:tcW w:w="2268" w:type="dxa"/>
            <w:tcBorders>
              <w:left w:val="single" w:sz="4" w:space="0" w:color="auto"/>
              <w:right w:val="single" w:sz="4" w:space="0" w:color="auto"/>
            </w:tcBorders>
            <w:shd w:val="clear" w:color="auto" w:fill="auto"/>
            <w:tcMar>
              <w:left w:w="85" w:type="dxa"/>
              <w:right w:w="85" w:type="dxa"/>
            </w:tcMar>
          </w:tcPr>
          <w:p w14:paraId="5416897F" w14:textId="77777777" w:rsidR="0088429D" w:rsidRPr="0088429D" w:rsidRDefault="0088429D" w:rsidP="0088429D">
            <w:pPr>
              <w:pStyle w:val="DHHSbody"/>
            </w:pPr>
            <w:r w:rsidRPr="0088429D">
              <w:t>Weak</w:t>
            </w:r>
          </w:p>
        </w:tc>
      </w:tr>
      <w:tr w:rsidR="0088429D" w:rsidRPr="0088429D" w14:paraId="0FD973DF" w14:textId="77777777" w:rsidTr="0088429D">
        <w:trPr>
          <w:trHeight w:val="728"/>
        </w:trPr>
        <w:tc>
          <w:tcPr>
            <w:tcW w:w="425" w:type="dxa"/>
            <w:tcBorders>
              <w:left w:val="single" w:sz="4" w:space="0" w:color="auto"/>
              <w:right w:val="single" w:sz="4" w:space="0" w:color="auto"/>
            </w:tcBorders>
            <w:shd w:val="clear" w:color="auto" w:fill="auto"/>
          </w:tcPr>
          <w:p w14:paraId="1159D29E" w14:textId="77777777" w:rsidR="0088429D" w:rsidRPr="0088429D" w:rsidRDefault="0088429D" w:rsidP="00D74BC1">
            <w:pPr>
              <w:pStyle w:val="DHHSbody"/>
              <w:numPr>
                <w:ilvl w:val="0"/>
                <w:numId w:val="14"/>
              </w:numPr>
            </w:pPr>
          </w:p>
        </w:tc>
        <w:tc>
          <w:tcPr>
            <w:tcW w:w="7031" w:type="dxa"/>
            <w:tcBorders>
              <w:left w:val="single" w:sz="4" w:space="0" w:color="auto"/>
              <w:right w:val="single" w:sz="4" w:space="0" w:color="auto"/>
            </w:tcBorders>
            <w:shd w:val="clear" w:color="auto" w:fill="auto"/>
            <w:tcMar>
              <w:left w:w="85" w:type="dxa"/>
              <w:right w:w="85" w:type="dxa"/>
            </w:tcMar>
          </w:tcPr>
          <w:p w14:paraId="3DF1A1E2" w14:textId="6415E531" w:rsidR="0088429D" w:rsidRPr="0088429D" w:rsidRDefault="0088429D" w:rsidP="0088429D">
            <w:pPr>
              <w:pStyle w:val="DHHSbody"/>
            </w:pPr>
            <w:r w:rsidRPr="0088429D">
              <w:t>Complete postpartum haemorrhage checklist</w:t>
            </w:r>
          </w:p>
        </w:tc>
        <w:tc>
          <w:tcPr>
            <w:tcW w:w="2268" w:type="dxa"/>
            <w:tcBorders>
              <w:left w:val="single" w:sz="4" w:space="0" w:color="auto"/>
              <w:right w:val="single" w:sz="4" w:space="0" w:color="auto"/>
            </w:tcBorders>
            <w:shd w:val="clear" w:color="auto" w:fill="auto"/>
            <w:tcMar>
              <w:left w:w="85" w:type="dxa"/>
              <w:right w:w="85" w:type="dxa"/>
            </w:tcMar>
          </w:tcPr>
          <w:p w14:paraId="79DC3490" w14:textId="77777777" w:rsidR="0088429D" w:rsidRPr="0088429D" w:rsidRDefault="0088429D" w:rsidP="0088429D">
            <w:pPr>
              <w:pStyle w:val="DHHSbody"/>
            </w:pPr>
            <w:r w:rsidRPr="0088429D">
              <w:t>Moderate</w:t>
            </w:r>
          </w:p>
        </w:tc>
      </w:tr>
      <w:tr w:rsidR="0088429D" w:rsidRPr="0088429D" w14:paraId="2B34F5CA" w14:textId="77777777" w:rsidTr="0088429D">
        <w:trPr>
          <w:trHeight w:val="839"/>
        </w:trPr>
        <w:tc>
          <w:tcPr>
            <w:tcW w:w="425" w:type="dxa"/>
            <w:tcBorders>
              <w:left w:val="single" w:sz="4" w:space="0" w:color="auto"/>
              <w:right w:val="single" w:sz="4" w:space="0" w:color="auto"/>
            </w:tcBorders>
            <w:shd w:val="clear" w:color="auto" w:fill="auto"/>
          </w:tcPr>
          <w:p w14:paraId="243EF9B8" w14:textId="77777777" w:rsidR="0088429D" w:rsidRPr="0088429D" w:rsidRDefault="0088429D" w:rsidP="00D74BC1">
            <w:pPr>
              <w:pStyle w:val="DHHSbody"/>
              <w:numPr>
                <w:ilvl w:val="0"/>
                <w:numId w:val="14"/>
              </w:numPr>
            </w:pPr>
          </w:p>
        </w:tc>
        <w:tc>
          <w:tcPr>
            <w:tcW w:w="7031" w:type="dxa"/>
            <w:tcBorders>
              <w:left w:val="single" w:sz="4" w:space="0" w:color="auto"/>
              <w:right w:val="single" w:sz="4" w:space="0" w:color="auto"/>
            </w:tcBorders>
            <w:shd w:val="clear" w:color="auto" w:fill="auto"/>
            <w:tcMar>
              <w:left w:w="85" w:type="dxa"/>
              <w:right w:w="85" w:type="dxa"/>
            </w:tcMar>
          </w:tcPr>
          <w:p w14:paraId="1EFEDB2B" w14:textId="37066557" w:rsidR="0088429D" w:rsidRPr="0088429D" w:rsidRDefault="0088429D" w:rsidP="0088429D">
            <w:pPr>
              <w:pStyle w:val="DHHSbody"/>
            </w:pPr>
            <w:r w:rsidRPr="0088429D">
              <w:t>Develop process for open disclosure and/or debrief for patients experiencing a major event and transfer. Include who will take responsibility for initiating the process</w:t>
            </w:r>
          </w:p>
        </w:tc>
        <w:tc>
          <w:tcPr>
            <w:tcW w:w="2268" w:type="dxa"/>
            <w:tcBorders>
              <w:left w:val="single" w:sz="4" w:space="0" w:color="auto"/>
              <w:right w:val="single" w:sz="4" w:space="0" w:color="auto"/>
            </w:tcBorders>
            <w:shd w:val="clear" w:color="auto" w:fill="auto"/>
            <w:tcMar>
              <w:left w:w="85" w:type="dxa"/>
              <w:right w:w="85" w:type="dxa"/>
            </w:tcMar>
          </w:tcPr>
          <w:p w14:paraId="322AB380" w14:textId="77777777" w:rsidR="0088429D" w:rsidRPr="0088429D" w:rsidRDefault="0088429D" w:rsidP="0088429D">
            <w:pPr>
              <w:pStyle w:val="DHHSbody"/>
            </w:pPr>
            <w:r w:rsidRPr="0088429D">
              <w:t>Weak</w:t>
            </w:r>
          </w:p>
        </w:tc>
      </w:tr>
    </w:tbl>
    <w:p w14:paraId="7640AB27" w14:textId="77777777" w:rsidR="0088429D" w:rsidRPr="0088429D" w:rsidRDefault="0088429D" w:rsidP="005B6D53">
      <w:pPr>
        <w:pStyle w:val="Heading2"/>
      </w:pPr>
      <w:bookmarkStart w:id="28" w:name="_Toc46304655"/>
      <w:r w:rsidRPr="0088429D">
        <w:t>Near miss</w:t>
      </w:r>
      <w:bookmarkEnd w:id="28"/>
      <w:r w:rsidRPr="0088429D">
        <w:t xml:space="preserve"> </w:t>
      </w:r>
    </w:p>
    <w:p w14:paraId="29F2F4E6" w14:textId="5B11E58F" w:rsidR="0088429D" w:rsidRPr="0088429D" w:rsidRDefault="0088429D" w:rsidP="0088429D">
      <w:pPr>
        <w:pStyle w:val="DHHSbody"/>
      </w:pPr>
      <w:r w:rsidRPr="0088429D">
        <w:t>In FY19</w:t>
      </w:r>
      <w:r w:rsidR="00FA4CA0">
        <w:t>,</w:t>
      </w:r>
      <w:r w:rsidRPr="0088429D">
        <w:t xml:space="preserve"> there were 10 reports validated as near</w:t>
      </w:r>
      <w:r w:rsidR="007F664A">
        <w:t xml:space="preserve"> </w:t>
      </w:r>
      <w:r w:rsidRPr="0088429D">
        <w:t>miss events.</w:t>
      </w:r>
    </w:p>
    <w:p w14:paraId="68A9ED99" w14:textId="459C3AEB" w:rsidR="0088429D" w:rsidRPr="0088429D" w:rsidRDefault="0088429D" w:rsidP="0088429D">
      <w:pPr>
        <w:pStyle w:val="DHHSbody"/>
      </w:pPr>
      <w:r w:rsidRPr="0088429D">
        <w:t xml:space="preserve">The types of reports are shown in Table </w:t>
      </w:r>
      <w:r w:rsidR="00006922" w:rsidRPr="0088429D">
        <w:t>1</w:t>
      </w:r>
      <w:r w:rsidR="00006922">
        <w:t>8</w:t>
      </w:r>
      <w:r w:rsidRPr="0088429D">
        <w:t xml:space="preserve">. There were a number of events reported as a near miss that on review were changed to IBCT. Although the units were compatible and intended for the patients who received them, there were serious missed opportunities to address errors in identification that could have resulted, in other circumstances, </w:t>
      </w:r>
      <w:r w:rsidR="00FA4CA0">
        <w:t>in</w:t>
      </w:r>
      <w:r w:rsidR="00FA4CA0" w:rsidRPr="0088429D">
        <w:t xml:space="preserve"> </w:t>
      </w:r>
      <w:r w:rsidRPr="0088429D">
        <w:t>an incompatible transfusion being administered. The updated STIR reporting guide for 2020 will address these issues to make it clearer how to report these types of events based on whether a transfusion has commenced or not.</w:t>
      </w:r>
    </w:p>
    <w:p w14:paraId="5A0D02D0" w14:textId="77676BB5" w:rsidR="0088429D" w:rsidRPr="0088429D" w:rsidRDefault="0088429D" w:rsidP="00810F57">
      <w:pPr>
        <w:pStyle w:val="DHHStablecaption"/>
      </w:pPr>
      <w:r w:rsidRPr="0088429D">
        <w:lastRenderedPageBreak/>
        <w:t xml:space="preserve">Table </w:t>
      </w:r>
      <w:r w:rsidR="00FB0A81" w:rsidRPr="0088429D">
        <w:t>1</w:t>
      </w:r>
      <w:r w:rsidR="00FB0A81">
        <w:t>8</w:t>
      </w:r>
      <w:r w:rsidRPr="0088429D">
        <w:t>: Types of near</w:t>
      </w:r>
      <w:r w:rsidR="007F664A">
        <w:t xml:space="preserve"> </w:t>
      </w:r>
      <w:r w:rsidRPr="0088429D">
        <w:t>miss events received by STIR in FY19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1839"/>
      </w:tblGrid>
      <w:tr w:rsidR="0088429D" w:rsidRPr="0088429D" w14:paraId="1A99CAC8" w14:textId="77777777" w:rsidTr="0088429D">
        <w:trPr>
          <w:tblHeader/>
        </w:trPr>
        <w:tc>
          <w:tcPr>
            <w:tcW w:w="0" w:type="auto"/>
            <w:shd w:val="clear" w:color="auto" w:fill="auto"/>
            <w:hideMark/>
          </w:tcPr>
          <w:p w14:paraId="4031C58C" w14:textId="77777777" w:rsidR="0088429D" w:rsidRPr="0088429D" w:rsidRDefault="0088429D" w:rsidP="0088429D">
            <w:pPr>
              <w:pStyle w:val="DHHSbody"/>
              <w:rPr>
                <w:b/>
              </w:rPr>
            </w:pPr>
            <w:r w:rsidRPr="0088429D">
              <w:rPr>
                <w:b/>
              </w:rPr>
              <w:t>Category</w:t>
            </w:r>
          </w:p>
        </w:tc>
        <w:tc>
          <w:tcPr>
            <w:tcW w:w="0" w:type="auto"/>
            <w:shd w:val="clear" w:color="auto" w:fill="auto"/>
            <w:hideMark/>
          </w:tcPr>
          <w:p w14:paraId="5074597C" w14:textId="77777777" w:rsidR="0088429D" w:rsidRPr="0088429D" w:rsidRDefault="0088429D" w:rsidP="0088429D">
            <w:pPr>
              <w:pStyle w:val="DHHSbody"/>
              <w:rPr>
                <w:b/>
              </w:rPr>
            </w:pPr>
            <w:r w:rsidRPr="0088429D">
              <w:rPr>
                <w:b/>
              </w:rPr>
              <w:t>Number reported</w:t>
            </w:r>
          </w:p>
        </w:tc>
      </w:tr>
      <w:tr w:rsidR="0088429D" w:rsidRPr="0088429D" w14:paraId="43BD39B0" w14:textId="77777777" w:rsidTr="0088429D">
        <w:tc>
          <w:tcPr>
            <w:tcW w:w="0" w:type="auto"/>
            <w:shd w:val="clear" w:color="auto" w:fill="auto"/>
          </w:tcPr>
          <w:p w14:paraId="1905213E" w14:textId="77777777" w:rsidR="0088429D" w:rsidRPr="0088429D" w:rsidRDefault="0088429D" w:rsidP="0088429D">
            <w:pPr>
              <w:pStyle w:val="DHHSbody"/>
            </w:pPr>
            <w:r w:rsidRPr="0088429D">
              <w:t>Inappropriate component issued</w:t>
            </w:r>
          </w:p>
        </w:tc>
        <w:tc>
          <w:tcPr>
            <w:tcW w:w="0" w:type="auto"/>
            <w:shd w:val="clear" w:color="auto" w:fill="auto"/>
          </w:tcPr>
          <w:p w14:paraId="74D8FF0B" w14:textId="77777777" w:rsidR="0088429D" w:rsidRPr="0088429D" w:rsidRDefault="0088429D" w:rsidP="00F1796C">
            <w:pPr>
              <w:pStyle w:val="DHHSbody"/>
              <w:jc w:val="right"/>
            </w:pPr>
            <w:r w:rsidRPr="0088429D">
              <w:t>2</w:t>
            </w:r>
          </w:p>
        </w:tc>
      </w:tr>
      <w:tr w:rsidR="0088429D" w:rsidRPr="0088429D" w14:paraId="1863A7A0" w14:textId="77777777" w:rsidTr="0088429D">
        <w:tc>
          <w:tcPr>
            <w:tcW w:w="0" w:type="auto"/>
            <w:shd w:val="clear" w:color="auto" w:fill="auto"/>
          </w:tcPr>
          <w:p w14:paraId="4D5AF5F8" w14:textId="77777777" w:rsidR="0088429D" w:rsidRPr="0088429D" w:rsidRDefault="0088429D" w:rsidP="0088429D">
            <w:pPr>
              <w:pStyle w:val="DHHSbody"/>
            </w:pPr>
            <w:r w:rsidRPr="0088429D">
              <w:t>Labelling/documentation</w:t>
            </w:r>
          </w:p>
        </w:tc>
        <w:tc>
          <w:tcPr>
            <w:tcW w:w="0" w:type="auto"/>
            <w:shd w:val="clear" w:color="auto" w:fill="auto"/>
          </w:tcPr>
          <w:p w14:paraId="359B0D8D" w14:textId="77777777" w:rsidR="0088429D" w:rsidRPr="0088429D" w:rsidRDefault="0088429D" w:rsidP="00F1796C">
            <w:pPr>
              <w:pStyle w:val="DHHSbody"/>
              <w:jc w:val="right"/>
            </w:pPr>
            <w:r w:rsidRPr="0088429D">
              <w:t>1</w:t>
            </w:r>
          </w:p>
        </w:tc>
      </w:tr>
      <w:tr w:rsidR="0088429D" w:rsidRPr="0088429D" w14:paraId="3A803E41" w14:textId="77777777" w:rsidTr="0088429D">
        <w:tc>
          <w:tcPr>
            <w:tcW w:w="0" w:type="auto"/>
            <w:shd w:val="clear" w:color="auto" w:fill="auto"/>
          </w:tcPr>
          <w:p w14:paraId="422270F4" w14:textId="77777777" w:rsidR="0088429D" w:rsidRPr="0088429D" w:rsidRDefault="0088429D" w:rsidP="0088429D">
            <w:pPr>
              <w:pStyle w:val="DHHSbody"/>
            </w:pPr>
            <w:r w:rsidRPr="0088429D">
              <w:t>Laboratory</w:t>
            </w:r>
          </w:p>
        </w:tc>
        <w:tc>
          <w:tcPr>
            <w:tcW w:w="0" w:type="auto"/>
            <w:shd w:val="clear" w:color="auto" w:fill="auto"/>
          </w:tcPr>
          <w:p w14:paraId="3E541396" w14:textId="77777777" w:rsidR="0088429D" w:rsidRPr="0088429D" w:rsidRDefault="0088429D" w:rsidP="00F1796C">
            <w:pPr>
              <w:pStyle w:val="DHHSbody"/>
              <w:jc w:val="right"/>
            </w:pPr>
            <w:r w:rsidRPr="0088429D">
              <w:t>3</w:t>
            </w:r>
          </w:p>
        </w:tc>
      </w:tr>
      <w:tr w:rsidR="0088429D" w:rsidRPr="0088429D" w14:paraId="0CB8042C" w14:textId="77777777" w:rsidTr="0088429D">
        <w:tc>
          <w:tcPr>
            <w:tcW w:w="0" w:type="auto"/>
            <w:shd w:val="clear" w:color="auto" w:fill="auto"/>
          </w:tcPr>
          <w:p w14:paraId="64E11881" w14:textId="77777777" w:rsidR="0088429D" w:rsidRPr="0088429D" w:rsidRDefault="0088429D" w:rsidP="0088429D">
            <w:pPr>
              <w:pStyle w:val="DHHSbody"/>
            </w:pPr>
            <w:r w:rsidRPr="0088429D">
              <w:t>Administration</w:t>
            </w:r>
          </w:p>
        </w:tc>
        <w:tc>
          <w:tcPr>
            <w:tcW w:w="0" w:type="auto"/>
            <w:shd w:val="clear" w:color="auto" w:fill="auto"/>
          </w:tcPr>
          <w:p w14:paraId="2A76055A" w14:textId="77777777" w:rsidR="0088429D" w:rsidRPr="0088429D" w:rsidRDefault="0088429D" w:rsidP="00F1796C">
            <w:pPr>
              <w:pStyle w:val="DHHSbody"/>
              <w:jc w:val="right"/>
            </w:pPr>
            <w:r w:rsidRPr="0088429D">
              <w:t>1</w:t>
            </w:r>
          </w:p>
        </w:tc>
      </w:tr>
      <w:tr w:rsidR="0088429D" w:rsidRPr="0088429D" w14:paraId="61E02992" w14:textId="77777777" w:rsidTr="0088429D">
        <w:tc>
          <w:tcPr>
            <w:tcW w:w="0" w:type="auto"/>
            <w:shd w:val="clear" w:color="auto" w:fill="auto"/>
          </w:tcPr>
          <w:p w14:paraId="0A84C17D" w14:textId="77777777" w:rsidR="0088429D" w:rsidRPr="0088429D" w:rsidRDefault="0088429D" w:rsidP="0088429D">
            <w:pPr>
              <w:pStyle w:val="DHHSbody"/>
            </w:pPr>
            <w:r w:rsidRPr="0088429D">
              <w:t>Storage and handling</w:t>
            </w:r>
          </w:p>
        </w:tc>
        <w:tc>
          <w:tcPr>
            <w:tcW w:w="0" w:type="auto"/>
            <w:shd w:val="clear" w:color="auto" w:fill="auto"/>
          </w:tcPr>
          <w:p w14:paraId="21FF800D" w14:textId="77777777" w:rsidR="0088429D" w:rsidRPr="0088429D" w:rsidRDefault="0088429D" w:rsidP="00F1796C">
            <w:pPr>
              <w:pStyle w:val="DHHSbody"/>
              <w:jc w:val="right"/>
            </w:pPr>
            <w:r w:rsidRPr="0088429D">
              <w:t>3</w:t>
            </w:r>
          </w:p>
        </w:tc>
      </w:tr>
    </w:tbl>
    <w:p w14:paraId="51D8EBDF" w14:textId="77777777" w:rsidR="0088429D" w:rsidRPr="0088429D" w:rsidRDefault="0088429D" w:rsidP="00654FAE">
      <w:pPr>
        <w:pStyle w:val="Heading2"/>
      </w:pPr>
      <w:bookmarkStart w:id="29" w:name="_Toc46304656"/>
      <w:r w:rsidRPr="0088429D">
        <w:t>Wrong blood in tube (WBIT)</w:t>
      </w:r>
      <w:bookmarkEnd w:id="29"/>
    </w:p>
    <w:p w14:paraId="09DD9EAF" w14:textId="0E9FCA64" w:rsidR="0088429D" w:rsidRPr="0088429D" w:rsidRDefault="0088429D" w:rsidP="0088429D">
      <w:pPr>
        <w:pStyle w:val="DHHSbody"/>
      </w:pPr>
      <w:r w:rsidRPr="0088429D">
        <w:t xml:space="preserve">There were 21 WBIT reports for FY19. The contributing factors listed by reporters remain similar to previous years, with failed identity check being the main cause (Figure </w:t>
      </w:r>
      <w:r w:rsidR="004B094B">
        <w:t>6</w:t>
      </w:r>
      <w:r w:rsidRPr="0088429D">
        <w:t xml:space="preserve">). Further investigation into why staff do not perform this check correctly may help to identify areas for improvements. </w:t>
      </w:r>
    </w:p>
    <w:p w14:paraId="161D5CCB" w14:textId="23B998B7" w:rsidR="0088429D" w:rsidRPr="0088429D" w:rsidRDefault="0088429D" w:rsidP="0088429D">
      <w:pPr>
        <w:pStyle w:val="DHHSbody"/>
      </w:pPr>
      <w:r w:rsidRPr="0088429D">
        <w:t xml:space="preserve">After several years of a decrease in WBIT events occurring in the emergency department (ED), this report sees a slight increase again (Figure </w:t>
      </w:r>
      <w:r w:rsidR="004B094B">
        <w:t>7</w:t>
      </w:r>
      <w:r w:rsidRPr="0088429D">
        <w:t xml:space="preserve">). The reason for this is not clear. ED and maternity units combined provided </w:t>
      </w:r>
      <w:r w:rsidR="00654FAE">
        <w:t>more than</w:t>
      </w:r>
      <w:r w:rsidR="00654FAE" w:rsidRPr="0088429D">
        <w:t xml:space="preserve"> </w:t>
      </w:r>
      <w:r w:rsidRPr="0088429D">
        <w:t>60 per cent of all WBIT events in this financial year.</w:t>
      </w:r>
    </w:p>
    <w:p w14:paraId="7F7D9A94" w14:textId="06648499" w:rsidR="0088429D" w:rsidRPr="0088429D" w:rsidRDefault="0088429D" w:rsidP="0088429D">
      <w:pPr>
        <w:pStyle w:val="DHHSbody"/>
      </w:pPr>
      <w:r w:rsidRPr="0088429D">
        <w:t>Table 1</w:t>
      </w:r>
      <w:r w:rsidR="00091840">
        <w:t>9</w:t>
      </w:r>
      <w:r w:rsidRPr="0088429D">
        <w:t xml:space="preserve"> lists how these errors are discovered. Most often this occurs prior to testing taking place</w:t>
      </w:r>
      <w:r w:rsidR="00654FAE">
        <w:t>,</w:t>
      </w:r>
      <w:r w:rsidR="00654FAE" w:rsidRPr="0088429D">
        <w:t xml:space="preserve"> </w:t>
      </w:r>
      <w:r w:rsidRPr="0088429D">
        <w:t xml:space="preserve">often when the staff member who took and sent the samples realises an error has occurred. The laboratory finds a significant number also when comparing results </w:t>
      </w:r>
      <w:r w:rsidR="00654FAE">
        <w:t>with</w:t>
      </w:r>
      <w:r w:rsidR="00654FAE" w:rsidRPr="0088429D">
        <w:t xml:space="preserve"> </w:t>
      </w:r>
      <w:r w:rsidRPr="0088429D">
        <w:t>the patient historical record, in the event the patient has a historical record within the health service. This is dependent on the blood groups of the patients being different, some WIBTs will never be detected in the laboratory.</w:t>
      </w:r>
    </w:p>
    <w:p w14:paraId="10A020DF" w14:textId="5B651EE7" w:rsidR="0088429D" w:rsidRPr="0088429D" w:rsidRDefault="0088429D" w:rsidP="005B6D53">
      <w:pPr>
        <w:pStyle w:val="DHHStablecaption"/>
      </w:pPr>
      <w:r w:rsidRPr="0088429D">
        <w:t xml:space="preserve">Figure </w:t>
      </w:r>
      <w:r w:rsidR="004B094B">
        <w:t>6</w:t>
      </w:r>
      <w:r w:rsidRPr="0088429D">
        <w:t>: Factors contributing to WBIT incidents (multiple responses per event) since FY19</w:t>
      </w:r>
    </w:p>
    <w:p w14:paraId="6A19BD49" w14:textId="30EED6FE" w:rsidR="0088429D" w:rsidRPr="0088429D" w:rsidRDefault="004B094B" w:rsidP="0088429D">
      <w:pPr>
        <w:pStyle w:val="DHHSbody"/>
      </w:pPr>
      <w:r>
        <w:rPr>
          <w:noProof/>
          <w:lang w:eastAsia="en-AU"/>
        </w:rPr>
        <w:drawing>
          <wp:inline distT="0" distB="0" distL="0" distR="0" wp14:anchorId="55BAA9D6" wp14:editId="37228A46">
            <wp:extent cx="5346700" cy="4064000"/>
            <wp:effectExtent l="0" t="0" r="635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87F9526" w14:textId="5102D3BC" w:rsidR="0088429D" w:rsidRPr="0088429D" w:rsidRDefault="0088429D" w:rsidP="005B6D53">
      <w:pPr>
        <w:pStyle w:val="DHHStablecaption"/>
      </w:pPr>
      <w:r w:rsidRPr="0088429D">
        <w:lastRenderedPageBreak/>
        <w:t xml:space="preserve">Figure </w:t>
      </w:r>
      <w:r w:rsidR="004B094B">
        <w:t>7</w:t>
      </w:r>
      <w:r w:rsidRPr="0088429D">
        <w:t>: Where WBIT errors occur</w:t>
      </w:r>
    </w:p>
    <w:p w14:paraId="5189C7C4" w14:textId="35813F29" w:rsidR="0088429D" w:rsidRPr="0088429D" w:rsidRDefault="004B094B" w:rsidP="0088429D">
      <w:pPr>
        <w:pStyle w:val="DHHSbody"/>
      </w:pPr>
      <w:r>
        <w:rPr>
          <w:noProof/>
          <w:lang w:eastAsia="en-AU"/>
        </w:rPr>
        <w:drawing>
          <wp:inline distT="0" distB="0" distL="0" distR="0" wp14:anchorId="3A60D200" wp14:editId="3EEBF591">
            <wp:extent cx="4768850" cy="2657475"/>
            <wp:effectExtent l="0" t="0" r="1270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DC198E0" w14:textId="401A3F2A" w:rsidR="0088429D" w:rsidRPr="0088429D" w:rsidRDefault="0088429D" w:rsidP="005B6D53">
      <w:pPr>
        <w:pStyle w:val="DHHStablecaption"/>
      </w:pPr>
      <w:r w:rsidRPr="0088429D">
        <w:t xml:space="preserve">Table </w:t>
      </w:r>
      <w:r w:rsidR="00FB0A81" w:rsidRPr="0088429D">
        <w:t>1</w:t>
      </w:r>
      <w:r w:rsidR="00FB0A81">
        <w:t>9</w:t>
      </w:r>
      <w:r w:rsidR="005B6D53">
        <w:t>:</w:t>
      </w:r>
      <w:r w:rsidRPr="0088429D">
        <w:t xml:space="preserve"> How the WBIT was discovered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1583"/>
        <w:gridCol w:w="1583"/>
      </w:tblGrid>
      <w:tr w:rsidR="0088429D" w:rsidRPr="0088429D" w14:paraId="18FE4922" w14:textId="77777777" w:rsidTr="0088429D">
        <w:trPr>
          <w:tblHeader/>
        </w:trPr>
        <w:tc>
          <w:tcPr>
            <w:tcW w:w="4621" w:type="dxa"/>
            <w:shd w:val="clear" w:color="auto" w:fill="auto"/>
          </w:tcPr>
          <w:p w14:paraId="771287B6" w14:textId="77777777" w:rsidR="0088429D" w:rsidRPr="0088429D" w:rsidRDefault="0088429D" w:rsidP="0088429D">
            <w:pPr>
              <w:pStyle w:val="DHHSbody"/>
              <w:rPr>
                <w:b/>
              </w:rPr>
            </w:pPr>
            <w:r w:rsidRPr="0088429D">
              <w:rPr>
                <w:b/>
              </w:rPr>
              <w:t>Category</w:t>
            </w:r>
          </w:p>
        </w:tc>
        <w:tc>
          <w:tcPr>
            <w:tcW w:w="1583" w:type="dxa"/>
            <w:shd w:val="clear" w:color="auto" w:fill="auto"/>
          </w:tcPr>
          <w:p w14:paraId="1CED561E" w14:textId="77777777" w:rsidR="0088429D" w:rsidRPr="0088429D" w:rsidRDefault="0088429D" w:rsidP="0088429D">
            <w:pPr>
              <w:pStyle w:val="DHHSbody"/>
              <w:rPr>
                <w:b/>
              </w:rPr>
            </w:pPr>
            <w:r w:rsidRPr="0088429D">
              <w:rPr>
                <w:b/>
              </w:rPr>
              <w:t xml:space="preserve">Number </w:t>
            </w:r>
          </w:p>
        </w:tc>
        <w:tc>
          <w:tcPr>
            <w:tcW w:w="1583" w:type="dxa"/>
            <w:shd w:val="clear" w:color="auto" w:fill="auto"/>
          </w:tcPr>
          <w:p w14:paraId="580D8042" w14:textId="77777777" w:rsidR="0088429D" w:rsidRPr="0088429D" w:rsidRDefault="0088429D" w:rsidP="0088429D">
            <w:pPr>
              <w:pStyle w:val="DHHSbody"/>
              <w:rPr>
                <w:b/>
              </w:rPr>
            </w:pPr>
            <w:r w:rsidRPr="0088429D">
              <w:rPr>
                <w:b/>
              </w:rPr>
              <w:t>Percentage (%)</w:t>
            </w:r>
          </w:p>
        </w:tc>
      </w:tr>
      <w:tr w:rsidR="0088429D" w:rsidRPr="0088429D" w14:paraId="7642E60B" w14:textId="77777777" w:rsidTr="0088429D">
        <w:tc>
          <w:tcPr>
            <w:tcW w:w="4621" w:type="dxa"/>
            <w:shd w:val="clear" w:color="auto" w:fill="auto"/>
          </w:tcPr>
          <w:p w14:paraId="6E485911" w14:textId="77777777" w:rsidR="0088429D" w:rsidRPr="0088429D" w:rsidRDefault="0088429D" w:rsidP="0088429D">
            <w:pPr>
              <w:pStyle w:val="DHHSbody"/>
            </w:pPr>
            <w:r w:rsidRPr="0088429D">
              <w:t>Recognised prior to testing</w:t>
            </w:r>
          </w:p>
        </w:tc>
        <w:tc>
          <w:tcPr>
            <w:tcW w:w="1583" w:type="dxa"/>
            <w:shd w:val="clear" w:color="auto" w:fill="auto"/>
            <w:vAlign w:val="center"/>
          </w:tcPr>
          <w:p w14:paraId="688DD876" w14:textId="77777777" w:rsidR="0088429D" w:rsidRPr="0088429D" w:rsidRDefault="0088429D" w:rsidP="00F1796C">
            <w:pPr>
              <w:pStyle w:val="DHHSbody"/>
              <w:jc w:val="right"/>
            </w:pPr>
            <w:r w:rsidRPr="0088429D">
              <w:t>12</w:t>
            </w:r>
          </w:p>
        </w:tc>
        <w:tc>
          <w:tcPr>
            <w:tcW w:w="1583" w:type="dxa"/>
            <w:shd w:val="clear" w:color="auto" w:fill="auto"/>
            <w:vAlign w:val="center"/>
          </w:tcPr>
          <w:p w14:paraId="24B6074D" w14:textId="77777777" w:rsidR="0088429D" w:rsidRPr="0088429D" w:rsidRDefault="0088429D" w:rsidP="00F1796C">
            <w:pPr>
              <w:pStyle w:val="DHHSbody"/>
              <w:jc w:val="right"/>
            </w:pPr>
            <w:r w:rsidRPr="0088429D">
              <w:t>57%</w:t>
            </w:r>
          </w:p>
        </w:tc>
      </w:tr>
      <w:tr w:rsidR="0088429D" w:rsidRPr="0088429D" w14:paraId="43D5D22D" w14:textId="77777777" w:rsidTr="0088429D">
        <w:tc>
          <w:tcPr>
            <w:tcW w:w="4621" w:type="dxa"/>
            <w:shd w:val="clear" w:color="auto" w:fill="auto"/>
          </w:tcPr>
          <w:p w14:paraId="7F80225D" w14:textId="77777777" w:rsidR="0088429D" w:rsidRPr="0088429D" w:rsidRDefault="0088429D" w:rsidP="0088429D">
            <w:pPr>
              <w:pStyle w:val="DHHSbody"/>
            </w:pPr>
            <w:r w:rsidRPr="0088429D">
              <w:t>Discrepancy noted when comparing sample results with historical record</w:t>
            </w:r>
          </w:p>
        </w:tc>
        <w:tc>
          <w:tcPr>
            <w:tcW w:w="1583" w:type="dxa"/>
            <w:shd w:val="clear" w:color="auto" w:fill="auto"/>
            <w:vAlign w:val="center"/>
          </w:tcPr>
          <w:p w14:paraId="71B3390D" w14:textId="77777777" w:rsidR="0088429D" w:rsidRPr="0088429D" w:rsidRDefault="0088429D" w:rsidP="00F1796C">
            <w:pPr>
              <w:pStyle w:val="DHHSbody"/>
              <w:jc w:val="right"/>
            </w:pPr>
            <w:r w:rsidRPr="0088429D">
              <w:t>6</w:t>
            </w:r>
          </w:p>
        </w:tc>
        <w:tc>
          <w:tcPr>
            <w:tcW w:w="1583" w:type="dxa"/>
            <w:shd w:val="clear" w:color="auto" w:fill="auto"/>
            <w:vAlign w:val="center"/>
          </w:tcPr>
          <w:p w14:paraId="03A09DE3" w14:textId="77777777" w:rsidR="0088429D" w:rsidRPr="0088429D" w:rsidRDefault="0088429D" w:rsidP="00F1796C">
            <w:pPr>
              <w:pStyle w:val="DHHSbody"/>
              <w:jc w:val="right"/>
            </w:pPr>
            <w:r w:rsidRPr="0088429D">
              <w:t>29%</w:t>
            </w:r>
          </w:p>
        </w:tc>
      </w:tr>
      <w:tr w:rsidR="0088429D" w:rsidRPr="0088429D" w14:paraId="259C2931" w14:textId="77777777" w:rsidTr="0088429D">
        <w:tc>
          <w:tcPr>
            <w:tcW w:w="4621" w:type="dxa"/>
            <w:shd w:val="clear" w:color="auto" w:fill="auto"/>
          </w:tcPr>
          <w:p w14:paraId="7CECD179" w14:textId="77777777" w:rsidR="0088429D" w:rsidRPr="0088429D" w:rsidRDefault="0088429D" w:rsidP="0088429D">
            <w:pPr>
              <w:pStyle w:val="DHHSbody"/>
            </w:pPr>
            <w:r w:rsidRPr="0088429D">
              <w:t>Recognised post testing but prior to issue</w:t>
            </w:r>
          </w:p>
        </w:tc>
        <w:tc>
          <w:tcPr>
            <w:tcW w:w="1583" w:type="dxa"/>
            <w:shd w:val="clear" w:color="auto" w:fill="auto"/>
            <w:vAlign w:val="center"/>
          </w:tcPr>
          <w:p w14:paraId="242D19F3" w14:textId="77777777" w:rsidR="0088429D" w:rsidRPr="0088429D" w:rsidRDefault="0088429D" w:rsidP="00F1796C">
            <w:pPr>
              <w:pStyle w:val="DHHSbody"/>
              <w:jc w:val="right"/>
            </w:pPr>
            <w:r w:rsidRPr="0088429D">
              <w:t>1</w:t>
            </w:r>
          </w:p>
        </w:tc>
        <w:tc>
          <w:tcPr>
            <w:tcW w:w="1583" w:type="dxa"/>
            <w:shd w:val="clear" w:color="auto" w:fill="auto"/>
            <w:vAlign w:val="center"/>
          </w:tcPr>
          <w:p w14:paraId="71495704" w14:textId="77777777" w:rsidR="0088429D" w:rsidRPr="0088429D" w:rsidRDefault="0088429D" w:rsidP="00F1796C">
            <w:pPr>
              <w:pStyle w:val="DHHSbody"/>
              <w:jc w:val="right"/>
            </w:pPr>
            <w:r w:rsidRPr="0088429D">
              <w:t>5%</w:t>
            </w:r>
          </w:p>
        </w:tc>
      </w:tr>
      <w:tr w:rsidR="0088429D" w:rsidRPr="0088429D" w14:paraId="67888C8B" w14:textId="77777777" w:rsidTr="0088429D">
        <w:tc>
          <w:tcPr>
            <w:tcW w:w="4621" w:type="dxa"/>
            <w:shd w:val="clear" w:color="auto" w:fill="auto"/>
          </w:tcPr>
          <w:p w14:paraId="72E516A3" w14:textId="77777777" w:rsidR="0088429D" w:rsidRPr="0088429D" w:rsidRDefault="0088429D" w:rsidP="0088429D">
            <w:pPr>
              <w:pStyle w:val="DHHSbody"/>
            </w:pPr>
            <w:r w:rsidRPr="0088429D">
              <w:t>Significant change in MCV compared with prior testing</w:t>
            </w:r>
          </w:p>
        </w:tc>
        <w:tc>
          <w:tcPr>
            <w:tcW w:w="1583" w:type="dxa"/>
            <w:shd w:val="clear" w:color="auto" w:fill="auto"/>
            <w:vAlign w:val="center"/>
          </w:tcPr>
          <w:p w14:paraId="59A26340" w14:textId="77777777" w:rsidR="0088429D" w:rsidRPr="0088429D" w:rsidRDefault="0088429D" w:rsidP="00F1796C">
            <w:pPr>
              <w:pStyle w:val="DHHSbody"/>
              <w:jc w:val="right"/>
            </w:pPr>
            <w:r w:rsidRPr="0088429D">
              <w:t>-</w:t>
            </w:r>
          </w:p>
        </w:tc>
        <w:tc>
          <w:tcPr>
            <w:tcW w:w="1583" w:type="dxa"/>
            <w:shd w:val="clear" w:color="auto" w:fill="auto"/>
            <w:vAlign w:val="center"/>
          </w:tcPr>
          <w:p w14:paraId="45C667CA" w14:textId="77777777" w:rsidR="0088429D" w:rsidRPr="0088429D" w:rsidRDefault="0088429D" w:rsidP="00F1796C">
            <w:pPr>
              <w:pStyle w:val="DHHSbody"/>
              <w:jc w:val="right"/>
            </w:pPr>
            <w:r w:rsidRPr="0088429D">
              <w:t>-</w:t>
            </w:r>
          </w:p>
        </w:tc>
      </w:tr>
      <w:tr w:rsidR="0088429D" w:rsidRPr="0088429D" w14:paraId="1F842AAD" w14:textId="77777777" w:rsidTr="0088429D">
        <w:tc>
          <w:tcPr>
            <w:tcW w:w="4621" w:type="dxa"/>
            <w:shd w:val="clear" w:color="auto" w:fill="auto"/>
          </w:tcPr>
          <w:p w14:paraId="7C849A5E" w14:textId="77777777" w:rsidR="0088429D" w:rsidRPr="0088429D" w:rsidRDefault="0088429D" w:rsidP="0088429D">
            <w:pPr>
              <w:pStyle w:val="DHHSbody"/>
            </w:pPr>
            <w:r w:rsidRPr="0088429D">
              <w:t>Recognised post issue but prior to transfusion</w:t>
            </w:r>
          </w:p>
        </w:tc>
        <w:tc>
          <w:tcPr>
            <w:tcW w:w="1583" w:type="dxa"/>
            <w:shd w:val="clear" w:color="auto" w:fill="auto"/>
            <w:vAlign w:val="center"/>
          </w:tcPr>
          <w:p w14:paraId="0622FB3E" w14:textId="77777777" w:rsidR="0088429D" w:rsidRPr="0088429D" w:rsidRDefault="0088429D" w:rsidP="00F1796C">
            <w:pPr>
              <w:pStyle w:val="DHHSbody"/>
              <w:jc w:val="right"/>
            </w:pPr>
            <w:r w:rsidRPr="0088429D">
              <w:t>1</w:t>
            </w:r>
          </w:p>
        </w:tc>
        <w:tc>
          <w:tcPr>
            <w:tcW w:w="1583" w:type="dxa"/>
            <w:shd w:val="clear" w:color="auto" w:fill="auto"/>
            <w:vAlign w:val="center"/>
          </w:tcPr>
          <w:p w14:paraId="070D2D01" w14:textId="77777777" w:rsidR="0088429D" w:rsidRPr="0088429D" w:rsidRDefault="0088429D" w:rsidP="00F1796C">
            <w:pPr>
              <w:pStyle w:val="DHHSbody"/>
              <w:jc w:val="right"/>
            </w:pPr>
            <w:r w:rsidRPr="0088429D">
              <w:t>5%</w:t>
            </w:r>
          </w:p>
        </w:tc>
      </w:tr>
      <w:tr w:rsidR="0088429D" w:rsidRPr="0088429D" w14:paraId="279A9E02" w14:textId="77777777" w:rsidTr="0088429D">
        <w:tc>
          <w:tcPr>
            <w:tcW w:w="4621" w:type="dxa"/>
            <w:shd w:val="clear" w:color="auto" w:fill="auto"/>
          </w:tcPr>
          <w:p w14:paraId="2C65E1E0" w14:textId="77777777" w:rsidR="0088429D" w:rsidRPr="0088429D" w:rsidRDefault="0088429D" w:rsidP="0088429D">
            <w:pPr>
              <w:pStyle w:val="DHHSbody"/>
            </w:pPr>
            <w:r w:rsidRPr="0088429D">
              <w:t>Unknown</w:t>
            </w:r>
          </w:p>
        </w:tc>
        <w:tc>
          <w:tcPr>
            <w:tcW w:w="1583" w:type="dxa"/>
            <w:shd w:val="clear" w:color="auto" w:fill="auto"/>
            <w:vAlign w:val="center"/>
          </w:tcPr>
          <w:p w14:paraId="5B971C99" w14:textId="77777777" w:rsidR="0088429D" w:rsidRPr="0088429D" w:rsidRDefault="0088429D" w:rsidP="00F1796C">
            <w:pPr>
              <w:pStyle w:val="DHHSbody"/>
              <w:jc w:val="right"/>
            </w:pPr>
            <w:r w:rsidRPr="0088429D">
              <w:t>1</w:t>
            </w:r>
          </w:p>
        </w:tc>
        <w:tc>
          <w:tcPr>
            <w:tcW w:w="1583" w:type="dxa"/>
            <w:shd w:val="clear" w:color="auto" w:fill="auto"/>
            <w:vAlign w:val="center"/>
          </w:tcPr>
          <w:p w14:paraId="4F310BB2" w14:textId="77777777" w:rsidR="0088429D" w:rsidRPr="0088429D" w:rsidRDefault="0088429D" w:rsidP="00F1796C">
            <w:pPr>
              <w:pStyle w:val="DHHSbody"/>
              <w:jc w:val="right"/>
            </w:pPr>
            <w:r w:rsidRPr="0088429D">
              <w:t>5%</w:t>
            </w:r>
          </w:p>
        </w:tc>
      </w:tr>
      <w:tr w:rsidR="0088429D" w:rsidRPr="0088429D" w14:paraId="21454DC1" w14:textId="77777777" w:rsidTr="0088429D">
        <w:tc>
          <w:tcPr>
            <w:tcW w:w="4621" w:type="dxa"/>
            <w:shd w:val="clear" w:color="auto" w:fill="auto"/>
          </w:tcPr>
          <w:p w14:paraId="71AC6D3E" w14:textId="77777777" w:rsidR="0088429D" w:rsidRPr="0088429D" w:rsidRDefault="0088429D" w:rsidP="0088429D">
            <w:pPr>
              <w:pStyle w:val="DHHSbody"/>
              <w:rPr>
                <w:b/>
              </w:rPr>
            </w:pPr>
            <w:r w:rsidRPr="0088429D">
              <w:rPr>
                <w:b/>
              </w:rPr>
              <w:t>Total incidents</w:t>
            </w:r>
          </w:p>
        </w:tc>
        <w:tc>
          <w:tcPr>
            <w:tcW w:w="1583" w:type="dxa"/>
            <w:shd w:val="clear" w:color="auto" w:fill="auto"/>
            <w:vAlign w:val="center"/>
          </w:tcPr>
          <w:p w14:paraId="7EE7DE67" w14:textId="77777777" w:rsidR="0088429D" w:rsidRPr="0088429D" w:rsidRDefault="0088429D" w:rsidP="00F1796C">
            <w:pPr>
              <w:pStyle w:val="DHHSbody"/>
              <w:jc w:val="right"/>
              <w:rPr>
                <w:b/>
              </w:rPr>
            </w:pPr>
            <w:r w:rsidRPr="0088429D">
              <w:rPr>
                <w:b/>
              </w:rPr>
              <w:t>21</w:t>
            </w:r>
          </w:p>
        </w:tc>
        <w:tc>
          <w:tcPr>
            <w:tcW w:w="1583" w:type="dxa"/>
            <w:shd w:val="clear" w:color="auto" w:fill="auto"/>
            <w:vAlign w:val="center"/>
          </w:tcPr>
          <w:p w14:paraId="204C116D" w14:textId="77777777" w:rsidR="0088429D" w:rsidRPr="0088429D" w:rsidRDefault="0088429D" w:rsidP="00F1796C">
            <w:pPr>
              <w:pStyle w:val="DHHSbody"/>
              <w:jc w:val="right"/>
            </w:pPr>
          </w:p>
        </w:tc>
      </w:tr>
    </w:tbl>
    <w:p w14:paraId="642FBE3D" w14:textId="77777777" w:rsidR="0088429D" w:rsidRPr="0088429D" w:rsidRDefault="0088429D" w:rsidP="00810F57">
      <w:pPr>
        <w:pStyle w:val="Heading3"/>
      </w:pPr>
      <w:r w:rsidRPr="0088429D">
        <w:t>Case study 7: WBIT</w:t>
      </w:r>
    </w:p>
    <w:p w14:paraId="16A22220" w14:textId="7F8A4E46" w:rsidR="0088429D" w:rsidRPr="0088429D" w:rsidRDefault="0088429D" w:rsidP="0088429D">
      <w:pPr>
        <w:pStyle w:val="DHHSbody"/>
      </w:pPr>
      <w:r w:rsidRPr="0088429D">
        <w:t>Bloods were taken in the ED and sent to the laboratory. The specimens met the requirements of the laboratory for acceptance, with the blood bank specimen hand labelled as per policy. The specimens were being processed when the ED staff contacted the laboratory to inform them the blood was collected from a different patient to the stated identity on the specimens and request. All testing was stopped at this point.</w:t>
      </w:r>
    </w:p>
    <w:p w14:paraId="5E8FF8EB" w14:textId="77E9DEA5" w:rsidR="0088429D" w:rsidRPr="0088429D" w:rsidRDefault="0088429D" w:rsidP="00F1796C">
      <w:pPr>
        <w:pStyle w:val="Heading4"/>
      </w:pPr>
      <w:r w:rsidRPr="0088429D">
        <w:t>Comment</w:t>
      </w:r>
    </w:p>
    <w:p w14:paraId="544D411C" w14:textId="7FFCDECF" w:rsidR="0088429D" w:rsidRPr="0088429D" w:rsidRDefault="0088429D" w:rsidP="0088429D">
      <w:pPr>
        <w:pStyle w:val="DHHSbody"/>
      </w:pPr>
      <w:r w:rsidRPr="0088429D">
        <w:t>Despite the use of hand</w:t>
      </w:r>
      <w:r w:rsidR="00186C94">
        <w:t>-</w:t>
      </w:r>
      <w:r w:rsidRPr="0088429D">
        <w:t xml:space="preserve">labelling to try </w:t>
      </w:r>
      <w:r w:rsidR="00186C94">
        <w:t>to</w:t>
      </w:r>
      <w:r w:rsidR="00186C94" w:rsidRPr="0088429D">
        <w:t xml:space="preserve"> </w:t>
      </w:r>
      <w:r w:rsidRPr="0088429D">
        <w:t>reduce the risk of errors when labelling specimens, if the labelling occurs away from the patient side and no direct correlation occurs between the specimen and the patient ID band, errors will still occur.</w:t>
      </w:r>
    </w:p>
    <w:p w14:paraId="32C7C509" w14:textId="52DAF9A5" w:rsidR="0088429D" w:rsidRPr="0088429D" w:rsidRDefault="0088429D" w:rsidP="0088429D">
      <w:pPr>
        <w:pStyle w:val="DHHSbody"/>
      </w:pPr>
      <w:r w:rsidRPr="0088429D">
        <w:t>Use of electronic systems that directly match the ID on the patient band to the ID on the specimen, with labels printed at the patient side</w:t>
      </w:r>
      <w:r w:rsidR="00186C94">
        <w:t xml:space="preserve">, </w:t>
      </w:r>
      <w:r w:rsidRPr="0088429D">
        <w:t xml:space="preserve">assist to further reduce error when used correctly. </w:t>
      </w:r>
    </w:p>
    <w:p w14:paraId="34DEB965" w14:textId="35A803E9" w:rsidR="0088429D" w:rsidRPr="0088429D" w:rsidRDefault="0088429D" w:rsidP="0088429D">
      <w:pPr>
        <w:pStyle w:val="DHHSbody"/>
      </w:pPr>
      <w:r w:rsidRPr="0088429D">
        <w:lastRenderedPageBreak/>
        <w:t xml:space="preserve">Positive patient identification by asking the patient to state their name and date of birth is required to check the correct ID band is on the patient and the details on the request (paper or electronic) match the ID band, </w:t>
      </w:r>
      <w:r w:rsidR="00186C94">
        <w:t>that is,</w:t>
      </w:r>
      <w:r w:rsidRPr="0088429D">
        <w:t xml:space="preserve"> you are taking blood from the correct patient.</w:t>
      </w:r>
    </w:p>
    <w:p w14:paraId="5F7B2A56" w14:textId="7A963702" w:rsidR="0088429D" w:rsidRPr="0088429D" w:rsidRDefault="0088429D" w:rsidP="0088429D">
      <w:pPr>
        <w:pStyle w:val="DHHSbody"/>
      </w:pPr>
      <w:r w:rsidRPr="0088429D">
        <w:t>All systems</w:t>
      </w:r>
      <w:r w:rsidR="00186C94">
        <w:t>,</w:t>
      </w:r>
      <w:r w:rsidRPr="0088429D">
        <w:t xml:space="preserve"> whether electronic or other, require adequate training and re-training of staff to ensure they know how </w:t>
      </w:r>
      <w:r w:rsidR="00186C94">
        <w:t>to perform the</w:t>
      </w:r>
      <w:r w:rsidR="00186C94" w:rsidRPr="0088429D">
        <w:t xml:space="preserve"> </w:t>
      </w:r>
      <w:r w:rsidRPr="0088429D">
        <w:t>procedure and why it is important to follow the steps as set out.</w:t>
      </w:r>
    </w:p>
    <w:p w14:paraId="13140C7F" w14:textId="77777777" w:rsidR="0088429D" w:rsidRPr="0088429D" w:rsidRDefault="0088429D" w:rsidP="005B6D53">
      <w:pPr>
        <w:pStyle w:val="Heading2"/>
      </w:pPr>
      <w:bookmarkStart w:id="30" w:name="_Toc46304657"/>
      <w:proofErr w:type="spellStart"/>
      <w:r w:rsidRPr="0088429D">
        <w:t>RhD</w:t>
      </w:r>
      <w:proofErr w:type="spellEnd"/>
      <w:r w:rsidRPr="0088429D">
        <w:t xml:space="preserve"> immunoglobulin (Ig) administration</w:t>
      </w:r>
      <w:bookmarkEnd w:id="30"/>
    </w:p>
    <w:p w14:paraId="03302328" w14:textId="6FC94A53" w:rsidR="0088429D" w:rsidRPr="0088429D" w:rsidRDefault="0088429D" w:rsidP="005B6D53">
      <w:pPr>
        <w:pStyle w:val="DHHStablecaption"/>
      </w:pPr>
      <w:r w:rsidRPr="0088429D">
        <w:t xml:space="preserve">Table </w:t>
      </w:r>
      <w:r w:rsidR="00FB0A81">
        <w:t>20</w:t>
      </w:r>
      <w:r w:rsidRPr="0088429D">
        <w:t xml:space="preserve">: </w:t>
      </w:r>
      <w:proofErr w:type="spellStart"/>
      <w:r w:rsidRPr="0088429D">
        <w:t>RhD</w:t>
      </w:r>
      <w:proofErr w:type="spellEnd"/>
      <w:r w:rsidRPr="0088429D">
        <w:t xml:space="preserve"> Ig errors – intended administration (n = 13)</w:t>
      </w:r>
    </w:p>
    <w:tbl>
      <w:tblPr>
        <w:tblStyle w:val="TableGrid"/>
        <w:tblW w:w="8330" w:type="dxa"/>
        <w:tblLook w:val="04A0" w:firstRow="1" w:lastRow="0" w:firstColumn="1" w:lastColumn="0" w:noHBand="0" w:noVBand="1"/>
      </w:tblPr>
      <w:tblGrid>
        <w:gridCol w:w="6304"/>
        <w:gridCol w:w="2026"/>
      </w:tblGrid>
      <w:tr w:rsidR="0088429D" w:rsidRPr="0088429D" w14:paraId="46DFAFE5" w14:textId="77777777" w:rsidTr="0088429D">
        <w:trPr>
          <w:tblHeader/>
        </w:trPr>
        <w:tc>
          <w:tcPr>
            <w:tcW w:w="6304" w:type="dxa"/>
          </w:tcPr>
          <w:p w14:paraId="68C15FCA" w14:textId="77777777" w:rsidR="0088429D" w:rsidRPr="0088429D" w:rsidRDefault="0088429D" w:rsidP="0088429D">
            <w:pPr>
              <w:pStyle w:val="DHHSbody"/>
              <w:rPr>
                <w:b/>
              </w:rPr>
            </w:pPr>
            <w:r w:rsidRPr="0088429D">
              <w:rPr>
                <w:b/>
              </w:rPr>
              <w:t>Intended administration</w:t>
            </w:r>
            <w:r w:rsidRPr="0088429D">
              <w:rPr>
                <w:b/>
                <w:vertAlign w:val="superscript"/>
              </w:rPr>
              <w:footnoteReference w:id="6"/>
            </w:r>
          </w:p>
        </w:tc>
        <w:tc>
          <w:tcPr>
            <w:tcW w:w="2026" w:type="dxa"/>
          </w:tcPr>
          <w:p w14:paraId="5D84B34E" w14:textId="77777777" w:rsidR="0088429D" w:rsidRPr="0088429D" w:rsidRDefault="0088429D" w:rsidP="0088429D">
            <w:pPr>
              <w:pStyle w:val="DHHSbody"/>
              <w:rPr>
                <w:b/>
              </w:rPr>
            </w:pPr>
            <w:r w:rsidRPr="0088429D">
              <w:rPr>
                <w:b/>
              </w:rPr>
              <w:t>Number</w:t>
            </w:r>
          </w:p>
        </w:tc>
      </w:tr>
      <w:tr w:rsidR="0088429D" w:rsidRPr="0088429D" w14:paraId="6E45AC9C" w14:textId="77777777" w:rsidTr="0088429D">
        <w:tc>
          <w:tcPr>
            <w:tcW w:w="6304" w:type="dxa"/>
          </w:tcPr>
          <w:p w14:paraId="0E6BC800" w14:textId="77777777" w:rsidR="0088429D" w:rsidRPr="0088429D" w:rsidRDefault="0088429D" w:rsidP="0088429D">
            <w:pPr>
              <w:pStyle w:val="DHHSbody"/>
            </w:pPr>
            <w:r w:rsidRPr="0088429D">
              <w:t>Antenatal prophylaxis</w:t>
            </w:r>
          </w:p>
        </w:tc>
        <w:tc>
          <w:tcPr>
            <w:tcW w:w="2026" w:type="dxa"/>
          </w:tcPr>
          <w:p w14:paraId="57E45960" w14:textId="77777777" w:rsidR="0088429D" w:rsidRPr="0088429D" w:rsidRDefault="0088429D" w:rsidP="00F1796C">
            <w:pPr>
              <w:pStyle w:val="DHHSbody"/>
              <w:jc w:val="right"/>
            </w:pPr>
            <w:r w:rsidRPr="0088429D">
              <w:t>3</w:t>
            </w:r>
          </w:p>
        </w:tc>
      </w:tr>
      <w:tr w:rsidR="0088429D" w:rsidRPr="0088429D" w14:paraId="253C64D8" w14:textId="77777777" w:rsidTr="0088429D">
        <w:tc>
          <w:tcPr>
            <w:tcW w:w="6304" w:type="dxa"/>
          </w:tcPr>
          <w:p w14:paraId="01FBDCBA" w14:textId="77777777" w:rsidR="0088429D" w:rsidRPr="0088429D" w:rsidRDefault="0088429D" w:rsidP="0088429D">
            <w:pPr>
              <w:pStyle w:val="DHHSbody"/>
            </w:pPr>
            <w:r w:rsidRPr="0088429D">
              <w:t>Sensitising event</w:t>
            </w:r>
          </w:p>
        </w:tc>
        <w:tc>
          <w:tcPr>
            <w:tcW w:w="2026" w:type="dxa"/>
          </w:tcPr>
          <w:p w14:paraId="364F8F62" w14:textId="77777777" w:rsidR="0088429D" w:rsidRPr="0088429D" w:rsidRDefault="0088429D" w:rsidP="00F1796C">
            <w:pPr>
              <w:pStyle w:val="DHHSbody"/>
              <w:jc w:val="right"/>
            </w:pPr>
            <w:r w:rsidRPr="0088429D">
              <w:t>6</w:t>
            </w:r>
          </w:p>
        </w:tc>
      </w:tr>
      <w:tr w:rsidR="0088429D" w:rsidRPr="0088429D" w14:paraId="5E413E5E" w14:textId="77777777" w:rsidTr="0088429D">
        <w:tc>
          <w:tcPr>
            <w:tcW w:w="6304" w:type="dxa"/>
          </w:tcPr>
          <w:p w14:paraId="18F56C77" w14:textId="18354312" w:rsidR="0088429D" w:rsidRPr="0088429D" w:rsidRDefault="0088429D" w:rsidP="0088429D">
            <w:pPr>
              <w:pStyle w:val="DHHSbody"/>
            </w:pPr>
            <w:r w:rsidRPr="0088429D">
              <w:t>Postnatal</w:t>
            </w:r>
          </w:p>
        </w:tc>
        <w:tc>
          <w:tcPr>
            <w:tcW w:w="2026" w:type="dxa"/>
          </w:tcPr>
          <w:p w14:paraId="1A4EDB56" w14:textId="77777777" w:rsidR="0088429D" w:rsidRPr="0088429D" w:rsidRDefault="0088429D" w:rsidP="00F1796C">
            <w:pPr>
              <w:pStyle w:val="DHHSbody"/>
              <w:jc w:val="right"/>
            </w:pPr>
            <w:r w:rsidRPr="0088429D">
              <w:t>6</w:t>
            </w:r>
          </w:p>
        </w:tc>
      </w:tr>
    </w:tbl>
    <w:p w14:paraId="649A185E" w14:textId="0E4AE380" w:rsidR="0088429D" w:rsidRPr="0088429D" w:rsidRDefault="0088429D" w:rsidP="00186C94">
      <w:pPr>
        <w:pStyle w:val="DHHStablecaption"/>
      </w:pPr>
      <w:r w:rsidRPr="0088429D">
        <w:t xml:space="preserve">Table </w:t>
      </w:r>
      <w:r w:rsidR="00FB0A81" w:rsidRPr="0088429D">
        <w:t>2</w:t>
      </w:r>
      <w:r w:rsidR="00FB0A81">
        <w:t>1</w:t>
      </w:r>
      <w:r w:rsidRPr="0088429D">
        <w:t xml:space="preserve">: Types of </w:t>
      </w:r>
      <w:proofErr w:type="spellStart"/>
      <w:r w:rsidRPr="0088429D">
        <w:t>RhD</w:t>
      </w:r>
      <w:proofErr w:type="spellEnd"/>
      <w:r w:rsidRPr="0088429D">
        <w:t xml:space="preserve"> Ig </w:t>
      </w:r>
      <w:r w:rsidRPr="00186C94">
        <w:t>incidents</w:t>
      </w:r>
    </w:p>
    <w:tbl>
      <w:tblPr>
        <w:tblStyle w:val="TableGrid"/>
        <w:tblW w:w="8330" w:type="dxa"/>
        <w:tblLook w:val="04A0" w:firstRow="1" w:lastRow="0" w:firstColumn="1" w:lastColumn="0" w:noHBand="0" w:noVBand="1"/>
      </w:tblPr>
      <w:tblGrid>
        <w:gridCol w:w="6387"/>
        <w:gridCol w:w="1943"/>
      </w:tblGrid>
      <w:tr w:rsidR="0088429D" w:rsidRPr="0088429D" w14:paraId="35182A08" w14:textId="77777777" w:rsidTr="0088429D">
        <w:trPr>
          <w:tblHeader/>
        </w:trPr>
        <w:tc>
          <w:tcPr>
            <w:tcW w:w="6387" w:type="dxa"/>
          </w:tcPr>
          <w:p w14:paraId="06A5CAE8" w14:textId="77777777" w:rsidR="0088429D" w:rsidRPr="0088429D" w:rsidRDefault="0088429D" w:rsidP="0088429D">
            <w:pPr>
              <w:pStyle w:val="DHHSbody"/>
              <w:rPr>
                <w:b/>
              </w:rPr>
            </w:pPr>
            <w:r w:rsidRPr="0088429D">
              <w:rPr>
                <w:b/>
              </w:rPr>
              <w:t>Type of incident</w:t>
            </w:r>
          </w:p>
        </w:tc>
        <w:tc>
          <w:tcPr>
            <w:tcW w:w="1943" w:type="dxa"/>
          </w:tcPr>
          <w:p w14:paraId="2165EA51" w14:textId="77777777" w:rsidR="0088429D" w:rsidRPr="0088429D" w:rsidRDefault="0088429D" w:rsidP="0088429D">
            <w:pPr>
              <w:pStyle w:val="DHHSbody"/>
              <w:rPr>
                <w:b/>
              </w:rPr>
            </w:pPr>
            <w:r w:rsidRPr="0088429D">
              <w:rPr>
                <w:b/>
              </w:rPr>
              <w:t>Number</w:t>
            </w:r>
          </w:p>
          <w:p w14:paraId="5DDAFC91" w14:textId="77777777" w:rsidR="0088429D" w:rsidRPr="0088429D" w:rsidRDefault="0088429D" w:rsidP="0088429D">
            <w:pPr>
              <w:pStyle w:val="DHHSbody"/>
              <w:rPr>
                <w:b/>
              </w:rPr>
            </w:pPr>
            <w:r w:rsidRPr="0088429D">
              <w:rPr>
                <w:b/>
              </w:rPr>
              <w:t>(n = 13)</w:t>
            </w:r>
          </w:p>
        </w:tc>
      </w:tr>
      <w:tr w:rsidR="0088429D" w:rsidRPr="0088429D" w14:paraId="58B4C7EE" w14:textId="77777777" w:rsidTr="0088429D">
        <w:tc>
          <w:tcPr>
            <w:tcW w:w="6387" w:type="dxa"/>
          </w:tcPr>
          <w:p w14:paraId="7B114933" w14:textId="77777777" w:rsidR="0088429D" w:rsidRPr="0088429D" w:rsidRDefault="0088429D" w:rsidP="0088429D">
            <w:pPr>
              <w:pStyle w:val="DHHSbody"/>
            </w:pPr>
            <w:r w:rsidRPr="0088429D">
              <w:t>Administered, not required (Rh negative mother with known Rh negative baby)</w:t>
            </w:r>
          </w:p>
        </w:tc>
        <w:tc>
          <w:tcPr>
            <w:tcW w:w="1943" w:type="dxa"/>
          </w:tcPr>
          <w:p w14:paraId="613210A1" w14:textId="77777777" w:rsidR="0088429D" w:rsidRPr="0088429D" w:rsidRDefault="0088429D" w:rsidP="00F1796C">
            <w:pPr>
              <w:pStyle w:val="DHHSbody"/>
              <w:jc w:val="right"/>
            </w:pPr>
            <w:r w:rsidRPr="0088429D">
              <w:t>1 (8%)</w:t>
            </w:r>
          </w:p>
        </w:tc>
      </w:tr>
      <w:tr w:rsidR="0088429D" w:rsidRPr="0088429D" w14:paraId="1978C8C1" w14:textId="77777777" w:rsidTr="0088429D">
        <w:tc>
          <w:tcPr>
            <w:tcW w:w="6387" w:type="dxa"/>
          </w:tcPr>
          <w:p w14:paraId="2A66CE54" w14:textId="77777777" w:rsidR="0088429D" w:rsidRPr="0088429D" w:rsidRDefault="0088429D" w:rsidP="0088429D">
            <w:pPr>
              <w:pStyle w:val="DHHSbody"/>
            </w:pPr>
            <w:r w:rsidRPr="0088429D">
              <w:t>Administered, not required (Rh positive woman)</w:t>
            </w:r>
          </w:p>
        </w:tc>
        <w:tc>
          <w:tcPr>
            <w:tcW w:w="1943" w:type="dxa"/>
          </w:tcPr>
          <w:p w14:paraId="45063053" w14:textId="77777777" w:rsidR="0088429D" w:rsidRPr="0088429D" w:rsidRDefault="0088429D" w:rsidP="00F1796C">
            <w:pPr>
              <w:pStyle w:val="DHHSbody"/>
              <w:jc w:val="right"/>
            </w:pPr>
            <w:r w:rsidRPr="0088429D">
              <w:t>-</w:t>
            </w:r>
          </w:p>
        </w:tc>
      </w:tr>
      <w:tr w:rsidR="0088429D" w:rsidRPr="0088429D" w14:paraId="64EB0581" w14:textId="77777777" w:rsidTr="0088429D">
        <w:tc>
          <w:tcPr>
            <w:tcW w:w="6387" w:type="dxa"/>
          </w:tcPr>
          <w:p w14:paraId="49BA5D78" w14:textId="77777777" w:rsidR="0088429D" w:rsidRPr="0088429D" w:rsidRDefault="0088429D" w:rsidP="0088429D">
            <w:pPr>
              <w:pStyle w:val="DHHSbody"/>
            </w:pPr>
            <w:r w:rsidRPr="0088429D">
              <w:t>Administered, not required (woman with immune Anti-D)</w:t>
            </w:r>
          </w:p>
        </w:tc>
        <w:tc>
          <w:tcPr>
            <w:tcW w:w="1943" w:type="dxa"/>
          </w:tcPr>
          <w:p w14:paraId="0DA097C4" w14:textId="77777777" w:rsidR="0088429D" w:rsidRPr="0088429D" w:rsidRDefault="0088429D" w:rsidP="00F1796C">
            <w:pPr>
              <w:pStyle w:val="DHHSbody"/>
              <w:jc w:val="right"/>
            </w:pPr>
            <w:r w:rsidRPr="0088429D">
              <w:t>-</w:t>
            </w:r>
          </w:p>
        </w:tc>
      </w:tr>
      <w:tr w:rsidR="0088429D" w:rsidRPr="0088429D" w14:paraId="7FA9707A" w14:textId="77777777" w:rsidTr="0088429D">
        <w:tc>
          <w:tcPr>
            <w:tcW w:w="6387" w:type="dxa"/>
          </w:tcPr>
          <w:p w14:paraId="273F14C2" w14:textId="77777777" w:rsidR="0088429D" w:rsidRPr="0088429D" w:rsidRDefault="0088429D" w:rsidP="0088429D">
            <w:pPr>
              <w:pStyle w:val="DHHSbody"/>
            </w:pPr>
            <w:proofErr w:type="spellStart"/>
            <w:r w:rsidRPr="0088429D">
              <w:t>RhD</w:t>
            </w:r>
            <w:proofErr w:type="spellEnd"/>
            <w:r w:rsidRPr="0088429D">
              <w:t xml:space="preserve"> Ig dose omitted </w:t>
            </w:r>
          </w:p>
        </w:tc>
        <w:tc>
          <w:tcPr>
            <w:tcW w:w="1943" w:type="dxa"/>
          </w:tcPr>
          <w:p w14:paraId="3A0C29B9" w14:textId="77777777" w:rsidR="0088429D" w:rsidRPr="0088429D" w:rsidRDefault="0088429D" w:rsidP="00F1796C">
            <w:pPr>
              <w:pStyle w:val="DHHSbody"/>
              <w:jc w:val="right"/>
            </w:pPr>
            <w:r w:rsidRPr="0088429D">
              <w:t>5 (38%)</w:t>
            </w:r>
          </w:p>
        </w:tc>
      </w:tr>
      <w:tr w:rsidR="0088429D" w:rsidRPr="0088429D" w14:paraId="6F112F39" w14:textId="77777777" w:rsidTr="0088429D">
        <w:tc>
          <w:tcPr>
            <w:tcW w:w="6387" w:type="dxa"/>
          </w:tcPr>
          <w:p w14:paraId="224CE318" w14:textId="77777777" w:rsidR="0088429D" w:rsidRPr="0088429D" w:rsidRDefault="0088429D" w:rsidP="0088429D">
            <w:pPr>
              <w:pStyle w:val="DHHSbody"/>
            </w:pPr>
            <w:r w:rsidRPr="0088429D">
              <w:t>Delay in administration (&gt; 72 hours.)</w:t>
            </w:r>
          </w:p>
        </w:tc>
        <w:tc>
          <w:tcPr>
            <w:tcW w:w="1943" w:type="dxa"/>
          </w:tcPr>
          <w:p w14:paraId="7AB0E369" w14:textId="77777777" w:rsidR="0088429D" w:rsidRPr="0088429D" w:rsidRDefault="0088429D" w:rsidP="00F1796C">
            <w:pPr>
              <w:pStyle w:val="DHHSbody"/>
              <w:jc w:val="right"/>
            </w:pPr>
            <w:r w:rsidRPr="0088429D">
              <w:t>2 (15%)</w:t>
            </w:r>
          </w:p>
        </w:tc>
      </w:tr>
      <w:tr w:rsidR="0088429D" w:rsidRPr="0088429D" w14:paraId="3A99690F" w14:textId="77777777" w:rsidTr="0088429D">
        <w:tc>
          <w:tcPr>
            <w:tcW w:w="6387" w:type="dxa"/>
          </w:tcPr>
          <w:p w14:paraId="014D961F" w14:textId="77777777" w:rsidR="0088429D" w:rsidRPr="0088429D" w:rsidRDefault="0088429D" w:rsidP="0088429D">
            <w:pPr>
              <w:pStyle w:val="DHHSbody"/>
            </w:pPr>
            <w:r w:rsidRPr="0088429D">
              <w:t>Wrong or inadequate dose</w:t>
            </w:r>
          </w:p>
        </w:tc>
        <w:tc>
          <w:tcPr>
            <w:tcW w:w="1943" w:type="dxa"/>
          </w:tcPr>
          <w:p w14:paraId="1884D2D8" w14:textId="77777777" w:rsidR="0088429D" w:rsidRPr="0088429D" w:rsidRDefault="0088429D" w:rsidP="00F1796C">
            <w:pPr>
              <w:pStyle w:val="DHHSbody"/>
              <w:jc w:val="right"/>
            </w:pPr>
            <w:r w:rsidRPr="0088429D">
              <w:t>2 (15%)</w:t>
            </w:r>
          </w:p>
        </w:tc>
      </w:tr>
      <w:tr w:rsidR="0088429D" w:rsidRPr="0088429D" w14:paraId="4BDBD8F6" w14:textId="77777777" w:rsidTr="0088429D">
        <w:tc>
          <w:tcPr>
            <w:tcW w:w="6387" w:type="dxa"/>
          </w:tcPr>
          <w:p w14:paraId="2A603975" w14:textId="77777777" w:rsidR="0088429D" w:rsidRPr="0088429D" w:rsidRDefault="0088429D" w:rsidP="0088429D">
            <w:pPr>
              <w:pStyle w:val="DHHSbody"/>
            </w:pPr>
            <w:r w:rsidRPr="0088429D">
              <w:t>Other: released or administered to incorrect patient</w:t>
            </w:r>
          </w:p>
        </w:tc>
        <w:tc>
          <w:tcPr>
            <w:tcW w:w="1943" w:type="dxa"/>
          </w:tcPr>
          <w:p w14:paraId="488906EF" w14:textId="77777777" w:rsidR="0088429D" w:rsidRPr="0088429D" w:rsidRDefault="0088429D" w:rsidP="00F1796C">
            <w:pPr>
              <w:pStyle w:val="DHHSbody"/>
              <w:jc w:val="right"/>
            </w:pPr>
            <w:r w:rsidRPr="0088429D">
              <w:t>3 (23%)</w:t>
            </w:r>
          </w:p>
        </w:tc>
      </w:tr>
    </w:tbl>
    <w:p w14:paraId="6656D3E9" w14:textId="77777777" w:rsidR="0088429D" w:rsidRPr="0088429D" w:rsidRDefault="0088429D" w:rsidP="00810F57">
      <w:pPr>
        <w:pStyle w:val="Heading3"/>
      </w:pPr>
      <w:r w:rsidRPr="0088429D">
        <w:t xml:space="preserve">Case study 8: missed </w:t>
      </w:r>
      <w:proofErr w:type="spellStart"/>
      <w:r w:rsidRPr="0088429D">
        <w:t>RhD</w:t>
      </w:r>
      <w:proofErr w:type="spellEnd"/>
      <w:r w:rsidRPr="0088429D">
        <w:t xml:space="preserve"> immunoglobulin and testing</w:t>
      </w:r>
    </w:p>
    <w:p w14:paraId="2C0C87BC" w14:textId="77777777" w:rsidR="0088429D" w:rsidRPr="0088429D" w:rsidRDefault="0088429D" w:rsidP="0088429D">
      <w:pPr>
        <w:pStyle w:val="DHHSbody"/>
      </w:pPr>
      <w:r w:rsidRPr="0088429D">
        <w:t xml:space="preserve">An </w:t>
      </w:r>
      <w:proofErr w:type="spellStart"/>
      <w:r w:rsidRPr="0088429D">
        <w:t>RhD</w:t>
      </w:r>
      <w:proofErr w:type="spellEnd"/>
      <w:r w:rsidRPr="0088429D">
        <w:t xml:space="preserve"> negative woman delivered twins, both </w:t>
      </w:r>
      <w:proofErr w:type="spellStart"/>
      <w:r w:rsidRPr="0088429D">
        <w:t>RhD</w:t>
      </w:r>
      <w:proofErr w:type="spellEnd"/>
      <w:r w:rsidRPr="0088429D">
        <w:t xml:space="preserve"> positive. At delivery it was found the woman had not received any prophylactic </w:t>
      </w:r>
      <w:proofErr w:type="spellStart"/>
      <w:r w:rsidRPr="0088429D">
        <w:t>RhD</w:t>
      </w:r>
      <w:proofErr w:type="spellEnd"/>
      <w:r w:rsidRPr="0088429D">
        <w:t xml:space="preserve"> immunoglobulin during her pregnancy. It was revealed that although the woman had attended her 28 and 34 week antenatal appointments, the testing for blood group and subsequent prophylaxis did not occur due to the woman not attending for these. There was no follow up with the woman, by medical or midwifery staff to ensure it was done.</w:t>
      </w:r>
    </w:p>
    <w:p w14:paraId="77BFF4F6" w14:textId="7DB7A238" w:rsidR="0088429D" w:rsidRPr="0088429D" w:rsidRDefault="0088429D" w:rsidP="0088429D">
      <w:pPr>
        <w:pStyle w:val="DHHSbody"/>
      </w:pPr>
      <w:r w:rsidRPr="0088429D">
        <w:t>At birth</w:t>
      </w:r>
      <w:r w:rsidR="00186C94">
        <w:t>,</w:t>
      </w:r>
      <w:r w:rsidRPr="0088429D">
        <w:t xml:space="preserve"> both babies had a positive DAT, with anti-</w:t>
      </w:r>
      <w:proofErr w:type="gramStart"/>
      <w:r w:rsidRPr="0088429D">
        <w:t>A</w:t>
      </w:r>
      <w:proofErr w:type="gramEnd"/>
      <w:r w:rsidRPr="0088429D">
        <w:t xml:space="preserve"> eluted and a rising bilirubin, requiring phototherapy. </w:t>
      </w:r>
    </w:p>
    <w:p w14:paraId="1A256E04" w14:textId="77777777" w:rsidR="0088429D" w:rsidRPr="0088429D" w:rsidRDefault="0088429D" w:rsidP="0088429D">
      <w:pPr>
        <w:pStyle w:val="DHHSbody"/>
      </w:pPr>
      <w:r w:rsidRPr="0088429D">
        <w:t>The woman’s anti-D titre was elevated, indicating an immune anti-D had been formed and putting future pregnancies at risk.</w:t>
      </w:r>
    </w:p>
    <w:p w14:paraId="28FA519E" w14:textId="6A066FE7" w:rsidR="0088429D" w:rsidRPr="0088429D" w:rsidRDefault="0088429D" w:rsidP="00F1796C">
      <w:pPr>
        <w:pStyle w:val="Heading4"/>
      </w:pPr>
      <w:r w:rsidRPr="0088429D">
        <w:t>Comment</w:t>
      </w:r>
    </w:p>
    <w:p w14:paraId="2619DCC9" w14:textId="46C32A90" w:rsidR="0088429D" w:rsidRPr="0088429D" w:rsidRDefault="0088429D" w:rsidP="0088429D">
      <w:pPr>
        <w:pStyle w:val="DHHSbody"/>
      </w:pPr>
      <w:r w:rsidRPr="0088429D">
        <w:t xml:space="preserve">It is important that women are appropriately educated to understand the necessity of </w:t>
      </w:r>
      <w:proofErr w:type="spellStart"/>
      <w:r w:rsidRPr="0088429D">
        <w:t>RhD</w:t>
      </w:r>
      <w:proofErr w:type="spellEnd"/>
      <w:r w:rsidRPr="0088429D">
        <w:t xml:space="preserve"> testing and prophylaxis and the risks of not following up on appointments. It is important for staff to follow up on the testing and</w:t>
      </w:r>
      <w:r w:rsidR="00186C94">
        <w:t>,</w:t>
      </w:r>
      <w:r w:rsidRPr="0088429D">
        <w:t xml:space="preserve"> where it has not occurred</w:t>
      </w:r>
      <w:r w:rsidR="00186C94">
        <w:t>,</w:t>
      </w:r>
      <w:r w:rsidRPr="0088429D">
        <w:t xml:space="preserve"> arranging for immediate testing and prophylaxis as required.</w:t>
      </w:r>
    </w:p>
    <w:p w14:paraId="4937E250" w14:textId="77777777" w:rsidR="0088429D" w:rsidRPr="0088429D" w:rsidRDefault="0088429D" w:rsidP="00810F57">
      <w:pPr>
        <w:pStyle w:val="Heading3"/>
      </w:pPr>
      <w:r w:rsidRPr="0088429D">
        <w:lastRenderedPageBreak/>
        <w:t>Case study 9: writing up orders ahead of testing</w:t>
      </w:r>
    </w:p>
    <w:p w14:paraId="7FF1E1FD" w14:textId="77777777" w:rsidR="0088429D" w:rsidRPr="0088429D" w:rsidRDefault="0088429D" w:rsidP="0088429D">
      <w:pPr>
        <w:pStyle w:val="DHHSbody"/>
      </w:pPr>
      <w:r w:rsidRPr="0088429D">
        <w:t xml:space="preserve">An </w:t>
      </w:r>
      <w:proofErr w:type="spellStart"/>
      <w:r w:rsidRPr="0088429D">
        <w:t>RhD</w:t>
      </w:r>
      <w:proofErr w:type="spellEnd"/>
      <w:r w:rsidRPr="0088429D">
        <w:t xml:space="preserve"> negative woman delivered a baby and the medical officer wrote up a dose of </w:t>
      </w:r>
      <w:proofErr w:type="spellStart"/>
      <w:r w:rsidRPr="0088429D">
        <w:t>RhD</w:t>
      </w:r>
      <w:proofErr w:type="spellEnd"/>
      <w:r w:rsidRPr="0088429D">
        <w:t xml:space="preserve"> immunoglobulin in preparation if the infant was </w:t>
      </w:r>
      <w:proofErr w:type="spellStart"/>
      <w:r w:rsidRPr="0088429D">
        <w:t>RhD</w:t>
      </w:r>
      <w:proofErr w:type="spellEnd"/>
      <w:r w:rsidRPr="0088429D">
        <w:t xml:space="preserve"> positive. However, nursing staff found the prescription and gave the </w:t>
      </w:r>
      <w:proofErr w:type="spellStart"/>
      <w:r w:rsidRPr="0088429D">
        <w:t>RhD</w:t>
      </w:r>
      <w:proofErr w:type="spellEnd"/>
      <w:r w:rsidRPr="0088429D">
        <w:t xml:space="preserve"> immunoglobulin without first checking the baby’s blood group, assuming it had been written up to give.</w:t>
      </w:r>
    </w:p>
    <w:p w14:paraId="7D779952" w14:textId="13FFD8EC" w:rsidR="0088429D" w:rsidRPr="0088429D" w:rsidRDefault="0088429D" w:rsidP="00F1796C">
      <w:pPr>
        <w:pStyle w:val="Heading4"/>
      </w:pPr>
      <w:r w:rsidRPr="0088429D">
        <w:t>Comment</w:t>
      </w:r>
    </w:p>
    <w:p w14:paraId="7041ED13" w14:textId="4B1057C9" w:rsidR="0088429D" w:rsidRPr="0088429D" w:rsidRDefault="00186C94" w:rsidP="0088429D">
      <w:pPr>
        <w:pStyle w:val="DHHSbody"/>
      </w:pPr>
      <w:r>
        <w:t>The</w:t>
      </w:r>
      <w:r w:rsidR="0088429D" w:rsidRPr="0088429D">
        <w:t xml:space="preserve"> Blood Matters </w:t>
      </w:r>
      <w:proofErr w:type="spellStart"/>
      <w:r w:rsidR="0088429D" w:rsidRPr="00F1796C">
        <w:rPr>
          <w:i/>
          <w:iCs/>
        </w:rPr>
        <w:t>RhD</w:t>
      </w:r>
      <w:proofErr w:type="spellEnd"/>
      <w:r w:rsidR="0088429D" w:rsidRPr="00F1796C">
        <w:rPr>
          <w:i/>
          <w:iCs/>
        </w:rPr>
        <w:t xml:space="preserve"> immunoglobulin in obstetrics audit </w:t>
      </w:r>
      <w:r w:rsidR="0088429D" w:rsidRPr="0088429D">
        <w:t xml:space="preserve">(2018) noted that a small number of women received inappropriate </w:t>
      </w:r>
      <w:proofErr w:type="spellStart"/>
      <w:r w:rsidR="0088429D" w:rsidRPr="0088429D">
        <w:t>RhD</w:t>
      </w:r>
      <w:proofErr w:type="spellEnd"/>
      <w:r w:rsidR="0088429D" w:rsidRPr="0088429D">
        <w:t xml:space="preserve"> immunoglobulin after delivery of an </w:t>
      </w:r>
      <w:proofErr w:type="spellStart"/>
      <w:r w:rsidR="0088429D" w:rsidRPr="0088429D">
        <w:t>RhD</w:t>
      </w:r>
      <w:proofErr w:type="spellEnd"/>
      <w:r w:rsidR="0088429D" w:rsidRPr="0088429D">
        <w:t xml:space="preserve"> negative infant. </w:t>
      </w:r>
      <w:r w:rsidR="00926FF1" w:rsidRPr="0088429D">
        <w:t>Th</w:t>
      </w:r>
      <w:r w:rsidR="00926FF1">
        <w:t>e</w:t>
      </w:r>
      <w:r w:rsidR="00926FF1" w:rsidRPr="0088429D">
        <w:t xml:space="preserve"> </w:t>
      </w:r>
      <w:r w:rsidR="0088429D" w:rsidRPr="0088429D">
        <w:t xml:space="preserve">practice of writing up the </w:t>
      </w:r>
      <w:proofErr w:type="spellStart"/>
      <w:r w:rsidR="0088429D" w:rsidRPr="0088429D">
        <w:t>RhD</w:t>
      </w:r>
      <w:proofErr w:type="spellEnd"/>
      <w:r w:rsidR="0088429D" w:rsidRPr="0088429D">
        <w:t xml:space="preserve"> immunoglobulin before knowledge of need may contribute to this. It may be seen as a timesaving way of doing things, but it is important that staff confirm the baby’s blood group before administration. Instructions and handover of the order need to occur to prevent inappropriate administration.</w:t>
      </w:r>
    </w:p>
    <w:p w14:paraId="2C30EFB5" w14:textId="77777777" w:rsidR="0088429D" w:rsidRPr="0088429D" w:rsidRDefault="0088429D" w:rsidP="005B6D53">
      <w:pPr>
        <w:pStyle w:val="Heading2"/>
      </w:pPr>
      <w:bookmarkStart w:id="31" w:name="_Toc46304658"/>
      <w:r w:rsidRPr="0088429D">
        <w:t>Cell salvage</w:t>
      </w:r>
      <w:bookmarkEnd w:id="31"/>
    </w:p>
    <w:p w14:paraId="6C68CBB1" w14:textId="77777777" w:rsidR="0088429D" w:rsidRPr="0088429D" w:rsidRDefault="0088429D" w:rsidP="0088429D">
      <w:pPr>
        <w:pStyle w:val="DHHSbody"/>
      </w:pPr>
      <w:r w:rsidRPr="0088429D">
        <w:t>STIR has not received any notifications related to cell salvage.</w:t>
      </w:r>
    </w:p>
    <w:p w14:paraId="0B5B3672" w14:textId="77777777" w:rsidR="0088429D" w:rsidRPr="0088429D" w:rsidRDefault="0088429D" w:rsidP="005B6D53">
      <w:pPr>
        <w:pStyle w:val="Heading2"/>
      </w:pPr>
      <w:bookmarkStart w:id="32" w:name="_Toc46304659"/>
      <w:r w:rsidRPr="0088429D">
        <w:t>Sentinel events</w:t>
      </w:r>
      <w:bookmarkEnd w:id="32"/>
    </w:p>
    <w:p w14:paraId="5EE2635A" w14:textId="27B95931" w:rsidR="00D4209C" w:rsidRDefault="00D4209C" w:rsidP="00F1796C">
      <w:pPr>
        <w:pStyle w:val="DHHSquote"/>
      </w:pPr>
      <w:r>
        <w:t>‘</w:t>
      </w:r>
      <w:r w:rsidR="0088429D" w:rsidRPr="0088429D">
        <w:t xml:space="preserve">Patients and donors are important contributors to haemovigilance. They represent the </w:t>
      </w:r>
      <w:r>
        <w:t>“</w:t>
      </w:r>
      <w:r w:rsidR="0088429D" w:rsidRPr="0088429D">
        <w:t xml:space="preserve">lived </w:t>
      </w:r>
      <w:r w:rsidRPr="0088429D">
        <w:t>experience</w:t>
      </w:r>
      <w:r>
        <w:t>”</w:t>
      </w:r>
      <w:r w:rsidRPr="0088429D">
        <w:t xml:space="preserve"> </w:t>
      </w:r>
      <w:r w:rsidR="0088429D" w:rsidRPr="0088429D">
        <w:t>of actual and potential adverse consequences of blood donation and transfusion</w:t>
      </w:r>
      <w:r>
        <w:t>’</w:t>
      </w:r>
      <w:r w:rsidRPr="0088429D">
        <w:t xml:space="preserve"> </w:t>
      </w:r>
      <w:r w:rsidR="0088429D" w:rsidRPr="0088429D">
        <w:t>(Wood et al</w:t>
      </w:r>
      <w:r>
        <w:t>.</w:t>
      </w:r>
      <w:r w:rsidRPr="0088429D">
        <w:t xml:space="preserve"> </w:t>
      </w:r>
      <w:r w:rsidR="0088429D" w:rsidRPr="0088429D">
        <w:t xml:space="preserve">2019). </w:t>
      </w:r>
    </w:p>
    <w:p w14:paraId="454471AE" w14:textId="0C9F873E" w:rsidR="0088429D" w:rsidRPr="0088429D" w:rsidRDefault="0088429D" w:rsidP="0088429D">
      <w:pPr>
        <w:pStyle w:val="DHHSbody"/>
      </w:pPr>
      <w:r w:rsidRPr="0088429D">
        <w:t>Safer Care Victoria recognises this in their request that health services include a consumer representative in the root cause analysis process for sentinel events (</w:t>
      </w:r>
      <w:r w:rsidRPr="00D4209C">
        <w:t>Haemolytic blood transfusion reaction resulting from ABO incompatibility resulting in serious harm or death</w:t>
      </w:r>
      <w:r w:rsidRPr="0088429D">
        <w:t xml:space="preserve">). </w:t>
      </w:r>
    </w:p>
    <w:p w14:paraId="6DC9F7E0" w14:textId="200BA6C4" w:rsidR="0088429D" w:rsidRPr="0088429D" w:rsidRDefault="0088429D" w:rsidP="0088429D">
      <w:pPr>
        <w:pStyle w:val="DHHSbody"/>
      </w:pPr>
      <w:r w:rsidRPr="0088429D">
        <w:t>Blood Matters staff can provide an external representative with experience in transfusion and haemovigilance for sentinel event reporting.</w:t>
      </w:r>
    </w:p>
    <w:p w14:paraId="78373A24" w14:textId="77777777" w:rsidR="0088429D" w:rsidRPr="0088429D" w:rsidRDefault="0088429D" w:rsidP="0088429D">
      <w:pPr>
        <w:pStyle w:val="DHHSbody"/>
      </w:pPr>
      <w:r w:rsidRPr="0088429D">
        <w:t xml:space="preserve">There were no sentinel events reported to STIR in this period. </w:t>
      </w:r>
    </w:p>
    <w:p w14:paraId="79BE7B53" w14:textId="77777777" w:rsidR="0088429D" w:rsidRPr="0088429D" w:rsidRDefault="0088429D" w:rsidP="005B6D53">
      <w:pPr>
        <w:pStyle w:val="Heading1"/>
      </w:pPr>
      <w:bookmarkStart w:id="33" w:name="_Toc46304660"/>
      <w:r w:rsidRPr="0088429D">
        <w:t>Future</w:t>
      </w:r>
      <w:bookmarkEnd w:id="33"/>
    </w:p>
    <w:p w14:paraId="1B8E0FEC" w14:textId="7A56A622" w:rsidR="0088429D" w:rsidRPr="0088429D" w:rsidRDefault="0088429D" w:rsidP="0088429D">
      <w:pPr>
        <w:pStyle w:val="DHHSbody"/>
      </w:pPr>
      <w:r w:rsidRPr="0088429D">
        <w:t xml:space="preserve">We continue to liaise with the department to consider how STIR may be incorporated into the Victorian </w:t>
      </w:r>
      <w:r w:rsidR="00D4209C">
        <w:t>H</w:t>
      </w:r>
      <w:r w:rsidR="00D4209C" w:rsidRPr="0088429D">
        <w:t xml:space="preserve">ealth </w:t>
      </w:r>
      <w:r w:rsidR="00D4209C">
        <w:t>I</w:t>
      </w:r>
      <w:r w:rsidR="00D4209C" w:rsidRPr="0088429D">
        <w:t xml:space="preserve">ncident </w:t>
      </w:r>
      <w:r w:rsidR="00D4209C">
        <w:t>M</w:t>
      </w:r>
      <w:r w:rsidR="00D4209C" w:rsidRPr="0088429D">
        <w:t xml:space="preserve">anagement </w:t>
      </w:r>
      <w:r w:rsidR="00D4209C">
        <w:t>S</w:t>
      </w:r>
      <w:r w:rsidR="00D4209C" w:rsidRPr="0088429D">
        <w:t xml:space="preserve">ystem </w:t>
      </w:r>
      <w:r w:rsidRPr="0088429D">
        <w:t xml:space="preserve">(VHIMS). </w:t>
      </w:r>
    </w:p>
    <w:p w14:paraId="6D31CF5E" w14:textId="77777777" w:rsidR="0018018C" w:rsidRPr="0088429D" w:rsidRDefault="0018018C" w:rsidP="0018018C">
      <w:pPr>
        <w:pStyle w:val="DHHSbody"/>
      </w:pPr>
      <w:r w:rsidRPr="0088429D">
        <w:t xml:space="preserve">Work on forms for the collection of investigations into women who develop </w:t>
      </w:r>
      <w:proofErr w:type="gramStart"/>
      <w:r w:rsidRPr="0088429D">
        <w:t>a</w:t>
      </w:r>
      <w:proofErr w:type="gramEnd"/>
      <w:r w:rsidRPr="0088429D">
        <w:t xml:space="preserve"> </w:t>
      </w:r>
      <w:proofErr w:type="spellStart"/>
      <w:r w:rsidRPr="0088429D">
        <w:t>RhD</w:t>
      </w:r>
      <w:proofErr w:type="spellEnd"/>
      <w:r w:rsidRPr="0088429D">
        <w:t xml:space="preserve"> antibody related to pregnancy (</w:t>
      </w:r>
      <w:proofErr w:type="spellStart"/>
      <w:r w:rsidRPr="0088429D">
        <w:t>isoimmunisations</w:t>
      </w:r>
      <w:proofErr w:type="spellEnd"/>
      <w:r w:rsidRPr="0088429D">
        <w:t>) to look for common themes and whether this is due to failure of prophylaxis or failure to provide prophylaxis has commenced and will be reportable from July 2020.</w:t>
      </w:r>
    </w:p>
    <w:p w14:paraId="6228AB38" w14:textId="5F8232E8" w:rsidR="0088429D" w:rsidRPr="0088429D" w:rsidRDefault="0088429D" w:rsidP="0088429D">
      <w:pPr>
        <w:pStyle w:val="DHHSbody"/>
        <w:rPr>
          <w:b/>
        </w:rPr>
      </w:pPr>
      <w:r w:rsidRPr="0088429D">
        <w:t>A review of investigation forms to add information relating to events where the use of an EMR may have been a contributing factor in the event is under way.</w:t>
      </w:r>
    </w:p>
    <w:p w14:paraId="74B36119" w14:textId="77777777" w:rsidR="00D4209C" w:rsidRDefault="00D4209C">
      <w:pPr>
        <w:rPr>
          <w:rFonts w:ascii="Arial" w:hAnsi="Arial"/>
          <w:bCs/>
          <w:color w:val="D50032"/>
          <w:sz w:val="44"/>
          <w:szCs w:val="44"/>
        </w:rPr>
      </w:pPr>
      <w:bookmarkStart w:id="34" w:name="_Toc46304661"/>
      <w:r>
        <w:br w:type="page"/>
      </w:r>
    </w:p>
    <w:p w14:paraId="4D3D6EDE" w14:textId="08CE7D8E" w:rsidR="0088429D" w:rsidRPr="0088429D" w:rsidRDefault="0088429D" w:rsidP="005B6D53">
      <w:pPr>
        <w:pStyle w:val="Heading1"/>
      </w:pPr>
      <w:r w:rsidRPr="0088429D">
        <w:lastRenderedPageBreak/>
        <w:t>References</w:t>
      </w:r>
      <w:bookmarkEnd w:id="34"/>
    </w:p>
    <w:p w14:paraId="48D3073A" w14:textId="72563744" w:rsidR="0088429D" w:rsidRPr="0088429D" w:rsidRDefault="0088429D" w:rsidP="0088429D">
      <w:pPr>
        <w:pStyle w:val="DHHSbody"/>
      </w:pPr>
      <w:r w:rsidRPr="0088429D">
        <w:t>Wood</w:t>
      </w:r>
      <w:r w:rsidR="00D4209C">
        <w:t xml:space="preserve"> EM</w:t>
      </w:r>
      <w:r w:rsidRPr="0088429D">
        <w:t xml:space="preserve">, </w:t>
      </w:r>
      <w:proofErr w:type="spellStart"/>
      <w:r w:rsidRPr="0088429D">
        <w:t>Ang</w:t>
      </w:r>
      <w:proofErr w:type="spellEnd"/>
      <w:r w:rsidR="00D4209C">
        <w:t xml:space="preserve"> AL</w:t>
      </w:r>
      <w:r w:rsidRPr="0088429D">
        <w:t xml:space="preserve">, </w:t>
      </w:r>
      <w:proofErr w:type="spellStart"/>
      <w:r w:rsidRPr="0088429D">
        <w:t>Bisht</w:t>
      </w:r>
      <w:proofErr w:type="spellEnd"/>
      <w:r w:rsidR="00D4209C">
        <w:t xml:space="preserve"> A</w:t>
      </w:r>
      <w:r w:rsidRPr="0088429D">
        <w:t>, Bolton-</w:t>
      </w:r>
      <w:proofErr w:type="spellStart"/>
      <w:r w:rsidR="00D4209C" w:rsidRPr="0088429D">
        <w:t>Magg</w:t>
      </w:r>
      <w:r w:rsidR="00D4209C">
        <w:t>s</w:t>
      </w:r>
      <w:proofErr w:type="spellEnd"/>
      <w:r w:rsidR="00D4209C">
        <w:t xml:space="preserve"> PH</w:t>
      </w:r>
      <w:r w:rsidRPr="0088429D">
        <w:t xml:space="preserve">, </w:t>
      </w:r>
      <w:proofErr w:type="spellStart"/>
      <w:r w:rsidRPr="0088429D">
        <w:t>Bokhorst</w:t>
      </w:r>
      <w:proofErr w:type="spellEnd"/>
      <w:r w:rsidR="00D4209C">
        <w:t xml:space="preserve"> AG</w:t>
      </w:r>
      <w:r w:rsidRPr="0088429D">
        <w:t xml:space="preserve">, </w:t>
      </w:r>
      <w:proofErr w:type="spellStart"/>
      <w:r w:rsidRPr="0088429D">
        <w:t>Flesland</w:t>
      </w:r>
      <w:proofErr w:type="spellEnd"/>
      <w:r w:rsidR="00D4209C">
        <w:t xml:space="preserve"> O</w:t>
      </w:r>
      <w:r w:rsidRPr="0088429D">
        <w:t>, Land</w:t>
      </w:r>
      <w:r w:rsidR="00D4209C">
        <w:t xml:space="preserve"> K</w:t>
      </w:r>
      <w:r w:rsidRPr="0088429D">
        <w:t>, Wiersum-</w:t>
      </w:r>
      <w:proofErr w:type="spellStart"/>
      <w:r w:rsidRPr="0088429D">
        <w:t>Osselton</w:t>
      </w:r>
      <w:proofErr w:type="spellEnd"/>
      <w:r w:rsidR="009F412B">
        <w:t xml:space="preserve"> JC</w:t>
      </w:r>
      <w:r w:rsidRPr="0088429D">
        <w:t xml:space="preserve">, </w:t>
      </w:r>
      <w:proofErr w:type="spellStart"/>
      <w:r w:rsidRPr="0088429D">
        <w:t>Schipperus</w:t>
      </w:r>
      <w:proofErr w:type="spellEnd"/>
      <w:r w:rsidR="009F412B">
        <w:t xml:space="preserve"> MR</w:t>
      </w:r>
      <w:r w:rsidRPr="0088429D">
        <w:t xml:space="preserve">, </w:t>
      </w:r>
      <w:proofErr w:type="spellStart"/>
      <w:r w:rsidRPr="0088429D">
        <w:t>Tiberghien</w:t>
      </w:r>
      <w:proofErr w:type="spellEnd"/>
      <w:r w:rsidR="009F412B">
        <w:t xml:space="preserve"> P and</w:t>
      </w:r>
      <w:r w:rsidRPr="0088429D">
        <w:t xml:space="preserve"> Whitaker</w:t>
      </w:r>
      <w:r w:rsidR="009F412B">
        <w:t xml:space="preserve"> BI</w:t>
      </w:r>
      <w:r w:rsidRPr="0088429D">
        <w:t xml:space="preserve"> 2019</w:t>
      </w:r>
      <w:r w:rsidR="009F412B">
        <w:t>,</w:t>
      </w:r>
      <w:r w:rsidRPr="0088429D">
        <w:t xml:space="preserve"> </w:t>
      </w:r>
      <w:r w:rsidR="009F412B">
        <w:t>‘</w:t>
      </w:r>
      <w:r w:rsidRPr="0088429D">
        <w:t>International haemovigilance: what have we learned and what do we need to do next?</w:t>
      </w:r>
      <w:r w:rsidR="009F412B">
        <w:t>’</w:t>
      </w:r>
      <w:r w:rsidRPr="0088429D">
        <w:t xml:space="preserve"> </w:t>
      </w:r>
      <w:r w:rsidRPr="00F1796C">
        <w:rPr>
          <w:i/>
          <w:iCs/>
        </w:rPr>
        <w:t>Transfusion Medicine</w:t>
      </w:r>
      <w:r w:rsidR="009F412B">
        <w:t>,</w:t>
      </w:r>
      <w:r w:rsidRPr="0088429D">
        <w:t xml:space="preserve"> </w:t>
      </w:r>
      <w:r w:rsidR="009F412B">
        <w:t>&lt;</w:t>
      </w:r>
      <w:r w:rsidR="009F412B" w:rsidRPr="00F1796C">
        <w:t>https://onlinelibrary.wiley.com/doi/pdf/10.1111/tme.12582</w:t>
      </w:r>
      <w:r w:rsidR="009F412B">
        <w:t>&gt;.</w:t>
      </w:r>
      <w:r w:rsidRPr="0088429D">
        <w:t xml:space="preserve"> </w:t>
      </w:r>
    </w:p>
    <w:p w14:paraId="62C907F9" w14:textId="56537445" w:rsidR="0088429D" w:rsidRPr="0088429D" w:rsidRDefault="0088429D" w:rsidP="0088429D">
      <w:pPr>
        <w:pStyle w:val="DHHSbody"/>
      </w:pPr>
      <w:r w:rsidRPr="0088429D">
        <w:t>Safer Care Victoria</w:t>
      </w:r>
      <w:r w:rsidR="009F412B">
        <w:t xml:space="preserve"> 2019,</w:t>
      </w:r>
      <w:r w:rsidRPr="0088429D">
        <w:t xml:space="preserve"> </w:t>
      </w:r>
      <w:r w:rsidRPr="00F1796C">
        <w:rPr>
          <w:bCs/>
          <w:i/>
          <w:iCs/>
        </w:rPr>
        <w:t>Victorian sentinel event guide: Essential information for health services about managing sentinel events in Victoria</w:t>
      </w:r>
      <w:r w:rsidRPr="0088429D">
        <w:rPr>
          <w:bCs/>
        </w:rPr>
        <w:t xml:space="preserve">, </w:t>
      </w:r>
      <w:r w:rsidR="009F412B">
        <w:rPr>
          <w:bCs/>
        </w:rPr>
        <w:t>State Government of Victoria, Melbourne.</w:t>
      </w:r>
      <w:r w:rsidR="009F412B" w:rsidRPr="0088429D">
        <w:rPr>
          <w:bCs/>
        </w:rPr>
        <w:t xml:space="preserve"> </w:t>
      </w:r>
    </w:p>
    <w:p w14:paraId="5543B55F" w14:textId="3EEC350E" w:rsidR="0088429D" w:rsidRPr="0088429D" w:rsidRDefault="0088429D" w:rsidP="0088429D">
      <w:pPr>
        <w:pStyle w:val="DHHSbody"/>
        <w:rPr>
          <w:lang w:val="en"/>
        </w:rPr>
      </w:pPr>
      <w:r w:rsidRPr="0088429D">
        <w:rPr>
          <w:lang w:val="en"/>
        </w:rPr>
        <w:t>Tra</w:t>
      </w:r>
      <w:r w:rsidR="009F412B">
        <w:rPr>
          <w:lang w:val="en"/>
        </w:rPr>
        <w:t>n HA</w:t>
      </w:r>
      <w:r w:rsidRPr="0088429D">
        <w:rPr>
          <w:lang w:val="en"/>
        </w:rPr>
        <w:t xml:space="preserve">, </w:t>
      </w:r>
      <w:proofErr w:type="spellStart"/>
      <w:r w:rsidRPr="0088429D">
        <w:rPr>
          <w:lang w:val="en"/>
        </w:rPr>
        <w:t>Chunilal</w:t>
      </w:r>
      <w:proofErr w:type="spellEnd"/>
      <w:r w:rsidR="009F412B">
        <w:rPr>
          <w:lang w:val="en"/>
        </w:rPr>
        <w:t xml:space="preserve"> SD,</w:t>
      </w:r>
      <w:r w:rsidR="009F412B" w:rsidRPr="0088429D">
        <w:rPr>
          <w:lang w:val="en"/>
        </w:rPr>
        <w:t xml:space="preserve"> </w:t>
      </w:r>
      <w:r w:rsidRPr="0088429D">
        <w:rPr>
          <w:lang w:val="en"/>
        </w:rPr>
        <w:t>Harper</w:t>
      </w:r>
      <w:r w:rsidR="009F412B">
        <w:rPr>
          <w:lang w:val="en"/>
        </w:rPr>
        <w:t xml:space="preserve"> PL</w:t>
      </w:r>
      <w:r w:rsidRPr="0088429D">
        <w:rPr>
          <w:lang w:val="en"/>
        </w:rPr>
        <w:t>, Tran</w:t>
      </w:r>
      <w:r w:rsidR="009F412B">
        <w:rPr>
          <w:lang w:val="en"/>
        </w:rPr>
        <w:t xml:space="preserve"> H</w:t>
      </w:r>
      <w:r w:rsidRPr="0088429D">
        <w:rPr>
          <w:lang w:val="en"/>
        </w:rPr>
        <w:t>, Wood</w:t>
      </w:r>
      <w:r w:rsidR="009F412B">
        <w:rPr>
          <w:lang w:val="en"/>
        </w:rPr>
        <w:t xml:space="preserve"> EM</w:t>
      </w:r>
      <w:r w:rsidRPr="0088429D">
        <w:rPr>
          <w:lang w:val="en"/>
        </w:rPr>
        <w:t xml:space="preserve"> and Gallus</w:t>
      </w:r>
      <w:r w:rsidR="009F412B">
        <w:rPr>
          <w:lang w:val="en"/>
        </w:rPr>
        <w:t xml:space="preserve"> AS</w:t>
      </w:r>
      <w:r w:rsidRPr="0088429D">
        <w:rPr>
          <w:lang w:val="en"/>
        </w:rPr>
        <w:t>, on behalf of the Australasian Society of Thrombosis and Haemostasis</w:t>
      </w:r>
      <w:r w:rsidR="009F412B">
        <w:rPr>
          <w:lang w:val="en"/>
        </w:rPr>
        <w:t xml:space="preserve"> 2013</w:t>
      </w:r>
      <w:r w:rsidRPr="0088429D">
        <w:rPr>
          <w:lang w:val="en"/>
        </w:rPr>
        <w:t xml:space="preserve">, </w:t>
      </w:r>
      <w:r w:rsidR="009F412B">
        <w:rPr>
          <w:lang w:val="en"/>
        </w:rPr>
        <w:t>‘</w:t>
      </w:r>
      <w:r w:rsidR="009F412B" w:rsidRPr="009F412B">
        <w:rPr>
          <w:lang w:val="en"/>
        </w:rPr>
        <w:t>An update of consensus guidelines for warfarin reversal</w:t>
      </w:r>
      <w:r w:rsidR="009F412B">
        <w:rPr>
          <w:lang w:val="en"/>
        </w:rPr>
        <w:t xml:space="preserve">’, </w:t>
      </w:r>
      <w:r w:rsidRPr="00F1796C">
        <w:rPr>
          <w:i/>
          <w:iCs/>
          <w:lang w:val="en"/>
        </w:rPr>
        <w:t xml:space="preserve">Med J </w:t>
      </w:r>
      <w:proofErr w:type="spellStart"/>
      <w:r w:rsidR="009F412B" w:rsidRPr="00F1796C">
        <w:rPr>
          <w:i/>
          <w:iCs/>
          <w:lang w:val="en"/>
        </w:rPr>
        <w:t>Aust</w:t>
      </w:r>
      <w:proofErr w:type="spellEnd"/>
      <w:r w:rsidR="009F412B">
        <w:rPr>
          <w:lang w:val="en"/>
        </w:rPr>
        <w:t>, vol.</w:t>
      </w:r>
      <w:r w:rsidRPr="0088429D">
        <w:rPr>
          <w:lang w:val="en"/>
        </w:rPr>
        <w:t xml:space="preserve"> 198</w:t>
      </w:r>
      <w:r w:rsidR="009F412B">
        <w:rPr>
          <w:lang w:val="en"/>
        </w:rPr>
        <w:t>, no.</w:t>
      </w:r>
      <w:r w:rsidRPr="0088429D">
        <w:rPr>
          <w:lang w:val="en"/>
        </w:rPr>
        <w:t xml:space="preserve"> 4</w:t>
      </w:r>
      <w:r w:rsidR="009F412B">
        <w:rPr>
          <w:lang w:val="en"/>
        </w:rPr>
        <w:t>, pp.</w:t>
      </w:r>
      <w:r w:rsidR="009F412B" w:rsidRPr="0088429D">
        <w:rPr>
          <w:lang w:val="en"/>
        </w:rPr>
        <w:t xml:space="preserve"> </w:t>
      </w:r>
      <w:r w:rsidRPr="0088429D">
        <w:rPr>
          <w:lang w:val="en"/>
        </w:rPr>
        <w:t>198</w:t>
      </w:r>
      <w:r w:rsidR="009F412B">
        <w:rPr>
          <w:lang w:val="en"/>
        </w:rPr>
        <w:t>–</w:t>
      </w:r>
      <w:r w:rsidRPr="0088429D">
        <w:rPr>
          <w:lang w:val="en"/>
        </w:rPr>
        <w:t>199</w:t>
      </w:r>
      <w:r w:rsidR="009F412B">
        <w:rPr>
          <w:lang w:val="en"/>
        </w:rPr>
        <w:t>.</w:t>
      </w:r>
    </w:p>
    <w:p w14:paraId="1DA64FA0" w14:textId="7FCF07A0" w:rsidR="0088429D" w:rsidRPr="0088429D" w:rsidRDefault="0088429D" w:rsidP="0088429D">
      <w:pPr>
        <w:pStyle w:val="DHHSbody"/>
        <w:rPr>
          <w:b/>
        </w:rPr>
      </w:pPr>
      <w:r w:rsidRPr="0088429D">
        <w:t xml:space="preserve">Delaney M, </w:t>
      </w:r>
      <w:proofErr w:type="spellStart"/>
      <w:r w:rsidRPr="0088429D">
        <w:t>Wendel</w:t>
      </w:r>
      <w:proofErr w:type="spellEnd"/>
      <w:r w:rsidRPr="0088429D">
        <w:t xml:space="preserve"> S, </w:t>
      </w:r>
      <w:proofErr w:type="spellStart"/>
      <w:r w:rsidRPr="0088429D">
        <w:t>Bercovitz</w:t>
      </w:r>
      <w:proofErr w:type="spellEnd"/>
      <w:r w:rsidRPr="0088429D">
        <w:t xml:space="preserve"> R, Cid J, Cohn C, Dunbar D,</w:t>
      </w:r>
      <w:r w:rsidR="009F412B">
        <w:t xml:space="preserve"> </w:t>
      </w:r>
      <w:r w:rsidRPr="0088429D">
        <w:t>et al.</w:t>
      </w:r>
      <w:r w:rsidR="009F412B">
        <w:t xml:space="preserve"> 2016,</w:t>
      </w:r>
      <w:r w:rsidRPr="0088429D">
        <w:t xml:space="preserve"> </w:t>
      </w:r>
      <w:r w:rsidR="009F412B">
        <w:t>‘</w:t>
      </w:r>
      <w:r w:rsidRPr="0088429D">
        <w:t>Transfusion reactions: prevention, diagnosis and treatment</w:t>
      </w:r>
      <w:r w:rsidR="009F412B">
        <w:t>’,</w:t>
      </w:r>
      <w:r w:rsidRPr="0088429D">
        <w:t xml:space="preserve"> </w:t>
      </w:r>
      <w:r w:rsidRPr="00F1796C">
        <w:rPr>
          <w:i/>
          <w:iCs/>
        </w:rPr>
        <w:t>BJH</w:t>
      </w:r>
      <w:r w:rsidR="009F412B">
        <w:t>,</w:t>
      </w:r>
      <w:r w:rsidRPr="0088429D">
        <w:t xml:space="preserve"> </w:t>
      </w:r>
      <w:r w:rsidR="009F412B">
        <w:t xml:space="preserve">vol. </w:t>
      </w:r>
      <w:r w:rsidRPr="0088429D">
        <w:t>388:</w:t>
      </w:r>
      <w:r w:rsidR="009F412B">
        <w:t xml:space="preserve"> pp.</w:t>
      </w:r>
      <w:r w:rsidRPr="0088429D">
        <w:t xml:space="preserve"> 2825</w:t>
      </w:r>
      <w:r w:rsidR="009F412B">
        <w:t>–</w:t>
      </w:r>
      <w:r w:rsidRPr="0088429D">
        <w:t>36.</w:t>
      </w:r>
    </w:p>
    <w:p w14:paraId="10495CB5" w14:textId="77777777" w:rsidR="00810F57" w:rsidRDefault="00810F57">
      <w:pPr>
        <w:rPr>
          <w:rFonts w:ascii="Arial" w:hAnsi="Arial"/>
          <w:bCs/>
          <w:color w:val="D50032"/>
          <w:sz w:val="44"/>
          <w:szCs w:val="44"/>
        </w:rPr>
      </w:pPr>
      <w:r>
        <w:br w:type="page"/>
      </w:r>
    </w:p>
    <w:p w14:paraId="69764C57" w14:textId="5E7CF33F" w:rsidR="0088429D" w:rsidRPr="0088429D" w:rsidRDefault="0088429D" w:rsidP="005B6D53">
      <w:pPr>
        <w:pStyle w:val="Heading1"/>
      </w:pPr>
      <w:bookmarkStart w:id="35" w:name="_Toc46304662"/>
      <w:r w:rsidRPr="0088429D">
        <w:lastRenderedPageBreak/>
        <w:t>Appendix 1</w:t>
      </w:r>
      <w:r w:rsidR="009F412B">
        <w:t xml:space="preserve">: </w:t>
      </w:r>
      <w:r w:rsidR="005B6D53" w:rsidRPr="0088429D">
        <w:t xml:space="preserve">Expert </w:t>
      </w:r>
      <w:r w:rsidR="009F412B">
        <w:t>G</w:t>
      </w:r>
      <w:r w:rsidR="009F412B" w:rsidRPr="0088429D">
        <w:t xml:space="preserve">roup </w:t>
      </w:r>
      <w:r w:rsidR="005B6D53" w:rsidRPr="0088429D">
        <w:t>members</w:t>
      </w:r>
      <w:bookmarkEnd w:id="35"/>
    </w:p>
    <w:p w14:paraId="7A5B9578" w14:textId="62890517" w:rsidR="0088429D" w:rsidRPr="0088429D" w:rsidRDefault="0088429D" w:rsidP="0088429D">
      <w:pPr>
        <w:pStyle w:val="DHHSbody"/>
      </w:pPr>
      <w:r w:rsidRPr="0088429D">
        <w:t>Giles Kelsey, (Chair June 18</w:t>
      </w:r>
      <w:r w:rsidR="009F412B">
        <w:t>–</w:t>
      </w:r>
      <w:r w:rsidRPr="0088429D">
        <w:t>March 19) Consultant Haematologist, Royal Melbourne Hospital</w:t>
      </w:r>
    </w:p>
    <w:p w14:paraId="26822411" w14:textId="77777777" w:rsidR="0088429D" w:rsidRPr="0088429D" w:rsidRDefault="0088429D" w:rsidP="0088429D">
      <w:pPr>
        <w:pStyle w:val="DHHSbody"/>
      </w:pPr>
      <w:r w:rsidRPr="0088429D">
        <w:t>Christine Akers, Transfusion Nurse, Blood Matters Program, Victoria</w:t>
      </w:r>
    </w:p>
    <w:p w14:paraId="69AE633C" w14:textId="77777777" w:rsidR="0088429D" w:rsidRPr="0088429D" w:rsidRDefault="0088429D" w:rsidP="0088429D">
      <w:pPr>
        <w:pStyle w:val="DHHSbody"/>
      </w:pPr>
      <w:r w:rsidRPr="0088429D">
        <w:t>Helen Evans, Transfusion Nurse, Royal Hobart Hospital, Tasmania</w:t>
      </w:r>
    </w:p>
    <w:p w14:paraId="6221E470" w14:textId="77777777" w:rsidR="0088429D" w:rsidRPr="0088429D" w:rsidRDefault="0088429D" w:rsidP="0088429D">
      <w:pPr>
        <w:pStyle w:val="DHHSbody"/>
      </w:pPr>
      <w:r w:rsidRPr="0088429D">
        <w:t>Gerald Bates, Laboratory manager, Launceston General Hospital, Tasmania (resigned)</w:t>
      </w:r>
    </w:p>
    <w:p w14:paraId="49458F41" w14:textId="77777777" w:rsidR="0088429D" w:rsidRPr="0088429D" w:rsidRDefault="0088429D" w:rsidP="0088429D">
      <w:pPr>
        <w:pStyle w:val="DHHSbody"/>
      </w:pPr>
      <w:r w:rsidRPr="0088429D">
        <w:t>Linley Bielby, Program manager, Blood Matters Program, Victoria</w:t>
      </w:r>
    </w:p>
    <w:p w14:paraId="0C95800A" w14:textId="77777777" w:rsidR="0088429D" w:rsidRPr="0088429D" w:rsidRDefault="0088429D" w:rsidP="0088429D">
      <w:pPr>
        <w:pStyle w:val="DHHSbody"/>
      </w:pPr>
      <w:r w:rsidRPr="0088429D">
        <w:t xml:space="preserve">Philip Crispin, Consultant Haematologist, </w:t>
      </w:r>
      <w:proofErr w:type="gramStart"/>
      <w:r w:rsidRPr="0088429D">
        <w:t>The</w:t>
      </w:r>
      <w:proofErr w:type="gramEnd"/>
      <w:r w:rsidRPr="0088429D">
        <w:t xml:space="preserve"> Canberra Hospital, Australian Capital Territory</w:t>
      </w:r>
    </w:p>
    <w:p w14:paraId="5E5DC7CA" w14:textId="77777777" w:rsidR="0088429D" w:rsidRPr="0088429D" w:rsidRDefault="0088429D" w:rsidP="0088429D">
      <w:pPr>
        <w:pStyle w:val="DHHSbody"/>
      </w:pPr>
      <w:r w:rsidRPr="0088429D">
        <w:t>Erica Wood, Associate Professor, School of Public Health and Preventative Medicine, Monash University, Victoria</w:t>
      </w:r>
    </w:p>
    <w:p w14:paraId="4EC66726" w14:textId="77777777" w:rsidR="0088429D" w:rsidRPr="0088429D" w:rsidRDefault="0088429D" w:rsidP="0088429D">
      <w:pPr>
        <w:pStyle w:val="DHHSbody"/>
      </w:pPr>
      <w:r w:rsidRPr="0088429D">
        <w:t>Bridget Glazebrook, Data Manager, Blood Matters Program, Department of Health, Victoria</w:t>
      </w:r>
    </w:p>
    <w:p w14:paraId="2C7003AF" w14:textId="77777777" w:rsidR="0088429D" w:rsidRPr="0088429D" w:rsidRDefault="0088429D" w:rsidP="0088429D">
      <w:pPr>
        <w:pStyle w:val="DHHSbody"/>
      </w:pPr>
      <w:r w:rsidRPr="0088429D">
        <w:t>Clare Hennessy, Transfusion Nurse Consultant, Eastern Health</w:t>
      </w:r>
    </w:p>
    <w:p w14:paraId="604A131C" w14:textId="77777777" w:rsidR="0088429D" w:rsidRPr="0088429D" w:rsidRDefault="0088429D" w:rsidP="0088429D">
      <w:pPr>
        <w:pStyle w:val="DHHSbody"/>
      </w:pPr>
      <w:r w:rsidRPr="0088429D">
        <w:t>Chris Hogan, Director Pathology Services, Austin Health</w:t>
      </w:r>
    </w:p>
    <w:p w14:paraId="14CBFE67" w14:textId="77777777" w:rsidR="0088429D" w:rsidRPr="0088429D" w:rsidRDefault="0088429D" w:rsidP="0088429D">
      <w:pPr>
        <w:pStyle w:val="DHHSbody"/>
      </w:pPr>
      <w:r w:rsidRPr="0088429D">
        <w:t>Ellen Maxwell, Director of Haematology, Melbourne Pathology</w:t>
      </w:r>
    </w:p>
    <w:p w14:paraId="70EB781A" w14:textId="77777777" w:rsidR="0088429D" w:rsidRPr="0088429D" w:rsidRDefault="0088429D" w:rsidP="0088429D">
      <w:pPr>
        <w:pStyle w:val="DHHSbody"/>
      </w:pPr>
      <w:r w:rsidRPr="0088429D">
        <w:t xml:space="preserve">Tina </w:t>
      </w:r>
      <w:proofErr w:type="spellStart"/>
      <w:r w:rsidRPr="0088429D">
        <w:t>Noutsos</w:t>
      </w:r>
      <w:proofErr w:type="spellEnd"/>
      <w:r w:rsidRPr="0088429D">
        <w:t>, Haematologist, Royal Darwin Hospital, Northern Territory</w:t>
      </w:r>
    </w:p>
    <w:p w14:paraId="146B709D" w14:textId="77777777" w:rsidR="0088429D" w:rsidRPr="0088429D" w:rsidRDefault="0088429D" w:rsidP="0088429D">
      <w:pPr>
        <w:pStyle w:val="DHHSbody"/>
      </w:pPr>
      <w:r w:rsidRPr="0088429D">
        <w:t>Richard Rogers, Blood Bank Scientist, Cabrini Health, Victoria (resigned)</w:t>
      </w:r>
    </w:p>
    <w:p w14:paraId="78CBF18D" w14:textId="77777777" w:rsidR="0088429D" w:rsidRPr="0088429D" w:rsidRDefault="0088429D" w:rsidP="0088429D">
      <w:pPr>
        <w:pStyle w:val="DHHSbody"/>
      </w:pPr>
      <w:r w:rsidRPr="0088429D">
        <w:t>Merrole Cole-Sinclair, Director of Haematology, St Vincent’s Hospital, Victoria</w:t>
      </w:r>
    </w:p>
    <w:p w14:paraId="42FEA91B" w14:textId="77777777" w:rsidR="0088429D" w:rsidRPr="0088429D" w:rsidRDefault="0088429D" w:rsidP="0088429D">
      <w:pPr>
        <w:pStyle w:val="DHHSbody"/>
      </w:pPr>
      <w:r w:rsidRPr="0088429D">
        <w:t>Anissa Yttrup, Transfusion Nurse, Barwon Health</w:t>
      </w:r>
    </w:p>
    <w:p w14:paraId="3EAA4674" w14:textId="77777777" w:rsidR="0088429D" w:rsidRPr="0088429D" w:rsidRDefault="0088429D" w:rsidP="0088429D">
      <w:pPr>
        <w:pStyle w:val="DHHSbody"/>
      </w:pPr>
      <w:r w:rsidRPr="0088429D">
        <w:t>Adrienne Wynne, Transfusion Quality Officer, St Vincent’s’ Hospital</w:t>
      </w:r>
    </w:p>
    <w:p w14:paraId="255D9B39" w14:textId="3D953DA4" w:rsidR="0088429D" w:rsidRPr="0088429D" w:rsidRDefault="0088429D" w:rsidP="0088429D">
      <w:pPr>
        <w:pStyle w:val="DHHSbody"/>
      </w:pPr>
      <w:r w:rsidRPr="0088429D">
        <w:t>Cindy Flores, Education Coordinator, Blood Matters Program, Victoria (resigned)</w:t>
      </w:r>
    </w:p>
    <w:p w14:paraId="13188D56" w14:textId="77777777" w:rsidR="0088429D" w:rsidRPr="0088429D" w:rsidRDefault="0088429D" w:rsidP="0088429D">
      <w:pPr>
        <w:pStyle w:val="DHHSbody"/>
      </w:pPr>
      <w:r w:rsidRPr="0088429D">
        <w:t>Linda Saravanan, Haematologist, Melbourne Pathology</w:t>
      </w:r>
    </w:p>
    <w:p w14:paraId="2FF2D57D" w14:textId="77777777" w:rsidR="0088429D" w:rsidRPr="0088429D" w:rsidRDefault="0088429D" w:rsidP="0088429D">
      <w:pPr>
        <w:pStyle w:val="DHHSbody"/>
      </w:pPr>
      <w:r w:rsidRPr="0088429D">
        <w:t xml:space="preserve">Mary </w:t>
      </w:r>
      <w:proofErr w:type="spellStart"/>
      <w:r w:rsidRPr="0088429D">
        <w:t>Comande</w:t>
      </w:r>
      <w:proofErr w:type="spellEnd"/>
      <w:r w:rsidRPr="0088429D">
        <w:t>, Blood Bank Scientist, Royal Children’s Hospital</w:t>
      </w:r>
    </w:p>
    <w:p w14:paraId="11F4ED90" w14:textId="77777777" w:rsidR="0088429D" w:rsidRPr="0088429D" w:rsidRDefault="0088429D" w:rsidP="0088429D">
      <w:pPr>
        <w:pStyle w:val="DHHSbody"/>
      </w:pPr>
      <w:r w:rsidRPr="0088429D">
        <w:t xml:space="preserve">James Daly, </w:t>
      </w:r>
      <w:r w:rsidRPr="0088429D">
        <w:rPr>
          <w:bCs/>
        </w:rPr>
        <w:t>Medical Director of Pathology Services</w:t>
      </w:r>
      <w:r w:rsidRPr="0088429D">
        <w:t>, Australian Red Cross Lifeblood</w:t>
      </w:r>
    </w:p>
    <w:p w14:paraId="7C4A55EC" w14:textId="216A80D7" w:rsidR="0088429D" w:rsidRPr="0088429D" w:rsidRDefault="0088429D" w:rsidP="0088429D">
      <w:pPr>
        <w:pStyle w:val="DHHSbody"/>
      </w:pPr>
      <w:r w:rsidRPr="0088429D">
        <w:t>Kaylene Bastin, Education Coordinator, Blood Matters Program, Victoria (September 2018)</w:t>
      </w:r>
    </w:p>
    <w:p w14:paraId="4ACF29CE" w14:textId="77777777" w:rsidR="0088429D" w:rsidRPr="0088429D" w:rsidRDefault="0088429D" w:rsidP="0088429D">
      <w:pPr>
        <w:pStyle w:val="DHHSbody"/>
      </w:pPr>
      <w:r w:rsidRPr="0088429D">
        <w:t xml:space="preserve">Kobie Von Wielligh, </w:t>
      </w:r>
      <w:r w:rsidRPr="0088429D">
        <w:rPr>
          <w:bCs/>
        </w:rPr>
        <w:t xml:space="preserve">Haematologist, Australian Red Cross Lifeblood </w:t>
      </w:r>
      <w:r w:rsidRPr="0088429D">
        <w:t>(December 2018)</w:t>
      </w:r>
    </w:p>
    <w:p w14:paraId="21F852C9" w14:textId="0B1C894C" w:rsidR="0088429D" w:rsidRPr="0088429D" w:rsidRDefault="0088429D" w:rsidP="0088429D">
      <w:pPr>
        <w:pStyle w:val="DHHSbody"/>
        <w:rPr>
          <w:u w:val="single"/>
        </w:rPr>
      </w:pPr>
      <w:r w:rsidRPr="0088429D">
        <w:t xml:space="preserve">Glenda Mann, </w:t>
      </w:r>
      <w:r w:rsidRPr="0088429D">
        <w:rPr>
          <w:bCs/>
        </w:rPr>
        <w:t>Blood Bank Scientist, Cabrini Health, Victoria (December 2018)</w:t>
      </w:r>
    </w:p>
    <w:p w14:paraId="4E8C9CF2" w14:textId="77777777" w:rsidR="005B6D53" w:rsidRDefault="005B6D53">
      <w:pPr>
        <w:rPr>
          <w:rFonts w:ascii="Arial" w:hAnsi="Arial"/>
          <w:bCs/>
          <w:color w:val="D50032"/>
          <w:sz w:val="44"/>
          <w:szCs w:val="44"/>
        </w:rPr>
      </w:pPr>
      <w:r>
        <w:br w:type="page"/>
      </w:r>
    </w:p>
    <w:p w14:paraId="036DC509" w14:textId="60CBDEC8" w:rsidR="0088429D" w:rsidRPr="005B6D53" w:rsidRDefault="005B6D53" w:rsidP="005B6D53">
      <w:pPr>
        <w:pStyle w:val="Heading1"/>
        <w:rPr>
          <w:b/>
        </w:rPr>
      </w:pPr>
      <w:bookmarkStart w:id="36" w:name="_Toc46304663"/>
      <w:r w:rsidRPr="005B6D53">
        <w:lastRenderedPageBreak/>
        <w:t>Appendix 2</w:t>
      </w:r>
      <w:r w:rsidR="009F412B">
        <w:t xml:space="preserve">: </w:t>
      </w:r>
      <w:r w:rsidR="0088429D" w:rsidRPr="0088429D">
        <w:t>STIR publications and promotions</w:t>
      </w:r>
      <w:bookmarkEnd w:id="36"/>
    </w:p>
    <w:p w14:paraId="252CAAEF" w14:textId="0154E3ED" w:rsidR="0088429D" w:rsidRPr="0088429D" w:rsidRDefault="0088429D" w:rsidP="0088429D">
      <w:pPr>
        <w:pStyle w:val="DHHSbody"/>
      </w:pPr>
      <w:r w:rsidRPr="0088429D">
        <w:t xml:space="preserve">Article: </w:t>
      </w:r>
      <w:r w:rsidR="009F412B">
        <w:t>2019, ‘</w:t>
      </w:r>
      <w:r w:rsidRPr="0088429D">
        <w:t xml:space="preserve">Misinterpretation of blood group and antibody screen leading to serious errors in </w:t>
      </w:r>
      <w:proofErr w:type="spellStart"/>
      <w:r w:rsidRPr="0088429D">
        <w:t>RhD</w:t>
      </w:r>
      <w:proofErr w:type="spellEnd"/>
      <w:r w:rsidRPr="0088429D">
        <w:t xml:space="preserve"> </w:t>
      </w:r>
      <w:r w:rsidR="00FB0A81">
        <w:t>i</w:t>
      </w:r>
      <w:r w:rsidR="00FB0A81" w:rsidRPr="0088429D">
        <w:t>mmun</w:t>
      </w:r>
      <w:r w:rsidR="00FB0A81">
        <w:t>o</w:t>
      </w:r>
      <w:r w:rsidR="00FB0A81" w:rsidRPr="0088429D">
        <w:t xml:space="preserve">globulin </w:t>
      </w:r>
      <w:r w:rsidRPr="0088429D">
        <w:t>administration: a report on first 2 years of data from Serious</w:t>
      </w:r>
      <w:r w:rsidR="009F412B">
        <w:t xml:space="preserve"> Transfusion Incident Reporting Program’</w:t>
      </w:r>
      <w:r w:rsidRPr="0088429D">
        <w:t xml:space="preserve">, </w:t>
      </w:r>
      <w:r w:rsidRPr="00F1796C">
        <w:rPr>
          <w:i/>
          <w:iCs/>
        </w:rPr>
        <w:t>ANZJOG</w:t>
      </w:r>
      <w:r w:rsidRPr="0088429D">
        <w:t xml:space="preserve">, </w:t>
      </w:r>
      <w:r w:rsidR="009F412B">
        <w:t>v</w:t>
      </w:r>
      <w:r w:rsidR="009F412B" w:rsidRPr="0088429D">
        <w:t>ol</w:t>
      </w:r>
      <w:r w:rsidR="009F412B">
        <w:t>.</w:t>
      </w:r>
      <w:r w:rsidR="009F412B" w:rsidRPr="0088429D">
        <w:t xml:space="preserve"> </w:t>
      </w:r>
      <w:r w:rsidRPr="0088429D">
        <w:t xml:space="preserve">59, </w:t>
      </w:r>
      <w:r w:rsidR="009F412B">
        <w:t>no.</w:t>
      </w:r>
      <w:r w:rsidR="009F412B" w:rsidRPr="0088429D">
        <w:t xml:space="preserve"> </w:t>
      </w:r>
      <w:r w:rsidRPr="0088429D">
        <w:t>1, pp</w:t>
      </w:r>
      <w:r w:rsidR="009F412B">
        <w:t>.</w:t>
      </w:r>
      <w:r w:rsidRPr="0088429D">
        <w:t xml:space="preserve"> 161</w:t>
      </w:r>
      <w:r w:rsidR="009F412B">
        <w:t>–</w:t>
      </w:r>
      <w:r w:rsidRPr="0088429D">
        <w:t>164.</w:t>
      </w:r>
    </w:p>
    <w:p w14:paraId="333C3799" w14:textId="6132EF71" w:rsidR="0088429D" w:rsidRPr="0088429D" w:rsidRDefault="0088429D" w:rsidP="0088429D">
      <w:pPr>
        <w:pStyle w:val="DHHSbody"/>
      </w:pPr>
      <w:r w:rsidRPr="0088429D">
        <w:t>Poster: TACO: How do we promote awareness and reporting? ISBT Toronto</w:t>
      </w:r>
      <w:r w:rsidR="009F412B">
        <w:t>.</w:t>
      </w:r>
    </w:p>
    <w:p w14:paraId="282DAC05" w14:textId="2E48CF19" w:rsidR="0088429D" w:rsidRPr="0088429D" w:rsidRDefault="0088429D" w:rsidP="0088429D">
      <w:pPr>
        <w:pStyle w:val="DHHSbody"/>
      </w:pPr>
      <w:r w:rsidRPr="0088429D">
        <w:t xml:space="preserve">Oral presentation: </w:t>
      </w:r>
      <w:r w:rsidR="009F412B">
        <w:t>‘</w:t>
      </w:r>
      <w:r w:rsidRPr="0088429D">
        <w:t>Transfusion</w:t>
      </w:r>
      <w:r w:rsidR="00C24C20">
        <w:t>-</w:t>
      </w:r>
      <w:r w:rsidRPr="0088429D">
        <w:t>associated circulatory overload: promoting awareness and reporting</w:t>
      </w:r>
      <w:r w:rsidR="009F412B">
        <w:t>’,</w:t>
      </w:r>
      <w:r w:rsidR="009F412B" w:rsidRPr="0088429D">
        <w:t xml:space="preserve"> </w:t>
      </w:r>
      <w:r w:rsidRPr="0088429D">
        <w:t>Blood 2018</w:t>
      </w:r>
      <w:r w:rsidR="009F412B">
        <w:t>.</w:t>
      </w:r>
    </w:p>
    <w:p w14:paraId="08A2425E" w14:textId="70464895" w:rsidR="0088429D" w:rsidRPr="0088429D" w:rsidRDefault="0088429D" w:rsidP="0088429D">
      <w:pPr>
        <w:pStyle w:val="DHHSbody"/>
      </w:pPr>
      <w:r w:rsidRPr="0088429D">
        <w:t xml:space="preserve">Oral presentation, Linley Bielby: </w:t>
      </w:r>
      <w:r w:rsidR="009F412B">
        <w:t>‘</w:t>
      </w:r>
      <w:r w:rsidRPr="0088429D">
        <w:t>The value of a structured haemovigilance program</w:t>
      </w:r>
      <w:r w:rsidR="009F412B">
        <w:t xml:space="preserve">: </w:t>
      </w:r>
      <w:r w:rsidRPr="0088429D">
        <w:t>experiences from Blood Matters serious transfusion incident reporting (STIR) system</w:t>
      </w:r>
      <w:r w:rsidR="009F412B">
        <w:t>’,</w:t>
      </w:r>
      <w:r w:rsidRPr="0088429D">
        <w:t xml:space="preserve"> Blood 2018</w:t>
      </w:r>
      <w:r w:rsidR="009F412B">
        <w:t>.</w:t>
      </w:r>
    </w:p>
    <w:p w14:paraId="3C93B148" w14:textId="535B8240" w:rsidR="0088429D" w:rsidRPr="0088429D" w:rsidRDefault="0088429D" w:rsidP="0088429D">
      <w:pPr>
        <w:pStyle w:val="DHHSbody"/>
      </w:pPr>
      <w:r w:rsidRPr="0088429D">
        <w:t xml:space="preserve">Oral presentation: </w:t>
      </w:r>
      <w:r w:rsidR="009F412B">
        <w:t>‘</w:t>
      </w:r>
      <w:proofErr w:type="spellStart"/>
      <w:r w:rsidRPr="0088429D">
        <w:t>RhD</w:t>
      </w:r>
      <w:proofErr w:type="spellEnd"/>
      <w:r w:rsidRPr="0088429D">
        <w:t xml:space="preserve"> Immunoglobulin: should I, will I, do I give it?</w:t>
      </w:r>
      <w:proofErr w:type="gramStart"/>
      <w:r w:rsidR="009F412B">
        <w:t>’,</w:t>
      </w:r>
      <w:proofErr w:type="gramEnd"/>
      <w:r w:rsidRPr="0088429D">
        <w:t xml:space="preserve"> ACM 2018.</w:t>
      </w:r>
    </w:p>
    <w:p w14:paraId="597D19AC" w14:textId="77777777" w:rsidR="009F412B" w:rsidRDefault="009F412B">
      <w:pPr>
        <w:rPr>
          <w:rFonts w:ascii="Arial" w:hAnsi="Arial"/>
          <w:bCs/>
          <w:color w:val="D50032"/>
          <w:sz w:val="44"/>
          <w:szCs w:val="44"/>
        </w:rPr>
      </w:pPr>
      <w:bookmarkStart w:id="37" w:name="_Toc46304664"/>
      <w:r>
        <w:br w:type="page"/>
      </w:r>
    </w:p>
    <w:p w14:paraId="7D193AAF" w14:textId="33D04F40" w:rsidR="0088429D" w:rsidRPr="005B6D53" w:rsidRDefault="005B6D53" w:rsidP="005B6D53">
      <w:pPr>
        <w:pStyle w:val="Heading1"/>
        <w:rPr>
          <w:b/>
        </w:rPr>
      </w:pPr>
      <w:r w:rsidRPr="005B6D53">
        <w:lastRenderedPageBreak/>
        <w:t>Appendix 3–</w:t>
      </w:r>
      <w:r w:rsidR="0088429D" w:rsidRPr="0088429D">
        <w:t>Imputability and severity scores</w:t>
      </w:r>
      <w:bookmarkEnd w:id="37"/>
    </w:p>
    <w:tbl>
      <w:tblPr>
        <w:tblStyle w:val="TableGrid"/>
        <w:tblW w:w="0" w:type="auto"/>
        <w:tblLook w:val="04A0" w:firstRow="1" w:lastRow="0" w:firstColumn="1" w:lastColumn="0" w:noHBand="0" w:noVBand="1"/>
      </w:tblPr>
      <w:tblGrid>
        <w:gridCol w:w="2970"/>
        <w:gridCol w:w="6046"/>
      </w:tblGrid>
      <w:tr w:rsidR="0088429D" w:rsidRPr="0088429D" w14:paraId="39F8E99E" w14:textId="77777777" w:rsidTr="0088429D">
        <w:trPr>
          <w:tblHeader/>
        </w:trPr>
        <w:tc>
          <w:tcPr>
            <w:tcW w:w="2970" w:type="dxa"/>
          </w:tcPr>
          <w:p w14:paraId="4BED49FA" w14:textId="77777777" w:rsidR="0088429D" w:rsidRPr="00F1796C" w:rsidRDefault="0088429D" w:rsidP="00F1796C">
            <w:pPr>
              <w:pStyle w:val="DHHStablecolhead"/>
              <w:rPr>
                <w:b w:val="0"/>
              </w:rPr>
            </w:pPr>
            <w:r w:rsidRPr="00F1796C">
              <w:t>Imputability/causality</w:t>
            </w:r>
          </w:p>
        </w:tc>
        <w:tc>
          <w:tcPr>
            <w:tcW w:w="6046" w:type="dxa"/>
          </w:tcPr>
          <w:p w14:paraId="693BE624" w14:textId="77777777" w:rsidR="0088429D" w:rsidRPr="00F1796C" w:rsidRDefault="0088429D" w:rsidP="00F1796C">
            <w:pPr>
              <w:pStyle w:val="DHHStablecolhead"/>
              <w:rPr>
                <w:b w:val="0"/>
              </w:rPr>
            </w:pPr>
            <w:r w:rsidRPr="00F1796C">
              <w:t>Definition</w:t>
            </w:r>
          </w:p>
        </w:tc>
      </w:tr>
      <w:tr w:rsidR="0088429D" w:rsidRPr="0088429D" w14:paraId="30FDD1DA" w14:textId="77777777" w:rsidTr="0088429D">
        <w:tc>
          <w:tcPr>
            <w:tcW w:w="2970" w:type="dxa"/>
          </w:tcPr>
          <w:p w14:paraId="1D271383" w14:textId="77777777" w:rsidR="0088429D" w:rsidRPr="0088429D" w:rsidRDefault="0088429D" w:rsidP="0088429D">
            <w:pPr>
              <w:pStyle w:val="DHHSbody"/>
            </w:pPr>
            <w:r w:rsidRPr="0088429D">
              <w:t>Not assessable</w:t>
            </w:r>
          </w:p>
        </w:tc>
        <w:tc>
          <w:tcPr>
            <w:tcW w:w="6046" w:type="dxa"/>
          </w:tcPr>
          <w:p w14:paraId="7F245C82" w14:textId="77777777" w:rsidR="0088429D" w:rsidRPr="0088429D" w:rsidRDefault="0088429D" w:rsidP="0088429D">
            <w:pPr>
              <w:pStyle w:val="DHHSbody"/>
            </w:pPr>
            <w:r w:rsidRPr="0088429D">
              <w:t>When there is insufficient evidence for an imputability definition.</w:t>
            </w:r>
          </w:p>
        </w:tc>
      </w:tr>
      <w:tr w:rsidR="0088429D" w:rsidRPr="0088429D" w14:paraId="4806E03E" w14:textId="77777777" w:rsidTr="0088429D">
        <w:tc>
          <w:tcPr>
            <w:tcW w:w="2970" w:type="dxa"/>
          </w:tcPr>
          <w:p w14:paraId="14685DF5" w14:textId="77777777" w:rsidR="0088429D" w:rsidRPr="0088429D" w:rsidRDefault="0088429D" w:rsidP="0088429D">
            <w:pPr>
              <w:pStyle w:val="DHHSbody"/>
            </w:pPr>
            <w:r w:rsidRPr="0088429D">
              <w:t>Excluded</w:t>
            </w:r>
          </w:p>
        </w:tc>
        <w:tc>
          <w:tcPr>
            <w:tcW w:w="6046" w:type="dxa"/>
          </w:tcPr>
          <w:p w14:paraId="02E9379B" w14:textId="77777777" w:rsidR="0088429D" w:rsidRPr="0088429D" w:rsidRDefault="0088429D" w:rsidP="0088429D">
            <w:pPr>
              <w:pStyle w:val="DHHSbody"/>
            </w:pPr>
            <w:r w:rsidRPr="0088429D">
              <w:t>When there is conclusive evidence that the cause of the incident is attributable to other causes and not the transfusion.</w:t>
            </w:r>
          </w:p>
        </w:tc>
      </w:tr>
      <w:tr w:rsidR="0088429D" w:rsidRPr="0088429D" w14:paraId="794E90B4" w14:textId="77777777" w:rsidTr="0088429D">
        <w:tc>
          <w:tcPr>
            <w:tcW w:w="2970" w:type="dxa"/>
          </w:tcPr>
          <w:p w14:paraId="4AD58770" w14:textId="77777777" w:rsidR="0088429D" w:rsidRPr="0088429D" w:rsidRDefault="0088429D" w:rsidP="0088429D">
            <w:pPr>
              <w:pStyle w:val="DHHSbody"/>
            </w:pPr>
            <w:r w:rsidRPr="0088429D">
              <w:t>Possibly</w:t>
            </w:r>
          </w:p>
        </w:tc>
        <w:tc>
          <w:tcPr>
            <w:tcW w:w="6046" w:type="dxa"/>
          </w:tcPr>
          <w:p w14:paraId="7CB9A727" w14:textId="77777777" w:rsidR="0088429D" w:rsidRPr="0088429D" w:rsidRDefault="0088429D" w:rsidP="0088429D">
            <w:pPr>
              <w:pStyle w:val="DHHSbody"/>
            </w:pPr>
            <w:r w:rsidRPr="0088429D">
              <w:t>When the evidence is indeterminate for attributing the incident to either the transfusion or other causes.</w:t>
            </w:r>
          </w:p>
        </w:tc>
      </w:tr>
      <w:tr w:rsidR="0088429D" w:rsidRPr="0088429D" w14:paraId="7FFE124E" w14:textId="77777777" w:rsidTr="0088429D">
        <w:tc>
          <w:tcPr>
            <w:tcW w:w="2970" w:type="dxa"/>
          </w:tcPr>
          <w:p w14:paraId="56124E3D" w14:textId="77777777" w:rsidR="0088429D" w:rsidRPr="0088429D" w:rsidRDefault="0088429D" w:rsidP="0088429D">
            <w:pPr>
              <w:pStyle w:val="DHHSbody"/>
            </w:pPr>
            <w:r w:rsidRPr="0088429D">
              <w:t xml:space="preserve">Probably </w:t>
            </w:r>
          </w:p>
        </w:tc>
        <w:tc>
          <w:tcPr>
            <w:tcW w:w="6046" w:type="dxa"/>
          </w:tcPr>
          <w:p w14:paraId="175055F3" w14:textId="77777777" w:rsidR="0088429D" w:rsidRPr="0088429D" w:rsidRDefault="0088429D" w:rsidP="0088429D">
            <w:pPr>
              <w:pStyle w:val="DHHSbody"/>
            </w:pPr>
            <w:r w:rsidRPr="0088429D">
              <w:t>When the evidence is clearly in favour of attributing the incident to the transfusion.</w:t>
            </w:r>
          </w:p>
        </w:tc>
      </w:tr>
      <w:tr w:rsidR="0088429D" w:rsidRPr="0088429D" w14:paraId="270DA22A" w14:textId="77777777" w:rsidTr="0088429D">
        <w:tc>
          <w:tcPr>
            <w:tcW w:w="2970" w:type="dxa"/>
          </w:tcPr>
          <w:p w14:paraId="51114208" w14:textId="77777777" w:rsidR="0088429D" w:rsidRPr="0088429D" w:rsidRDefault="0088429D" w:rsidP="0088429D">
            <w:pPr>
              <w:pStyle w:val="DHHSbody"/>
            </w:pPr>
            <w:r w:rsidRPr="0088429D">
              <w:t>Certainly</w:t>
            </w:r>
          </w:p>
        </w:tc>
        <w:tc>
          <w:tcPr>
            <w:tcW w:w="6046" w:type="dxa"/>
          </w:tcPr>
          <w:p w14:paraId="1E1F04F3" w14:textId="77777777" w:rsidR="0088429D" w:rsidRPr="0088429D" w:rsidRDefault="0088429D" w:rsidP="0088429D">
            <w:pPr>
              <w:pStyle w:val="DHHSbody"/>
            </w:pPr>
            <w:r w:rsidRPr="0088429D">
              <w:t>When the evidence is conclusively attributable to the transfusion.</w:t>
            </w:r>
          </w:p>
        </w:tc>
      </w:tr>
    </w:tbl>
    <w:p w14:paraId="5112EE76" w14:textId="77777777" w:rsidR="0088429D" w:rsidRPr="0088429D" w:rsidRDefault="0088429D" w:rsidP="0088429D">
      <w:pPr>
        <w:pStyle w:val="DHHSbody"/>
        <w:rPr>
          <w:u w:val="single"/>
        </w:rPr>
      </w:pPr>
    </w:p>
    <w:tbl>
      <w:tblPr>
        <w:tblStyle w:val="TableGrid"/>
        <w:tblW w:w="0" w:type="auto"/>
        <w:tblLook w:val="04A0" w:firstRow="1" w:lastRow="0" w:firstColumn="1" w:lastColumn="0" w:noHBand="0" w:noVBand="1"/>
      </w:tblPr>
      <w:tblGrid>
        <w:gridCol w:w="2970"/>
        <w:gridCol w:w="6046"/>
      </w:tblGrid>
      <w:tr w:rsidR="0088429D" w:rsidRPr="0088429D" w14:paraId="54453213" w14:textId="77777777" w:rsidTr="0088429D">
        <w:tc>
          <w:tcPr>
            <w:tcW w:w="2970" w:type="dxa"/>
          </w:tcPr>
          <w:p w14:paraId="5E531076" w14:textId="77777777" w:rsidR="0088429D" w:rsidRPr="009F412B" w:rsidRDefault="0088429D" w:rsidP="00F1796C">
            <w:pPr>
              <w:pStyle w:val="DHHStablecolhead"/>
            </w:pPr>
            <w:r w:rsidRPr="009F412B">
              <w:t>Severity</w:t>
            </w:r>
          </w:p>
        </w:tc>
        <w:tc>
          <w:tcPr>
            <w:tcW w:w="6046" w:type="dxa"/>
          </w:tcPr>
          <w:p w14:paraId="33AB78C7" w14:textId="77777777" w:rsidR="0088429D" w:rsidRPr="009F412B" w:rsidRDefault="0088429D" w:rsidP="00F1796C">
            <w:pPr>
              <w:pStyle w:val="DHHStablecolhead"/>
            </w:pPr>
            <w:r w:rsidRPr="009F412B">
              <w:t xml:space="preserve">Incident </w:t>
            </w:r>
          </w:p>
        </w:tc>
      </w:tr>
      <w:tr w:rsidR="0088429D" w:rsidRPr="0088429D" w14:paraId="3DF09F66" w14:textId="77777777" w:rsidTr="0088429D">
        <w:tc>
          <w:tcPr>
            <w:tcW w:w="2970" w:type="dxa"/>
          </w:tcPr>
          <w:p w14:paraId="7D9EDD30" w14:textId="77777777" w:rsidR="0088429D" w:rsidRPr="0088429D" w:rsidRDefault="0088429D" w:rsidP="0088429D">
            <w:pPr>
              <w:pStyle w:val="DHHSbody"/>
            </w:pPr>
            <w:r w:rsidRPr="0088429D">
              <w:t>1</w:t>
            </w:r>
          </w:p>
        </w:tc>
        <w:tc>
          <w:tcPr>
            <w:tcW w:w="6046" w:type="dxa"/>
          </w:tcPr>
          <w:p w14:paraId="529875EB" w14:textId="77777777" w:rsidR="0088429D" w:rsidRPr="0088429D" w:rsidRDefault="0088429D" w:rsidP="0088429D">
            <w:pPr>
              <w:pStyle w:val="DHHSbody"/>
            </w:pPr>
            <w:r w:rsidRPr="0088429D">
              <w:t>Relatively infrequent, clear-cut events that occur independently of a patient’s condition; commonly reflect health service system and process deficiencies; result in, or have the realistic potential to result in, an unexpected death or a permanent and disabling injury or psychological harm to a person and includes reportable sentinel events.</w:t>
            </w:r>
          </w:p>
        </w:tc>
      </w:tr>
      <w:tr w:rsidR="0088429D" w:rsidRPr="0088429D" w14:paraId="4D136A57" w14:textId="77777777" w:rsidTr="0088429D">
        <w:tc>
          <w:tcPr>
            <w:tcW w:w="2970" w:type="dxa"/>
          </w:tcPr>
          <w:p w14:paraId="531FDC87" w14:textId="77777777" w:rsidR="0088429D" w:rsidRPr="0088429D" w:rsidRDefault="0088429D" w:rsidP="0088429D">
            <w:pPr>
              <w:pStyle w:val="DHHSbody"/>
            </w:pPr>
            <w:r w:rsidRPr="0088429D">
              <w:t>2</w:t>
            </w:r>
          </w:p>
        </w:tc>
        <w:tc>
          <w:tcPr>
            <w:tcW w:w="6046" w:type="dxa"/>
          </w:tcPr>
          <w:p w14:paraId="085C0408" w14:textId="77777777" w:rsidR="0088429D" w:rsidRPr="0088429D" w:rsidRDefault="0088429D" w:rsidP="0088429D">
            <w:pPr>
              <w:pStyle w:val="DHHSbody"/>
            </w:pPr>
            <w:r w:rsidRPr="0088429D">
              <w:t>Events that result in a temporary loss of function (sensory, motor, physiological or intellectual) which is unrelated to the natural course of the patient’s illness and differ from the expected outcome of the patient’s management.</w:t>
            </w:r>
          </w:p>
        </w:tc>
      </w:tr>
      <w:tr w:rsidR="0088429D" w:rsidRPr="0088429D" w14:paraId="4B6F4ADA" w14:textId="77777777" w:rsidTr="0088429D">
        <w:tc>
          <w:tcPr>
            <w:tcW w:w="2970" w:type="dxa"/>
          </w:tcPr>
          <w:p w14:paraId="7CE377B9" w14:textId="77777777" w:rsidR="0088429D" w:rsidRPr="0088429D" w:rsidRDefault="0088429D" w:rsidP="0088429D">
            <w:pPr>
              <w:pStyle w:val="DHHSbody"/>
            </w:pPr>
            <w:r w:rsidRPr="0088429D">
              <w:t>3</w:t>
            </w:r>
          </w:p>
        </w:tc>
        <w:tc>
          <w:tcPr>
            <w:tcW w:w="6046" w:type="dxa"/>
          </w:tcPr>
          <w:p w14:paraId="3D74F888" w14:textId="77777777" w:rsidR="0088429D" w:rsidRPr="0088429D" w:rsidRDefault="0088429D" w:rsidP="0088429D">
            <w:pPr>
              <w:pStyle w:val="DHHSbody"/>
            </w:pPr>
            <w:r w:rsidRPr="0088429D">
              <w:t>Events that result in a person requiring increased treatment, but not hospitalisation or an increased length of stay.</w:t>
            </w:r>
          </w:p>
        </w:tc>
      </w:tr>
      <w:tr w:rsidR="0088429D" w:rsidRPr="0088429D" w14:paraId="67ECFD1E" w14:textId="77777777" w:rsidTr="0088429D">
        <w:tc>
          <w:tcPr>
            <w:tcW w:w="2970" w:type="dxa"/>
          </w:tcPr>
          <w:p w14:paraId="0797780C" w14:textId="77777777" w:rsidR="0088429D" w:rsidRPr="0088429D" w:rsidRDefault="0088429D" w:rsidP="0088429D">
            <w:pPr>
              <w:pStyle w:val="DHHSbody"/>
            </w:pPr>
            <w:r w:rsidRPr="0088429D">
              <w:t>4</w:t>
            </w:r>
          </w:p>
        </w:tc>
        <w:tc>
          <w:tcPr>
            <w:tcW w:w="6046" w:type="dxa"/>
          </w:tcPr>
          <w:p w14:paraId="58E51895" w14:textId="77777777" w:rsidR="0088429D" w:rsidRPr="0088429D" w:rsidRDefault="0088429D" w:rsidP="0088429D">
            <w:pPr>
              <w:pStyle w:val="DHHSbody"/>
            </w:pPr>
            <w:r w:rsidRPr="0088429D">
              <w:t>Events that result in minor injury requiring only first aid treatment or no injury.</w:t>
            </w:r>
          </w:p>
        </w:tc>
      </w:tr>
    </w:tbl>
    <w:p w14:paraId="0F6A0500" w14:textId="77777777" w:rsidR="005B6D53" w:rsidRDefault="005B6D53">
      <w:pPr>
        <w:rPr>
          <w:rFonts w:ascii="Arial" w:hAnsi="Arial"/>
          <w:bCs/>
          <w:color w:val="D50032"/>
          <w:sz w:val="44"/>
          <w:szCs w:val="44"/>
        </w:rPr>
      </w:pPr>
      <w:r>
        <w:br w:type="page"/>
      </w:r>
    </w:p>
    <w:p w14:paraId="714E8D8A" w14:textId="7FC9CB3E" w:rsidR="0088429D" w:rsidRPr="005B6D53" w:rsidRDefault="005B6D53" w:rsidP="005B6D53">
      <w:pPr>
        <w:pStyle w:val="Heading1"/>
        <w:rPr>
          <w:b/>
        </w:rPr>
      </w:pPr>
      <w:bookmarkStart w:id="38" w:name="_Toc46304665"/>
      <w:r w:rsidRPr="005B6D53">
        <w:lastRenderedPageBreak/>
        <w:t>Appendix 4</w:t>
      </w:r>
      <w:r w:rsidR="009F412B">
        <w:t xml:space="preserve">: </w:t>
      </w:r>
      <w:r w:rsidR="0088429D" w:rsidRPr="0088429D">
        <w:t>STIR timeline</w:t>
      </w:r>
      <w:bookmarkEnd w:id="38"/>
    </w:p>
    <w:p w14:paraId="6D98DE57" w14:textId="77777777" w:rsidR="0088429D" w:rsidRPr="00F1796C" w:rsidRDefault="0088429D" w:rsidP="0088429D">
      <w:pPr>
        <w:pStyle w:val="DHHSbody"/>
        <w:rPr>
          <w:b/>
          <w:bCs/>
        </w:rPr>
      </w:pPr>
      <w:r w:rsidRPr="00F1796C">
        <w:rPr>
          <w:b/>
          <w:bCs/>
        </w:rPr>
        <w:t>2006</w:t>
      </w:r>
    </w:p>
    <w:p w14:paraId="1C96AF83" w14:textId="77777777" w:rsidR="0088429D" w:rsidRPr="0088429D" w:rsidRDefault="0088429D" w:rsidP="005B6D53">
      <w:pPr>
        <w:pStyle w:val="DHHStablebullet1"/>
      </w:pPr>
      <w:r w:rsidRPr="0088429D">
        <w:t>Pilot July–October</w:t>
      </w:r>
    </w:p>
    <w:p w14:paraId="5BD7EA76" w14:textId="77777777" w:rsidR="0088429D" w:rsidRPr="0088429D" w:rsidRDefault="0088429D" w:rsidP="005B6D53">
      <w:pPr>
        <w:pStyle w:val="DHHStablebullet1"/>
      </w:pPr>
      <w:r w:rsidRPr="0088429D">
        <w:t>First notification received 18 September 2006</w:t>
      </w:r>
    </w:p>
    <w:p w14:paraId="054AA1B7" w14:textId="77777777" w:rsidR="0088429D" w:rsidRPr="0088429D" w:rsidRDefault="0088429D" w:rsidP="005B6D53">
      <w:pPr>
        <w:pStyle w:val="DHHStablebullet1"/>
      </w:pPr>
      <w:r w:rsidRPr="0088429D">
        <w:t>Nine incident categories</w:t>
      </w:r>
    </w:p>
    <w:p w14:paraId="1B2A8BBA" w14:textId="77777777" w:rsidR="0088429D" w:rsidRPr="00F1796C" w:rsidRDefault="0088429D" w:rsidP="0088429D">
      <w:pPr>
        <w:pStyle w:val="DHHSbody"/>
        <w:rPr>
          <w:b/>
          <w:bCs/>
        </w:rPr>
      </w:pPr>
      <w:r w:rsidRPr="00F1796C">
        <w:rPr>
          <w:b/>
          <w:bCs/>
        </w:rPr>
        <w:t>2008</w:t>
      </w:r>
    </w:p>
    <w:p w14:paraId="4A3F126C" w14:textId="77777777" w:rsidR="0088429D" w:rsidRPr="0088429D" w:rsidRDefault="0088429D" w:rsidP="005B6D53">
      <w:pPr>
        <w:pStyle w:val="DHHStablebullet1"/>
      </w:pPr>
      <w:r w:rsidRPr="0088429D">
        <w:t>First STIR report developed and published, covering 1 January 2006 to 31 December 2007</w:t>
      </w:r>
    </w:p>
    <w:p w14:paraId="70B28762" w14:textId="77777777" w:rsidR="0088429D" w:rsidRPr="0088429D" w:rsidRDefault="0088429D" w:rsidP="005B6D53">
      <w:pPr>
        <w:pStyle w:val="DHHStablebullet1"/>
      </w:pPr>
      <w:r w:rsidRPr="0088429D">
        <w:t>Four jurisdictions reporting</w:t>
      </w:r>
    </w:p>
    <w:p w14:paraId="0C00A5C1" w14:textId="77777777" w:rsidR="0088429D" w:rsidRPr="00F1796C" w:rsidRDefault="0088429D" w:rsidP="0088429D">
      <w:pPr>
        <w:pStyle w:val="DHHSbody"/>
        <w:rPr>
          <w:b/>
          <w:bCs/>
        </w:rPr>
      </w:pPr>
      <w:r w:rsidRPr="00F1796C">
        <w:rPr>
          <w:b/>
          <w:bCs/>
        </w:rPr>
        <w:t>2011</w:t>
      </w:r>
    </w:p>
    <w:p w14:paraId="0FE38700" w14:textId="77777777" w:rsidR="0088429D" w:rsidRPr="0088429D" w:rsidRDefault="0088429D" w:rsidP="005B6D53">
      <w:pPr>
        <w:pStyle w:val="DHHStablebullet1"/>
      </w:pPr>
      <w:r w:rsidRPr="0088429D">
        <w:t>Move to electronic notification and report forms</w:t>
      </w:r>
    </w:p>
    <w:p w14:paraId="26BED315" w14:textId="77777777" w:rsidR="0088429D" w:rsidRPr="00F1796C" w:rsidRDefault="0088429D" w:rsidP="0088429D">
      <w:pPr>
        <w:pStyle w:val="DHHSbody"/>
        <w:rPr>
          <w:b/>
          <w:bCs/>
        </w:rPr>
      </w:pPr>
      <w:r w:rsidRPr="00F1796C">
        <w:rPr>
          <w:b/>
          <w:bCs/>
        </w:rPr>
        <w:t>2013</w:t>
      </w:r>
    </w:p>
    <w:p w14:paraId="01B49C6F" w14:textId="77777777" w:rsidR="0088429D" w:rsidRPr="0088429D" w:rsidRDefault="0088429D" w:rsidP="005B6D53">
      <w:pPr>
        <w:pStyle w:val="DHHStablebullet1"/>
      </w:pPr>
      <w:bookmarkStart w:id="39" w:name="_Hlk37758393"/>
      <w:r w:rsidRPr="0088429D">
        <w:t>NSQHS</w:t>
      </w:r>
      <w:bookmarkEnd w:id="39"/>
      <w:r w:rsidRPr="0088429D">
        <w:t xml:space="preserve"> Standard 7: ‘Blood and blood products’ developed, encourages haemovigilence reporting</w:t>
      </w:r>
    </w:p>
    <w:p w14:paraId="08E1EC99" w14:textId="77777777" w:rsidR="0088429D" w:rsidRPr="00F1796C" w:rsidRDefault="0088429D" w:rsidP="0088429D">
      <w:pPr>
        <w:pStyle w:val="DHHSbody"/>
        <w:rPr>
          <w:b/>
          <w:bCs/>
        </w:rPr>
      </w:pPr>
      <w:r w:rsidRPr="00F1796C">
        <w:rPr>
          <w:b/>
          <w:bCs/>
        </w:rPr>
        <w:t>2014</w:t>
      </w:r>
    </w:p>
    <w:p w14:paraId="5E3E6BBF" w14:textId="77777777" w:rsidR="0088429D" w:rsidRPr="0088429D" w:rsidRDefault="0088429D" w:rsidP="005B6D53">
      <w:pPr>
        <w:pStyle w:val="DHHStablebullet1"/>
      </w:pPr>
      <w:r w:rsidRPr="0088429D">
        <w:t>Commenced annual STIR report</w:t>
      </w:r>
    </w:p>
    <w:p w14:paraId="1BB857C5" w14:textId="77777777" w:rsidR="0088429D" w:rsidRPr="00F1796C" w:rsidRDefault="0088429D" w:rsidP="0088429D">
      <w:pPr>
        <w:pStyle w:val="DHHSbody"/>
        <w:rPr>
          <w:b/>
          <w:bCs/>
        </w:rPr>
      </w:pPr>
      <w:r w:rsidRPr="00F1796C">
        <w:rPr>
          <w:b/>
          <w:bCs/>
        </w:rPr>
        <w:t>2015</w:t>
      </w:r>
    </w:p>
    <w:p w14:paraId="0A0BDF83" w14:textId="77777777" w:rsidR="0088429D" w:rsidRPr="0088429D" w:rsidRDefault="0088429D" w:rsidP="005B6D53">
      <w:pPr>
        <w:pStyle w:val="DHHStablebullet1"/>
      </w:pPr>
      <w:r w:rsidRPr="0088429D">
        <w:t>Commenced RhD Ig and cell salvage reporting (1 January 2015)</w:t>
      </w:r>
    </w:p>
    <w:p w14:paraId="048A47E3" w14:textId="77777777" w:rsidR="0088429D" w:rsidRPr="0088429D" w:rsidRDefault="0088429D" w:rsidP="005B6D53">
      <w:pPr>
        <w:pStyle w:val="DHHStablebullet1"/>
      </w:pPr>
      <w:r w:rsidRPr="0088429D">
        <w:t>Change to WBIT reporting to exclude mismatch in labelling (zero tolerance)</w:t>
      </w:r>
    </w:p>
    <w:p w14:paraId="47F471C8" w14:textId="77777777" w:rsidR="0088429D" w:rsidRPr="00F1796C" w:rsidRDefault="0088429D" w:rsidP="0088429D">
      <w:pPr>
        <w:pStyle w:val="DHHSbody"/>
        <w:rPr>
          <w:b/>
          <w:bCs/>
        </w:rPr>
      </w:pPr>
      <w:r w:rsidRPr="00F1796C">
        <w:rPr>
          <w:b/>
          <w:bCs/>
        </w:rPr>
        <w:t>2017</w:t>
      </w:r>
    </w:p>
    <w:p w14:paraId="07BDE6D8" w14:textId="77777777" w:rsidR="0088429D" w:rsidRPr="0088429D" w:rsidRDefault="0088429D" w:rsidP="005B6D53">
      <w:pPr>
        <w:pStyle w:val="DHHStablebullet1"/>
      </w:pPr>
      <w:r w:rsidRPr="0088429D">
        <w:t>Review of all forms</w:t>
      </w:r>
    </w:p>
    <w:p w14:paraId="1B4D9023" w14:textId="42EF0660" w:rsidR="0088429D" w:rsidRPr="0088429D" w:rsidRDefault="0088429D" w:rsidP="005B6D53">
      <w:pPr>
        <w:pStyle w:val="DHHStablebullet1"/>
      </w:pPr>
      <w:r w:rsidRPr="0088429D">
        <w:t>Commenced reporting of delayed serological transfusion reaction and transfusion</w:t>
      </w:r>
      <w:r w:rsidR="00C24C20">
        <w:t>-</w:t>
      </w:r>
      <w:r w:rsidRPr="0088429D">
        <w:t>associated dyspnoea (1 July 2017)</w:t>
      </w:r>
    </w:p>
    <w:p w14:paraId="099F53E1" w14:textId="77777777" w:rsidR="0088429D" w:rsidRPr="00F1796C" w:rsidRDefault="0088429D" w:rsidP="0088429D">
      <w:pPr>
        <w:pStyle w:val="DHHSbody"/>
        <w:rPr>
          <w:b/>
          <w:bCs/>
        </w:rPr>
      </w:pPr>
      <w:r w:rsidRPr="00F1796C">
        <w:rPr>
          <w:b/>
          <w:bCs/>
        </w:rPr>
        <w:t>2018</w:t>
      </w:r>
    </w:p>
    <w:p w14:paraId="406184F4" w14:textId="66D46F82" w:rsidR="006D360C" w:rsidRDefault="0088429D" w:rsidP="00FE6832">
      <w:pPr>
        <w:pStyle w:val="DHHStablebullet1"/>
      </w:pPr>
      <w:r w:rsidRPr="0088429D">
        <w:t xml:space="preserve">First </w:t>
      </w:r>
      <w:r w:rsidRPr="00F1796C">
        <w:rPr>
          <w:i/>
          <w:iCs/>
        </w:rPr>
        <w:t xml:space="preserve">STIR </w:t>
      </w:r>
      <w:r w:rsidR="009F412B" w:rsidRPr="00F1796C">
        <w:rPr>
          <w:i/>
          <w:iCs/>
        </w:rPr>
        <w:t>bulletin</w:t>
      </w:r>
      <w:r w:rsidR="009F412B" w:rsidRPr="0088429D">
        <w:t xml:space="preserve"> </w:t>
      </w:r>
      <w:r w:rsidRPr="0088429D">
        <w:t>sent to health</w:t>
      </w:r>
      <w:r w:rsidR="00810F57">
        <w:t xml:space="preserve"> services and interested parties</w:t>
      </w:r>
    </w:p>
    <w:p w14:paraId="5F2B556E" w14:textId="63C36F7A" w:rsidR="00220105" w:rsidRPr="00F1796C" w:rsidRDefault="00220105" w:rsidP="00220105">
      <w:pPr>
        <w:pStyle w:val="DHHStablebullet1"/>
        <w:numPr>
          <w:ilvl w:val="0"/>
          <w:numId w:val="0"/>
        </w:numPr>
        <w:ind w:left="227" w:hanging="227"/>
        <w:rPr>
          <w:b/>
          <w:bCs/>
        </w:rPr>
      </w:pPr>
      <w:r w:rsidRPr="00F1796C">
        <w:rPr>
          <w:b/>
          <w:bCs/>
        </w:rPr>
        <w:t>2020</w:t>
      </w:r>
    </w:p>
    <w:p w14:paraId="5B988651" w14:textId="7EC6B7DF" w:rsidR="00220105" w:rsidRPr="003072C6" w:rsidRDefault="00220105" w:rsidP="005C4E32">
      <w:pPr>
        <w:pStyle w:val="DHHStablebullet1"/>
        <w:numPr>
          <w:ilvl w:val="0"/>
          <w:numId w:val="15"/>
        </w:numPr>
      </w:pPr>
      <w:r>
        <w:t xml:space="preserve">Commenced reporting of </w:t>
      </w:r>
      <w:proofErr w:type="spellStart"/>
      <w:r>
        <w:t>RhD</w:t>
      </w:r>
      <w:proofErr w:type="spellEnd"/>
      <w:r>
        <w:t xml:space="preserve"> </w:t>
      </w:r>
      <w:proofErr w:type="spellStart"/>
      <w:r>
        <w:t>isoimmunisations</w:t>
      </w:r>
      <w:proofErr w:type="spellEnd"/>
      <w:r>
        <w:t xml:space="preserve"> and hypotensive reactions (1 July 2020)</w:t>
      </w:r>
    </w:p>
    <w:sectPr w:rsidR="00220105" w:rsidRPr="003072C6" w:rsidSect="00BA5E47">
      <w:headerReference w:type="even" r:id="rId28"/>
      <w:headerReference w:type="default" r:id="rId29"/>
      <w:footerReference w:type="even" r:id="rId30"/>
      <w:footerReference w:type="default" r:id="rId31"/>
      <w:footerReference w:type="first" r:id="rId32"/>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C610F" w14:textId="77777777" w:rsidR="007F664A" w:rsidRDefault="007F664A">
      <w:r>
        <w:separator/>
      </w:r>
    </w:p>
  </w:endnote>
  <w:endnote w:type="continuationSeparator" w:id="0">
    <w:p w14:paraId="61E27CA7" w14:textId="77777777" w:rsidR="007F664A" w:rsidRDefault="007F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charset w:val="00"/>
    <w:family w:val="auto"/>
    <w:pitch w:val="variable"/>
    <w:sig w:usb0="E1001AEF" w:usb1="5000A1FF" w:usb2="00000000" w:usb3="00000000" w:csb0="000001B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048CC" w14:textId="77777777" w:rsidR="007F664A" w:rsidRDefault="007F664A">
    <w:pPr>
      <w:pStyle w:val="Footer"/>
    </w:pPr>
    <w:r>
      <w:t>STIR 2018</w:t>
    </w:r>
    <w:r w:rsidRPr="005B6D53">
      <w:t>–</w:t>
    </w:r>
    <w:r>
      <w:t>19 report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97AD4" w14:textId="6E1A548D" w:rsidR="007F664A" w:rsidRPr="008114D1" w:rsidRDefault="007F664A" w:rsidP="00E969B1">
    <w:pPr>
      <w:pStyle w:val="DHHSfooter"/>
    </w:pPr>
    <w:r>
      <w:t xml:space="preserve">Page </w:t>
    </w:r>
    <w:r w:rsidRPr="005A39EC">
      <w:fldChar w:fldCharType="begin"/>
    </w:r>
    <w:r w:rsidRPr="005A39EC">
      <w:instrText xml:space="preserve"> PAGE </w:instrText>
    </w:r>
    <w:r w:rsidRPr="005A39EC">
      <w:fldChar w:fldCharType="separate"/>
    </w:r>
    <w:r w:rsidR="00C812D7">
      <w:rPr>
        <w:noProof/>
      </w:rPr>
      <w:t>34</w:t>
    </w:r>
    <w:r w:rsidRPr="005A39EC">
      <w:fldChar w:fldCharType="end"/>
    </w:r>
    <w:r>
      <w:ptab w:relativeTo="margin" w:alignment="right" w:leader="none"/>
    </w:r>
    <w:r>
      <w:t>STIR 2018</w:t>
    </w:r>
    <w:r w:rsidRPr="00810F57">
      <w:t>–</w:t>
    </w:r>
    <w:r>
      <w:t>19 report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4D215" w14:textId="1EE6D16F" w:rsidR="007F664A" w:rsidRPr="0031753A" w:rsidRDefault="007F664A" w:rsidP="00E969B1">
    <w:pPr>
      <w:pStyle w:val="DHHSfooter"/>
    </w:pPr>
    <w:r>
      <w:t>STIR 2018</w:t>
    </w:r>
    <w:r w:rsidRPr="00810F57">
      <w:t>–</w:t>
    </w:r>
    <w:r>
      <w:t>19 report</w:t>
    </w:r>
    <w:r>
      <w:ptab w:relativeTo="margin" w:alignment="right" w:leader="none"/>
    </w:r>
    <w:r w:rsidRPr="0031753A">
      <w:t xml:space="preserve">Page </w:t>
    </w:r>
    <w:r w:rsidRPr="0031753A">
      <w:fldChar w:fldCharType="begin"/>
    </w:r>
    <w:r w:rsidRPr="0031753A">
      <w:instrText xml:space="preserve"> PAGE </w:instrText>
    </w:r>
    <w:r w:rsidRPr="0031753A">
      <w:fldChar w:fldCharType="separate"/>
    </w:r>
    <w:r w:rsidR="00C812D7">
      <w:rPr>
        <w:noProof/>
      </w:rPr>
      <w:t>33</w:t>
    </w:r>
    <w:r w:rsidRPr="0031753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AC556" w14:textId="77777777" w:rsidR="007F664A" w:rsidRPr="001A7E04" w:rsidRDefault="007F664A"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FEA2A" w14:textId="77777777" w:rsidR="007F664A" w:rsidRDefault="007F664A">
      <w:r>
        <w:separator/>
      </w:r>
    </w:p>
  </w:footnote>
  <w:footnote w:type="continuationSeparator" w:id="0">
    <w:p w14:paraId="2E46C0FC" w14:textId="77777777" w:rsidR="007F664A" w:rsidRDefault="007F664A">
      <w:r>
        <w:continuationSeparator/>
      </w:r>
    </w:p>
  </w:footnote>
  <w:footnote w:id="1">
    <w:p w14:paraId="643FB290" w14:textId="77777777" w:rsidR="007F664A" w:rsidRDefault="007F664A">
      <w:pPr>
        <w:pStyle w:val="FootnoteText"/>
      </w:pPr>
      <w:r>
        <w:rPr>
          <w:rStyle w:val="FootnoteReference"/>
        </w:rPr>
        <w:footnoteRef/>
      </w:r>
      <w:r>
        <w:t xml:space="preserve"> </w:t>
      </w:r>
      <w:r w:rsidRPr="00F1796C">
        <w:rPr>
          <w:rFonts w:eastAsia="Times"/>
          <w:iCs/>
        </w:rPr>
        <w:t>Validated clinical events includes Victoria only (n = 60). In some incidences multiple products were recorded for one event.</w:t>
      </w:r>
    </w:p>
  </w:footnote>
  <w:footnote w:id="2">
    <w:p w14:paraId="7AB23BBD" w14:textId="77777777" w:rsidR="007F664A" w:rsidRDefault="007F664A" w:rsidP="0088429D">
      <w:pPr>
        <w:pStyle w:val="FootnoteText"/>
      </w:pPr>
      <w:r>
        <w:rPr>
          <w:rStyle w:val="FootnoteReference"/>
        </w:rPr>
        <w:footnoteRef/>
      </w:r>
      <w:r>
        <w:t xml:space="preserve"> One report stated multiple products</w:t>
      </w:r>
    </w:p>
  </w:footnote>
  <w:footnote w:id="3">
    <w:p w14:paraId="22AAC46A" w14:textId="77777777" w:rsidR="007F664A" w:rsidRDefault="007F664A" w:rsidP="0088429D">
      <w:pPr>
        <w:pStyle w:val="FootnoteText"/>
      </w:pPr>
      <w:r>
        <w:rPr>
          <w:rStyle w:val="FootnoteReference"/>
        </w:rPr>
        <w:footnoteRef/>
      </w:r>
      <w:r>
        <w:t xml:space="preserve"> Health services could select multiple implicated products</w:t>
      </w:r>
    </w:p>
  </w:footnote>
  <w:footnote w:id="4">
    <w:p w14:paraId="0C3DC8A3" w14:textId="77777777" w:rsidR="007F664A" w:rsidRDefault="007F664A" w:rsidP="0088429D">
      <w:pPr>
        <w:pStyle w:val="FootnoteText"/>
      </w:pPr>
      <w:r>
        <w:rPr>
          <w:rStyle w:val="FootnoteReference"/>
        </w:rPr>
        <w:footnoteRef/>
      </w:r>
      <w:r>
        <w:t xml:space="preserve"> Multiple blood products could be selected</w:t>
      </w:r>
    </w:p>
  </w:footnote>
  <w:footnote w:id="5">
    <w:p w14:paraId="3868564D" w14:textId="75EAFF7B" w:rsidR="007F664A" w:rsidRPr="00FA4CA0" w:rsidRDefault="007F664A" w:rsidP="00F1796C">
      <w:pPr>
        <w:pStyle w:val="FootnoteText"/>
      </w:pPr>
      <w:r w:rsidRPr="00FA4CA0">
        <w:rPr>
          <w:rStyle w:val="FootnoteReference"/>
        </w:rPr>
        <w:footnoteRef/>
      </w:r>
      <w:r w:rsidRPr="00FA4CA0">
        <w:t xml:space="preserve"> The health service thoroughly reviewed the incident and potential causative factors, developing a number of recommendations. However, the recommendation concerning the provision of only </w:t>
      </w:r>
      <w:proofErr w:type="spellStart"/>
      <w:r w:rsidRPr="00FA4CA0">
        <w:t>Kell</w:t>
      </w:r>
      <w:proofErr w:type="spellEnd"/>
      <w:r>
        <w:t>-</w:t>
      </w:r>
      <w:r w:rsidRPr="00FA4CA0">
        <w:t>negative blood may not be feasible</w:t>
      </w:r>
      <w:r>
        <w:t>,</w:t>
      </w:r>
      <w:r w:rsidRPr="00FA4CA0">
        <w:t xml:space="preserve"> given the need for this product in a large number of health services. A consensus statement on </w:t>
      </w:r>
      <w:r>
        <w:t xml:space="preserve">the </w:t>
      </w:r>
      <w:r w:rsidRPr="00FA4CA0">
        <w:t xml:space="preserve">use and allocation of </w:t>
      </w:r>
      <w:proofErr w:type="spellStart"/>
      <w:r w:rsidRPr="00FA4CA0">
        <w:t>Kell</w:t>
      </w:r>
      <w:proofErr w:type="spellEnd"/>
      <w:r>
        <w:t>-</w:t>
      </w:r>
      <w:r w:rsidRPr="00FA4CA0">
        <w:t>negative red cells, developed by Lifeblood and the Australian and New Zealand Society of Blood Transfusion</w:t>
      </w:r>
      <w:r>
        <w:t>,</w:t>
      </w:r>
      <w:r w:rsidRPr="00FA4CA0">
        <w:t xml:space="preserve"> addresses this issue. It states that the practice of provision of </w:t>
      </w:r>
      <w:proofErr w:type="spellStart"/>
      <w:r w:rsidRPr="00FA4CA0">
        <w:t>Kell</w:t>
      </w:r>
      <w:proofErr w:type="spellEnd"/>
      <w:r>
        <w:t>–</w:t>
      </w:r>
      <w:r w:rsidRPr="00FA4CA0">
        <w:t>negative only inventory is unjustified, and unfairly burdens some laboratories with an excess inventory of K</w:t>
      </w:r>
      <w:r>
        <w:t>-</w:t>
      </w:r>
      <w:r w:rsidRPr="00FA4CA0">
        <w:t>positive units</w:t>
      </w:r>
      <w:r>
        <w:t>,</w:t>
      </w:r>
      <w:r w:rsidRPr="00FA4CA0">
        <w:t xml:space="preserve"> thereby increasing the likelihood of wastage and the need for further individual patient orders. It also provides recommendations on when </w:t>
      </w:r>
      <w:proofErr w:type="spellStart"/>
      <w:r w:rsidRPr="00FA4CA0">
        <w:t>Kell</w:t>
      </w:r>
      <w:proofErr w:type="spellEnd"/>
      <w:r>
        <w:t>-</w:t>
      </w:r>
      <w:r w:rsidRPr="00FA4CA0">
        <w:t>negative units are required.</w:t>
      </w:r>
      <w:r>
        <w:t xml:space="preserve"> </w:t>
      </w:r>
      <w:hyperlink r:id="rId1" w:history="1">
        <w:r w:rsidRPr="00FA4CA0">
          <w:rPr>
            <w:rStyle w:val="Hyperlink"/>
          </w:rPr>
          <w:t>Access the consensus statement for more</w:t>
        </w:r>
      </w:hyperlink>
      <w:r>
        <w:t xml:space="preserve"> &lt;</w:t>
      </w:r>
      <w:hyperlink r:id="rId2" w:history="1">
        <w:r w:rsidRPr="00FA4CA0">
          <w:rPr>
            <w:rStyle w:val="Hyperlink"/>
            <w:color w:val="auto"/>
            <w:u w:val="none"/>
          </w:rPr>
          <w:t>https://anzsbt.org.au/wp-content/uploads/2018/06/Kellnegativeredcells-F.pdf</w:t>
        </w:r>
      </w:hyperlink>
      <w:r>
        <w:t>&gt;.</w:t>
      </w:r>
    </w:p>
    <w:p w14:paraId="38DFBF9D" w14:textId="34279323" w:rsidR="007F664A" w:rsidRDefault="007F664A">
      <w:pPr>
        <w:pStyle w:val="FootnoteText"/>
      </w:pPr>
    </w:p>
  </w:footnote>
  <w:footnote w:id="6">
    <w:p w14:paraId="3946DC8C" w14:textId="77777777" w:rsidR="007F664A" w:rsidRDefault="007F664A" w:rsidP="0088429D">
      <w:pPr>
        <w:pStyle w:val="FootnoteText"/>
      </w:pPr>
      <w:r>
        <w:rPr>
          <w:rStyle w:val="FootnoteReference"/>
        </w:rPr>
        <w:footnoteRef/>
      </w:r>
      <w:r>
        <w:t xml:space="preserve"> T</w:t>
      </w:r>
      <w:r w:rsidRPr="00E8086D">
        <w:t>wo patients had errors reported for more than one administration time</w:t>
      </w:r>
      <w:r>
        <w:t xml:space="preserve"> </w:t>
      </w:r>
      <w:r w:rsidRPr="00E8086D">
        <w:t>point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E7015" w14:textId="77777777" w:rsidR="007F664A" w:rsidRPr="0069374A" w:rsidRDefault="007F664A"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18074" w14:textId="77777777" w:rsidR="007F664A" w:rsidRDefault="007F664A"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C52"/>
    <w:multiLevelType w:val="hybridMultilevel"/>
    <w:tmpl w:val="A48E7F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6E47B0"/>
    <w:multiLevelType w:val="hybridMultilevel"/>
    <w:tmpl w:val="D5B4E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2A96FC4"/>
    <w:multiLevelType w:val="hybridMultilevel"/>
    <w:tmpl w:val="F314FC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E6C68D4"/>
    <w:multiLevelType w:val="multilevel"/>
    <w:tmpl w:val="0C78D532"/>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7A665E0"/>
    <w:multiLevelType w:val="hybridMultilevel"/>
    <w:tmpl w:val="741E24E0"/>
    <w:lvl w:ilvl="0" w:tplc="23B058AA">
      <w:start w:val="1"/>
      <w:numFmt w:val="lowerLetter"/>
      <w:lvlText w:val="%1."/>
      <w:lvlJc w:val="left"/>
      <w:pPr>
        <w:ind w:left="1080" w:hanging="360"/>
      </w:pPr>
      <w:rPr>
        <w:rFonts w:hint="default"/>
      </w:rPr>
    </w:lvl>
    <w:lvl w:ilvl="1" w:tplc="FD6006FA">
      <w:numFmt w:val="bullet"/>
      <w:lvlText w:val="•"/>
      <w:lvlJc w:val="left"/>
      <w:pPr>
        <w:ind w:left="1800" w:hanging="360"/>
      </w:pPr>
      <w:rPr>
        <w:rFonts w:ascii="Arial" w:eastAsia="Times" w:hAnsi="Arial" w:cs="Aria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F1AE3C58"/>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A756CF"/>
    <w:multiLevelType w:val="hybridMultilevel"/>
    <w:tmpl w:val="20CC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8"/>
  </w:num>
  <w:num w:numId="2">
    <w:abstractNumId w:val="4"/>
  </w:num>
  <w:num w:numId="3">
    <w:abstractNumId w:val="2"/>
  </w:num>
  <w:num w:numId="4">
    <w:abstractNumId w:val="5"/>
  </w:num>
  <w:num w:numId="5">
    <w:abstractNumId w:val="10"/>
  </w:num>
  <w:num w:numId="6">
    <w:abstractNumId w:val="7"/>
  </w:num>
  <w:num w:numId="7">
    <w:abstractNumId w:val="2"/>
  </w:num>
  <w:num w:numId="8">
    <w:abstractNumId w:val="10"/>
  </w:num>
  <w:num w:numId="9">
    <w:abstractNumId w:val="5"/>
  </w:num>
  <w:num w:numId="10">
    <w:abstractNumId w:val="7"/>
  </w:num>
  <w:num w:numId="11">
    <w:abstractNumId w:val="1"/>
  </w:num>
  <w:num w:numId="12">
    <w:abstractNumId w:val="9"/>
  </w:num>
  <w:num w:numId="13">
    <w:abstractNumId w:val="6"/>
  </w:num>
  <w:num w:numId="14">
    <w:abstractNumId w:val="3"/>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98"/>
    <w:rsid w:val="00002990"/>
    <w:rsid w:val="000048AC"/>
    <w:rsid w:val="00006922"/>
    <w:rsid w:val="00014FC4"/>
    <w:rsid w:val="00020AAB"/>
    <w:rsid w:val="000223A4"/>
    <w:rsid w:val="00022E60"/>
    <w:rsid w:val="00026C19"/>
    <w:rsid w:val="00031263"/>
    <w:rsid w:val="0005587D"/>
    <w:rsid w:val="00060E93"/>
    <w:rsid w:val="00064936"/>
    <w:rsid w:val="000734F8"/>
    <w:rsid w:val="000736B8"/>
    <w:rsid w:val="000817CB"/>
    <w:rsid w:val="000873EF"/>
    <w:rsid w:val="00091840"/>
    <w:rsid w:val="000A1282"/>
    <w:rsid w:val="000B3792"/>
    <w:rsid w:val="000C6242"/>
    <w:rsid w:val="000C68DB"/>
    <w:rsid w:val="000D0843"/>
    <w:rsid w:val="000D2C32"/>
    <w:rsid w:val="000E1DAE"/>
    <w:rsid w:val="000E6F72"/>
    <w:rsid w:val="000F0478"/>
    <w:rsid w:val="000F0A50"/>
    <w:rsid w:val="000F4828"/>
    <w:rsid w:val="00103D5E"/>
    <w:rsid w:val="00104EA7"/>
    <w:rsid w:val="00105FAD"/>
    <w:rsid w:val="0011155B"/>
    <w:rsid w:val="00111A6A"/>
    <w:rsid w:val="00121BF1"/>
    <w:rsid w:val="00127A8B"/>
    <w:rsid w:val="00134BE5"/>
    <w:rsid w:val="00135FA6"/>
    <w:rsid w:val="001412D1"/>
    <w:rsid w:val="001423E3"/>
    <w:rsid w:val="001475EA"/>
    <w:rsid w:val="00147DC6"/>
    <w:rsid w:val="001504F5"/>
    <w:rsid w:val="001517BD"/>
    <w:rsid w:val="00154AB4"/>
    <w:rsid w:val="00160850"/>
    <w:rsid w:val="00166E38"/>
    <w:rsid w:val="0017248D"/>
    <w:rsid w:val="00173578"/>
    <w:rsid w:val="00173626"/>
    <w:rsid w:val="0017614A"/>
    <w:rsid w:val="00176C53"/>
    <w:rsid w:val="0018018C"/>
    <w:rsid w:val="0018177B"/>
    <w:rsid w:val="001817CD"/>
    <w:rsid w:val="0018235E"/>
    <w:rsid w:val="001834B7"/>
    <w:rsid w:val="00186C94"/>
    <w:rsid w:val="0018768C"/>
    <w:rsid w:val="00192BA0"/>
    <w:rsid w:val="00197303"/>
    <w:rsid w:val="001A17EA"/>
    <w:rsid w:val="001A1D17"/>
    <w:rsid w:val="001A22AA"/>
    <w:rsid w:val="001A7A18"/>
    <w:rsid w:val="001B1565"/>
    <w:rsid w:val="001B166D"/>
    <w:rsid w:val="001B28B5"/>
    <w:rsid w:val="001B2975"/>
    <w:rsid w:val="001C08A9"/>
    <w:rsid w:val="001C122D"/>
    <w:rsid w:val="001C3BDA"/>
    <w:rsid w:val="001D1DD0"/>
    <w:rsid w:val="001D2A82"/>
    <w:rsid w:val="001D569B"/>
    <w:rsid w:val="001E0EA3"/>
    <w:rsid w:val="001E3F3D"/>
    <w:rsid w:val="001E4995"/>
    <w:rsid w:val="001E7A42"/>
    <w:rsid w:val="001F09DC"/>
    <w:rsid w:val="001F43E6"/>
    <w:rsid w:val="00211D61"/>
    <w:rsid w:val="00213772"/>
    <w:rsid w:val="00215D68"/>
    <w:rsid w:val="00220105"/>
    <w:rsid w:val="00220749"/>
    <w:rsid w:val="0022422C"/>
    <w:rsid w:val="0022724E"/>
    <w:rsid w:val="00230666"/>
    <w:rsid w:val="00231153"/>
    <w:rsid w:val="0023252E"/>
    <w:rsid w:val="00241C31"/>
    <w:rsid w:val="00256E7C"/>
    <w:rsid w:val="002679D5"/>
    <w:rsid w:val="002714FD"/>
    <w:rsid w:val="002733F4"/>
    <w:rsid w:val="00274BD3"/>
    <w:rsid w:val="00275F94"/>
    <w:rsid w:val="00277D12"/>
    <w:rsid w:val="00281B9C"/>
    <w:rsid w:val="00284C9B"/>
    <w:rsid w:val="002A035D"/>
    <w:rsid w:val="002A141B"/>
    <w:rsid w:val="002A26B6"/>
    <w:rsid w:val="002A6A4E"/>
    <w:rsid w:val="002B5A85"/>
    <w:rsid w:val="002B63A7"/>
    <w:rsid w:val="002C5543"/>
    <w:rsid w:val="002D0F7F"/>
    <w:rsid w:val="002E0198"/>
    <w:rsid w:val="002E1D7C"/>
    <w:rsid w:val="002E3367"/>
    <w:rsid w:val="002F449B"/>
    <w:rsid w:val="002F4D86"/>
    <w:rsid w:val="002F5D69"/>
    <w:rsid w:val="002F7C77"/>
    <w:rsid w:val="00300CB3"/>
    <w:rsid w:val="0030394B"/>
    <w:rsid w:val="003072C6"/>
    <w:rsid w:val="00310D8E"/>
    <w:rsid w:val="00315BBD"/>
    <w:rsid w:val="0031753A"/>
    <w:rsid w:val="00320293"/>
    <w:rsid w:val="00322CC2"/>
    <w:rsid w:val="003271DC"/>
    <w:rsid w:val="00331E52"/>
    <w:rsid w:val="00332FA0"/>
    <w:rsid w:val="00334B54"/>
    <w:rsid w:val="0033739E"/>
    <w:rsid w:val="00343733"/>
    <w:rsid w:val="00355886"/>
    <w:rsid w:val="00356814"/>
    <w:rsid w:val="00360322"/>
    <w:rsid w:val="00361F89"/>
    <w:rsid w:val="003741AD"/>
    <w:rsid w:val="0038019F"/>
    <w:rsid w:val="00382071"/>
    <w:rsid w:val="003A2F25"/>
    <w:rsid w:val="003B2807"/>
    <w:rsid w:val="003B28AB"/>
    <w:rsid w:val="003C1A21"/>
    <w:rsid w:val="003C68F2"/>
    <w:rsid w:val="003C7C0D"/>
    <w:rsid w:val="003D0E75"/>
    <w:rsid w:val="003D58B8"/>
    <w:rsid w:val="003D5CFB"/>
    <w:rsid w:val="003E2636"/>
    <w:rsid w:val="003E2E12"/>
    <w:rsid w:val="003F39CE"/>
    <w:rsid w:val="00401108"/>
    <w:rsid w:val="00402927"/>
    <w:rsid w:val="00407993"/>
    <w:rsid w:val="00410AFD"/>
    <w:rsid w:val="00411833"/>
    <w:rsid w:val="00412F64"/>
    <w:rsid w:val="00417BEB"/>
    <w:rsid w:val="00417CC6"/>
    <w:rsid w:val="004324FF"/>
    <w:rsid w:val="00432A55"/>
    <w:rsid w:val="00433C98"/>
    <w:rsid w:val="004372B7"/>
    <w:rsid w:val="0044260A"/>
    <w:rsid w:val="00444D82"/>
    <w:rsid w:val="004564C6"/>
    <w:rsid w:val="004610CC"/>
    <w:rsid w:val="00465464"/>
    <w:rsid w:val="00465E87"/>
    <w:rsid w:val="00472051"/>
    <w:rsid w:val="0047786A"/>
    <w:rsid w:val="00477A65"/>
    <w:rsid w:val="00482DB3"/>
    <w:rsid w:val="00490DC2"/>
    <w:rsid w:val="004A0236"/>
    <w:rsid w:val="004A369A"/>
    <w:rsid w:val="004A3B3E"/>
    <w:rsid w:val="004B094B"/>
    <w:rsid w:val="004C5777"/>
    <w:rsid w:val="004D0173"/>
    <w:rsid w:val="004D1056"/>
    <w:rsid w:val="004D2B7B"/>
    <w:rsid w:val="004D2E68"/>
    <w:rsid w:val="004D3577"/>
    <w:rsid w:val="004E1EDE"/>
    <w:rsid w:val="004E21E2"/>
    <w:rsid w:val="004E293F"/>
    <w:rsid w:val="004E380D"/>
    <w:rsid w:val="004E7922"/>
    <w:rsid w:val="004F0DFC"/>
    <w:rsid w:val="004F3441"/>
    <w:rsid w:val="004F41B2"/>
    <w:rsid w:val="004F4AFC"/>
    <w:rsid w:val="004F52A5"/>
    <w:rsid w:val="00500C8C"/>
    <w:rsid w:val="00501375"/>
    <w:rsid w:val="00501741"/>
    <w:rsid w:val="00501D3B"/>
    <w:rsid w:val="005022C9"/>
    <w:rsid w:val="00502B8F"/>
    <w:rsid w:val="0050779D"/>
    <w:rsid w:val="00512B49"/>
    <w:rsid w:val="005139EA"/>
    <w:rsid w:val="005157FB"/>
    <w:rsid w:val="00520BBB"/>
    <w:rsid w:val="00524310"/>
    <w:rsid w:val="00525456"/>
    <w:rsid w:val="00530452"/>
    <w:rsid w:val="00532236"/>
    <w:rsid w:val="005338EA"/>
    <w:rsid w:val="00534C36"/>
    <w:rsid w:val="00541DFE"/>
    <w:rsid w:val="00543E6C"/>
    <w:rsid w:val="00544184"/>
    <w:rsid w:val="00551789"/>
    <w:rsid w:val="00553F68"/>
    <w:rsid w:val="005552FD"/>
    <w:rsid w:val="005600E5"/>
    <w:rsid w:val="00564E8F"/>
    <w:rsid w:val="005728A4"/>
    <w:rsid w:val="005763FC"/>
    <w:rsid w:val="00576EB4"/>
    <w:rsid w:val="00577B30"/>
    <w:rsid w:val="0058040B"/>
    <w:rsid w:val="00582768"/>
    <w:rsid w:val="00582994"/>
    <w:rsid w:val="00583461"/>
    <w:rsid w:val="005856A4"/>
    <w:rsid w:val="00590730"/>
    <w:rsid w:val="00594B91"/>
    <w:rsid w:val="005A120A"/>
    <w:rsid w:val="005A3051"/>
    <w:rsid w:val="005A53FE"/>
    <w:rsid w:val="005B6D53"/>
    <w:rsid w:val="005B7D22"/>
    <w:rsid w:val="005C029E"/>
    <w:rsid w:val="005C2F7C"/>
    <w:rsid w:val="005C4E32"/>
    <w:rsid w:val="005E085D"/>
    <w:rsid w:val="005E3FA7"/>
    <w:rsid w:val="005E7963"/>
    <w:rsid w:val="005F218C"/>
    <w:rsid w:val="005F4523"/>
    <w:rsid w:val="00601D4D"/>
    <w:rsid w:val="006021B4"/>
    <w:rsid w:val="00605B5B"/>
    <w:rsid w:val="006062D8"/>
    <w:rsid w:val="00606827"/>
    <w:rsid w:val="00606C23"/>
    <w:rsid w:val="00620262"/>
    <w:rsid w:val="00621B4C"/>
    <w:rsid w:val="00627C52"/>
    <w:rsid w:val="00630937"/>
    <w:rsid w:val="00653B84"/>
    <w:rsid w:val="00653E0D"/>
    <w:rsid w:val="00654FAE"/>
    <w:rsid w:val="0066183D"/>
    <w:rsid w:val="006774E9"/>
    <w:rsid w:val="006865C8"/>
    <w:rsid w:val="00686B48"/>
    <w:rsid w:val="00687038"/>
    <w:rsid w:val="0068714E"/>
    <w:rsid w:val="006872F5"/>
    <w:rsid w:val="006929F7"/>
    <w:rsid w:val="0069374A"/>
    <w:rsid w:val="00694AB8"/>
    <w:rsid w:val="0069598B"/>
    <w:rsid w:val="00695EF7"/>
    <w:rsid w:val="0069699D"/>
    <w:rsid w:val="006A0E5D"/>
    <w:rsid w:val="006B2C51"/>
    <w:rsid w:val="006B6361"/>
    <w:rsid w:val="006D18DE"/>
    <w:rsid w:val="006D24CE"/>
    <w:rsid w:val="006D360C"/>
    <w:rsid w:val="006D5259"/>
    <w:rsid w:val="006D5AC9"/>
    <w:rsid w:val="006D66ED"/>
    <w:rsid w:val="006E786B"/>
    <w:rsid w:val="006F3E0E"/>
    <w:rsid w:val="007002B1"/>
    <w:rsid w:val="00704EB7"/>
    <w:rsid w:val="00705742"/>
    <w:rsid w:val="007104FE"/>
    <w:rsid w:val="00711B0C"/>
    <w:rsid w:val="007121A2"/>
    <w:rsid w:val="00713981"/>
    <w:rsid w:val="007176D6"/>
    <w:rsid w:val="00727D54"/>
    <w:rsid w:val="00731EF2"/>
    <w:rsid w:val="007344C5"/>
    <w:rsid w:val="00734959"/>
    <w:rsid w:val="00735137"/>
    <w:rsid w:val="0073520D"/>
    <w:rsid w:val="00780226"/>
    <w:rsid w:val="00781AB4"/>
    <w:rsid w:val="007916D2"/>
    <w:rsid w:val="007923B7"/>
    <w:rsid w:val="00792616"/>
    <w:rsid w:val="007926BB"/>
    <w:rsid w:val="0079344C"/>
    <w:rsid w:val="007968AE"/>
    <w:rsid w:val="007A0283"/>
    <w:rsid w:val="007A7E23"/>
    <w:rsid w:val="007C02C7"/>
    <w:rsid w:val="007C21EE"/>
    <w:rsid w:val="007C76A0"/>
    <w:rsid w:val="007D3A2E"/>
    <w:rsid w:val="007D6652"/>
    <w:rsid w:val="007E343D"/>
    <w:rsid w:val="007F4383"/>
    <w:rsid w:val="007F5858"/>
    <w:rsid w:val="007F664A"/>
    <w:rsid w:val="007F6862"/>
    <w:rsid w:val="00801601"/>
    <w:rsid w:val="0080169A"/>
    <w:rsid w:val="008036A7"/>
    <w:rsid w:val="00803F1E"/>
    <w:rsid w:val="00810991"/>
    <w:rsid w:val="00810F57"/>
    <w:rsid w:val="00814A9B"/>
    <w:rsid w:val="00814F66"/>
    <w:rsid w:val="00817C9E"/>
    <w:rsid w:val="008205AF"/>
    <w:rsid w:val="008225E5"/>
    <w:rsid w:val="0083048A"/>
    <w:rsid w:val="00831053"/>
    <w:rsid w:val="008314D2"/>
    <w:rsid w:val="0083254D"/>
    <w:rsid w:val="00834B4C"/>
    <w:rsid w:val="00836249"/>
    <w:rsid w:val="00836F00"/>
    <w:rsid w:val="00846192"/>
    <w:rsid w:val="00850806"/>
    <w:rsid w:val="00856A1B"/>
    <w:rsid w:val="008621C3"/>
    <w:rsid w:val="00865486"/>
    <w:rsid w:val="008669BE"/>
    <w:rsid w:val="00876275"/>
    <w:rsid w:val="00882B99"/>
    <w:rsid w:val="0088429D"/>
    <w:rsid w:val="00886121"/>
    <w:rsid w:val="00892E2E"/>
    <w:rsid w:val="008A295B"/>
    <w:rsid w:val="008A5B97"/>
    <w:rsid w:val="008A6604"/>
    <w:rsid w:val="008B1C73"/>
    <w:rsid w:val="008B5482"/>
    <w:rsid w:val="008C11F4"/>
    <w:rsid w:val="008C2BEC"/>
    <w:rsid w:val="008C6523"/>
    <w:rsid w:val="008C6D0E"/>
    <w:rsid w:val="008D09D2"/>
    <w:rsid w:val="008D39C5"/>
    <w:rsid w:val="008E1D89"/>
    <w:rsid w:val="008E3E3E"/>
    <w:rsid w:val="008F5F87"/>
    <w:rsid w:val="00900A34"/>
    <w:rsid w:val="00906132"/>
    <w:rsid w:val="00907073"/>
    <w:rsid w:val="00912C19"/>
    <w:rsid w:val="009208F5"/>
    <w:rsid w:val="00926FF1"/>
    <w:rsid w:val="00927D51"/>
    <w:rsid w:val="009316D5"/>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A632B"/>
    <w:rsid w:val="009B266D"/>
    <w:rsid w:val="009B5CBF"/>
    <w:rsid w:val="009C184A"/>
    <w:rsid w:val="009C2CA5"/>
    <w:rsid w:val="009D0095"/>
    <w:rsid w:val="009D3E45"/>
    <w:rsid w:val="009D4AA8"/>
    <w:rsid w:val="009D5D28"/>
    <w:rsid w:val="009E4235"/>
    <w:rsid w:val="009F351F"/>
    <w:rsid w:val="009F3F89"/>
    <w:rsid w:val="009F412B"/>
    <w:rsid w:val="009F480E"/>
    <w:rsid w:val="009F4C1B"/>
    <w:rsid w:val="00A022A2"/>
    <w:rsid w:val="00A02D15"/>
    <w:rsid w:val="00A11403"/>
    <w:rsid w:val="00A26B0D"/>
    <w:rsid w:val="00A3735A"/>
    <w:rsid w:val="00A42F1B"/>
    <w:rsid w:val="00A44EBE"/>
    <w:rsid w:val="00A546BC"/>
    <w:rsid w:val="00A55989"/>
    <w:rsid w:val="00A5694A"/>
    <w:rsid w:val="00A61A0A"/>
    <w:rsid w:val="00A63DA4"/>
    <w:rsid w:val="00A73A66"/>
    <w:rsid w:val="00A75CD5"/>
    <w:rsid w:val="00A763D5"/>
    <w:rsid w:val="00A81BD7"/>
    <w:rsid w:val="00A83DF3"/>
    <w:rsid w:val="00A85915"/>
    <w:rsid w:val="00A86270"/>
    <w:rsid w:val="00A952AB"/>
    <w:rsid w:val="00A9783D"/>
    <w:rsid w:val="00AA45E6"/>
    <w:rsid w:val="00AA5A37"/>
    <w:rsid w:val="00AB489C"/>
    <w:rsid w:val="00AB50C1"/>
    <w:rsid w:val="00AB6936"/>
    <w:rsid w:val="00AC0C3B"/>
    <w:rsid w:val="00AC2D63"/>
    <w:rsid w:val="00AD03D8"/>
    <w:rsid w:val="00AD0711"/>
    <w:rsid w:val="00AD704E"/>
    <w:rsid w:val="00AE2AF7"/>
    <w:rsid w:val="00AE5FE0"/>
    <w:rsid w:val="00AE60B7"/>
    <w:rsid w:val="00AF20D7"/>
    <w:rsid w:val="00AF2AB7"/>
    <w:rsid w:val="00AF2B1C"/>
    <w:rsid w:val="00AF4D3F"/>
    <w:rsid w:val="00B0300B"/>
    <w:rsid w:val="00B05457"/>
    <w:rsid w:val="00B057F5"/>
    <w:rsid w:val="00B10A0C"/>
    <w:rsid w:val="00B126CB"/>
    <w:rsid w:val="00B128A0"/>
    <w:rsid w:val="00B20240"/>
    <w:rsid w:val="00B23281"/>
    <w:rsid w:val="00B27571"/>
    <w:rsid w:val="00B4164B"/>
    <w:rsid w:val="00B5409A"/>
    <w:rsid w:val="00B55574"/>
    <w:rsid w:val="00B55C1D"/>
    <w:rsid w:val="00B6395F"/>
    <w:rsid w:val="00B6525D"/>
    <w:rsid w:val="00B65ABA"/>
    <w:rsid w:val="00B67097"/>
    <w:rsid w:val="00B6790F"/>
    <w:rsid w:val="00B7021C"/>
    <w:rsid w:val="00B71B3B"/>
    <w:rsid w:val="00B853DB"/>
    <w:rsid w:val="00B87D61"/>
    <w:rsid w:val="00B93948"/>
    <w:rsid w:val="00BA4BC7"/>
    <w:rsid w:val="00BA55B7"/>
    <w:rsid w:val="00BA5E47"/>
    <w:rsid w:val="00BA7D57"/>
    <w:rsid w:val="00BB156E"/>
    <w:rsid w:val="00BB3330"/>
    <w:rsid w:val="00BB47D7"/>
    <w:rsid w:val="00BB4A62"/>
    <w:rsid w:val="00BC01C1"/>
    <w:rsid w:val="00BC45A1"/>
    <w:rsid w:val="00BC5A34"/>
    <w:rsid w:val="00BD17F5"/>
    <w:rsid w:val="00BD6371"/>
    <w:rsid w:val="00BD6E05"/>
    <w:rsid w:val="00BE54D0"/>
    <w:rsid w:val="00BF6B6C"/>
    <w:rsid w:val="00BF7251"/>
    <w:rsid w:val="00BF7F28"/>
    <w:rsid w:val="00C0160A"/>
    <w:rsid w:val="00C01909"/>
    <w:rsid w:val="00C05787"/>
    <w:rsid w:val="00C11871"/>
    <w:rsid w:val="00C13059"/>
    <w:rsid w:val="00C156D4"/>
    <w:rsid w:val="00C167A3"/>
    <w:rsid w:val="00C2181C"/>
    <w:rsid w:val="00C24C20"/>
    <w:rsid w:val="00C2657D"/>
    <w:rsid w:val="00C26A87"/>
    <w:rsid w:val="00C3745D"/>
    <w:rsid w:val="00C416E1"/>
    <w:rsid w:val="00C4570E"/>
    <w:rsid w:val="00C47BF8"/>
    <w:rsid w:val="00C51B1C"/>
    <w:rsid w:val="00C53DCE"/>
    <w:rsid w:val="00C655F2"/>
    <w:rsid w:val="00C65B4C"/>
    <w:rsid w:val="00C65B61"/>
    <w:rsid w:val="00C70E53"/>
    <w:rsid w:val="00C72979"/>
    <w:rsid w:val="00C812D7"/>
    <w:rsid w:val="00C81529"/>
    <w:rsid w:val="00C81BA6"/>
    <w:rsid w:val="00C83550"/>
    <w:rsid w:val="00C8377C"/>
    <w:rsid w:val="00C877CD"/>
    <w:rsid w:val="00C902E9"/>
    <w:rsid w:val="00C908B7"/>
    <w:rsid w:val="00C91D81"/>
    <w:rsid w:val="00C92A42"/>
    <w:rsid w:val="00CA18F2"/>
    <w:rsid w:val="00CA4871"/>
    <w:rsid w:val="00CA6722"/>
    <w:rsid w:val="00CA6D4E"/>
    <w:rsid w:val="00CA6EFD"/>
    <w:rsid w:val="00CA7B4B"/>
    <w:rsid w:val="00CB36A8"/>
    <w:rsid w:val="00CB4FC7"/>
    <w:rsid w:val="00CC139A"/>
    <w:rsid w:val="00CC1E7A"/>
    <w:rsid w:val="00CC4F64"/>
    <w:rsid w:val="00CD058C"/>
    <w:rsid w:val="00CD37C6"/>
    <w:rsid w:val="00CD3B98"/>
    <w:rsid w:val="00CD4216"/>
    <w:rsid w:val="00CD518C"/>
    <w:rsid w:val="00CD733F"/>
    <w:rsid w:val="00CD7C65"/>
    <w:rsid w:val="00CE0942"/>
    <w:rsid w:val="00CE7CA5"/>
    <w:rsid w:val="00CF1D81"/>
    <w:rsid w:val="00CF2DC9"/>
    <w:rsid w:val="00CF7CB6"/>
    <w:rsid w:val="00D12D13"/>
    <w:rsid w:val="00D310C7"/>
    <w:rsid w:val="00D311AB"/>
    <w:rsid w:val="00D32290"/>
    <w:rsid w:val="00D325A8"/>
    <w:rsid w:val="00D4209C"/>
    <w:rsid w:val="00D442AD"/>
    <w:rsid w:val="00D5618A"/>
    <w:rsid w:val="00D5784B"/>
    <w:rsid w:val="00D63EFB"/>
    <w:rsid w:val="00D65083"/>
    <w:rsid w:val="00D658AF"/>
    <w:rsid w:val="00D70A79"/>
    <w:rsid w:val="00D74BC1"/>
    <w:rsid w:val="00D83DE9"/>
    <w:rsid w:val="00D8450D"/>
    <w:rsid w:val="00D95AF9"/>
    <w:rsid w:val="00DA09C9"/>
    <w:rsid w:val="00DA1822"/>
    <w:rsid w:val="00DB5E1F"/>
    <w:rsid w:val="00DB708E"/>
    <w:rsid w:val="00DC19D8"/>
    <w:rsid w:val="00DC2613"/>
    <w:rsid w:val="00DC4512"/>
    <w:rsid w:val="00DD3691"/>
    <w:rsid w:val="00DD4B55"/>
    <w:rsid w:val="00DE1E90"/>
    <w:rsid w:val="00DE24E6"/>
    <w:rsid w:val="00DE5C8A"/>
    <w:rsid w:val="00DE7B07"/>
    <w:rsid w:val="00DF07AD"/>
    <w:rsid w:val="00DF3364"/>
    <w:rsid w:val="00E0374E"/>
    <w:rsid w:val="00E055BB"/>
    <w:rsid w:val="00E06567"/>
    <w:rsid w:val="00E11988"/>
    <w:rsid w:val="00E15DA9"/>
    <w:rsid w:val="00E2095D"/>
    <w:rsid w:val="00E30414"/>
    <w:rsid w:val="00E3043F"/>
    <w:rsid w:val="00E31110"/>
    <w:rsid w:val="00E31F36"/>
    <w:rsid w:val="00E330DD"/>
    <w:rsid w:val="00E40769"/>
    <w:rsid w:val="00E42E8B"/>
    <w:rsid w:val="00E60F12"/>
    <w:rsid w:val="00E645ED"/>
    <w:rsid w:val="00E652FB"/>
    <w:rsid w:val="00E66C20"/>
    <w:rsid w:val="00E71C46"/>
    <w:rsid w:val="00E731B7"/>
    <w:rsid w:val="00E75ED2"/>
    <w:rsid w:val="00E8280C"/>
    <w:rsid w:val="00E83E4C"/>
    <w:rsid w:val="00E91933"/>
    <w:rsid w:val="00E92A81"/>
    <w:rsid w:val="00E969B1"/>
    <w:rsid w:val="00EA44EB"/>
    <w:rsid w:val="00EB6552"/>
    <w:rsid w:val="00EC1408"/>
    <w:rsid w:val="00EC18E6"/>
    <w:rsid w:val="00EC1984"/>
    <w:rsid w:val="00EC234C"/>
    <w:rsid w:val="00ED3529"/>
    <w:rsid w:val="00ED4D17"/>
    <w:rsid w:val="00EE6CD3"/>
    <w:rsid w:val="00EF20D7"/>
    <w:rsid w:val="00EF3419"/>
    <w:rsid w:val="00F0119C"/>
    <w:rsid w:val="00F02BDB"/>
    <w:rsid w:val="00F0441B"/>
    <w:rsid w:val="00F07623"/>
    <w:rsid w:val="00F07D0B"/>
    <w:rsid w:val="00F1796C"/>
    <w:rsid w:val="00F2073E"/>
    <w:rsid w:val="00F243BA"/>
    <w:rsid w:val="00F3136B"/>
    <w:rsid w:val="00F314F1"/>
    <w:rsid w:val="00F327EA"/>
    <w:rsid w:val="00F33641"/>
    <w:rsid w:val="00F42842"/>
    <w:rsid w:val="00F43EE0"/>
    <w:rsid w:val="00F46E40"/>
    <w:rsid w:val="00F4760A"/>
    <w:rsid w:val="00F529FE"/>
    <w:rsid w:val="00F52B8E"/>
    <w:rsid w:val="00F53CFD"/>
    <w:rsid w:val="00F54AF5"/>
    <w:rsid w:val="00F557E3"/>
    <w:rsid w:val="00F61E78"/>
    <w:rsid w:val="00F635C5"/>
    <w:rsid w:val="00F736E3"/>
    <w:rsid w:val="00F767E8"/>
    <w:rsid w:val="00F86A3F"/>
    <w:rsid w:val="00F91297"/>
    <w:rsid w:val="00F9133B"/>
    <w:rsid w:val="00F97730"/>
    <w:rsid w:val="00FA3246"/>
    <w:rsid w:val="00FA39B8"/>
    <w:rsid w:val="00FA4CA0"/>
    <w:rsid w:val="00FB0A81"/>
    <w:rsid w:val="00FB32A4"/>
    <w:rsid w:val="00FB594D"/>
    <w:rsid w:val="00FC49BB"/>
    <w:rsid w:val="00FD616B"/>
    <w:rsid w:val="00FE367F"/>
    <w:rsid w:val="00FE6832"/>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0250CD1"/>
  <w15:docId w15:val="{BB14BE76-C10D-4BD6-918F-6D91826B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0160A"/>
    <w:rPr>
      <w:rFonts w:ascii="Cambria" w:hAnsi="Cambria"/>
      <w:lang w:eastAsia="en-US"/>
    </w:rPr>
  </w:style>
  <w:style w:type="paragraph" w:styleId="Heading1">
    <w:name w:val="heading 1"/>
    <w:next w:val="DHHSbody"/>
    <w:link w:val="Heading1Char"/>
    <w:uiPriority w:val="1"/>
    <w:qFormat/>
    <w:rsid w:val="00BD6371"/>
    <w:pPr>
      <w:keepNext/>
      <w:keepLines/>
      <w:spacing w:before="520" w:after="440" w:line="440" w:lineRule="atLeast"/>
      <w:outlineLvl w:val="0"/>
    </w:pPr>
    <w:rPr>
      <w:rFonts w:ascii="Arial" w:hAnsi="Arial"/>
      <w:bCs/>
      <w:color w:val="D50032"/>
      <w:sz w:val="44"/>
      <w:szCs w:val="44"/>
      <w:lang w:eastAsia="en-US"/>
    </w:rPr>
  </w:style>
  <w:style w:type="paragraph" w:styleId="Heading2">
    <w:name w:val="heading 2"/>
    <w:next w:val="DHHSbody"/>
    <w:link w:val="Heading2Char"/>
    <w:uiPriority w:val="1"/>
    <w:qFormat/>
    <w:rsid w:val="00BD6371"/>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D6371"/>
    <w:rPr>
      <w:rFonts w:ascii="Arial" w:hAnsi="Arial"/>
      <w:bCs/>
      <w:color w:val="D50032"/>
      <w:sz w:val="44"/>
      <w:szCs w:val="44"/>
      <w:lang w:eastAsia="en-US"/>
    </w:rPr>
  </w:style>
  <w:style w:type="character" w:customStyle="1" w:styleId="Heading2Char">
    <w:name w:val="Heading 2 Char"/>
    <w:link w:val="Heading2"/>
    <w:uiPriority w:val="1"/>
    <w:rsid w:val="00BD6371"/>
    <w:rPr>
      <w:rFonts w:ascii="Arial" w:hAnsi="Arial"/>
      <w:b/>
      <w:color w:val="D50032"/>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link w:val="HeaderChar"/>
    <w:uiPriority w:val="99"/>
    <w:rsid w:val="004E380D"/>
  </w:style>
  <w:style w:type="paragraph" w:styleId="Footer">
    <w:name w:val="footer"/>
    <w:basedOn w:val="DHHSfooter"/>
    <w:link w:val="FooterChar"/>
    <w:uiPriority w:val="99"/>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uiPriority w:val="99"/>
    <w:semiHidden/>
    <w:rsid w:val="00EA6F2B"/>
    <w:rPr>
      <w:sz w:val="24"/>
      <w:szCs w:val="24"/>
    </w:rPr>
  </w:style>
  <w:style w:type="character" w:styleId="EndnoteReference">
    <w:name w:val="endnote reference"/>
    <w:aliases w:val="Endnote Text Char"/>
    <w:uiPriority w:val="99"/>
    <w:semiHidden/>
    <w:rsid w:val="00923608"/>
    <w:rPr>
      <w:rFonts w:ascii="Arial" w:hAnsi="Arial"/>
      <w:sz w:val="20"/>
      <w:vertAlign w:val="superscript"/>
    </w:rPr>
  </w:style>
  <w:style w:type="table" w:styleId="TableGrid">
    <w:name w:val="Table Grid"/>
    <w:basedOn w:val="TableNormal"/>
    <w:uiPriority w:val="59"/>
    <w:rsid w:val="00DE7B0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BD6371"/>
    <w:pPr>
      <w:keepLines/>
      <w:spacing w:after="240" w:line="580" w:lineRule="atLeast"/>
    </w:pPr>
    <w:rPr>
      <w:rFonts w:ascii="Arial" w:hAnsi="Arial"/>
      <w:color w:val="D50032"/>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DE7B07"/>
    <w:pPr>
      <w:keepNext/>
      <w:keepLines/>
      <w:tabs>
        <w:tab w:val="right" w:leader="dot" w:pos="9299"/>
      </w:tabs>
      <w:spacing w:before="160" w:after="60" w:line="270" w:lineRule="atLeast"/>
    </w:pPr>
    <w:rPr>
      <w:rFonts w:ascii="Arial" w:hAnsi="Arial"/>
      <w:b/>
      <w:noProof/>
    </w:rPr>
  </w:style>
  <w:style w:type="paragraph" w:styleId="TOC2">
    <w:name w:val="toc 2"/>
    <w:basedOn w:val="Normal"/>
    <w:next w:val="Normal"/>
    <w:uiPriority w:val="39"/>
    <w:rsid w:val="00DE7B07"/>
    <w:pPr>
      <w:keepNext/>
      <w:keepLines/>
      <w:tabs>
        <w:tab w:val="right" w:leader="dot" w:pos="9299"/>
      </w:tabs>
      <w:spacing w:after="60" w:line="270" w:lineRule="atLeast"/>
    </w:pPr>
    <w:rPr>
      <w:rFonts w:ascii="Arial" w:hAnsi="Arial"/>
      <w:noProof/>
    </w:rPr>
  </w:style>
  <w:style w:type="paragraph" w:styleId="TOC3">
    <w:name w:val="toc 3"/>
    <w:basedOn w:val="Normal"/>
    <w:next w:val="Normal"/>
    <w:uiPriority w:val="39"/>
    <w:rsid w:val="00DE7B07"/>
    <w:pPr>
      <w:keepLines/>
      <w:tabs>
        <w:tab w:val="right" w:leader="dot" w:pos="9299"/>
      </w:tabs>
      <w:spacing w:after="60" w:line="270" w:lineRule="atLeast"/>
      <w:ind w:left="284"/>
    </w:pPr>
    <w:rPr>
      <w:rFonts w:ascii="Arial" w:hAnsi="Arial" w:cs="Arial"/>
    </w:rPr>
  </w:style>
  <w:style w:type="paragraph" w:styleId="TOC4">
    <w:name w:val="toc 4"/>
    <w:basedOn w:val="TOC3"/>
    <w:uiPriority w:val="39"/>
    <w:rsid w:val="00B126CB"/>
    <w:pPr>
      <w:ind w:left="567"/>
    </w:pPr>
  </w:style>
  <w:style w:type="paragraph" w:styleId="TOC5">
    <w:name w:val="toc 5"/>
    <w:basedOn w:val="TOC4"/>
    <w:rsid w:val="00B126CB"/>
    <w:pPr>
      <w:ind w:left="851"/>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pink">
    <w:name w:val="DHHS report main title pink"/>
    <w:uiPriority w:val="4"/>
    <w:rsid w:val="00AF20D7"/>
    <w:pPr>
      <w:keepLines/>
      <w:spacing w:after="240" w:line="580" w:lineRule="atLeast"/>
    </w:pPr>
    <w:rPr>
      <w:rFonts w:ascii="Arial" w:hAnsi="Arial"/>
      <w:bCs/>
      <w:color w:val="D50032"/>
      <w:sz w:val="50"/>
      <w:szCs w:val="50"/>
      <w:lang w:eastAsia="en-US"/>
    </w:rPr>
  </w:style>
  <w:style w:type="paragraph" w:customStyle="1" w:styleId="DHHSreportsubtitleblack">
    <w:name w:val="DHHS report subtitle black"/>
    <w:uiPriority w:val="4"/>
    <w:rsid w:val="00DB708E"/>
    <w:pPr>
      <w:spacing w:after="120" w:line="380" w:lineRule="atLeast"/>
    </w:pPr>
    <w:rPr>
      <w:rFonts w:ascii="Arial" w:hAnsi="Arial"/>
      <w:bCs/>
      <w:sz w:val="30"/>
      <w:szCs w:val="30"/>
      <w:lang w:eastAsia="en-US"/>
    </w:rPr>
  </w:style>
  <w:style w:type="paragraph" w:customStyle="1" w:styleId="Coverinstructions">
    <w:name w:val="Cover instructions"/>
    <w:rsid w:val="00AF20D7"/>
    <w:pPr>
      <w:spacing w:after="200" w:line="320" w:lineRule="atLeast"/>
    </w:pPr>
    <w:rPr>
      <w:rFonts w:ascii="Arial" w:hAnsi="Arial"/>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7F5858"/>
    <w:pPr>
      <w:numPr>
        <w:numId w:val="1"/>
      </w:numPr>
      <w:spacing w:after="40"/>
    </w:pPr>
  </w:style>
  <w:style w:type="paragraph" w:customStyle="1" w:styleId="DHHSnumberloweralpha">
    <w:name w:val="DHHS number lower alpha"/>
    <w:basedOn w:val="DHHSbody"/>
    <w:uiPriority w:val="3"/>
    <w:rsid w:val="008669BE"/>
    <w:pPr>
      <w:numPr>
        <w:numId w:val="7"/>
      </w:numPr>
    </w:pPr>
  </w:style>
  <w:style w:type="paragraph" w:customStyle="1" w:styleId="DHHSnumberloweralphaindent">
    <w:name w:val="DHHS number lower alpha indent"/>
    <w:basedOn w:val="DHHSbody"/>
    <w:uiPriority w:val="3"/>
    <w:rsid w:val="008669BE"/>
    <w:pPr>
      <w:numPr>
        <w:ilvl w:val="1"/>
        <w:numId w:val="7"/>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7F5858"/>
    <w:pPr>
      <w:numPr>
        <w:ilvl w:val="1"/>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8669BE"/>
    <w:pPr>
      <w:numPr>
        <w:numId w:val="2"/>
      </w:numPr>
    </w:pPr>
  </w:style>
  <w:style w:type="paragraph" w:customStyle="1" w:styleId="DHHStablecolhead">
    <w:name w:val="DHHS table col head"/>
    <w:uiPriority w:val="3"/>
    <w:qFormat/>
    <w:rsid w:val="00BD6371"/>
    <w:pPr>
      <w:spacing w:before="80" w:after="60"/>
    </w:pPr>
    <w:rPr>
      <w:rFonts w:ascii="Arial" w:hAnsi="Arial"/>
      <w:b/>
      <w:color w:val="D50032"/>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TOCheadingreport">
    <w:name w:val="DHHS TOC heading report"/>
    <w:basedOn w:val="Heading1"/>
    <w:link w:val="DHHSTOCheadingreportChar"/>
    <w:uiPriority w:val="5"/>
    <w:rsid w:val="00BD6371"/>
    <w:pPr>
      <w:spacing w:before="0"/>
      <w:outlineLvl w:val="9"/>
    </w:pPr>
  </w:style>
  <w:style w:type="character" w:customStyle="1" w:styleId="DHHSTOCheadingreportChar">
    <w:name w:val="DHHS TOC heading report Char"/>
    <w:link w:val="DHHSTOCheadingreport"/>
    <w:uiPriority w:val="5"/>
    <w:rsid w:val="00BD6371"/>
    <w:rPr>
      <w:rFonts w:ascii="Arial" w:hAnsi="Arial"/>
      <w:bCs/>
      <w:color w:val="D50032"/>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7F5858"/>
    <w:pPr>
      <w:numPr>
        <w:numId w:val="1"/>
      </w:numPr>
    </w:pPr>
  </w:style>
  <w:style w:type="paragraph" w:customStyle="1" w:styleId="DHHSnumberlowerroman">
    <w:name w:val="DHHS number lower roman"/>
    <w:basedOn w:val="DHHSbody"/>
    <w:uiPriority w:val="3"/>
    <w:rsid w:val="008669BE"/>
    <w:pPr>
      <w:numPr>
        <w:numId w:val="9"/>
      </w:numPr>
    </w:pPr>
  </w:style>
  <w:style w:type="paragraph" w:customStyle="1" w:styleId="DHHSnumberlowerromanindent">
    <w:name w:val="DHHS number lower roman indent"/>
    <w:basedOn w:val="DHHSbody"/>
    <w:uiPriority w:val="3"/>
    <w:rsid w:val="008669BE"/>
    <w:pPr>
      <w:numPr>
        <w:ilvl w:val="1"/>
        <w:numId w:val="9"/>
      </w:numPr>
    </w:pPr>
  </w:style>
  <w:style w:type="paragraph" w:customStyle="1" w:styleId="DHHSnumberdigitindent">
    <w:name w:val="DHHS number digit indent"/>
    <w:basedOn w:val="DHHSnumberloweralphaindent"/>
    <w:uiPriority w:val="3"/>
    <w:rsid w:val="00C0160A"/>
    <w:pPr>
      <w:numPr>
        <w:numId w:val="2"/>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uiPriority w:val="11"/>
    <w:rsid w:val="008669BE"/>
    <w:pPr>
      <w:spacing w:before="120"/>
    </w:pPr>
  </w:style>
  <w:style w:type="paragraph" w:customStyle="1" w:styleId="DHHSbulletafternumbers1">
    <w:name w:val="DHHS bullet after numbers 1"/>
    <w:basedOn w:val="DHHSbody"/>
    <w:uiPriority w:val="4"/>
    <w:rsid w:val="00C0160A"/>
    <w:pPr>
      <w:numPr>
        <w:ilvl w:val="2"/>
        <w:numId w:val="2"/>
      </w:numPr>
    </w:pPr>
  </w:style>
  <w:style w:type="paragraph" w:customStyle="1" w:styleId="DHHSbulletafternumbers2">
    <w:name w:val="DHHS bullet after numbers 2"/>
    <w:basedOn w:val="DHHSbody"/>
    <w:rsid w:val="00C0160A"/>
    <w:pPr>
      <w:numPr>
        <w:ilvl w:val="3"/>
        <w:numId w:val="2"/>
      </w:numPr>
    </w:pPr>
  </w:style>
  <w:style w:type="paragraph" w:customStyle="1" w:styleId="DHHSquotebullet1">
    <w:name w:val="DHHS quote bullet 1"/>
    <w:basedOn w:val="DHHSquote"/>
    <w:rsid w:val="008669BE"/>
    <w:pPr>
      <w:numPr>
        <w:numId w:val="8"/>
      </w:numPr>
    </w:pPr>
  </w:style>
  <w:style w:type="paragraph" w:customStyle="1" w:styleId="DHHSquotebullet2">
    <w:name w:val="DHHS quote bullet 2"/>
    <w:basedOn w:val="DHHSquote"/>
    <w:rsid w:val="008669BE"/>
    <w:pPr>
      <w:numPr>
        <w:ilvl w:val="1"/>
        <w:numId w:val="8"/>
      </w:numPr>
    </w:pPr>
  </w:style>
  <w:style w:type="paragraph" w:customStyle="1" w:styleId="DHHStablebullet1">
    <w:name w:val="DHHS table bullet 1"/>
    <w:basedOn w:val="DHHStabletext"/>
    <w:uiPriority w:val="3"/>
    <w:qFormat/>
    <w:rsid w:val="008669BE"/>
    <w:pPr>
      <w:numPr>
        <w:numId w:val="10"/>
      </w:numPr>
    </w:pPr>
  </w:style>
  <w:style w:type="paragraph" w:customStyle="1" w:styleId="DHHStablebullet2">
    <w:name w:val="DHHS table bullet 2"/>
    <w:basedOn w:val="DHHStabletext"/>
    <w:uiPriority w:val="11"/>
    <w:rsid w:val="008669BE"/>
    <w:pPr>
      <w:numPr>
        <w:ilvl w:val="1"/>
        <w:numId w:val="10"/>
      </w:numPr>
    </w:pPr>
  </w:style>
  <w:style w:type="numbering" w:customStyle="1" w:styleId="ZZNumbersdigit">
    <w:name w:val="ZZ Numbers digit"/>
    <w:rsid w:val="00C0160A"/>
    <w:pPr>
      <w:numPr>
        <w:numId w:val="2"/>
      </w:numPr>
    </w:pPr>
  </w:style>
  <w:style w:type="numbering" w:customStyle="1" w:styleId="ZZNumbersloweralpha">
    <w:name w:val="ZZ Numbers lower alpha"/>
    <w:basedOn w:val="NoList"/>
    <w:rsid w:val="008669BE"/>
    <w:pPr>
      <w:numPr>
        <w:numId w:val="3"/>
      </w:numPr>
    </w:pPr>
  </w:style>
  <w:style w:type="numbering" w:customStyle="1" w:styleId="ZZQuotebullets">
    <w:name w:val="ZZ Quote bullets"/>
    <w:basedOn w:val="ZZNumbersdigit"/>
    <w:rsid w:val="008669BE"/>
    <w:pPr>
      <w:numPr>
        <w:numId w:val="5"/>
      </w:numPr>
    </w:pPr>
  </w:style>
  <w:style w:type="numbering" w:customStyle="1" w:styleId="ZZNumberslowerroman">
    <w:name w:val="ZZ Numbers lower roman"/>
    <w:basedOn w:val="ZZQuotebullets"/>
    <w:rsid w:val="008669BE"/>
    <w:pPr>
      <w:numPr>
        <w:numId w:val="4"/>
      </w:numPr>
    </w:pPr>
  </w:style>
  <w:style w:type="numbering" w:customStyle="1" w:styleId="ZZTablebullets">
    <w:name w:val="ZZ Table bullets"/>
    <w:basedOn w:val="NoList"/>
    <w:rsid w:val="008669BE"/>
    <w:pPr>
      <w:numPr>
        <w:numId w:val="6"/>
      </w:numPr>
    </w:pPr>
  </w:style>
  <w:style w:type="paragraph" w:styleId="ListParagraph">
    <w:name w:val="List Paragraph"/>
    <w:basedOn w:val="Normal"/>
    <w:uiPriority w:val="34"/>
    <w:qFormat/>
    <w:rsid w:val="0088429D"/>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8429D"/>
    <w:rPr>
      <w:rFonts w:ascii="Arial" w:hAnsi="Arial" w:cs="Arial"/>
      <w:sz w:val="18"/>
      <w:szCs w:val="18"/>
      <w:lang w:eastAsia="en-US"/>
    </w:rPr>
  </w:style>
  <w:style w:type="character" w:customStyle="1" w:styleId="FooterChar">
    <w:name w:val="Footer Char"/>
    <w:basedOn w:val="DefaultParagraphFont"/>
    <w:link w:val="Footer"/>
    <w:uiPriority w:val="99"/>
    <w:rsid w:val="0088429D"/>
    <w:rPr>
      <w:rFonts w:ascii="Arial" w:hAnsi="Arial" w:cs="Arial"/>
      <w:sz w:val="18"/>
      <w:szCs w:val="18"/>
      <w:lang w:eastAsia="en-US"/>
    </w:rPr>
  </w:style>
  <w:style w:type="table" w:customStyle="1" w:styleId="TableGrid1">
    <w:name w:val="Table Grid1"/>
    <w:basedOn w:val="TableNormal"/>
    <w:next w:val="TableGrid"/>
    <w:uiPriority w:val="59"/>
    <w:rsid w:val="0088429D"/>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429D"/>
    <w:rPr>
      <w:sz w:val="16"/>
      <w:szCs w:val="16"/>
    </w:rPr>
  </w:style>
  <w:style w:type="paragraph" w:styleId="CommentText">
    <w:name w:val="annotation text"/>
    <w:basedOn w:val="Normal"/>
    <w:link w:val="CommentTextChar"/>
    <w:uiPriority w:val="99"/>
    <w:semiHidden/>
    <w:unhideWhenUsed/>
    <w:rsid w:val="0088429D"/>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88429D"/>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8429D"/>
    <w:rPr>
      <w:b/>
      <w:bCs/>
    </w:rPr>
  </w:style>
  <w:style w:type="character" w:customStyle="1" w:styleId="CommentSubjectChar">
    <w:name w:val="Comment Subject Char"/>
    <w:basedOn w:val="CommentTextChar"/>
    <w:link w:val="CommentSubject"/>
    <w:uiPriority w:val="99"/>
    <w:semiHidden/>
    <w:rsid w:val="0088429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88429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8429D"/>
    <w:rPr>
      <w:rFonts w:ascii="Segoe UI" w:eastAsiaTheme="minorHAnsi" w:hAnsi="Segoe UI" w:cs="Segoe UI"/>
      <w:sz w:val="18"/>
      <w:szCs w:val="18"/>
      <w:lang w:eastAsia="en-US"/>
    </w:rPr>
  </w:style>
  <w:style w:type="paragraph" w:styleId="Revision">
    <w:name w:val="Revision"/>
    <w:hidden/>
    <w:uiPriority w:val="99"/>
    <w:rsid w:val="0088429D"/>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88429D"/>
    <w:rPr>
      <w:color w:val="605E5C"/>
      <w:shd w:val="clear" w:color="auto" w:fill="E1DFDD"/>
    </w:rPr>
  </w:style>
  <w:style w:type="character" w:customStyle="1" w:styleId="FootnoteTextChar">
    <w:name w:val="Footnote Text Char"/>
    <w:basedOn w:val="DefaultParagraphFont"/>
    <w:link w:val="FootnoteText"/>
    <w:uiPriority w:val="99"/>
    <w:rsid w:val="0088429D"/>
    <w:rPr>
      <w:rFonts w:ascii="Arial" w:eastAsia="MS Gothic" w:hAnsi="Arial" w:cs="Arial"/>
      <w:sz w:val="16"/>
      <w:szCs w:val="16"/>
      <w:lang w:eastAsia="en-US"/>
    </w:rPr>
  </w:style>
  <w:style w:type="character" w:customStyle="1" w:styleId="UnresolvedMention2">
    <w:name w:val="Unresolved Mention2"/>
    <w:basedOn w:val="DefaultParagraphFont"/>
    <w:uiPriority w:val="99"/>
    <w:semiHidden/>
    <w:unhideWhenUsed/>
    <w:rsid w:val="005C4E32"/>
    <w:rPr>
      <w:color w:val="605E5C"/>
      <w:shd w:val="clear" w:color="auto" w:fill="E1DFDD"/>
    </w:rPr>
  </w:style>
  <w:style w:type="character" w:customStyle="1" w:styleId="UnresolvedMention3">
    <w:name w:val="Unresolved Mention3"/>
    <w:basedOn w:val="DefaultParagraphFont"/>
    <w:uiPriority w:val="99"/>
    <w:semiHidden/>
    <w:unhideWhenUsed/>
    <w:rsid w:val="00834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628582">
      <w:bodyDiv w:val="1"/>
      <w:marLeft w:val="0"/>
      <w:marRight w:val="0"/>
      <w:marTop w:val="0"/>
      <w:marBottom w:val="0"/>
      <w:divBdr>
        <w:top w:val="none" w:sz="0" w:space="0" w:color="auto"/>
        <w:left w:val="none" w:sz="0" w:space="0" w:color="auto"/>
        <w:bottom w:val="none" w:sz="0" w:space="0" w:color="auto"/>
        <w:right w:val="none" w:sz="0" w:space="0" w:color="auto"/>
      </w:divBdr>
    </w:div>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36462909">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s://www.mja.com.au/journal/2013/198/4/update-consensus-guidelines-warfarin-reversa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2.health.vic.gov.au/about/publications/researchandreports/serious-transfusion-incident-report-2017-1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ja.com.au/journal/2013/198/4/update-consensus-guidelines-warfarin-reversal" TargetMode="External"/><Relationship Id="rId24" Type="http://schemas.openxmlformats.org/officeDocument/2006/relationships/hyperlink" Target="https://www2.health.vic.gov.au/about/publications/factsheets/two-person-independent-checking-safe-transfusion-poster"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header" Target="header1.xml"/><Relationship Id="rId10" Type="http://schemas.openxmlformats.org/officeDocument/2006/relationships/hyperlink" Target="https://www2.health.vic.gov.au/hospitals-and-health-services/patient-care/speciality-diagnostics-therapeutics/blood-matters/serious-transfusion-incidents" TargetMode="External"/><Relationship Id="rId19" Type="http://schemas.openxmlformats.org/officeDocument/2006/relationships/image" Target="media/image9.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chart" Target="charts/chart1.xml"/><Relationship Id="rId27" Type="http://schemas.openxmlformats.org/officeDocument/2006/relationships/chart" Target="charts/chart3.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nzsbt.org.au/wp-content/uploads/2018/06/Kellnegativeredcells-F.pdf" TargetMode="External"/><Relationship Id="rId1" Type="http://schemas.openxmlformats.org/officeDocument/2006/relationships/hyperlink" Target="https://anzsbt.org.au/wp-content/uploads/2018/06/Kellnegativeredcells-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0\Branding%20and%20templates\BloodMatters_Lifeblood%20brand%20Final\Blood%20Matters%20Report%20White%20cover%2006%20Pink%20199%20Dec%202019.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sfpsou03\bloodmatters$\STIR\2020\Reports\STIR%20Report%202018-19\Graphs_FY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sfpsou03\bloodmatters$\STIR\2020\Reports\STIR%20Report%202018-19\Graphs_FY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fpsou03\bloodmatters$\STIR\2020\Reports\STIR%20Report%202018-19\Graphs_FY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sz="1100">
                <a:latin typeface="Arial" panose="020B0604020202020204" pitchFamily="34" charset="0"/>
                <a:cs typeface="Arial" panose="020B0604020202020204" pitchFamily="34" charset="0"/>
              </a:rPr>
              <a:t>Reported TRALI reactions: FY06-FY19</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'Figure 4 TRALI'!$E$3:$E$16</c:f>
              <c:strCache>
                <c:ptCount val="14"/>
                <c:pt idx="0">
                  <c:v>FY06</c:v>
                </c:pt>
                <c:pt idx="1">
                  <c:v>FY07</c:v>
                </c:pt>
                <c:pt idx="2">
                  <c:v>FY08</c:v>
                </c:pt>
                <c:pt idx="3">
                  <c:v>FY09</c:v>
                </c:pt>
                <c:pt idx="4">
                  <c:v>FY10</c:v>
                </c:pt>
                <c:pt idx="5">
                  <c:v>FY11</c:v>
                </c:pt>
                <c:pt idx="6">
                  <c:v>FY12</c:v>
                </c:pt>
                <c:pt idx="7">
                  <c:v>FY13</c:v>
                </c:pt>
                <c:pt idx="8">
                  <c:v>FY14</c:v>
                </c:pt>
                <c:pt idx="9">
                  <c:v>FY15</c:v>
                </c:pt>
                <c:pt idx="10">
                  <c:v>FY16</c:v>
                </c:pt>
                <c:pt idx="11">
                  <c:v>FY17</c:v>
                </c:pt>
                <c:pt idx="12">
                  <c:v>FY18</c:v>
                </c:pt>
                <c:pt idx="13">
                  <c:v>FY19</c:v>
                </c:pt>
              </c:strCache>
            </c:strRef>
          </c:cat>
          <c:val>
            <c:numRef>
              <c:f>'Figure 4 TRALI'!$F$3:$F$16</c:f>
              <c:numCache>
                <c:formatCode>General</c:formatCode>
                <c:ptCount val="14"/>
                <c:pt idx="0">
                  <c:v>2</c:v>
                </c:pt>
                <c:pt idx="1">
                  <c:v>0</c:v>
                </c:pt>
                <c:pt idx="2">
                  <c:v>2</c:v>
                </c:pt>
                <c:pt idx="3">
                  <c:v>2</c:v>
                </c:pt>
                <c:pt idx="4">
                  <c:v>5</c:v>
                </c:pt>
                <c:pt idx="5">
                  <c:v>3</c:v>
                </c:pt>
                <c:pt idx="6">
                  <c:v>1</c:v>
                </c:pt>
                <c:pt idx="7">
                  <c:v>0</c:v>
                </c:pt>
                <c:pt idx="8">
                  <c:v>0</c:v>
                </c:pt>
                <c:pt idx="9">
                  <c:v>0</c:v>
                </c:pt>
                <c:pt idx="10">
                  <c:v>0</c:v>
                </c:pt>
                <c:pt idx="11">
                  <c:v>2</c:v>
                </c:pt>
                <c:pt idx="12">
                  <c:v>1</c:v>
                </c:pt>
                <c:pt idx="13">
                  <c:v>0</c:v>
                </c:pt>
              </c:numCache>
            </c:numRef>
          </c:val>
          <c:extLst>
            <c:ext xmlns:c16="http://schemas.microsoft.com/office/drawing/2014/chart" uri="{C3380CC4-5D6E-409C-BE32-E72D297353CC}">
              <c16:uniqueId val="{00000000-A333-481F-85B6-EED91E2DBF49}"/>
            </c:ext>
          </c:extLst>
        </c:ser>
        <c:dLbls>
          <c:showLegendKey val="0"/>
          <c:showVal val="0"/>
          <c:showCatName val="0"/>
          <c:showSerName val="0"/>
          <c:showPercent val="0"/>
          <c:showBubbleSize val="0"/>
        </c:dLbls>
        <c:gapWidth val="219"/>
        <c:overlap val="-27"/>
        <c:axId val="704599272"/>
        <c:axId val="704601240"/>
      </c:barChart>
      <c:catAx>
        <c:axId val="704599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04601240"/>
        <c:crosses val="autoZero"/>
        <c:auto val="1"/>
        <c:lblAlgn val="ctr"/>
        <c:lblOffset val="100"/>
        <c:noMultiLvlLbl val="0"/>
      </c:catAx>
      <c:valAx>
        <c:axId val="704601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04599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560429695665084E-2"/>
          <c:y val="3.4389815446297559E-2"/>
          <c:w val="0.57175444218531091"/>
          <c:h val="0.84103870874408415"/>
        </c:manualLayout>
      </c:layout>
      <c:barChart>
        <c:barDir val="col"/>
        <c:grouping val="clustered"/>
        <c:varyColors val="0"/>
        <c:ser>
          <c:idx val="5"/>
          <c:order val="5"/>
          <c:tx>
            <c:v>Total WBIT</c:v>
          </c:tx>
          <c:spPr>
            <a:solidFill>
              <a:schemeClr val="accent2">
                <a:lumMod val="20000"/>
                <a:lumOff val="80000"/>
              </a:schemeClr>
            </a:solidFill>
            <a:ln>
              <a:solidFill>
                <a:schemeClr val="tx1"/>
              </a:solidFill>
            </a:ln>
            <a:effectLst>
              <a:outerShdw blurRad="50800" dist="50800" dir="5400000" algn="ctr" rotWithShape="0">
                <a:srgbClr val="000000">
                  <a:alpha val="0"/>
                </a:srgbClr>
              </a:outerShdw>
            </a:effectLst>
          </c:spPr>
          <c:invertIfNegative val="0"/>
          <c:cat>
            <c:strRef>
              <c:f>'Figure 6 &amp; 7 WBIT'!$A$6:$A$10</c:f>
              <c:strCache>
                <c:ptCount val="5"/>
                <c:pt idx="0">
                  <c:v>FY15, 
n = 56</c:v>
                </c:pt>
                <c:pt idx="1">
                  <c:v>FY16, 
n = 32</c:v>
                </c:pt>
                <c:pt idx="2">
                  <c:v>FY17, 
n = 26</c:v>
                </c:pt>
                <c:pt idx="3">
                  <c:v>FY18, 
n = 18</c:v>
                </c:pt>
                <c:pt idx="4">
                  <c:v>FY19, 
n = 21</c:v>
                </c:pt>
              </c:strCache>
            </c:strRef>
          </c:cat>
          <c:val>
            <c:numRef>
              <c:f>'Figure 6 &amp; 7 WBIT'!$H$6:$H$10</c:f>
              <c:numCache>
                <c:formatCode>General</c:formatCode>
                <c:ptCount val="5"/>
                <c:pt idx="0">
                  <c:v>56</c:v>
                </c:pt>
                <c:pt idx="1">
                  <c:v>32</c:v>
                </c:pt>
                <c:pt idx="2">
                  <c:v>26</c:v>
                </c:pt>
                <c:pt idx="3">
                  <c:v>18</c:v>
                </c:pt>
                <c:pt idx="4">
                  <c:v>21</c:v>
                </c:pt>
              </c:numCache>
            </c:numRef>
          </c:val>
          <c:extLst>
            <c:ext xmlns:c16="http://schemas.microsoft.com/office/drawing/2014/chart" uri="{C3380CC4-5D6E-409C-BE32-E72D297353CC}">
              <c16:uniqueId val="{00000000-2243-4050-BD09-C03B78753B4D}"/>
            </c:ext>
          </c:extLst>
        </c:ser>
        <c:dLbls>
          <c:showLegendKey val="0"/>
          <c:showVal val="0"/>
          <c:showCatName val="0"/>
          <c:showSerName val="0"/>
          <c:showPercent val="0"/>
          <c:showBubbleSize val="0"/>
        </c:dLbls>
        <c:gapWidth val="90"/>
        <c:overlap val="100"/>
        <c:axId val="44547456"/>
        <c:axId val="44549248"/>
      </c:barChart>
      <c:barChart>
        <c:barDir val="col"/>
        <c:grouping val="clustered"/>
        <c:varyColors val="0"/>
        <c:ser>
          <c:idx val="0"/>
          <c:order val="0"/>
          <c:tx>
            <c:strRef>
              <c:f>'Figure 6 &amp; 7 WBIT'!$B$2</c:f>
              <c:strCache>
                <c:ptCount val="1"/>
                <c:pt idx="0">
                  <c:v>Not labelled at bedside</c:v>
                </c:pt>
              </c:strCache>
            </c:strRef>
          </c:tx>
          <c:invertIfNegative val="0"/>
          <c:cat>
            <c:strRef>
              <c:f>'Figure 6 &amp; 7 WBIT'!$A$3:$A$9</c:f>
              <c:strCache>
                <c:ptCount val="7"/>
                <c:pt idx="0">
                  <c:v>FY12, 
n  =  57</c:v>
                </c:pt>
                <c:pt idx="1">
                  <c:v>FY13, 
n  =  50</c:v>
                </c:pt>
                <c:pt idx="2">
                  <c:v>FY14,
 n  =  72</c:v>
                </c:pt>
                <c:pt idx="3">
                  <c:v>FY15, 
n = 56</c:v>
                </c:pt>
                <c:pt idx="4">
                  <c:v>FY16, 
n = 32</c:v>
                </c:pt>
                <c:pt idx="5">
                  <c:v>FY17, 
n = 26</c:v>
                </c:pt>
                <c:pt idx="6">
                  <c:v>FY18, 
n = 18</c:v>
                </c:pt>
              </c:strCache>
            </c:strRef>
          </c:cat>
          <c:val>
            <c:numRef>
              <c:f>'Figure 6 &amp; 7 WBIT'!$B$6:$B$10</c:f>
              <c:numCache>
                <c:formatCode>General</c:formatCode>
                <c:ptCount val="5"/>
                <c:pt idx="0">
                  <c:v>25</c:v>
                </c:pt>
                <c:pt idx="1">
                  <c:v>9</c:v>
                </c:pt>
                <c:pt idx="2">
                  <c:v>10</c:v>
                </c:pt>
                <c:pt idx="3">
                  <c:v>5</c:v>
                </c:pt>
                <c:pt idx="4">
                  <c:v>5</c:v>
                </c:pt>
              </c:numCache>
            </c:numRef>
          </c:val>
          <c:extLst>
            <c:ext xmlns:c16="http://schemas.microsoft.com/office/drawing/2014/chart" uri="{C3380CC4-5D6E-409C-BE32-E72D297353CC}">
              <c16:uniqueId val="{00000001-2243-4050-BD09-C03B78753B4D}"/>
            </c:ext>
          </c:extLst>
        </c:ser>
        <c:ser>
          <c:idx val="1"/>
          <c:order val="1"/>
          <c:tx>
            <c:strRef>
              <c:f>'Figure 6 &amp; 7 WBIT'!$C$2</c:f>
              <c:strCache>
                <c:ptCount val="1"/>
                <c:pt idx="0">
                  <c:v>Failed ID check</c:v>
                </c:pt>
              </c:strCache>
            </c:strRef>
          </c:tx>
          <c:invertIfNegative val="0"/>
          <c:cat>
            <c:strRef>
              <c:f>'Figure 6 &amp; 7 WBIT'!$A$3:$A$9</c:f>
              <c:strCache>
                <c:ptCount val="7"/>
                <c:pt idx="0">
                  <c:v>FY12, 
n  =  57</c:v>
                </c:pt>
                <c:pt idx="1">
                  <c:v>FY13, 
n  =  50</c:v>
                </c:pt>
                <c:pt idx="2">
                  <c:v>FY14,
 n  =  72</c:v>
                </c:pt>
                <c:pt idx="3">
                  <c:v>FY15, 
n = 56</c:v>
                </c:pt>
                <c:pt idx="4">
                  <c:v>FY16, 
n = 32</c:v>
                </c:pt>
                <c:pt idx="5">
                  <c:v>FY17, 
n = 26</c:v>
                </c:pt>
                <c:pt idx="6">
                  <c:v>FY18, 
n = 18</c:v>
                </c:pt>
              </c:strCache>
            </c:strRef>
          </c:cat>
          <c:val>
            <c:numRef>
              <c:f>'Figure 6 &amp; 7 WBIT'!$C$6:$C$10</c:f>
              <c:numCache>
                <c:formatCode>General</c:formatCode>
                <c:ptCount val="5"/>
                <c:pt idx="0">
                  <c:v>39</c:v>
                </c:pt>
                <c:pt idx="1">
                  <c:v>17</c:v>
                </c:pt>
                <c:pt idx="2">
                  <c:v>15</c:v>
                </c:pt>
                <c:pt idx="3">
                  <c:v>15</c:v>
                </c:pt>
                <c:pt idx="4">
                  <c:v>20</c:v>
                </c:pt>
              </c:numCache>
            </c:numRef>
          </c:val>
          <c:extLst>
            <c:ext xmlns:c16="http://schemas.microsoft.com/office/drawing/2014/chart" uri="{C3380CC4-5D6E-409C-BE32-E72D297353CC}">
              <c16:uniqueId val="{00000002-2243-4050-BD09-C03B78753B4D}"/>
            </c:ext>
          </c:extLst>
        </c:ser>
        <c:ser>
          <c:idx val="2"/>
          <c:order val="2"/>
          <c:tx>
            <c:strRef>
              <c:f>'Figure 6 &amp; 7 WBIT'!$D$2</c:f>
              <c:strCache>
                <c:ptCount val="1"/>
                <c:pt idx="0">
                  <c:v>Use of incorrect pre printed labels</c:v>
                </c:pt>
              </c:strCache>
            </c:strRef>
          </c:tx>
          <c:invertIfNegative val="0"/>
          <c:cat>
            <c:strRef>
              <c:f>'Figure 6 &amp; 7 WBIT'!$A$3:$A$9</c:f>
              <c:strCache>
                <c:ptCount val="7"/>
                <c:pt idx="0">
                  <c:v>FY12, 
n  =  57</c:v>
                </c:pt>
                <c:pt idx="1">
                  <c:v>FY13, 
n  =  50</c:v>
                </c:pt>
                <c:pt idx="2">
                  <c:v>FY14,
 n  =  72</c:v>
                </c:pt>
                <c:pt idx="3">
                  <c:v>FY15, 
n = 56</c:v>
                </c:pt>
                <c:pt idx="4">
                  <c:v>FY16, 
n = 32</c:v>
                </c:pt>
                <c:pt idx="5">
                  <c:v>FY17, 
n = 26</c:v>
                </c:pt>
                <c:pt idx="6">
                  <c:v>FY18, 
n = 18</c:v>
                </c:pt>
              </c:strCache>
            </c:strRef>
          </c:cat>
          <c:val>
            <c:numRef>
              <c:f>'Figure 6 &amp; 7 WBIT'!$D$6:$D$10</c:f>
              <c:numCache>
                <c:formatCode>General</c:formatCode>
                <c:ptCount val="5"/>
                <c:pt idx="0">
                  <c:v>25</c:v>
                </c:pt>
                <c:pt idx="1">
                  <c:v>14</c:v>
                </c:pt>
                <c:pt idx="2">
                  <c:v>13</c:v>
                </c:pt>
                <c:pt idx="3">
                  <c:v>4</c:v>
                </c:pt>
                <c:pt idx="4">
                  <c:v>3</c:v>
                </c:pt>
              </c:numCache>
            </c:numRef>
          </c:val>
          <c:extLst>
            <c:ext xmlns:c16="http://schemas.microsoft.com/office/drawing/2014/chart" uri="{C3380CC4-5D6E-409C-BE32-E72D297353CC}">
              <c16:uniqueId val="{00000003-2243-4050-BD09-C03B78753B4D}"/>
            </c:ext>
          </c:extLst>
        </c:ser>
        <c:ser>
          <c:idx val="4"/>
          <c:order val="3"/>
          <c:tx>
            <c:strRef>
              <c:f>'Figure 6 &amp; 7 WBIT'!$F$2</c:f>
              <c:strCache>
                <c:ptCount val="1"/>
                <c:pt idx="0">
                  <c:v>Unknown</c:v>
                </c:pt>
              </c:strCache>
            </c:strRef>
          </c:tx>
          <c:invertIfNegative val="0"/>
          <c:cat>
            <c:strRef>
              <c:f>'Figure 6 &amp; 7 WBIT'!$A$3:$A$9</c:f>
              <c:strCache>
                <c:ptCount val="7"/>
                <c:pt idx="0">
                  <c:v>FY12, 
n  =  57</c:v>
                </c:pt>
                <c:pt idx="1">
                  <c:v>FY13, 
n  =  50</c:v>
                </c:pt>
                <c:pt idx="2">
                  <c:v>FY14,
 n  =  72</c:v>
                </c:pt>
                <c:pt idx="3">
                  <c:v>FY15, 
n = 56</c:v>
                </c:pt>
                <c:pt idx="4">
                  <c:v>FY16, 
n = 32</c:v>
                </c:pt>
                <c:pt idx="5">
                  <c:v>FY17, 
n = 26</c:v>
                </c:pt>
                <c:pt idx="6">
                  <c:v>FY18, 
n = 18</c:v>
                </c:pt>
              </c:strCache>
            </c:strRef>
          </c:cat>
          <c:val>
            <c:numRef>
              <c:f>'Figure 6 &amp; 7 WBIT'!$F$6:$F$10</c:f>
              <c:numCache>
                <c:formatCode>General</c:formatCode>
                <c:ptCount val="5"/>
                <c:pt idx="0">
                  <c:v>7</c:v>
                </c:pt>
                <c:pt idx="1">
                  <c:v>4</c:v>
                </c:pt>
                <c:pt idx="2">
                  <c:v>4</c:v>
                </c:pt>
                <c:pt idx="3">
                  <c:v>1</c:v>
                </c:pt>
                <c:pt idx="4">
                  <c:v>1</c:v>
                </c:pt>
              </c:numCache>
            </c:numRef>
          </c:val>
          <c:extLst>
            <c:ext xmlns:c16="http://schemas.microsoft.com/office/drawing/2014/chart" uri="{C3380CC4-5D6E-409C-BE32-E72D297353CC}">
              <c16:uniqueId val="{00000004-2243-4050-BD09-C03B78753B4D}"/>
            </c:ext>
          </c:extLst>
        </c:ser>
        <c:ser>
          <c:idx val="3"/>
          <c:order val="4"/>
          <c:tx>
            <c:strRef>
              <c:f>'Figure 6 &amp; 7 WBIT'!$E$2</c:f>
              <c:strCache>
                <c:ptCount val="1"/>
                <c:pt idx="0">
                  <c:v>No wristband</c:v>
                </c:pt>
              </c:strCache>
            </c:strRef>
          </c:tx>
          <c:invertIfNegative val="0"/>
          <c:cat>
            <c:strRef>
              <c:f>'Figure 6 &amp; 7 WBIT'!$A$3:$A$9</c:f>
              <c:strCache>
                <c:ptCount val="7"/>
                <c:pt idx="0">
                  <c:v>FY12, 
n  =  57</c:v>
                </c:pt>
                <c:pt idx="1">
                  <c:v>FY13, 
n  =  50</c:v>
                </c:pt>
                <c:pt idx="2">
                  <c:v>FY14,
 n  =  72</c:v>
                </c:pt>
                <c:pt idx="3">
                  <c:v>FY15, 
n = 56</c:v>
                </c:pt>
                <c:pt idx="4">
                  <c:v>FY16, 
n = 32</c:v>
                </c:pt>
                <c:pt idx="5">
                  <c:v>FY17, 
n = 26</c:v>
                </c:pt>
                <c:pt idx="6">
                  <c:v>FY18, 
n = 18</c:v>
                </c:pt>
              </c:strCache>
            </c:strRef>
          </c:cat>
          <c:val>
            <c:numRef>
              <c:f>'Figure 6 &amp; 7 WBIT'!$E$6:$E$10</c:f>
              <c:numCache>
                <c:formatCode>General</c:formatCode>
                <c:ptCount val="5"/>
                <c:pt idx="0">
                  <c:v>2</c:v>
                </c:pt>
                <c:pt idx="1">
                  <c:v>1</c:v>
                </c:pt>
                <c:pt idx="2">
                  <c:v>2</c:v>
                </c:pt>
                <c:pt idx="3">
                  <c:v>2</c:v>
                </c:pt>
                <c:pt idx="4">
                  <c:v>0</c:v>
                </c:pt>
              </c:numCache>
            </c:numRef>
          </c:val>
          <c:extLst>
            <c:ext xmlns:c16="http://schemas.microsoft.com/office/drawing/2014/chart" uri="{C3380CC4-5D6E-409C-BE32-E72D297353CC}">
              <c16:uniqueId val="{00000005-2243-4050-BD09-C03B78753B4D}"/>
            </c:ext>
          </c:extLst>
        </c:ser>
        <c:dLbls>
          <c:showLegendKey val="0"/>
          <c:showVal val="0"/>
          <c:showCatName val="0"/>
          <c:showSerName val="0"/>
          <c:showPercent val="0"/>
          <c:showBubbleSize val="0"/>
        </c:dLbls>
        <c:gapWidth val="500"/>
        <c:axId val="44557056"/>
        <c:axId val="44551168"/>
      </c:barChart>
      <c:catAx>
        <c:axId val="44547456"/>
        <c:scaling>
          <c:orientation val="minMax"/>
        </c:scaling>
        <c:delete val="0"/>
        <c:axPos val="b"/>
        <c:numFmt formatCode="General" sourceLinked="0"/>
        <c:majorTickMark val="out"/>
        <c:minorTickMark val="none"/>
        <c:tickLblPos val="nextTo"/>
        <c:crossAx val="44549248"/>
        <c:crosses val="autoZero"/>
        <c:auto val="1"/>
        <c:lblAlgn val="ctr"/>
        <c:lblOffset val="100"/>
        <c:noMultiLvlLbl val="0"/>
      </c:catAx>
      <c:valAx>
        <c:axId val="44549248"/>
        <c:scaling>
          <c:orientation val="minMax"/>
          <c:max val="60"/>
          <c:min val="0"/>
        </c:scaling>
        <c:delete val="0"/>
        <c:axPos val="l"/>
        <c:majorGridlines/>
        <c:title>
          <c:tx>
            <c:rich>
              <a:bodyPr rot="-5400000" vert="horz"/>
              <a:lstStyle/>
              <a:p>
                <a:pPr>
                  <a:defRPr/>
                </a:pPr>
                <a:r>
                  <a:rPr lang="en-AU"/>
                  <a:t>Numbers</a:t>
                </a:r>
              </a:p>
            </c:rich>
          </c:tx>
          <c:layout/>
          <c:overlay val="0"/>
        </c:title>
        <c:numFmt formatCode="General" sourceLinked="1"/>
        <c:majorTickMark val="out"/>
        <c:minorTickMark val="none"/>
        <c:tickLblPos val="nextTo"/>
        <c:crossAx val="44547456"/>
        <c:crosses val="autoZero"/>
        <c:crossBetween val="between"/>
      </c:valAx>
      <c:valAx>
        <c:axId val="44551168"/>
        <c:scaling>
          <c:orientation val="minMax"/>
          <c:max val="75"/>
          <c:min val="0"/>
        </c:scaling>
        <c:delete val="1"/>
        <c:axPos val="r"/>
        <c:numFmt formatCode="General" sourceLinked="1"/>
        <c:majorTickMark val="out"/>
        <c:minorTickMark val="none"/>
        <c:tickLblPos val="nextTo"/>
        <c:crossAx val="44557056"/>
        <c:crosses val="max"/>
        <c:crossBetween val="between"/>
      </c:valAx>
      <c:catAx>
        <c:axId val="44557056"/>
        <c:scaling>
          <c:orientation val="minMax"/>
        </c:scaling>
        <c:delete val="1"/>
        <c:axPos val="b"/>
        <c:numFmt formatCode="General" sourceLinked="1"/>
        <c:majorTickMark val="out"/>
        <c:minorTickMark val="none"/>
        <c:tickLblPos val="nextTo"/>
        <c:crossAx val="44551168"/>
        <c:crosses val="autoZero"/>
        <c:auto val="1"/>
        <c:lblAlgn val="ctr"/>
        <c:lblOffset val="100"/>
        <c:noMultiLvlLbl val="0"/>
      </c:catAx>
    </c:plotArea>
    <c:legend>
      <c:legendPos val="r"/>
      <c:layout/>
      <c:overlay val="0"/>
    </c:legend>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'Figure 6 &amp; 7 WBIT'!$L$2</c:f>
              <c:strCache>
                <c:ptCount val="1"/>
                <c:pt idx="0">
                  <c:v>Emergency department</c:v>
                </c:pt>
              </c:strCache>
            </c:strRef>
          </c:tx>
          <c:invertIfNegative val="0"/>
          <c:cat>
            <c:strRef>
              <c:f>'Figure 6 &amp; 7 WBIT'!$K$6:$K$10</c:f>
              <c:strCache>
                <c:ptCount val="5"/>
                <c:pt idx="0">
                  <c:v>FY15, 
n  =  56</c:v>
                </c:pt>
                <c:pt idx="1">
                  <c:v>FY16, 
n  =  32</c:v>
                </c:pt>
                <c:pt idx="2">
                  <c:v>FY17, 
n = 26</c:v>
                </c:pt>
                <c:pt idx="3">
                  <c:v>FY18, 
n = 18</c:v>
                </c:pt>
                <c:pt idx="4">
                  <c:v>FY19, 
n = 21</c:v>
                </c:pt>
              </c:strCache>
            </c:strRef>
          </c:cat>
          <c:val>
            <c:numRef>
              <c:f>'Figure 6 &amp; 7 WBIT'!$L$6:$L$10</c:f>
              <c:numCache>
                <c:formatCode>General</c:formatCode>
                <c:ptCount val="5"/>
                <c:pt idx="0">
                  <c:v>11</c:v>
                </c:pt>
                <c:pt idx="1">
                  <c:v>6</c:v>
                </c:pt>
                <c:pt idx="2">
                  <c:v>3</c:v>
                </c:pt>
                <c:pt idx="3">
                  <c:v>2</c:v>
                </c:pt>
                <c:pt idx="4">
                  <c:v>6</c:v>
                </c:pt>
              </c:numCache>
            </c:numRef>
          </c:val>
          <c:extLst>
            <c:ext xmlns:c16="http://schemas.microsoft.com/office/drawing/2014/chart" uri="{C3380CC4-5D6E-409C-BE32-E72D297353CC}">
              <c16:uniqueId val="{00000000-96D4-40CB-B66B-EC43092EF42C}"/>
            </c:ext>
          </c:extLst>
        </c:ser>
        <c:ser>
          <c:idx val="1"/>
          <c:order val="1"/>
          <c:tx>
            <c:strRef>
              <c:f>'Figure 6 &amp; 7 WBIT'!$M$2</c:f>
              <c:strCache>
                <c:ptCount val="1"/>
                <c:pt idx="0">
                  <c:v>Maternity</c:v>
                </c:pt>
              </c:strCache>
            </c:strRef>
          </c:tx>
          <c:invertIfNegative val="0"/>
          <c:cat>
            <c:strRef>
              <c:f>'Figure 6 &amp; 7 WBIT'!$K$6:$K$10</c:f>
              <c:strCache>
                <c:ptCount val="5"/>
                <c:pt idx="0">
                  <c:v>FY15, 
n  =  56</c:v>
                </c:pt>
                <c:pt idx="1">
                  <c:v>FY16, 
n  =  32</c:v>
                </c:pt>
                <c:pt idx="2">
                  <c:v>FY17, 
n = 26</c:v>
                </c:pt>
                <c:pt idx="3">
                  <c:v>FY18, 
n = 18</c:v>
                </c:pt>
                <c:pt idx="4">
                  <c:v>FY19, 
n = 21</c:v>
                </c:pt>
              </c:strCache>
            </c:strRef>
          </c:cat>
          <c:val>
            <c:numRef>
              <c:f>'Figure 6 &amp; 7 WBIT'!$M$6:$M$10</c:f>
              <c:numCache>
                <c:formatCode>General</c:formatCode>
                <c:ptCount val="5"/>
                <c:pt idx="0">
                  <c:v>21</c:v>
                </c:pt>
                <c:pt idx="1">
                  <c:v>11</c:v>
                </c:pt>
                <c:pt idx="2">
                  <c:v>8</c:v>
                </c:pt>
                <c:pt idx="3">
                  <c:v>4</c:v>
                </c:pt>
                <c:pt idx="4">
                  <c:v>7</c:v>
                </c:pt>
              </c:numCache>
            </c:numRef>
          </c:val>
          <c:extLst>
            <c:ext xmlns:c16="http://schemas.microsoft.com/office/drawing/2014/chart" uri="{C3380CC4-5D6E-409C-BE32-E72D297353CC}">
              <c16:uniqueId val="{00000001-96D4-40CB-B66B-EC43092EF42C}"/>
            </c:ext>
          </c:extLst>
        </c:ser>
        <c:ser>
          <c:idx val="2"/>
          <c:order val="2"/>
          <c:tx>
            <c:strRef>
              <c:f>'Figure 6 &amp; 7 WBIT'!$N$2</c:f>
              <c:strCache>
                <c:ptCount val="1"/>
                <c:pt idx="0">
                  <c:v>Ward</c:v>
                </c:pt>
              </c:strCache>
            </c:strRef>
          </c:tx>
          <c:invertIfNegative val="0"/>
          <c:cat>
            <c:strRef>
              <c:f>'Figure 6 &amp; 7 WBIT'!$K$6:$K$10</c:f>
              <c:strCache>
                <c:ptCount val="5"/>
                <c:pt idx="0">
                  <c:v>FY15, 
n  =  56</c:v>
                </c:pt>
                <c:pt idx="1">
                  <c:v>FY16, 
n  =  32</c:v>
                </c:pt>
                <c:pt idx="2">
                  <c:v>FY17, 
n = 26</c:v>
                </c:pt>
                <c:pt idx="3">
                  <c:v>FY18, 
n = 18</c:v>
                </c:pt>
                <c:pt idx="4">
                  <c:v>FY19, 
n = 21</c:v>
                </c:pt>
              </c:strCache>
            </c:strRef>
          </c:cat>
          <c:val>
            <c:numRef>
              <c:f>'Figure 6 &amp; 7 WBIT'!$N$6:$N$10</c:f>
              <c:numCache>
                <c:formatCode>General</c:formatCode>
                <c:ptCount val="5"/>
                <c:pt idx="0">
                  <c:v>16</c:v>
                </c:pt>
                <c:pt idx="1">
                  <c:v>11</c:v>
                </c:pt>
                <c:pt idx="2">
                  <c:v>9</c:v>
                </c:pt>
                <c:pt idx="3">
                  <c:v>10</c:v>
                </c:pt>
                <c:pt idx="4">
                  <c:v>5</c:v>
                </c:pt>
              </c:numCache>
            </c:numRef>
          </c:val>
          <c:extLst>
            <c:ext xmlns:c16="http://schemas.microsoft.com/office/drawing/2014/chart" uri="{C3380CC4-5D6E-409C-BE32-E72D297353CC}">
              <c16:uniqueId val="{00000002-96D4-40CB-B66B-EC43092EF42C}"/>
            </c:ext>
          </c:extLst>
        </c:ser>
        <c:ser>
          <c:idx val="3"/>
          <c:order val="3"/>
          <c:tx>
            <c:strRef>
              <c:f>'Figure 6 &amp; 7 WBIT'!$O$2</c:f>
              <c:strCache>
                <c:ptCount val="1"/>
                <c:pt idx="0">
                  <c:v>Theatre</c:v>
                </c:pt>
              </c:strCache>
            </c:strRef>
          </c:tx>
          <c:invertIfNegative val="0"/>
          <c:cat>
            <c:strRef>
              <c:f>'Figure 6 &amp; 7 WBIT'!$K$6:$K$10</c:f>
              <c:strCache>
                <c:ptCount val="5"/>
                <c:pt idx="0">
                  <c:v>FY15, 
n  =  56</c:v>
                </c:pt>
                <c:pt idx="1">
                  <c:v>FY16, 
n  =  32</c:v>
                </c:pt>
                <c:pt idx="2">
                  <c:v>FY17, 
n = 26</c:v>
                </c:pt>
                <c:pt idx="3">
                  <c:v>FY18, 
n = 18</c:v>
                </c:pt>
                <c:pt idx="4">
                  <c:v>FY19, 
n = 21</c:v>
                </c:pt>
              </c:strCache>
            </c:strRef>
          </c:cat>
          <c:val>
            <c:numRef>
              <c:f>'Figure 6 &amp; 7 WBIT'!$O$6:$O$10</c:f>
              <c:numCache>
                <c:formatCode>General</c:formatCode>
                <c:ptCount val="5"/>
                <c:pt idx="0">
                  <c:v>2</c:v>
                </c:pt>
                <c:pt idx="1">
                  <c:v>1</c:v>
                </c:pt>
                <c:pt idx="2">
                  <c:v>0</c:v>
                </c:pt>
                <c:pt idx="3">
                  <c:v>0</c:v>
                </c:pt>
                <c:pt idx="4">
                  <c:v>2</c:v>
                </c:pt>
              </c:numCache>
            </c:numRef>
          </c:val>
          <c:extLst>
            <c:ext xmlns:c16="http://schemas.microsoft.com/office/drawing/2014/chart" uri="{C3380CC4-5D6E-409C-BE32-E72D297353CC}">
              <c16:uniqueId val="{00000003-96D4-40CB-B66B-EC43092EF42C}"/>
            </c:ext>
          </c:extLst>
        </c:ser>
        <c:ser>
          <c:idx val="4"/>
          <c:order val="4"/>
          <c:tx>
            <c:strRef>
              <c:f>'Figure 6 &amp; 7 WBIT'!$P$2</c:f>
              <c:strCache>
                <c:ptCount val="1"/>
                <c:pt idx="0">
                  <c:v>ICU</c:v>
                </c:pt>
              </c:strCache>
            </c:strRef>
          </c:tx>
          <c:invertIfNegative val="0"/>
          <c:cat>
            <c:strRef>
              <c:f>'Figure 6 &amp; 7 WBIT'!$K$6:$K$10</c:f>
              <c:strCache>
                <c:ptCount val="5"/>
                <c:pt idx="0">
                  <c:v>FY15, 
n  =  56</c:v>
                </c:pt>
                <c:pt idx="1">
                  <c:v>FY16, 
n  =  32</c:v>
                </c:pt>
                <c:pt idx="2">
                  <c:v>FY17, 
n = 26</c:v>
                </c:pt>
                <c:pt idx="3">
                  <c:v>FY18, 
n = 18</c:v>
                </c:pt>
                <c:pt idx="4">
                  <c:v>FY19, 
n = 21</c:v>
                </c:pt>
              </c:strCache>
            </c:strRef>
          </c:cat>
          <c:val>
            <c:numRef>
              <c:f>'Figure 6 &amp; 7 WBIT'!$P$6:$P$10</c:f>
              <c:numCache>
                <c:formatCode>General</c:formatCode>
                <c:ptCount val="5"/>
                <c:pt idx="0">
                  <c:v>3</c:v>
                </c:pt>
                <c:pt idx="1">
                  <c:v>0</c:v>
                </c:pt>
                <c:pt idx="2">
                  <c:v>4</c:v>
                </c:pt>
                <c:pt idx="3">
                  <c:v>1</c:v>
                </c:pt>
                <c:pt idx="4">
                  <c:v>0</c:v>
                </c:pt>
              </c:numCache>
            </c:numRef>
          </c:val>
          <c:extLst>
            <c:ext xmlns:c16="http://schemas.microsoft.com/office/drawing/2014/chart" uri="{C3380CC4-5D6E-409C-BE32-E72D297353CC}">
              <c16:uniqueId val="{00000004-96D4-40CB-B66B-EC43092EF42C}"/>
            </c:ext>
          </c:extLst>
        </c:ser>
        <c:ser>
          <c:idx val="5"/>
          <c:order val="5"/>
          <c:tx>
            <c:strRef>
              <c:f>'Figure 6 &amp; 7 WBIT'!$Q$2</c:f>
              <c:strCache>
                <c:ptCount val="1"/>
                <c:pt idx="0">
                  <c:v>Outpatient</c:v>
                </c:pt>
              </c:strCache>
            </c:strRef>
          </c:tx>
          <c:invertIfNegative val="0"/>
          <c:cat>
            <c:strRef>
              <c:f>'Figure 6 &amp; 7 WBIT'!$K$6:$K$10</c:f>
              <c:strCache>
                <c:ptCount val="5"/>
                <c:pt idx="0">
                  <c:v>FY15, 
n  =  56</c:v>
                </c:pt>
                <c:pt idx="1">
                  <c:v>FY16, 
n  =  32</c:v>
                </c:pt>
                <c:pt idx="2">
                  <c:v>FY17, 
n = 26</c:v>
                </c:pt>
                <c:pt idx="3">
                  <c:v>FY18, 
n = 18</c:v>
                </c:pt>
                <c:pt idx="4">
                  <c:v>FY19, 
n = 21</c:v>
                </c:pt>
              </c:strCache>
            </c:strRef>
          </c:cat>
          <c:val>
            <c:numRef>
              <c:f>'Figure 6 &amp; 7 WBIT'!$Q$6:$Q$10</c:f>
              <c:numCache>
                <c:formatCode>General</c:formatCode>
                <c:ptCount val="5"/>
                <c:pt idx="0">
                  <c:v>0</c:v>
                </c:pt>
                <c:pt idx="1">
                  <c:v>2</c:v>
                </c:pt>
                <c:pt idx="2">
                  <c:v>2</c:v>
                </c:pt>
                <c:pt idx="3">
                  <c:v>1</c:v>
                </c:pt>
                <c:pt idx="4">
                  <c:v>0</c:v>
                </c:pt>
              </c:numCache>
            </c:numRef>
          </c:val>
          <c:extLst>
            <c:ext xmlns:c16="http://schemas.microsoft.com/office/drawing/2014/chart" uri="{C3380CC4-5D6E-409C-BE32-E72D297353CC}">
              <c16:uniqueId val="{00000005-96D4-40CB-B66B-EC43092EF42C}"/>
            </c:ext>
          </c:extLst>
        </c:ser>
        <c:ser>
          <c:idx val="6"/>
          <c:order val="6"/>
          <c:tx>
            <c:strRef>
              <c:f>'Figure 6 &amp; 7 WBIT'!$R$2</c:f>
              <c:strCache>
                <c:ptCount val="1"/>
                <c:pt idx="0">
                  <c:v>Other</c:v>
                </c:pt>
              </c:strCache>
            </c:strRef>
          </c:tx>
          <c:invertIfNegative val="0"/>
          <c:cat>
            <c:strRef>
              <c:f>'Figure 6 &amp; 7 WBIT'!$K$6:$K$10</c:f>
              <c:strCache>
                <c:ptCount val="5"/>
                <c:pt idx="0">
                  <c:v>FY15, 
n  =  56</c:v>
                </c:pt>
                <c:pt idx="1">
                  <c:v>FY16, 
n  =  32</c:v>
                </c:pt>
                <c:pt idx="2">
                  <c:v>FY17, 
n = 26</c:v>
                </c:pt>
                <c:pt idx="3">
                  <c:v>FY18, 
n = 18</c:v>
                </c:pt>
                <c:pt idx="4">
                  <c:v>FY19, 
n = 21</c:v>
                </c:pt>
              </c:strCache>
            </c:strRef>
          </c:cat>
          <c:val>
            <c:numRef>
              <c:f>'Figure 6 &amp; 7 WBIT'!$R$6:$R$10</c:f>
              <c:numCache>
                <c:formatCode>General</c:formatCode>
                <c:ptCount val="5"/>
                <c:pt idx="0">
                  <c:v>3</c:v>
                </c:pt>
                <c:pt idx="1">
                  <c:v>1</c:v>
                </c:pt>
                <c:pt idx="2">
                  <c:v>0</c:v>
                </c:pt>
                <c:pt idx="3">
                  <c:v>0</c:v>
                </c:pt>
                <c:pt idx="4">
                  <c:v>1</c:v>
                </c:pt>
              </c:numCache>
            </c:numRef>
          </c:val>
          <c:extLst>
            <c:ext xmlns:c16="http://schemas.microsoft.com/office/drawing/2014/chart" uri="{C3380CC4-5D6E-409C-BE32-E72D297353CC}">
              <c16:uniqueId val="{00000006-96D4-40CB-B66B-EC43092EF42C}"/>
            </c:ext>
          </c:extLst>
        </c:ser>
        <c:dLbls>
          <c:showLegendKey val="0"/>
          <c:showVal val="0"/>
          <c:showCatName val="0"/>
          <c:showSerName val="0"/>
          <c:showPercent val="0"/>
          <c:showBubbleSize val="0"/>
        </c:dLbls>
        <c:gapWidth val="150"/>
        <c:overlap val="100"/>
        <c:axId val="44524672"/>
        <c:axId val="44526208"/>
      </c:barChart>
      <c:catAx>
        <c:axId val="44524672"/>
        <c:scaling>
          <c:orientation val="minMax"/>
        </c:scaling>
        <c:delete val="0"/>
        <c:axPos val="b"/>
        <c:numFmt formatCode="General" sourceLinked="0"/>
        <c:majorTickMark val="out"/>
        <c:minorTickMark val="none"/>
        <c:tickLblPos val="nextTo"/>
        <c:crossAx val="44526208"/>
        <c:crosses val="autoZero"/>
        <c:auto val="1"/>
        <c:lblAlgn val="ctr"/>
        <c:lblOffset val="100"/>
        <c:noMultiLvlLbl val="0"/>
      </c:catAx>
      <c:valAx>
        <c:axId val="44526208"/>
        <c:scaling>
          <c:orientation val="minMax"/>
        </c:scaling>
        <c:delete val="0"/>
        <c:axPos val="l"/>
        <c:majorGridlines/>
        <c:numFmt formatCode="0%" sourceLinked="1"/>
        <c:majorTickMark val="out"/>
        <c:minorTickMark val="none"/>
        <c:tickLblPos val="nextTo"/>
        <c:crossAx val="44524672"/>
        <c:crosses val="autoZero"/>
        <c:crossBetween val="between"/>
      </c:valAx>
    </c:plotArea>
    <c:legend>
      <c:legendPos val="r"/>
      <c:layout/>
      <c:overlay val="0"/>
    </c:legend>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08F978-246A-9840-95C6-A871A86591F9}">
  <we:reference id="wa104380773" version="1.0.0.2" store="en-GB" storeType="OMEX"/>
  <we:alternateReferences>
    <we:reference id="wa104380773" version="1.0.0.2"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E5DBC-E4CF-4543-9079-4A7D15EE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Blood Matters Report White cover 06 Pink 199 Dec 2019</Template>
  <TotalTime>11</TotalTime>
  <Pages>36</Pages>
  <Words>8157</Words>
  <Characters>47639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STIR annual report 2018–19</vt:lpstr>
    </vt:vector>
  </TitlesOfParts>
  <Manager/>
  <Company>Department of Health and Human Services</Company>
  <LinksUpToDate>false</LinksUpToDate>
  <CharactersWithSpaces>55685</CharactersWithSpaces>
  <SharedDoc>false</SharedDoc>
  <HyperlinkBase/>
  <HLinks>
    <vt:vector size="66" baseType="variant">
      <vt:variant>
        <vt:i4>7864376</vt:i4>
      </vt:variant>
      <vt:variant>
        <vt:i4>54</vt:i4>
      </vt:variant>
      <vt:variant>
        <vt:i4>0</vt:i4>
      </vt:variant>
      <vt:variant>
        <vt:i4>5</vt:i4>
      </vt:variant>
      <vt:variant>
        <vt:lpwstr>https://intranet.dhhs.vic.gov.au/templates-our-visual-style</vt:lpwstr>
      </vt:variant>
      <vt:variant>
        <vt:lpwstr/>
      </vt:variant>
      <vt:variant>
        <vt:i4>1048626</vt:i4>
      </vt:variant>
      <vt:variant>
        <vt:i4>47</vt:i4>
      </vt:variant>
      <vt:variant>
        <vt:i4>0</vt:i4>
      </vt:variant>
      <vt:variant>
        <vt:i4>5</vt:i4>
      </vt:variant>
      <vt:variant>
        <vt:lpwstr/>
      </vt:variant>
      <vt:variant>
        <vt:lpwstr>_Toc442704404</vt:lpwstr>
      </vt:variant>
      <vt:variant>
        <vt:i4>1048626</vt:i4>
      </vt:variant>
      <vt:variant>
        <vt:i4>41</vt:i4>
      </vt:variant>
      <vt:variant>
        <vt:i4>0</vt:i4>
      </vt:variant>
      <vt:variant>
        <vt:i4>5</vt:i4>
      </vt:variant>
      <vt:variant>
        <vt:lpwstr/>
      </vt:variant>
      <vt:variant>
        <vt:lpwstr>_Toc442704403</vt:lpwstr>
      </vt:variant>
      <vt:variant>
        <vt:i4>1048626</vt:i4>
      </vt:variant>
      <vt:variant>
        <vt:i4>35</vt:i4>
      </vt:variant>
      <vt:variant>
        <vt:i4>0</vt:i4>
      </vt:variant>
      <vt:variant>
        <vt:i4>5</vt:i4>
      </vt:variant>
      <vt:variant>
        <vt:lpwstr/>
      </vt:variant>
      <vt:variant>
        <vt:lpwstr>_Toc442704402</vt:lpwstr>
      </vt:variant>
      <vt:variant>
        <vt:i4>1048626</vt:i4>
      </vt:variant>
      <vt:variant>
        <vt:i4>29</vt:i4>
      </vt:variant>
      <vt:variant>
        <vt:i4>0</vt:i4>
      </vt:variant>
      <vt:variant>
        <vt:i4>5</vt:i4>
      </vt:variant>
      <vt:variant>
        <vt:lpwstr/>
      </vt:variant>
      <vt:variant>
        <vt:lpwstr>_Toc442704401</vt:lpwstr>
      </vt:variant>
      <vt:variant>
        <vt:i4>1048626</vt:i4>
      </vt:variant>
      <vt:variant>
        <vt:i4>23</vt:i4>
      </vt:variant>
      <vt:variant>
        <vt:i4>0</vt:i4>
      </vt:variant>
      <vt:variant>
        <vt:i4>5</vt:i4>
      </vt:variant>
      <vt:variant>
        <vt:lpwstr/>
      </vt:variant>
      <vt:variant>
        <vt:lpwstr>_Toc442704400</vt:lpwstr>
      </vt:variant>
      <vt:variant>
        <vt:i4>1638453</vt:i4>
      </vt:variant>
      <vt:variant>
        <vt:i4>17</vt:i4>
      </vt:variant>
      <vt:variant>
        <vt:i4>0</vt:i4>
      </vt:variant>
      <vt:variant>
        <vt:i4>5</vt:i4>
      </vt:variant>
      <vt:variant>
        <vt:lpwstr/>
      </vt:variant>
      <vt:variant>
        <vt:lpwstr>_Toc442704399</vt:lpwstr>
      </vt:variant>
      <vt:variant>
        <vt:i4>1638453</vt:i4>
      </vt:variant>
      <vt:variant>
        <vt:i4>11</vt:i4>
      </vt:variant>
      <vt:variant>
        <vt:i4>0</vt:i4>
      </vt:variant>
      <vt:variant>
        <vt:i4>5</vt:i4>
      </vt:variant>
      <vt:variant>
        <vt:lpwstr/>
      </vt:variant>
      <vt:variant>
        <vt:lpwstr>_Toc442704398</vt:lpwstr>
      </vt:variant>
      <vt:variant>
        <vt:i4>7602296</vt:i4>
      </vt:variant>
      <vt:variant>
        <vt:i4>6</vt:i4>
      </vt:variant>
      <vt:variant>
        <vt:i4>0</vt:i4>
      </vt:variant>
      <vt:variant>
        <vt:i4>5</vt:i4>
      </vt:variant>
      <vt:variant>
        <vt:lpwstr>https://intranet.dhhs.vic.gov.au/graphic-design-process</vt:lpwstr>
      </vt:variant>
      <vt:variant>
        <vt:lpwstr/>
      </vt:variant>
      <vt:variant>
        <vt:i4>7209064</vt:i4>
      </vt:variant>
      <vt:variant>
        <vt:i4>3</vt:i4>
      </vt:variant>
      <vt:variant>
        <vt:i4>0</vt:i4>
      </vt:variant>
      <vt:variant>
        <vt:i4>5</vt:i4>
      </vt:variant>
      <vt:variant>
        <vt:lpwstr>https://intranet.dhhs.vic.gov.au/print-and-distribute-communications-materials</vt:lpwstr>
      </vt:variant>
      <vt:variant>
        <vt:lpwstr/>
      </vt:variant>
      <vt:variant>
        <vt:i4>7143443</vt:i4>
      </vt:variant>
      <vt:variant>
        <vt:i4>0</vt:i4>
      </vt:variant>
      <vt:variant>
        <vt:i4>0</vt:i4>
      </vt:variant>
      <vt:variant>
        <vt:i4>5</vt:i4>
      </vt:variant>
      <vt:variant>
        <vt:lpwstr>http://library.intranet.vic.gov.au/client/en_AU/vglsweb-depi/?rm=ISBN0%7C%7C%7C1%7C%7C%7C0%7C%7C%7Ctrue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STIR annual report 2018–19</dc:title>
  <dc:subject>Transfusion incident report</dc:subject>
  <dc:creator>Blood Matters</dc:creator>
  <cp:keywords>transfusion, incident, haemovigilance</cp:keywords>
  <dc:description/>
  <cp:lastModifiedBy>Linley Bielby</cp:lastModifiedBy>
  <cp:revision>4</cp:revision>
  <cp:lastPrinted>2017-07-07T00:32:00Z</cp:lastPrinted>
  <dcterms:created xsi:type="dcterms:W3CDTF">2020-09-07T04:35:00Z</dcterms:created>
  <dcterms:modified xsi:type="dcterms:W3CDTF">2020-09-07T04:45:00Z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