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D178F" w14:textId="6AA93322" w:rsidR="00002990" w:rsidRPr="003072C6" w:rsidRDefault="00002990" w:rsidP="00A55989">
      <w:pPr>
        <w:pStyle w:val="DHHSbodynospace"/>
      </w:pP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106C37B5" w14:textId="77777777" w:rsidTr="004C5777">
        <w:trPr>
          <w:trHeight w:val="3988"/>
        </w:trPr>
        <w:tc>
          <w:tcPr>
            <w:tcW w:w="7938" w:type="dxa"/>
            <w:shd w:val="clear" w:color="auto" w:fill="auto"/>
          </w:tcPr>
          <w:p w14:paraId="5FDDBB37" w14:textId="77C2623C" w:rsidR="00C416E1" w:rsidRPr="00950AA3" w:rsidRDefault="004262A7" w:rsidP="00E91933">
            <w:pPr>
              <w:pStyle w:val="DHHSreportmaintitlepink"/>
              <w:rPr>
                <w:color w:val="FF0000"/>
              </w:rPr>
            </w:pPr>
            <w:r w:rsidRPr="00950AA3">
              <w:rPr>
                <w:color w:val="FF0000"/>
              </w:rPr>
              <w:t>Serious transfusion incident report 2017–18</w:t>
            </w:r>
          </w:p>
          <w:p w14:paraId="586406F8" w14:textId="50C6932B" w:rsidR="00444D82" w:rsidRPr="003072C6" w:rsidRDefault="00444D82" w:rsidP="00E91933">
            <w:pPr>
              <w:pStyle w:val="DHHSreportsubtitlewhite"/>
            </w:pPr>
          </w:p>
        </w:tc>
      </w:tr>
      <w:tr w:rsidR="001817CD" w:rsidRPr="003072C6" w14:paraId="6C65D30F" w14:textId="77777777" w:rsidTr="004C5777">
        <w:trPr>
          <w:trHeight w:val="4664"/>
        </w:trPr>
        <w:tc>
          <w:tcPr>
            <w:tcW w:w="10252" w:type="dxa"/>
            <w:shd w:val="clear" w:color="auto" w:fill="auto"/>
          </w:tcPr>
          <w:p w14:paraId="2C81033C" w14:textId="77501C21" w:rsidR="00BC01C1" w:rsidRPr="003072C6" w:rsidRDefault="00BC01C1" w:rsidP="004F3441">
            <w:pPr>
              <w:pStyle w:val="Coverinstructions"/>
            </w:pPr>
          </w:p>
        </w:tc>
      </w:tr>
    </w:tbl>
    <w:p w14:paraId="195EE47B" w14:textId="7C0A2747" w:rsidR="0069374A" w:rsidRPr="003072C6" w:rsidRDefault="00950AA3" w:rsidP="00C2657D">
      <w:pPr>
        <w:pStyle w:val="DHHSbodynospace"/>
        <w:ind w:left="-454"/>
      </w:pPr>
      <w:r>
        <w:rPr>
          <w:noProof/>
        </w:rPr>
        <w:drawing>
          <wp:anchor distT="0" distB="0" distL="114300" distR="114300" simplePos="0" relativeHeight="251659264" behindDoc="1" locked="0" layoutInCell="1" allowOverlap="1" wp14:anchorId="4F0AC7A3" wp14:editId="362743F9">
            <wp:simplePos x="0" y="0"/>
            <wp:positionH relativeFrom="column">
              <wp:posOffset>3761772</wp:posOffset>
            </wp:positionH>
            <wp:positionV relativeFrom="paragraph">
              <wp:posOffset>705421</wp:posOffset>
            </wp:positionV>
            <wp:extent cx="2486025" cy="1176655"/>
            <wp:effectExtent l="0" t="0" r="9525" b="4445"/>
            <wp:wrapNone/>
            <wp:docPr id="6" name="Picture 6" descr="Blood Matters&#10;Australian Red Cross Blood Service&#10;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Blood matters logo\Blood Matters 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890"/>
                    <a:stretch/>
                  </pic:blipFill>
                  <pic:spPr bwMode="auto">
                    <a:xfrm>
                      <a:off x="0" y="0"/>
                      <a:ext cx="2486025" cy="117665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8700A3D" w14:textId="0A15A93C"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2D45B1E9" w14:textId="6314093B" w:rsidR="00AC0C3B" w:rsidRPr="003072C6" w:rsidRDefault="009208F5" w:rsidP="00CA6D4E">
      <w:pPr>
        <w:pStyle w:val="DHHSbodynospace"/>
      </w:pPr>
      <w:r w:rsidRPr="003072C6">
        <w:lastRenderedPageBreak/>
        <w:br w:type="page"/>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11C83C11" w14:textId="77777777" w:rsidTr="00CA6D4E">
        <w:trPr>
          <w:trHeight w:val="7402"/>
        </w:trPr>
        <w:tc>
          <w:tcPr>
            <w:tcW w:w="9298" w:type="dxa"/>
            <w:shd w:val="clear" w:color="auto" w:fill="auto"/>
            <w:vAlign w:val="center"/>
          </w:tcPr>
          <w:p w14:paraId="1C5C08BF" w14:textId="46C60B07" w:rsidR="00BB47D7" w:rsidRPr="003072C6" w:rsidRDefault="00B5678E" w:rsidP="00B5678E">
            <w:pPr>
              <w:pStyle w:val="DHHSreportmaintitle"/>
            </w:pPr>
            <w:r>
              <w:lastRenderedPageBreak/>
              <w:t>Serious t</w:t>
            </w:r>
            <w:r w:rsidRPr="00950AA3">
              <w:t>ran</w:t>
            </w:r>
            <w:r>
              <w:t>sfusion incident report 2017–18</w:t>
            </w:r>
          </w:p>
        </w:tc>
      </w:tr>
      <w:tr w:rsidR="009906C7" w:rsidRPr="003072C6" w14:paraId="3FC98BA5" w14:textId="77777777" w:rsidTr="009906C7">
        <w:tc>
          <w:tcPr>
            <w:tcW w:w="9298" w:type="dxa"/>
            <w:shd w:val="clear" w:color="auto" w:fill="auto"/>
            <w:vAlign w:val="center"/>
          </w:tcPr>
          <w:p w14:paraId="49B4FFE3" w14:textId="77777777" w:rsidR="009906C7" w:rsidRPr="003072C6" w:rsidRDefault="009906C7" w:rsidP="009906C7">
            <w:pPr>
              <w:pStyle w:val="DHHSbody"/>
            </w:pPr>
          </w:p>
        </w:tc>
      </w:tr>
    </w:tbl>
    <w:p w14:paraId="31FF0D29" w14:textId="77777777" w:rsidR="00CA6D4E" w:rsidRPr="003072C6" w:rsidRDefault="00CA6D4E" w:rsidP="00CA6D4E">
      <w:pPr>
        <w:pStyle w:val="DHHSbodynospace"/>
      </w:pPr>
    </w:p>
    <w:p w14:paraId="20A8BE08"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537603EA" w14:textId="77777777" w:rsidTr="00564E8F">
        <w:trPr>
          <w:trHeight w:val="4313"/>
        </w:trPr>
        <w:tc>
          <w:tcPr>
            <w:tcW w:w="9401" w:type="dxa"/>
          </w:tcPr>
          <w:p w14:paraId="40B74F9D" w14:textId="65A15431" w:rsidR="00564E8F" w:rsidRPr="00605B5B" w:rsidRDefault="00564E8F" w:rsidP="00031263">
            <w:pPr>
              <w:pStyle w:val="DHHSbody"/>
              <w:rPr>
                <w:i/>
                <w:color w:val="008950"/>
                <w:sz w:val="26"/>
                <w:szCs w:val="26"/>
              </w:rPr>
            </w:pPr>
          </w:p>
        </w:tc>
      </w:tr>
      <w:tr w:rsidR="00564E8F" w:rsidRPr="003072C6" w14:paraId="0DFE9497" w14:textId="77777777" w:rsidTr="001F09DC">
        <w:trPr>
          <w:trHeight w:val="6336"/>
        </w:trPr>
        <w:tc>
          <w:tcPr>
            <w:tcW w:w="9401" w:type="dxa"/>
            <w:vAlign w:val="bottom"/>
          </w:tcPr>
          <w:p w14:paraId="71810597" w14:textId="013DB78C" w:rsidR="00605B5B" w:rsidRPr="004262A7" w:rsidRDefault="00605B5B" w:rsidP="00605B5B">
            <w:pPr>
              <w:spacing w:after="200" w:line="300" w:lineRule="atLeast"/>
              <w:rPr>
                <w:rFonts w:ascii="Arial" w:eastAsia="Times" w:hAnsi="Arial"/>
                <w:color w:val="000000" w:themeColor="text1"/>
                <w:sz w:val="24"/>
                <w:szCs w:val="19"/>
              </w:rPr>
            </w:pPr>
            <w:r w:rsidRPr="004262A7">
              <w:rPr>
                <w:rFonts w:ascii="Arial" w:eastAsia="Times" w:hAnsi="Arial"/>
                <w:color w:val="000000" w:themeColor="text1"/>
                <w:sz w:val="24"/>
                <w:szCs w:val="19"/>
              </w:rPr>
              <w:t xml:space="preserve">To receive this publication in an accessible format phone </w:t>
            </w:r>
            <w:r w:rsidR="004262A7">
              <w:rPr>
                <w:rFonts w:ascii="Arial" w:eastAsia="Times" w:hAnsi="Arial"/>
                <w:color w:val="000000" w:themeColor="text1"/>
                <w:sz w:val="24"/>
                <w:szCs w:val="19"/>
              </w:rPr>
              <w:t>9694 0102</w:t>
            </w:r>
            <w:r w:rsidRPr="004262A7">
              <w:rPr>
                <w:rFonts w:ascii="Arial" w:eastAsia="Times" w:hAnsi="Arial"/>
                <w:color w:val="000000" w:themeColor="text1"/>
                <w:sz w:val="24"/>
                <w:szCs w:val="19"/>
              </w:rPr>
              <w:t>, using the National Relay Service 13 36 77 if required, or email</w:t>
            </w:r>
            <w:r w:rsidR="004262A7">
              <w:rPr>
                <w:rFonts w:ascii="Arial" w:eastAsia="Times" w:hAnsi="Arial"/>
                <w:color w:val="000000" w:themeColor="text1"/>
                <w:sz w:val="24"/>
                <w:szCs w:val="19"/>
              </w:rPr>
              <w:t xml:space="preserve"> </w:t>
            </w:r>
            <w:hyperlink r:id="rId9" w:history="1">
              <w:r w:rsidR="004262A7" w:rsidRPr="004262A7">
                <w:rPr>
                  <w:rStyle w:val="Hyperlink"/>
                  <w:rFonts w:ascii="Arial" w:eastAsia="Times" w:hAnsi="Arial"/>
                  <w:sz w:val="24"/>
                  <w:szCs w:val="19"/>
                </w:rPr>
                <w:t>STIR</w:t>
              </w:r>
            </w:hyperlink>
            <w:r w:rsidRPr="004262A7">
              <w:rPr>
                <w:rFonts w:ascii="Arial" w:eastAsia="Times" w:hAnsi="Arial"/>
                <w:color w:val="000000" w:themeColor="text1"/>
                <w:sz w:val="24"/>
                <w:szCs w:val="19"/>
              </w:rPr>
              <w:t xml:space="preserve"> </w:t>
            </w:r>
            <w:r w:rsidR="004262A7">
              <w:rPr>
                <w:rFonts w:ascii="Arial" w:eastAsia="Times" w:hAnsi="Arial"/>
                <w:color w:val="000000" w:themeColor="text1"/>
                <w:sz w:val="24"/>
                <w:szCs w:val="19"/>
              </w:rPr>
              <w:t>&lt;stir@redcrossblood.org.au&gt;</w:t>
            </w:r>
          </w:p>
          <w:p w14:paraId="7DC06D09" w14:textId="77777777" w:rsidR="00605B5B" w:rsidRPr="004262A7" w:rsidRDefault="00605B5B" w:rsidP="00605B5B">
            <w:pPr>
              <w:spacing w:after="120" w:line="270" w:lineRule="atLeast"/>
              <w:rPr>
                <w:rFonts w:ascii="Arial" w:eastAsia="Times" w:hAnsi="Arial"/>
                <w:color w:val="000000" w:themeColor="text1"/>
              </w:rPr>
            </w:pPr>
            <w:r w:rsidRPr="004262A7">
              <w:rPr>
                <w:rFonts w:ascii="Arial" w:eastAsia="Times" w:hAnsi="Arial"/>
                <w:color w:val="000000" w:themeColor="text1"/>
              </w:rPr>
              <w:t>Authorised and published by the Victorian Government, 1 Treasury Place, Melbourne.</w:t>
            </w:r>
          </w:p>
          <w:p w14:paraId="5A23E3C9" w14:textId="37B729EF" w:rsidR="00605B5B" w:rsidRPr="004262A7" w:rsidRDefault="00605B5B" w:rsidP="00605B5B">
            <w:pPr>
              <w:spacing w:after="120" w:line="270" w:lineRule="atLeast"/>
              <w:rPr>
                <w:rFonts w:ascii="Arial" w:eastAsia="Times" w:hAnsi="Arial"/>
                <w:color w:val="000000" w:themeColor="text1"/>
              </w:rPr>
            </w:pPr>
            <w:r w:rsidRPr="004262A7">
              <w:rPr>
                <w:rFonts w:ascii="Arial" w:eastAsia="Times" w:hAnsi="Arial"/>
                <w:color w:val="000000" w:themeColor="text1"/>
              </w:rPr>
              <w:t xml:space="preserve">© State of Victoria, Department of Health </w:t>
            </w:r>
            <w:r w:rsidR="002679D5" w:rsidRPr="004262A7">
              <w:rPr>
                <w:rFonts w:ascii="Arial" w:eastAsia="Times" w:hAnsi="Arial"/>
                <w:color w:val="000000" w:themeColor="text1"/>
              </w:rPr>
              <w:t>and</w:t>
            </w:r>
            <w:r w:rsidRPr="004262A7">
              <w:rPr>
                <w:rFonts w:ascii="Arial" w:eastAsia="Times" w:hAnsi="Arial"/>
                <w:color w:val="000000" w:themeColor="text1"/>
              </w:rPr>
              <w:t xml:space="preserve"> Human Services </w:t>
            </w:r>
            <w:r w:rsidR="004262A7">
              <w:rPr>
                <w:rFonts w:ascii="Arial" w:eastAsia="Times" w:hAnsi="Arial"/>
                <w:color w:val="000000" w:themeColor="text1"/>
              </w:rPr>
              <w:t>October, 2019</w:t>
            </w:r>
            <w:r w:rsidRPr="004262A7">
              <w:rPr>
                <w:rFonts w:ascii="Arial" w:eastAsia="Times" w:hAnsi="Arial"/>
                <w:color w:val="000000" w:themeColor="text1"/>
              </w:rPr>
              <w:t>.</w:t>
            </w:r>
          </w:p>
          <w:p w14:paraId="14C566FA" w14:textId="77777777" w:rsidR="00306691" w:rsidRDefault="00306691" w:rsidP="00306691">
            <w:pPr>
              <w:pStyle w:val="DHHSbody"/>
            </w:pPr>
            <w:r>
              <w:t xml:space="preserve">ISSN 2651-8872 – Online (pdf / word) </w:t>
            </w:r>
          </w:p>
          <w:p w14:paraId="6F023CE7" w14:textId="0E51A690" w:rsidR="00564E8F" w:rsidRDefault="00605B5B" w:rsidP="004262A7">
            <w:pPr>
              <w:spacing w:after="120" w:line="270" w:lineRule="atLeast"/>
              <w:rPr>
                <w:rFonts w:ascii="Arial" w:eastAsia="Times" w:hAnsi="Arial"/>
                <w:color w:val="000000" w:themeColor="text1"/>
              </w:rPr>
            </w:pPr>
            <w:r w:rsidRPr="004262A7">
              <w:rPr>
                <w:rFonts w:ascii="Arial" w:eastAsia="Times" w:hAnsi="Arial"/>
                <w:color w:val="000000" w:themeColor="text1"/>
                <w:szCs w:val="19"/>
              </w:rPr>
              <w:t xml:space="preserve">Available </w:t>
            </w:r>
            <w:r w:rsidR="004262A7">
              <w:rPr>
                <w:rFonts w:ascii="Arial" w:eastAsia="Times" w:hAnsi="Arial"/>
                <w:color w:val="000000" w:themeColor="text1"/>
                <w:szCs w:val="19"/>
              </w:rPr>
              <w:t xml:space="preserve">on the </w:t>
            </w:r>
            <w:hyperlink r:id="rId10" w:history="1">
              <w:r w:rsidR="004262A7" w:rsidRPr="004262A7">
                <w:rPr>
                  <w:rStyle w:val="Hyperlink"/>
                  <w:rFonts w:ascii="Arial" w:eastAsia="Times" w:hAnsi="Arial"/>
                  <w:szCs w:val="19"/>
                </w:rPr>
                <w:t>Blood Matters website</w:t>
              </w:r>
            </w:hyperlink>
            <w:r w:rsidRPr="004262A7">
              <w:rPr>
                <w:rFonts w:ascii="Arial" w:eastAsia="Times" w:hAnsi="Arial"/>
                <w:color w:val="000000" w:themeColor="text1"/>
                <w:szCs w:val="19"/>
              </w:rPr>
              <w:t xml:space="preserve"> </w:t>
            </w:r>
            <w:r w:rsidRPr="004262A7">
              <w:rPr>
                <w:rFonts w:ascii="Arial" w:eastAsia="Times" w:hAnsi="Arial"/>
                <w:color w:val="000000" w:themeColor="text1"/>
              </w:rPr>
              <w:t>&lt;</w:t>
            </w:r>
            <w:r w:rsidR="00430C0F" w:rsidRPr="00430C0F">
              <w:rPr>
                <w:rFonts w:ascii="Arial" w:eastAsia="Times" w:hAnsi="Arial"/>
                <w:color w:val="000000" w:themeColor="text1"/>
              </w:rPr>
              <w:t>https://www2.health.vic.gov.au/hospitals-and-health-services/patient-care/speciality-diagnostics-therapeutics/blood-matters</w:t>
            </w:r>
            <w:r w:rsidRPr="004262A7">
              <w:rPr>
                <w:rFonts w:ascii="Arial" w:eastAsia="Times" w:hAnsi="Arial"/>
                <w:color w:val="000000" w:themeColor="text1"/>
              </w:rPr>
              <w:t>&gt;</w:t>
            </w:r>
          </w:p>
          <w:p w14:paraId="564AC89A" w14:textId="77031456" w:rsidR="00430C0F" w:rsidRPr="00430C0F" w:rsidRDefault="00430C0F" w:rsidP="00430C0F">
            <w:pPr>
              <w:pStyle w:val="DHHSbody"/>
            </w:pPr>
            <w:r>
              <w:t>(1910524)</w:t>
            </w:r>
          </w:p>
        </w:tc>
      </w:tr>
      <w:tr w:rsidR="009906C7" w:rsidRPr="003072C6" w14:paraId="145066BD" w14:textId="77777777" w:rsidTr="009906C7">
        <w:tc>
          <w:tcPr>
            <w:tcW w:w="9401" w:type="dxa"/>
            <w:vAlign w:val="bottom"/>
          </w:tcPr>
          <w:p w14:paraId="7A972AC3" w14:textId="77777777" w:rsidR="009906C7" w:rsidRPr="003072C6" w:rsidRDefault="009906C7" w:rsidP="009906C7">
            <w:pPr>
              <w:pStyle w:val="DHHSbody"/>
            </w:pPr>
          </w:p>
        </w:tc>
      </w:tr>
    </w:tbl>
    <w:p w14:paraId="6B8229B7" w14:textId="77777777" w:rsidR="00ED4D17" w:rsidRPr="003072C6" w:rsidRDefault="00ED4D17" w:rsidP="003072C6">
      <w:pPr>
        <w:pStyle w:val="DHHSbody"/>
      </w:pPr>
    </w:p>
    <w:p w14:paraId="7B872F23" w14:textId="77777777" w:rsidR="00AC0C3B" w:rsidRPr="00AB50C1" w:rsidRDefault="00AC0C3B" w:rsidP="00AB50C1">
      <w:pPr>
        <w:pStyle w:val="DHHSTOCheadingreport"/>
      </w:pPr>
      <w:r w:rsidRPr="00AB50C1">
        <w:lastRenderedPageBreak/>
        <w:t>Contents</w:t>
      </w:r>
    </w:p>
    <w:p w14:paraId="0C36D61A" w14:textId="158E4CFF" w:rsidR="00E37625" w:rsidRDefault="00D31D30">
      <w:pPr>
        <w:pStyle w:val="TOC1"/>
        <w:rPr>
          <w:rFonts w:asciiTheme="minorHAnsi" w:eastAsiaTheme="minorEastAsia" w:hAnsiTheme="minorHAnsi" w:cstheme="minorBidi"/>
          <w:b w:val="0"/>
          <w:sz w:val="22"/>
          <w:szCs w:val="22"/>
          <w:lang w:val="en-US"/>
        </w:rPr>
      </w:pPr>
      <w:r>
        <w:rPr>
          <w:noProof w:val="0"/>
        </w:rPr>
        <w:fldChar w:fldCharType="begin"/>
      </w:r>
      <w:r>
        <w:rPr>
          <w:noProof w:val="0"/>
        </w:rPr>
        <w:instrText xml:space="preserve"> TOC \o "1-3" \h \z \u </w:instrText>
      </w:r>
      <w:r>
        <w:rPr>
          <w:noProof w:val="0"/>
        </w:rPr>
        <w:fldChar w:fldCharType="separate"/>
      </w:r>
      <w:hyperlink w:anchor="_Toc24287402" w:history="1">
        <w:r w:rsidR="00E37625" w:rsidRPr="00173D21">
          <w:rPr>
            <w:rStyle w:val="Hyperlink"/>
          </w:rPr>
          <w:t>Acknowledgements</w:t>
        </w:r>
        <w:r w:rsidR="00E37625">
          <w:rPr>
            <w:webHidden/>
          </w:rPr>
          <w:tab/>
        </w:r>
        <w:r w:rsidR="00E37625">
          <w:rPr>
            <w:webHidden/>
          </w:rPr>
          <w:fldChar w:fldCharType="begin"/>
        </w:r>
        <w:r w:rsidR="00E37625">
          <w:rPr>
            <w:webHidden/>
          </w:rPr>
          <w:instrText xml:space="preserve"> PAGEREF _Toc24287402 \h </w:instrText>
        </w:r>
        <w:r w:rsidR="00E37625">
          <w:rPr>
            <w:webHidden/>
          </w:rPr>
        </w:r>
        <w:r w:rsidR="00E37625">
          <w:rPr>
            <w:webHidden/>
          </w:rPr>
          <w:fldChar w:fldCharType="separate"/>
        </w:r>
        <w:r w:rsidR="00E37625">
          <w:rPr>
            <w:webHidden/>
          </w:rPr>
          <w:t>7</w:t>
        </w:r>
        <w:r w:rsidR="00E37625">
          <w:rPr>
            <w:webHidden/>
          </w:rPr>
          <w:fldChar w:fldCharType="end"/>
        </w:r>
      </w:hyperlink>
    </w:p>
    <w:p w14:paraId="2EC060D0" w14:textId="6871C4A5" w:rsidR="00E37625" w:rsidRDefault="00417226">
      <w:pPr>
        <w:pStyle w:val="TOC1"/>
        <w:rPr>
          <w:rFonts w:asciiTheme="minorHAnsi" w:eastAsiaTheme="minorEastAsia" w:hAnsiTheme="minorHAnsi" w:cstheme="minorBidi"/>
          <w:b w:val="0"/>
          <w:sz w:val="22"/>
          <w:szCs w:val="22"/>
          <w:lang w:val="en-US"/>
        </w:rPr>
      </w:pPr>
      <w:hyperlink w:anchor="_Toc24287403" w:history="1">
        <w:r w:rsidR="00E37625" w:rsidRPr="00173D21">
          <w:rPr>
            <w:rStyle w:val="Hyperlink"/>
          </w:rPr>
          <w:t>Abbreviations, acronyms and definitions</w:t>
        </w:r>
        <w:r w:rsidR="00E37625">
          <w:rPr>
            <w:webHidden/>
          </w:rPr>
          <w:tab/>
        </w:r>
        <w:r w:rsidR="00E37625">
          <w:rPr>
            <w:webHidden/>
          </w:rPr>
          <w:fldChar w:fldCharType="begin"/>
        </w:r>
        <w:r w:rsidR="00E37625">
          <w:rPr>
            <w:webHidden/>
          </w:rPr>
          <w:instrText xml:space="preserve"> PAGEREF _Toc24287403 \h </w:instrText>
        </w:r>
        <w:r w:rsidR="00E37625">
          <w:rPr>
            <w:webHidden/>
          </w:rPr>
        </w:r>
        <w:r w:rsidR="00E37625">
          <w:rPr>
            <w:webHidden/>
          </w:rPr>
          <w:fldChar w:fldCharType="separate"/>
        </w:r>
        <w:r w:rsidR="00E37625">
          <w:rPr>
            <w:webHidden/>
          </w:rPr>
          <w:t>8</w:t>
        </w:r>
        <w:r w:rsidR="00E37625">
          <w:rPr>
            <w:webHidden/>
          </w:rPr>
          <w:fldChar w:fldCharType="end"/>
        </w:r>
      </w:hyperlink>
    </w:p>
    <w:p w14:paraId="254EDC56" w14:textId="12A170B4" w:rsidR="00E37625" w:rsidRDefault="00417226">
      <w:pPr>
        <w:pStyle w:val="TOC1"/>
        <w:rPr>
          <w:rFonts w:asciiTheme="minorHAnsi" w:eastAsiaTheme="minorEastAsia" w:hAnsiTheme="minorHAnsi" w:cstheme="minorBidi"/>
          <w:b w:val="0"/>
          <w:sz w:val="22"/>
          <w:szCs w:val="22"/>
          <w:lang w:val="en-US"/>
        </w:rPr>
      </w:pPr>
      <w:hyperlink w:anchor="_Toc24287404" w:history="1">
        <w:r w:rsidR="00E37625" w:rsidRPr="00173D21">
          <w:rPr>
            <w:rStyle w:val="Hyperlink"/>
          </w:rPr>
          <w:t>Executive summary</w:t>
        </w:r>
        <w:r w:rsidR="00E37625">
          <w:rPr>
            <w:webHidden/>
          </w:rPr>
          <w:tab/>
        </w:r>
        <w:r w:rsidR="00E37625">
          <w:rPr>
            <w:webHidden/>
          </w:rPr>
          <w:fldChar w:fldCharType="begin"/>
        </w:r>
        <w:r w:rsidR="00E37625">
          <w:rPr>
            <w:webHidden/>
          </w:rPr>
          <w:instrText xml:space="preserve"> PAGEREF _Toc24287404 \h </w:instrText>
        </w:r>
        <w:r w:rsidR="00E37625">
          <w:rPr>
            <w:webHidden/>
          </w:rPr>
        </w:r>
        <w:r w:rsidR="00E37625">
          <w:rPr>
            <w:webHidden/>
          </w:rPr>
          <w:fldChar w:fldCharType="separate"/>
        </w:r>
        <w:r w:rsidR="00E37625">
          <w:rPr>
            <w:webHidden/>
          </w:rPr>
          <w:t>10</w:t>
        </w:r>
        <w:r w:rsidR="00E37625">
          <w:rPr>
            <w:webHidden/>
          </w:rPr>
          <w:fldChar w:fldCharType="end"/>
        </w:r>
      </w:hyperlink>
    </w:p>
    <w:p w14:paraId="5D67A1BD" w14:textId="2BDEA6C9" w:rsidR="00E37625" w:rsidRDefault="00417226">
      <w:pPr>
        <w:pStyle w:val="TOC1"/>
        <w:rPr>
          <w:rFonts w:asciiTheme="minorHAnsi" w:eastAsiaTheme="minorEastAsia" w:hAnsiTheme="minorHAnsi" w:cstheme="minorBidi"/>
          <w:b w:val="0"/>
          <w:sz w:val="22"/>
          <w:szCs w:val="22"/>
          <w:lang w:val="en-US"/>
        </w:rPr>
      </w:pPr>
      <w:hyperlink w:anchor="_Toc24287405" w:history="1">
        <w:r w:rsidR="00E37625" w:rsidRPr="00173D21">
          <w:rPr>
            <w:rStyle w:val="Hyperlink"/>
          </w:rPr>
          <w:t>Key messages and recommendations</w:t>
        </w:r>
        <w:r w:rsidR="00E37625">
          <w:rPr>
            <w:webHidden/>
          </w:rPr>
          <w:tab/>
        </w:r>
        <w:r w:rsidR="00E37625">
          <w:rPr>
            <w:webHidden/>
          </w:rPr>
          <w:fldChar w:fldCharType="begin"/>
        </w:r>
        <w:r w:rsidR="00E37625">
          <w:rPr>
            <w:webHidden/>
          </w:rPr>
          <w:instrText xml:space="preserve"> PAGEREF _Toc24287405 \h </w:instrText>
        </w:r>
        <w:r w:rsidR="00E37625">
          <w:rPr>
            <w:webHidden/>
          </w:rPr>
        </w:r>
        <w:r w:rsidR="00E37625">
          <w:rPr>
            <w:webHidden/>
          </w:rPr>
          <w:fldChar w:fldCharType="separate"/>
        </w:r>
        <w:r w:rsidR="00E37625">
          <w:rPr>
            <w:webHidden/>
          </w:rPr>
          <w:t>11</w:t>
        </w:r>
        <w:r w:rsidR="00E37625">
          <w:rPr>
            <w:webHidden/>
          </w:rPr>
          <w:fldChar w:fldCharType="end"/>
        </w:r>
      </w:hyperlink>
    </w:p>
    <w:p w14:paraId="6BB4A8F9" w14:textId="15FD7B74" w:rsidR="00E37625" w:rsidRDefault="00417226">
      <w:pPr>
        <w:pStyle w:val="TOC2"/>
        <w:rPr>
          <w:rFonts w:asciiTheme="minorHAnsi" w:eastAsiaTheme="minorEastAsia" w:hAnsiTheme="minorHAnsi" w:cstheme="minorBidi"/>
          <w:sz w:val="22"/>
          <w:szCs w:val="22"/>
          <w:lang w:val="en-US"/>
        </w:rPr>
      </w:pPr>
      <w:hyperlink w:anchor="_Toc24287406" w:history="1">
        <w:r w:rsidR="00E37625" w:rsidRPr="00173D21">
          <w:rPr>
            <w:rStyle w:val="Hyperlink"/>
          </w:rPr>
          <w:t>Clinical</w:t>
        </w:r>
        <w:r w:rsidR="00E37625">
          <w:rPr>
            <w:webHidden/>
          </w:rPr>
          <w:tab/>
        </w:r>
        <w:r w:rsidR="00E37625">
          <w:rPr>
            <w:webHidden/>
          </w:rPr>
          <w:fldChar w:fldCharType="begin"/>
        </w:r>
        <w:r w:rsidR="00E37625">
          <w:rPr>
            <w:webHidden/>
          </w:rPr>
          <w:instrText xml:space="preserve"> PAGEREF _Toc24287406 \h </w:instrText>
        </w:r>
        <w:r w:rsidR="00E37625">
          <w:rPr>
            <w:webHidden/>
          </w:rPr>
        </w:r>
        <w:r w:rsidR="00E37625">
          <w:rPr>
            <w:webHidden/>
          </w:rPr>
          <w:fldChar w:fldCharType="separate"/>
        </w:r>
        <w:r w:rsidR="00E37625">
          <w:rPr>
            <w:webHidden/>
          </w:rPr>
          <w:t>11</w:t>
        </w:r>
        <w:r w:rsidR="00E37625">
          <w:rPr>
            <w:webHidden/>
          </w:rPr>
          <w:fldChar w:fldCharType="end"/>
        </w:r>
      </w:hyperlink>
    </w:p>
    <w:p w14:paraId="0CC34615" w14:textId="519962B0" w:rsidR="00E37625" w:rsidRDefault="00417226">
      <w:pPr>
        <w:pStyle w:val="TOC2"/>
        <w:rPr>
          <w:rFonts w:asciiTheme="minorHAnsi" w:eastAsiaTheme="minorEastAsia" w:hAnsiTheme="minorHAnsi" w:cstheme="minorBidi"/>
          <w:sz w:val="22"/>
          <w:szCs w:val="22"/>
          <w:lang w:val="en-US"/>
        </w:rPr>
      </w:pPr>
      <w:hyperlink w:anchor="_Toc24287407" w:history="1">
        <w:r w:rsidR="00E37625" w:rsidRPr="00173D21">
          <w:rPr>
            <w:rStyle w:val="Hyperlink"/>
          </w:rPr>
          <w:t>Procedural</w:t>
        </w:r>
        <w:r w:rsidR="00E37625">
          <w:rPr>
            <w:webHidden/>
          </w:rPr>
          <w:tab/>
        </w:r>
        <w:r w:rsidR="00E37625">
          <w:rPr>
            <w:webHidden/>
          </w:rPr>
          <w:fldChar w:fldCharType="begin"/>
        </w:r>
        <w:r w:rsidR="00E37625">
          <w:rPr>
            <w:webHidden/>
          </w:rPr>
          <w:instrText xml:space="preserve"> PAGEREF _Toc24287407 \h </w:instrText>
        </w:r>
        <w:r w:rsidR="00E37625">
          <w:rPr>
            <w:webHidden/>
          </w:rPr>
        </w:r>
        <w:r w:rsidR="00E37625">
          <w:rPr>
            <w:webHidden/>
          </w:rPr>
          <w:fldChar w:fldCharType="separate"/>
        </w:r>
        <w:r w:rsidR="00E37625">
          <w:rPr>
            <w:webHidden/>
          </w:rPr>
          <w:t>11</w:t>
        </w:r>
        <w:r w:rsidR="00E37625">
          <w:rPr>
            <w:webHidden/>
          </w:rPr>
          <w:fldChar w:fldCharType="end"/>
        </w:r>
      </w:hyperlink>
    </w:p>
    <w:p w14:paraId="3A643D37" w14:textId="39549AA9" w:rsidR="00E37625" w:rsidRDefault="00417226">
      <w:pPr>
        <w:pStyle w:val="TOC3"/>
        <w:rPr>
          <w:rFonts w:asciiTheme="minorHAnsi" w:eastAsiaTheme="minorEastAsia" w:hAnsiTheme="minorHAnsi" w:cstheme="minorBidi"/>
          <w:noProof/>
          <w:sz w:val="22"/>
          <w:szCs w:val="22"/>
          <w:lang w:val="en-US"/>
        </w:rPr>
      </w:pPr>
      <w:hyperlink w:anchor="_Toc24287408" w:history="1">
        <w:r w:rsidR="00E37625" w:rsidRPr="00173D21">
          <w:rPr>
            <w:rStyle w:val="Hyperlink"/>
            <w:noProof/>
          </w:rPr>
          <w:t>Key messages from SHOT 2017</w:t>
        </w:r>
        <w:r w:rsidR="00E37625">
          <w:rPr>
            <w:noProof/>
            <w:webHidden/>
          </w:rPr>
          <w:tab/>
        </w:r>
        <w:r w:rsidR="00E37625">
          <w:rPr>
            <w:noProof/>
            <w:webHidden/>
          </w:rPr>
          <w:fldChar w:fldCharType="begin"/>
        </w:r>
        <w:r w:rsidR="00E37625">
          <w:rPr>
            <w:noProof/>
            <w:webHidden/>
          </w:rPr>
          <w:instrText xml:space="preserve"> PAGEREF _Toc24287408 \h </w:instrText>
        </w:r>
        <w:r w:rsidR="00E37625">
          <w:rPr>
            <w:noProof/>
            <w:webHidden/>
          </w:rPr>
        </w:r>
        <w:r w:rsidR="00E37625">
          <w:rPr>
            <w:noProof/>
            <w:webHidden/>
          </w:rPr>
          <w:fldChar w:fldCharType="separate"/>
        </w:r>
        <w:r w:rsidR="00E37625">
          <w:rPr>
            <w:noProof/>
            <w:webHidden/>
          </w:rPr>
          <w:t>11</w:t>
        </w:r>
        <w:r w:rsidR="00E37625">
          <w:rPr>
            <w:noProof/>
            <w:webHidden/>
          </w:rPr>
          <w:fldChar w:fldCharType="end"/>
        </w:r>
      </w:hyperlink>
    </w:p>
    <w:p w14:paraId="328D398D" w14:textId="6AA5F1B4" w:rsidR="00E37625" w:rsidRDefault="00417226">
      <w:pPr>
        <w:pStyle w:val="TOC1"/>
        <w:rPr>
          <w:rFonts w:asciiTheme="minorHAnsi" w:eastAsiaTheme="minorEastAsia" w:hAnsiTheme="minorHAnsi" w:cstheme="minorBidi"/>
          <w:b w:val="0"/>
          <w:sz w:val="22"/>
          <w:szCs w:val="22"/>
          <w:lang w:val="en-US"/>
        </w:rPr>
      </w:pPr>
      <w:hyperlink w:anchor="_Toc24287409" w:history="1">
        <w:r w:rsidR="00E37625" w:rsidRPr="00173D21">
          <w:rPr>
            <w:rStyle w:val="Hyperlink"/>
          </w:rPr>
          <w:t>Introduction</w:t>
        </w:r>
        <w:r w:rsidR="00E37625">
          <w:rPr>
            <w:webHidden/>
          </w:rPr>
          <w:tab/>
        </w:r>
        <w:r w:rsidR="00E37625">
          <w:rPr>
            <w:webHidden/>
          </w:rPr>
          <w:fldChar w:fldCharType="begin"/>
        </w:r>
        <w:r w:rsidR="00E37625">
          <w:rPr>
            <w:webHidden/>
          </w:rPr>
          <w:instrText xml:space="preserve"> PAGEREF _Toc24287409 \h </w:instrText>
        </w:r>
        <w:r w:rsidR="00E37625">
          <w:rPr>
            <w:webHidden/>
          </w:rPr>
        </w:r>
        <w:r w:rsidR="00E37625">
          <w:rPr>
            <w:webHidden/>
          </w:rPr>
          <w:fldChar w:fldCharType="separate"/>
        </w:r>
        <w:r w:rsidR="00E37625">
          <w:rPr>
            <w:webHidden/>
          </w:rPr>
          <w:t>12</w:t>
        </w:r>
        <w:r w:rsidR="00E37625">
          <w:rPr>
            <w:webHidden/>
          </w:rPr>
          <w:fldChar w:fldCharType="end"/>
        </w:r>
      </w:hyperlink>
    </w:p>
    <w:p w14:paraId="6EE5B681" w14:textId="4F889151" w:rsidR="00E37625" w:rsidRDefault="00417226">
      <w:pPr>
        <w:pStyle w:val="TOC1"/>
        <w:rPr>
          <w:rFonts w:asciiTheme="minorHAnsi" w:eastAsiaTheme="minorEastAsia" w:hAnsiTheme="minorHAnsi" w:cstheme="minorBidi"/>
          <w:b w:val="0"/>
          <w:sz w:val="22"/>
          <w:szCs w:val="22"/>
          <w:lang w:val="en-US"/>
        </w:rPr>
      </w:pPr>
      <w:hyperlink w:anchor="_Toc24287410" w:history="1">
        <w:r w:rsidR="00E37625" w:rsidRPr="00173D21">
          <w:rPr>
            <w:rStyle w:val="Hyperlink"/>
          </w:rPr>
          <w:t>Method</w:t>
        </w:r>
        <w:r w:rsidR="00E37625">
          <w:rPr>
            <w:webHidden/>
          </w:rPr>
          <w:tab/>
        </w:r>
        <w:r w:rsidR="00E37625">
          <w:rPr>
            <w:webHidden/>
          </w:rPr>
          <w:fldChar w:fldCharType="begin"/>
        </w:r>
        <w:r w:rsidR="00E37625">
          <w:rPr>
            <w:webHidden/>
          </w:rPr>
          <w:instrText xml:space="preserve"> PAGEREF _Toc24287410 \h </w:instrText>
        </w:r>
        <w:r w:rsidR="00E37625">
          <w:rPr>
            <w:webHidden/>
          </w:rPr>
        </w:r>
        <w:r w:rsidR="00E37625">
          <w:rPr>
            <w:webHidden/>
          </w:rPr>
          <w:fldChar w:fldCharType="separate"/>
        </w:r>
        <w:r w:rsidR="00E37625">
          <w:rPr>
            <w:webHidden/>
          </w:rPr>
          <w:t>14</w:t>
        </w:r>
        <w:r w:rsidR="00E37625">
          <w:rPr>
            <w:webHidden/>
          </w:rPr>
          <w:fldChar w:fldCharType="end"/>
        </w:r>
      </w:hyperlink>
    </w:p>
    <w:p w14:paraId="7D975C5C" w14:textId="27833292" w:rsidR="00E37625" w:rsidRDefault="00417226">
      <w:pPr>
        <w:pStyle w:val="TOC1"/>
        <w:rPr>
          <w:rFonts w:asciiTheme="minorHAnsi" w:eastAsiaTheme="minorEastAsia" w:hAnsiTheme="minorHAnsi" w:cstheme="minorBidi"/>
          <w:b w:val="0"/>
          <w:sz w:val="22"/>
          <w:szCs w:val="22"/>
          <w:lang w:val="en-US"/>
        </w:rPr>
      </w:pPr>
      <w:hyperlink w:anchor="_Toc24287411" w:history="1">
        <w:r w:rsidR="00E37625" w:rsidRPr="00173D21">
          <w:rPr>
            <w:rStyle w:val="Hyperlink"/>
          </w:rPr>
          <w:t>Withdrawn reports</w:t>
        </w:r>
        <w:r w:rsidR="00E37625">
          <w:rPr>
            <w:webHidden/>
          </w:rPr>
          <w:tab/>
        </w:r>
        <w:r w:rsidR="00E37625">
          <w:rPr>
            <w:webHidden/>
          </w:rPr>
          <w:fldChar w:fldCharType="begin"/>
        </w:r>
        <w:r w:rsidR="00E37625">
          <w:rPr>
            <w:webHidden/>
          </w:rPr>
          <w:instrText xml:space="preserve"> PAGEREF _Toc24287411 \h </w:instrText>
        </w:r>
        <w:r w:rsidR="00E37625">
          <w:rPr>
            <w:webHidden/>
          </w:rPr>
        </w:r>
        <w:r w:rsidR="00E37625">
          <w:rPr>
            <w:webHidden/>
          </w:rPr>
          <w:fldChar w:fldCharType="separate"/>
        </w:r>
        <w:r w:rsidR="00E37625">
          <w:rPr>
            <w:webHidden/>
          </w:rPr>
          <w:t>15</w:t>
        </w:r>
        <w:r w:rsidR="00E37625">
          <w:rPr>
            <w:webHidden/>
          </w:rPr>
          <w:fldChar w:fldCharType="end"/>
        </w:r>
      </w:hyperlink>
    </w:p>
    <w:p w14:paraId="32BF2C09" w14:textId="3E35F926" w:rsidR="00E37625" w:rsidRDefault="00417226">
      <w:pPr>
        <w:pStyle w:val="TOC1"/>
        <w:rPr>
          <w:rFonts w:asciiTheme="minorHAnsi" w:eastAsiaTheme="minorEastAsia" w:hAnsiTheme="minorHAnsi" w:cstheme="minorBidi"/>
          <w:b w:val="0"/>
          <w:sz w:val="22"/>
          <w:szCs w:val="22"/>
          <w:lang w:val="en-US"/>
        </w:rPr>
      </w:pPr>
      <w:hyperlink w:anchor="_Toc24287412" w:history="1">
        <w:r w:rsidR="00E37625" w:rsidRPr="00173D21">
          <w:rPr>
            <w:rStyle w:val="Hyperlink"/>
          </w:rPr>
          <w:t>Validation</w:t>
        </w:r>
        <w:r w:rsidR="00E37625">
          <w:rPr>
            <w:webHidden/>
          </w:rPr>
          <w:tab/>
        </w:r>
        <w:r w:rsidR="00E37625">
          <w:rPr>
            <w:webHidden/>
          </w:rPr>
          <w:fldChar w:fldCharType="begin"/>
        </w:r>
        <w:r w:rsidR="00E37625">
          <w:rPr>
            <w:webHidden/>
          </w:rPr>
          <w:instrText xml:space="preserve"> PAGEREF _Toc24287412 \h </w:instrText>
        </w:r>
        <w:r w:rsidR="00E37625">
          <w:rPr>
            <w:webHidden/>
          </w:rPr>
        </w:r>
        <w:r w:rsidR="00E37625">
          <w:rPr>
            <w:webHidden/>
          </w:rPr>
          <w:fldChar w:fldCharType="separate"/>
        </w:r>
        <w:r w:rsidR="00E37625">
          <w:rPr>
            <w:webHidden/>
          </w:rPr>
          <w:t>16</w:t>
        </w:r>
        <w:r w:rsidR="00E37625">
          <w:rPr>
            <w:webHidden/>
          </w:rPr>
          <w:fldChar w:fldCharType="end"/>
        </w:r>
      </w:hyperlink>
    </w:p>
    <w:p w14:paraId="6B091D6C" w14:textId="6D78E22A" w:rsidR="00E37625" w:rsidRDefault="00417226">
      <w:pPr>
        <w:pStyle w:val="TOC1"/>
        <w:rPr>
          <w:rFonts w:asciiTheme="minorHAnsi" w:eastAsiaTheme="minorEastAsia" w:hAnsiTheme="minorHAnsi" w:cstheme="minorBidi"/>
          <w:b w:val="0"/>
          <w:sz w:val="22"/>
          <w:szCs w:val="22"/>
          <w:lang w:val="en-US"/>
        </w:rPr>
      </w:pPr>
      <w:hyperlink w:anchor="_Toc24287413" w:history="1">
        <w:r w:rsidR="00E37625" w:rsidRPr="00173D21">
          <w:rPr>
            <w:rStyle w:val="Hyperlink"/>
          </w:rPr>
          <w:t>Demographics</w:t>
        </w:r>
        <w:r w:rsidR="00E37625">
          <w:rPr>
            <w:webHidden/>
          </w:rPr>
          <w:tab/>
        </w:r>
        <w:r w:rsidR="00E37625">
          <w:rPr>
            <w:webHidden/>
          </w:rPr>
          <w:fldChar w:fldCharType="begin"/>
        </w:r>
        <w:r w:rsidR="00E37625">
          <w:rPr>
            <w:webHidden/>
          </w:rPr>
          <w:instrText xml:space="preserve"> PAGEREF _Toc24287413 \h </w:instrText>
        </w:r>
        <w:r w:rsidR="00E37625">
          <w:rPr>
            <w:webHidden/>
          </w:rPr>
        </w:r>
        <w:r w:rsidR="00E37625">
          <w:rPr>
            <w:webHidden/>
          </w:rPr>
          <w:fldChar w:fldCharType="separate"/>
        </w:r>
        <w:r w:rsidR="00E37625">
          <w:rPr>
            <w:webHidden/>
          </w:rPr>
          <w:t>18</w:t>
        </w:r>
        <w:r w:rsidR="00E37625">
          <w:rPr>
            <w:webHidden/>
          </w:rPr>
          <w:fldChar w:fldCharType="end"/>
        </w:r>
      </w:hyperlink>
    </w:p>
    <w:p w14:paraId="57BAB55D" w14:textId="21626BA1" w:rsidR="00E37625" w:rsidRDefault="00417226">
      <w:pPr>
        <w:pStyle w:val="TOC2"/>
        <w:rPr>
          <w:rFonts w:asciiTheme="minorHAnsi" w:eastAsiaTheme="minorEastAsia" w:hAnsiTheme="minorHAnsi" w:cstheme="minorBidi"/>
          <w:sz w:val="22"/>
          <w:szCs w:val="22"/>
          <w:lang w:val="en-US"/>
        </w:rPr>
      </w:pPr>
      <w:hyperlink w:anchor="_Toc24287414" w:history="1">
        <w:r w:rsidR="00E37625" w:rsidRPr="00173D21">
          <w:rPr>
            <w:rStyle w:val="Hyperlink"/>
          </w:rPr>
          <w:t>Timing of transfusion</w:t>
        </w:r>
        <w:r w:rsidR="00E37625">
          <w:rPr>
            <w:webHidden/>
          </w:rPr>
          <w:tab/>
        </w:r>
        <w:r w:rsidR="00E37625">
          <w:rPr>
            <w:webHidden/>
          </w:rPr>
          <w:fldChar w:fldCharType="begin"/>
        </w:r>
        <w:r w:rsidR="00E37625">
          <w:rPr>
            <w:webHidden/>
          </w:rPr>
          <w:instrText xml:space="preserve"> PAGEREF _Toc24287414 \h </w:instrText>
        </w:r>
        <w:r w:rsidR="00E37625">
          <w:rPr>
            <w:webHidden/>
          </w:rPr>
        </w:r>
        <w:r w:rsidR="00E37625">
          <w:rPr>
            <w:webHidden/>
          </w:rPr>
          <w:fldChar w:fldCharType="separate"/>
        </w:r>
        <w:r w:rsidR="00E37625">
          <w:rPr>
            <w:webHidden/>
          </w:rPr>
          <w:t>19</w:t>
        </w:r>
        <w:r w:rsidR="00E37625">
          <w:rPr>
            <w:webHidden/>
          </w:rPr>
          <w:fldChar w:fldCharType="end"/>
        </w:r>
      </w:hyperlink>
    </w:p>
    <w:p w14:paraId="30CC97D0" w14:textId="2A4F9EBB" w:rsidR="00E37625" w:rsidRDefault="00417226">
      <w:pPr>
        <w:pStyle w:val="TOC2"/>
        <w:rPr>
          <w:rFonts w:asciiTheme="minorHAnsi" w:eastAsiaTheme="minorEastAsia" w:hAnsiTheme="minorHAnsi" w:cstheme="minorBidi"/>
          <w:sz w:val="22"/>
          <w:szCs w:val="22"/>
          <w:lang w:val="en-US"/>
        </w:rPr>
      </w:pPr>
      <w:hyperlink w:anchor="_Toc24287415" w:history="1">
        <w:r w:rsidR="00E37625" w:rsidRPr="00173D21">
          <w:rPr>
            <w:rStyle w:val="Hyperlink"/>
          </w:rPr>
          <w:t>Health service review of incidents/reactions</w:t>
        </w:r>
        <w:r w:rsidR="00E37625">
          <w:rPr>
            <w:webHidden/>
          </w:rPr>
          <w:tab/>
        </w:r>
        <w:r w:rsidR="00E37625">
          <w:rPr>
            <w:webHidden/>
          </w:rPr>
          <w:fldChar w:fldCharType="begin"/>
        </w:r>
        <w:r w:rsidR="00E37625">
          <w:rPr>
            <w:webHidden/>
          </w:rPr>
          <w:instrText xml:space="preserve"> PAGEREF _Toc24287415 \h </w:instrText>
        </w:r>
        <w:r w:rsidR="00E37625">
          <w:rPr>
            <w:webHidden/>
          </w:rPr>
        </w:r>
        <w:r w:rsidR="00E37625">
          <w:rPr>
            <w:webHidden/>
          </w:rPr>
          <w:fldChar w:fldCharType="separate"/>
        </w:r>
        <w:r w:rsidR="00E37625">
          <w:rPr>
            <w:webHidden/>
          </w:rPr>
          <w:t>19</w:t>
        </w:r>
        <w:r w:rsidR="00E37625">
          <w:rPr>
            <w:webHidden/>
          </w:rPr>
          <w:fldChar w:fldCharType="end"/>
        </w:r>
      </w:hyperlink>
    </w:p>
    <w:p w14:paraId="33E8D709" w14:textId="52EC58CA" w:rsidR="00E37625" w:rsidRDefault="00417226">
      <w:pPr>
        <w:pStyle w:val="TOC1"/>
        <w:rPr>
          <w:rFonts w:asciiTheme="minorHAnsi" w:eastAsiaTheme="minorEastAsia" w:hAnsiTheme="minorHAnsi" w:cstheme="minorBidi"/>
          <w:b w:val="0"/>
          <w:sz w:val="22"/>
          <w:szCs w:val="22"/>
          <w:lang w:val="en-US"/>
        </w:rPr>
      </w:pPr>
      <w:hyperlink w:anchor="_Toc24287416" w:history="1">
        <w:r w:rsidR="00E37625" w:rsidRPr="00173D21">
          <w:rPr>
            <w:rStyle w:val="Hyperlink"/>
          </w:rPr>
          <w:t>Clinical reports</w:t>
        </w:r>
        <w:r w:rsidR="00E37625">
          <w:rPr>
            <w:webHidden/>
          </w:rPr>
          <w:tab/>
        </w:r>
        <w:r w:rsidR="00E37625">
          <w:rPr>
            <w:webHidden/>
          </w:rPr>
          <w:fldChar w:fldCharType="begin"/>
        </w:r>
        <w:r w:rsidR="00E37625">
          <w:rPr>
            <w:webHidden/>
          </w:rPr>
          <w:instrText xml:space="preserve"> PAGEREF _Toc24287416 \h </w:instrText>
        </w:r>
        <w:r w:rsidR="00E37625">
          <w:rPr>
            <w:webHidden/>
          </w:rPr>
        </w:r>
        <w:r w:rsidR="00E37625">
          <w:rPr>
            <w:webHidden/>
          </w:rPr>
          <w:fldChar w:fldCharType="separate"/>
        </w:r>
        <w:r w:rsidR="00E37625">
          <w:rPr>
            <w:webHidden/>
          </w:rPr>
          <w:t>21</w:t>
        </w:r>
        <w:r w:rsidR="00E37625">
          <w:rPr>
            <w:webHidden/>
          </w:rPr>
          <w:fldChar w:fldCharType="end"/>
        </w:r>
      </w:hyperlink>
    </w:p>
    <w:p w14:paraId="068E5142" w14:textId="0F13A150" w:rsidR="00E37625" w:rsidRDefault="00417226">
      <w:pPr>
        <w:pStyle w:val="TOC2"/>
        <w:rPr>
          <w:rFonts w:asciiTheme="minorHAnsi" w:eastAsiaTheme="minorEastAsia" w:hAnsiTheme="minorHAnsi" w:cstheme="minorBidi"/>
          <w:sz w:val="22"/>
          <w:szCs w:val="22"/>
          <w:lang w:val="en-US"/>
        </w:rPr>
      </w:pPr>
      <w:hyperlink w:anchor="_Toc24287417" w:history="1">
        <w:r w:rsidR="00E37625" w:rsidRPr="00173D21">
          <w:rPr>
            <w:rStyle w:val="Hyperlink"/>
          </w:rPr>
          <w:t>FNHTR</w:t>
        </w:r>
        <w:r w:rsidR="00E37625">
          <w:rPr>
            <w:webHidden/>
          </w:rPr>
          <w:tab/>
        </w:r>
        <w:r w:rsidR="00E37625">
          <w:rPr>
            <w:webHidden/>
          </w:rPr>
          <w:fldChar w:fldCharType="begin"/>
        </w:r>
        <w:r w:rsidR="00E37625">
          <w:rPr>
            <w:webHidden/>
          </w:rPr>
          <w:instrText xml:space="preserve"> PAGEREF _Toc24287417 \h </w:instrText>
        </w:r>
        <w:r w:rsidR="00E37625">
          <w:rPr>
            <w:webHidden/>
          </w:rPr>
        </w:r>
        <w:r w:rsidR="00E37625">
          <w:rPr>
            <w:webHidden/>
          </w:rPr>
          <w:fldChar w:fldCharType="separate"/>
        </w:r>
        <w:r w:rsidR="00E37625">
          <w:rPr>
            <w:webHidden/>
          </w:rPr>
          <w:t>21</w:t>
        </w:r>
        <w:r w:rsidR="00E37625">
          <w:rPr>
            <w:webHidden/>
          </w:rPr>
          <w:fldChar w:fldCharType="end"/>
        </w:r>
      </w:hyperlink>
    </w:p>
    <w:p w14:paraId="1CD0146A" w14:textId="1EB8D625" w:rsidR="00E37625" w:rsidRDefault="00417226">
      <w:pPr>
        <w:pStyle w:val="TOC3"/>
        <w:rPr>
          <w:rFonts w:asciiTheme="minorHAnsi" w:eastAsiaTheme="minorEastAsia" w:hAnsiTheme="minorHAnsi" w:cstheme="minorBidi"/>
          <w:noProof/>
          <w:sz w:val="22"/>
          <w:szCs w:val="22"/>
          <w:lang w:val="en-US"/>
        </w:rPr>
      </w:pPr>
      <w:hyperlink w:anchor="_Toc24287418" w:history="1">
        <w:r w:rsidR="00E37625" w:rsidRPr="00173D21">
          <w:rPr>
            <w:rStyle w:val="Hyperlink"/>
            <w:noProof/>
          </w:rPr>
          <w:t>Case study 1: ATR – FNHTR in patient with history of reactions</w:t>
        </w:r>
        <w:r w:rsidR="00E37625">
          <w:rPr>
            <w:noProof/>
            <w:webHidden/>
          </w:rPr>
          <w:tab/>
        </w:r>
        <w:r w:rsidR="00E37625">
          <w:rPr>
            <w:noProof/>
            <w:webHidden/>
          </w:rPr>
          <w:fldChar w:fldCharType="begin"/>
        </w:r>
        <w:r w:rsidR="00E37625">
          <w:rPr>
            <w:noProof/>
            <w:webHidden/>
          </w:rPr>
          <w:instrText xml:space="preserve"> PAGEREF _Toc24287418 \h </w:instrText>
        </w:r>
        <w:r w:rsidR="00E37625">
          <w:rPr>
            <w:noProof/>
            <w:webHidden/>
          </w:rPr>
        </w:r>
        <w:r w:rsidR="00E37625">
          <w:rPr>
            <w:noProof/>
            <w:webHidden/>
          </w:rPr>
          <w:fldChar w:fldCharType="separate"/>
        </w:r>
        <w:r w:rsidR="00E37625">
          <w:rPr>
            <w:noProof/>
            <w:webHidden/>
          </w:rPr>
          <w:t>22</w:t>
        </w:r>
        <w:r w:rsidR="00E37625">
          <w:rPr>
            <w:noProof/>
            <w:webHidden/>
          </w:rPr>
          <w:fldChar w:fldCharType="end"/>
        </w:r>
      </w:hyperlink>
    </w:p>
    <w:p w14:paraId="75ABEC43" w14:textId="4F0CB246" w:rsidR="00E37625" w:rsidRDefault="00417226">
      <w:pPr>
        <w:pStyle w:val="TOC2"/>
        <w:rPr>
          <w:rFonts w:asciiTheme="minorHAnsi" w:eastAsiaTheme="minorEastAsia" w:hAnsiTheme="minorHAnsi" w:cstheme="minorBidi"/>
          <w:sz w:val="22"/>
          <w:szCs w:val="22"/>
          <w:lang w:val="en-US"/>
        </w:rPr>
      </w:pPr>
      <w:hyperlink w:anchor="_Toc24287419" w:history="1">
        <w:r w:rsidR="00E37625" w:rsidRPr="00173D21">
          <w:rPr>
            <w:rStyle w:val="Hyperlink"/>
          </w:rPr>
          <w:t>Allergic, including anaphylaxis</w:t>
        </w:r>
        <w:r w:rsidR="00E37625">
          <w:rPr>
            <w:webHidden/>
          </w:rPr>
          <w:tab/>
        </w:r>
        <w:r w:rsidR="00E37625">
          <w:rPr>
            <w:webHidden/>
          </w:rPr>
          <w:fldChar w:fldCharType="begin"/>
        </w:r>
        <w:r w:rsidR="00E37625">
          <w:rPr>
            <w:webHidden/>
          </w:rPr>
          <w:instrText xml:space="preserve"> PAGEREF _Toc24287419 \h </w:instrText>
        </w:r>
        <w:r w:rsidR="00E37625">
          <w:rPr>
            <w:webHidden/>
          </w:rPr>
        </w:r>
        <w:r w:rsidR="00E37625">
          <w:rPr>
            <w:webHidden/>
          </w:rPr>
          <w:fldChar w:fldCharType="separate"/>
        </w:r>
        <w:r w:rsidR="00E37625">
          <w:rPr>
            <w:webHidden/>
          </w:rPr>
          <w:t>23</w:t>
        </w:r>
        <w:r w:rsidR="00E37625">
          <w:rPr>
            <w:webHidden/>
          </w:rPr>
          <w:fldChar w:fldCharType="end"/>
        </w:r>
      </w:hyperlink>
    </w:p>
    <w:p w14:paraId="5F93CAA9" w14:textId="67E1541C" w:rsidR="00E37625" w:rsidRDefault="00417226">
      <w:pPr>
        <w:pStyle w:val="TOC3"/>
        <w:rPr>
          <w:rFonts w:asciiTheme="minorHAnsi" w:eastAsiaTheme="minorEastAsia" w:hAnsiTheme="minorHAnsi" w:cstheme="minorBidi"/>
          <w:noProof/>
          <w:sz w:val="22"/>
          <w:szCs w:val="22"/>
          <w:lang w:val="en-US"/>
        </w:rPr>
      </w:pPr>
      <w:hyperlink w:anchor="_Toc24287420" w:history="1">
        <w:r w:rsidR="00E37625" w:rsidRPr="00173D21">
          <w:rPr>
            <w:rStyle w:val="Hyperlink"/>
            <w:noProof/>
          </w:rPr>
          <w:t>Case study 2: ATR – allergic reaction in outpatient area</w:t>
        </w:r>
        <w:r w:rsidR="00E37625">
          <w:rPr>
            <w:noProof/>
            <w:webHidden/>
          </w:rPr>
          <w:tab/>
        </w:r>
        <w:r w:rsidR="00E37625">
          <w:rPr>
            <w:noProof/>
            <w:webHidden/>
          </w:rPr>
          <w:fldChar w:fldCharType="begin"/>
        </w:r>
        <w:r w:rsidR="00E37625">
          <w:rPr>
            <w:noProof/>
            <w:webHidden/>
          </w:rPr>
          <w:instrText xml:space="preserve"> PAGEREF _Toc24287420 \h </w:instrText>
        </w:r>
        <w:r w:rsidR="00E37625">
          <w:rPr>
            <w:noProof/>
            <w:webHidden/>
          </w:rPr>
        </w:r>
        <w:r w:rsidR="00E37625">
          <w:rPr>
            <w:noProof/>
            <w:webHidden/>
          </w:rPr>
          <w:fldChar w:fldCharType="separate"/>
        </w:r>
        <w:r w:rsidR="00E37625">
          <w:rPr>
            <w:noProof/>
            <w:webHidden/>
          </w:rPr>
          <w:t>26</w:t>
        </w:r>
        <w:r w:rsidR="00E37625">
          <w:rPr>
            <w:noProof/>
            <w:webHidden/>
          </w:rPr>
          <w:fldChar w:fldCharType="end"/>
        </w:r>
      </w:hyperlink>
    </w:p>
    <w:p w14:paraId="43D2AD34" w14:textId="5B490EA9" w:rsidR="00E37625" w:rsidRDefault="00417226">
      <w:pPr>
        <w:pStyle w:val="TOC3"/>
        <w:rPr>
          <w:rFonts w:asciiTheme="minorHAnsi" w:eastAsiaTheme="minorEastAsia" w:hAnsiTheme="minorHAnsi" w:cstheme="minorBidi"/>
          <w:noProof/>
          <w:sz w:val="22"/>
          <w:szCs w:val="22"/>
          <w:lang w:val="en-US"/>
        </w:rPr>
      </w:pPr>
      <w:hyperlink w:anchor="_Toc24287421" w:history="1">
        <w:r w:rsidR="00E37625" w:rsidRPr="00173D21">
          <w:rPr>
            <w:rStyle w:val="Hyperlink"/>
            <w:noProof/>
          </w:rPr>
          <w:t>Case study 3: ATR – allergic reaction made worse by continuing the transfusion</w:t>
        </w:r>
        <w:r w:rsidR="00E37625">
          <w:rPr>
            <w:noProof/>
            <w:webHidden/>
          </w:rPr>
          <w:tab/>
        </w:r>
        <w:r w:rsidR="00E37625">
          <w:rPr>
            <w:noProof/>
            <w:webHidden/>
          </w:rPr>
          <w:fldChar w:fldCharType="begin"/>
        </w:r>
        <w:r w:rsidR="00E37625">
          <w:rPr>
            <w:noProof/>
            <w:webHidden/>
          </w:rPr>
          <w:instrText xml:space="preserve"> PAGEREF _Toc24287421 \h </w:instrText>
        </w:r>
        <w:r w:rsidR="00E37625">
          <w:rPr>
            <w:noProof/>
            <w:webHidden/>
          </w:rPr>
        </w:r>
        <w:r w:rsidR="00E37625">
          <w:rPr>
            <w:noProof/>
            <w:webHidden/>
          </w:rPr>
          <w:fldChar w:fldCharType="separate"/>
        </w:r>
        <w:r w:rsidR="00E37625">
          <w:rPr>
            <w:noProof/>
            <w:webHidden/>
          </w:rPr>
          <w:t>26</w:t>
        </w:r>
        <w:r w:rsidR="00E37625">
          <w:rPr>
            <w:noProof/>
            <w:webHidden/>
          </w:rPr>
          <w:fldChar w:fldCharType="end"/>
        </w:r>
      </w:hyperlink>
    </w:p>
    <w:p w14:paraId="044B8EBE" w14:textId="0CEA6C1D" w:rsidR="00E37625" w:rsidRDefault="00417226">
      <w:pPr>
        <w:pStyle w:val="TOC3"/>
        <w:rPr>
          <w:rFonts w:asciiTheme="minorHAnsi" w:eastAsiaTheme="minorEastAsia" w:hAnsiTheme="minorHAnsi" w:cstheme="minorBidi"/>
          <w:noProof/>
          <w:sz w:val="22"/>
          <w:szCs w:val="22"/>
          <w:lang w:val="en-US"/>
        </w:rPr>
      </w:pPr>
      <w:hyperlink w:anchor="_Toc24287422" w:history="1">
        <w:r w:rsidR="00E37625" w:rsidRPr="00173D21">
          <w:rPr>
            <w:rStyle w:val="Hyperlink"/>
            <w:noProof/>
          </w:rPr>
          <w:t>Case study 4: ATR – allergic reaction to FFP in plasma exchange</w:t>
        </w:r>
        <w:r w:rsidR="00E37625">
          <w:rPr>
            <w:noProof/>
            <w:webHidden/>
          </w:rPr>
          <w:tab/>
        </w:r>
        <w:r w:rsidR="00E37625">
          <w:rPr>
            <w:noProof/>
            <w:webHidden/>
          </w:rPr>
          <w:fldChar w:fldCharType="begin"/>
        </w:r>
        <w:r w:rsidR="00E37625">
          <w:rPr>
            <w:noProof/>
            <w:webHidden/>
          </w:rPr>
          <w:instrText xml:space="preserve"> PAGEREF _Toc24287422 \h </w:instrText>
        </w:r>
        <w:r w:rsidR="00E37625">
          <w:rPr>
            <w:noProof/>
            <w:webHidden/>
          </w:rPr>
        </w:r>
        <w:r w:rsidR="00E37625">
          <w:rPr>
            <w:noProof/>
            <w:webHidden/>
          </w:rPr>
          <w:fldChar w:fldCharType="separate"/>
        </w:r>
        <w:r w:rsidR="00E37625">
          <w:rPr>
            <w:noProof/>
            <w:webHidden/>
          </w:rPr>
          <w:t>26</w:t>
        </w:r>
        <w:r w:rsidR="00E37625">
          <w:rPr>
            <w:noProof/>
            <w:webHidden/>
          </w:rPr>
          <w:fldChar w:fldCharType="end"/>
        </w:r>
      </w:hyperlink>
    </w:p>
    <w:p w14:paraId="61AFC33F" w14:textId="126DD3AB" w:rsidR="00E37625" w:rsidRDefault="00417226">
      <w:pPr>
        <w:pStyle w:val="TOC2"/>
        <w:rPr>
          <w:rFonts w:asciiTheme="minorHAnsi" w:eastAsiaTheme="minorEastAsia" w:hAnsiTheme="minorHAnsi" w:cstheme="minorBidi"/>
          <w:sz w:val="22"/>
          <w:szCs w:val="22"/>
          <w:lang w:val="en-US"/>
        </w:rPr>
      </w:pPr>
      <w:hyperlink w:anchor="_Toc24287423" w:history="1">
        <w:r w:rsidR="00E37625" w:rsidRPr="00173D21">
          <w:rPr>
            <w:rStyle w:val="Hyperlink"/>
          </w:rPr>
          <w:t>Acute haemolytic</w:t>
        </w:r>
        <w:r w:rsidR="00E37625">
          <w:rPr>
            <w:webHidden/>
          </w:rPr>
          <w:tab/>
        </w:r>
        <w:r w:rsidR="00E37625">
          <w:rPr>
            <w:webHidden/>
          </w:rPr>
          <w:fldChar w:fldCharType="begin"/>
        </w:r>
        <w:r w:rsidR="00E37625">
          <w:rPr>
            <w:webHidden/>
          </w:rPr>
          <w:instrText xml:space="preserve"> PAGEREF _Toc24287423 \h </w:instrText>
        </w:r>
        <w:r w:rsidR="00E37625">
          <w:rPr>
            <w:webHidden/>
          </w:rPr>
        </w:r>
        <w:r w:rsidR="00E37625">
          <w:rPr>
            <w:webHidden/>
          </w:rPr>
          <w:fldChar w:fldCharType="separate"/>
        </w:r>
        <w:r w:rsidR="00E37625">
          <w:rPr>
            <w:webHidden/>
          </w:rPr>
          <w:t>27</w:t>
        </w:r>
        <w:r w:rsidR="00E37625">
          <w:rPr>
            <w:webHidden/>
          </w:rPr>
          <w:fldChar w:fldCharType="end"/>
        </w:r>
      </w:hyperlink>
    </w:p>
    <w:p w14:paraId="2EE238E1" w14:textId="29B83B87" w:rsidR="00E37625" w:rsidRDefault="00417226">
      <w:pPr>
        <w:pStyle w:val="TOC2"/>
        <w:rPr>
          <w:rFonts w:asciiTheme="minorHAnsi" w:eastAsiaTheme="minorEastAsia" w:hAnsiTheme="minorHAnsi" w:cstheme="minorBidi"/>
          <w:sz w:val="22"/>
          <w:szCs w:val="22"/>
          <w:lang w:val="en-US"/>
        </w:rPr>
      </w:pPr>
      <w:hyperlink w:anchor="_Toc24287424" w:history="1">
        <w:r w:rsidR="00E37625" w:rsidRPr="00173D21">
          <w:rPr>
            <w:rStyle w:val="Hyperlink"/>
          </w:rPr>
          <w:t>Delayed haemolytic</w:t>
        </w:r>
        <w:r w:rsidR="00E37625">
          <w:rPr>
            <w:webHidden/>
          </w:rPr>
          <w:tab/>
        </w:r>
        <w:r w:rsidR="00E37625">
          <w:rPr>
            <w:webHidden/>
          </w:rPr>
          <w:fldChar w:fldCharType="begin"/>
        </w:r>
        <w:r w:rsidR="00E37625">
          <w:rPr>
            <w:webHidden/>
          </w:rPr>
          <w:instrText xml:space="preserve"> PAGEREF _Toc24287424 \h </w:instrText>
        </w:r>
        <w:r w:rsidR="00E37625">
          <w:rPr>
            <w:webHidden/>
          </w:rPr>
        </w:r>
        <w:r w:rsidR="00E37625">
          <w:rPr>
            <w:webHidden/>
          </w:rPr>
          <w:fldChar w:fldCharType="separate"/>
        </w:r>
        <w:r w:rsidR="00E37625">
          <w:rPr>
            <w:webHidden/>
          </w:rPr>
          <w:t>27</w:t>
        </w:r>
        <w:r w:rsidR="00E37625">
          <w:rPr>
            <w:webHidden/>
          </w:rPr>
          <w:fldChar w:fldCharType="end"/>
        </w:r>
      </w:hyperlink>
    </w:p>
    <w:p w14:paraId="37ACE648" w14:textId="460D663D" w:rsidR="00E37625" w:rsidRDefault="00417226">
      <w:pPr>
        <w:pStyle w:val="TOC3"/>
        <w:rPr>
          <w:rFonts w:asciiTheme="minorHAnsi" w:eastAsiaTheme="minorEastAsia" w:hAnsiTheme="minorHAnsi" w:cstheme="minorBidi"/>
          <w:noProof/>
          <w:sz w:val="22"/>
          <w:szCs w:val="22"/>
          <w:lang w:val="en-US"/>
        </w:rPr>
      </w:pPr>
      <w:hyperlink w:anchor="_Toc24287425" w:history="1">
        <w:r w:rsidR="00E37625" w:rsidRPr="00173D21">
          <w:rPr>
            <w:rStyle w:val="Hyperlink"/>
            <w:noProof/>
          </w:rPr>
          <w:t>Case study 5: Delayed Haemolytic – increased length of stay associated with a delayed haemolytic reaction</w:t>
        </w:r>
        <w:r w:rsidR="00E37625">
          <w:rPr>
            <w:noProof/>
            <w:webHidden/>
          </w:rPr>
          <w:tab/>
        </w:r>
        <w:r w:rsidR="00E37625">
          <w:rPr>
            <w:noProof/>
            <w:webHidden/>
          </w:rPr>
          <w:fldChar w:fldCharType="begin"/>
        </w:r>
        <w:r w:rsidR="00E37625">
          <w:rPr>
            <w:noProof/>
            <w:webHidden/>
          </w:rPr>
          <w:instrText xml:space="preserve"> PAGEREF _Toc24287425 \h </w:instrText>
        </w:r>
        <w:r w:rsidR="00E37625">
          <w:rPr>
            <w:noProof/>
            <w:webHidden/>
          </w:rPr>
        </w:r>
        <w:r w:rsidR="00E37625">
          <w:rPr>
            <w:noProof/>
            <w:webHidden/>
          </w:rPr>
          <w:fldChar w:fldCharType="separate"/>
        </w:r>
        <w:r w:rsidR="00E37625">
          <w:rPr>
            <w:noProof/>
            <w:webHidden/>
          </w:rPr>
          <w:t>28</w:t>
        </w:r>
        <w:r w:rsidR="00E37625">
          <w:rPr>
            <w:noProof/>
            <w:webHidden/>
          </w:rPr>
          <w:fldChar w:fldCharType="end"/>
        </w:r>
      </w:hyperlink>
    </w:p>
    <w:p w14:paraId="7F0B2A20" w14:textId="735BDD61" w:rsidR="00E37625" w:rsidRDefault="00417226">
      <w:pPr>
        <w:pStyle w:val="TOC2"/>
        <w:rPr>
          <w:rFonts w:asciiTheme="minorHAnsi" w:eastAsiaTheme="minorEastAsia" w:hAnsiTheme="minorHAnsi" w:cstheme="minorBidi"/>
          <w:sz w:val="22"/>
          <w:szCs w:val="22"/>
          <w:lang w:val="en-US"/>
        </w:rPr>
      </w:pPr>
      <w:hyperlink w:anchor="_Toc24287426" w:history="1">
        <w:r w:rsidR="00E37625" w:rsidRPr="00173D21">
          <w:rPr>
            <w:rStyle w:val="Hyperlink"/>
          </w:rPr>
          <w:t>Delayed serologic</w:t>
        </w:r>
        <w:r w:rsidR="00E37625">
          <w:rPr>
            <w:webHidden/>
          </w:rPr>
          <w:tab/>
        </w:r>
        <w:r w:rsidR="00E37625">
          <w:rPr>
            <w:webHidden/>
          </w:rPr>
          <w:fldChar w:fldCharType="begin"/>
        </w:r>
        <w:r w:rsidR="00E37625">
          <w:rPr>
            <w:webHidden/>
          </w:rPr>
          <w:instrText xml:space="preserve"> PAGEREF _Toc24287426 \h </w:instrText>
        </w:r>
        <w:r w:rsidR="00E37625">
          <w:rPr>
            <w:webHidden/>
          </w:rPr>
        </w:r>
        <w:r w:rsidR="00E37625">
          <w:rPr>
            <w:webHidden/>
          </w:rPr>
          <w:fldChar w:fldCharType="separate"/>
        </w:r>
        <w:r w:rsidR="00E37625">
          <w:rPr>
            <w:webHidden/>
          </w:rPr>
          <w:t>28</w:t>
        </w:r>
        <w:r w:rsidR="00E37625">
          <w:rPr>
            <w:webHidden/>
          </w:rPr>
          <w:fldChar w:fldCharType="end"/>
        </w:r>
      </w:hyperlink>
    </w:p>
    <w:p w14:paraId="6A5C02E3" w14:textId="606F38AA" w:rsidR="00E37625" w:rsidRDefault="00417226">
      <w:pPr>
        <w:pStyle w:val="TOC3"/>
        <w:rPr>
          <w:rFonts w:asciiTheme="minorHAnsi" w:eastAsiaTheme="minorEastAsia" w:hAnsiTheme="minorHAnsi" w:cstheme="minorBidi"/>
          <w:noProof/>
          <w:sz w:val="22"/>
          <w:szCs w:val="22"/>
          <w:lang w:val="en-US"/>
        </w:rPr>
      </w:pPr>
      <w:hyperlink w:anchor="_Toc24287427" w:history="1">
        <w:r w:rsidR="00E37625" w:rsidRPr="00173D21">
          <w:rPr>
            <w:rStyle w:val="Hyperlink"/>
            <w:noProof/>
          </w:rPr>
          <w:t>Case study 6: Delayed serologic – development of anti-K without apparent clinical effect</w:t>
        </w:r>
        <w:r w:rsidR="00E37625">
          <w:rPr>
            <w:noProof/>
            <w:webHidden/>
          </w:rPr>
          <w:tab/>
        </w:r>
        <w:r w:rsidR="00E37625">
          <w:rPr>
            <w:noProof/>
            <w:webHidden/>
          </w:rPr>
          <w:fldChar w:fldCharType="begin"/>
        </w:r>
        <w:r w:rsidR="00E37625">
          <w:rPr>
            <w:noProof/>
            <w:webHidden/>
          </w:rPr>
          <w:instrText xml:space="preserve"> PAGEREF _Toc24287427 \h </w:instrText>
        </w:r>
        <w:r w:rsidR="00E37625">
          <w:rPr>
            <w:noProof/>
            <w:webHidden/>
          </w:rPr>
        </w:r>
        <w:r w:rsidR="00E37625">
          <w:rPr>
            <w:noProof/>
            <w:webHidden/>
          </w:rPr>
          <w:fldChar w:fldCharType="separate"/>
        </w:r>
        <w:r w:rsidR="00E37625">
          <w:rPr>
            <w:noProof/>
            <w:webHidden/>
          </w:rPr>
          <w:t>29</w:t>
        </w:r>
        <w:r w:rsidR="00E37625">
          <w:rPr>
            <w:noProof/>
            <w:webHidden/>
          </w:rPr>
          <w:fldChar w:fldCharType="end"/>
        </w:r>
      </w:hyperlink>
    </w:p>
    <w:p w14:paraId="66E7A2A4" w14:textId="608C068D" w:rsidR="00E37625" w:rsidRDefault="00417226">
      <w:pPr>
        <w:pStyle w:val="TOC2"/>
        <w:rPr>
          <w:rFonts w:asciiTheme="minorHAnsi" w:eastAsiaTheme="minorEastAsia" w:hAnsiTheme="minorHAnsi" w:cstheme="minorBidi"/>
          <w:sz w:val="22"/>
          <w:szCs w:val="22"/>
          <w:lang w:val="en-US"/>
        </w:rPr>
      </w:pPr>
      <w:hyperlink w:anchor="_Toc24287428" w:history="1">
        <w:r w:rsidR="00E37625" w:rsidRPr="00173D21">
          <w:rPr>
            <w:rStyle w:val="Hyperlink"/>
          </w:rPr>
          <w:t>TACO</w:t>
        </w:r>
        <w:r w:rsidR="00E37625">
          <w:rPr>
            <w:webHidden/>
          </w:rPr>
          <w:tab/>
        </w:r>
        <w:r w:rsidR="00E37625">
          <w:rPr>
            <w:webHidden/>
          </w:rPr>
          <w:fldChar w:fldCharType="begin"/>
        </w:r>
        <w:r w:rsidR="00E37625">
          <w:rPr>
            <w:webHidden/>
          </w:rPr>
          <w:instrText xml:space="preserve"> PAGEREF _Toc24287428 \h </w:instrText>
        </w:r>
        <w:r w:rsidR="00E37625">
          <w:rPr>
            <w:webHidden/>
          </w:rPr>
        </w:r>
        <w:r w:rsidR="00E37625">
          <w:rPr>
            <w:webHidden/>
          </w:rPr>
          <w:fldChar w:fldCharType="separate"/>
        </w:r>
        <w:r w:rsidR="00E37625">
          <w:rPr>
            <w:webHidden/>
          </w:rPr>
          <w:t>29</w:t>
        </w:r>
        <w:r w:rsidR="00E37625">
          <w:rPr>
            <w:webHidden/>
          </w:rPr>
          <w:fldChar w:fldCharType="end"/>
        </w:r>
      </w:hyperlink>
    </w:p>
    <w:p w14:paraId="5F576829" w14:textId="01F3F3F3" w:rsidR="00E37625" w:rsidRDefault="00417226">
      <w:pPr>
        <w:pStyle w:val="TOC3"/>
        <w:rPr>
          <w:rFonts w:asciiTheme="minorHAnsi" w:eastAsiaTheme="minorEastAsia" w:hAnsiTheme="minorHAnsi" w:cstheme="minorBidi"/>
          <w:noProof/>
          <w:sz w:val="22"/>
          <w:szCs w:val="22"/>
          <w:lang w:val="en-US"/>
        </w:rPr>
      </w:pPr>
      <w:hyperlink w:anchor="_Toc24287429" w:history="1">
        <w:r w:rsidR="00E37625" w:rsidRPr="00173D21">
          <w:rPr>
            <w:rStyle w:val="Hyperlink"/>
            <w:noProof/>
          </w:rPr>
          <w:t>Case study 7: TACO – timing of transfusion</w:t>
        </w:r>
        <w:r w:rsidR="00E37625">
          <w:rPr>
            <w:noProof/>
            <w:webHidden/>
          </w:rPr>
          <w:tab/>
        </w:r>
        <w:r w:rsidR="00E37625">
          <w:rPr>
            <w:noProof/>
            <w:webHidden/>
          </w:rPr>
          <w:fldChar w:fldCharType="begin"/>
        </w:r>
        <w:r w:rsidR="00E37625">
          <w:rPr>
            <w:noProof/>
            <w:webHidden/>
          </w:rPr>
          <w:instrText xml:space="preserve"> PAGEREF _Toc24287429 \h </w:instrText>
        </w:r>
        <w:r w:rsidR="00E37625">
          <w:rPr>
            <w:noProof/>
            <w:webHidden/>
          </w:rPr>
        </w:r>
        <w:r w:rsidR="00E37625">
          <w:rPr>
            <w:noProof/>
            <w:webHidden/>
          </w:rPr>
          <w:fldChar w:fldCharType="separate"/>
        </w:r>
        <w:r w:rsidR="00E37625">
          <w:rPr>
            <w:noProof/>
            <w:webHidden/>
          </w:rPr>
          <w:t>32</w:t>
        </w:r>
        <w:r w:rsidR="00E37625">
          <w:rPr>
            <w:noProof/>
            <w:webHidden/>
          </w:rPr>
          <w:fldChar w:fldCharType="end"/>
        </w:r>
      </w:hyperlink>
    </w:p>
    <w:p w14:paraId="3743CD07" w14:textId="038797CF" w:rsidR="00E37625" w:rsidRDefault="00417226">
      <w:pPr>
        <w:pStyle w:val="TOC2"/>
        <w:rPr>
          <w:rFonts w:asciiTheme="minorHAnsi" w:eastAsiaTheme="minorEastAsia" w:hAnsiTheme="minorHAnsi" w:cstheme="minorBidi"/>
          <w:sz w:val="22"/>
          <w:szCs w:val="22"/>
          <w:lang w:val="en-US"/>
        </w:rPr>
      </w:pPr>
      <w:hyperlink w:anchor="_Toc24287430" w:history="1">
        <w:r w:rsidR="00E37625" w:rsidRPr="00173D21">
          <w:rPr>
            <w:rStyle w:val="Hyperlink"/>
          </w:rPr>
          <w:t>Transfusion associated acute lung injury (TRALI)</w:t>
        </w:r>
        <w:r w:rsidR="00E37625">
          <w:rPr>
            <w:webHidden/>
          </w:rPr>
          <w:tab/>
        </w:r>
        <w:r w:rsidR="00E37625">
          <w:rPr>
            <w:webHidden/>
          </w:rPr>
          <w:fldChar w:fldCharType="begin"/>
        </w:r>
        <w:r w:rsidR="00E37625">
          <w:rPr>
            <w:webHidden/>
          </w:rPr>
          <w:instrText xml:space="preserve"> PAGEREF _Toc24287430 \h </w:instrText>
        </w:r>
        <w:r w:rsidR="00E37625">
          <w:rPr>
            <w:webHidden/>
          </w:rPr>
        </w:r>
        <w:r w:rsidR="00E37625">
          <w:rPr>
            <w:webHidden/>
          </w:rPr>
          <w:fldChar w:fldCharType="separate"/>
        </w:r>
        <w:r w:rsidR="00E37625">
          <w:rPr>
            <w:webHidden/>
          </w:rPr>
          <w:t>32</w:t>
        </w:r>
        <w:r w:rsidR="00E37625">
          <w:rPr>
            <w:webHidden/>
          </w:rPr>
          <w:fldChar w:fldCharType="end"/>
        </w:r>
      </w:hyperlink>
    </w:p>
    <w:p w14:paraId="3F1D611B" w14:textId="2502BD2B" w:rsidR="00E37625" w:rsidRDefault="00417226">
      <w:pPr>
        <w:pStyle w:val="TOC3"/>
        <w:rPr>
          <w:rFonts w:asciiTheme="minorHAnsi" w:eastAsiaTheme="minorEastAsia" w:hAnsiTheme="minorHAnsi" w:cstheme="minorBidi"/>
          <w:noProof/>
          <w:sz w:val="22"/>
          <w:szCs w:val="22"/>
          <w:lang w:val="en-US"/>
        </w:rPr>
      </w:pPr>
      <w:hyperlink w:anchor="_Toc24287431" w:history="1">
        <w:r w:rsidR="00E37625" w:rsidRPr="00173D21">
          <w:rPr>
            <w:rStyle w:val="Hyperlink"/>
            <w:noProof/>
          </w:rPr>
          <w:t>Case study 8: Possible TRALI</w:t>
        </w:r>
        <w:r w:rsidR="00E37625">
          <w:rPr>
            <w:noProof/>
            <w:webHidden/>
          </w:rPr>
          <w:tab/>
        </w:r>
        <w:r w:rsidR="00E37625">
          <w:rPr>
            <w:noProof/>
            <w:webHidden/>
          </w:rPr>
          <w:fldChar w:fldCharType="begin"/>
        </w:r>
        <w:r w:rsidR="00E37625">
          <w:rPr>
            <w:noProof/>
            <w:webHidden/>
          </w:rPr>
          <w:instrText xml:space="preserve"> PAGEREF _Toc24287431 \h </w:instrText>
        </w:r>
        <w:r w:rsidR="00E37625">
          <w:rPr>
            <w:noProof/>
            <w:webHidden/>
          </w:rPr>
        </w:r>
        <w:r w:rsidR="00E37625">
          <w:rPr>
            <w:noProof/>
            <w:webHidden/>
          </w:rPr>
          <w:fldChar w:fldCharType="separate"/>
        </w:r>
        <w:r w:rsidR="00E37625">
          <w:rPr>
            <w:noProof/>
            <w:webHidden/>
          </w:rPr>
          <w:t>33</w:t>
        </w:r>
        <w:r w:rsidR="00E37625">
          <w:rPr>
            <w:noProof/>
            <w:webHidden/>
          </w:rPr>
          <w:fldChar w:fldCharType="end"/>
        </w:r>
      </w:hyperlink>
    </w:p>
    <w:p w14:paraId="6523214C" w14:textId="09C92859" w:rsidR="00E37625" w:rsidRDefault="00417226">
      <w:pPr>
        <w:pStyle w:val="TOC2"/>
        <w:rPr>
          <w:rFonts w:asciiTheme="minorHAnsi" w:eastAsiaTheme="minorEastAsia" w:hAnsiTheme="minorHAnsi" w:cstheme="minorBidi"/>
          <w:sz w:val="22"/>
          <w:szCs w:val="22"/>
          <w:lang w:val="en-US"/>
        </w:rPr>
      </w:pPr>
      <w:hyperlink w:anchor="_Toc24287432" w:history="1">
        <w:r w:rsidR="00E37625" w:rsidRPr="00173D21">
          <w:rPr>
            <w:rStyle w:val="Hyperlink"/>
          </w:rPr>
          <w:t>Transfusion associated dyspnoea (TAD)</w:t>
        </w:r>
        <w:r w:rsidR="00E37625">
          <w:rPr>
            <w:webHidden/>
          </w:rPr>
          <w:tab/>
        </w:r>
        <w:r w:rsidR="00E37625">
          <w:rPr>
            <w:webHidden/>
          </w:rPr>
          <w:fldChar w:fldCharType="begin"/>
        </w:r>
        <w:r w:rsidR="00E37625">
          <w:rPr>
            <w:webHidden/>
          </w:rPr>
          <w:instrText xml:space="preserve"> PAGEREF _Toc24287432 \h </w:instrText>
        </w:r>
        <w:r w:rsidR="00E37625">
          <w:rPr>
            <w:webHidden/>
          </w:rPr>
        </w:r>
        <w:r w:rsidR="00E37625">
          <w:rPr>
            <w:webHidden/>
          </w:rPr>
          <w:fldChar w:fldCharType="separate"/>
        </w:r>
        <w:r w:rsidR="00E37625">
          <w:rPr>
            <w:webHidden/>
          </w:rPr>
          <w:t>33</w:t>
        </w:r>
        <w:r w:rsidR="00E37625">
          <w:rPr>
            <w:webHidden/>
          </w:rPr>
          <w:fldChar w:fldCharType="end"/>
        </w:r>
      </w:hyperlink>
    </w:p>
    <w:p w14:paraId="0FC14E4F" w14:textId="40A2A9AC" w:rsidR="00E37625" w:rsidRDefault="00417226">
      <w:pPr>
        <w:pStyle w:val="TOC2"/>
        <w:rPr>
          <w:rFonts w:asciiTheme="minorHAnsi" w:eastAsiaTheme="minorEastAsia" w:hAnsiTheme="minorHAnsi" w:cstheme="minorBidi"/>
          <w:sz w:val="22"/>
          <w:szCs w:val="22"/>
          <w:lang w:val="en-US"/>
        </w:rPr>
      </w:pPr>
      <w:hyperlink w:anchor="_Toc24287433" w:history="1">
        <w:r w:rsidR="00E37625" w:rsidRPr="00173D21">
          <w:rPr>
            <w:rStyle w:val="Hyperlink"/>
          </w:rPr>
          <w:t>Transfusion transmitted infection including bacterial sepsis</w:t>
        </w:r>
        <w:r w:rsidR="00E37625">
          <w:rPr>
            <w:webHidden/>
          </w:rPr>
          <w:tab/>
        </w:r>
        <w:r w:rsidR="00E37625">
          <w:rPr>
            <w:webHidden/>
          </w:rPr>
          <w:fldChar w:fldCharType="begin"/>
        </w:r>
        <w:r w:rsidR="00E37625">
          <w:rPr>
            <w:webHidden/>
          </w:rPr>
          <w:instrText xml:space="preserve"> PAGEREF _Toc24287433 \h </w:instrText>
        </w:r>
        <w:r w:rsidR="00E37625">
          <w:rPr>
            <w:webHidden/>
          </w:rPr>
        </w:r>
        <w:r w:rsidR="00E37625">
          <w:rPr>
            <w:webHidden/>
          </w:rPr>
          <w:fldChar w:fldCharType="separate"/>
        </w:r>
        <w:r w:rsidR="00E37625">
          <w:rPr>
            <w:webHidden/>
          </w:rPr>
          <w:t>33</w:t>
        </w:r>
        <w:r w:rsidR="00E37625">
          <w:rPr>
            <w:webHidden/>
          </w:rPr>
          <w:fldChar w:fldCharType="end"/>
        </w:r>
      </w:hyperlink>
    </w:p>
    <w:p w14:paraId="05E5DD2F" w14:textId="2646EC0E" w:rsidR="00E37625" w:rsidRDefault="00417226">
      <w:pPr>
        <w:pStyle w:val="TOC3"/>
        <w:rPr>
          <w:rFonts w:asciiTheme="minorHAnsi" w:eastAsiaTheme="minorEastAsia" w:hAnsiTheme="minorHAnsi" w:cstheme="minorBidi"/>
          <w:noProof/>
          <w:sz w:val="22"/>
          <w:szCs w:val="22"/>
          <w:lang w:val="en-US"/>
        </w:rPr>
      </w:pPr>
      <w:hyperlink w:anchor="_Toc24287434" w:history="1">
        <w:r w:rsidR="00E37625" w:rsidRPr="00173D21">
          <w:rPr>
            <w:rStyle w:val="Hyperlink"/>
            <w:noProof/>
          </w:rPr>
          <w:t>Case study 9: TTI – parvovirus in a susceptible patient</w:t>
        </w:r>
        <w:r w:rsidR="00E37625">
          <w:rPr>
            <w:noProof/>
            <w:webHidden/>
          </w:rPr>
          <w:tab/>
        </w:r>
        <w:r w:rsidR="00E37625">
          <w:rPr>
            <w:noProof/>
            <w:webHidden/>
          </w:rPr>
          <w:fldChar w:fldCharType="begin"/>
        </w:r>
        <w:r w:rsidR="00E37625">
          <w:rPr>
            <w:noProof/>
            <w:webHidden/>
          </w:rPr>
          <w:instrText xml:space="preserve"> PAGEREF _Toc24287434 \h </w:instrText>
        </w:r>
        <w:r w:rsidR="00E37625">
          <w:rPr>
            <w:noProof/>
            <w:webHidden/>
          </w:rPr>
        </w:r>
        <w:r w:rsidR="00E37625">
          <w:rPr>
            <w:noProof/>
            <w:webHidden/>
          </w:rPr>
          <w:fldChar w:fldCharType="separate"/>
        </w:r>
        <w:r w:rsidR="00E37625">
          <w:rPr>
            <w:noProof/>
            <w:webHidden/>
          </w:rPr>
          <w:t>33</w:t>
        </w:r>
        <w:r w:rsidR="00E37625">
          <w:rPr>
            <w:noProof/>
            <w:webHidden/>
          </w:rPr>
          <w:fldChar w:fldCharType="end"/>
        </w:r>
      </w:hyperlink>
    </w:p>
    <w:p w14:paraId="5E62F531" w14:textId="6171FA90" w:rsidR="00E37625" w:rsidRDefault="00417226">
      <w:pPr>
        <w:pStyle w:val="TOC2"/>
        <w:rPr>
          <w:rFonts w:asciiTheme="minorHAnsi" w:eastAsiaTheme="minorEastAsia" w:hAnsiTheme="minorHAnsi" w:cstheme="minorBidi"/>
          <w:sz w:val="22"/>
          <w:szCs w:val="22"/>
          <w:lang w:val="en-US"/>
        </w:rPr>
      </w:pPr>
      <w:hyperlink w:anchor="_Toc24287435" w:history="1">
        <w:r w:rsidR="00E37625" w:rsidRPr="00173D21">
          <w:rPr>
            <w:rStyle w:val="Hyperlink"/>
          </w:rPr>
          <w:t>Transfusion associated graft versus host disease (TAGvHD)</w:t>
        </w:r>
        <w:r w:rsidR="00E37625">
          <w:rPr>
            <w:webHidden/>
          </w:rPr>
          <w:tab/>
        </w:r>
        <w:r w:rsidR="00E37625">
          <w:rPr>
            <w:webHidden/>
          </w:rPr>
          <w:fldChar w:fldCharType="begin"/>
        </w:r>
        <w:r w:rsidR="00E37625">
          <w:rPr>
            <w:webHidden/>
          </w:rPr>
          <w:instrText xml:space="preserve"> PAGEREF _Toc24287435 \h </w:instrText>
        </w:r>
        <w:r w:rsidR="00E37625">
          <w:rPr>
            <w:webHidden/>
          </w:rPr>
        </w:r>
        <w:r w:rsidR="00E37625">
          <w:rPr>
            <w:webHidden/>
          </w:rPr>
          <w:fldChar w:fldCharType="separate"/>
        </w:r>
        <w:r w:rsidR="00E37625">
          <w:rPr>
            <w:webHidden/>
          </w:rPr>
          <w:t>34</w:t>
        </w:r>
        <w:r w:rsidR="00E37625">
          <w:rPr>
            <w:webHidden/>
          </w:rPr>
          <w:fldChar w:fldCharType="end"/>
        </w:r>
      </w:hyperlink>
    </w:p>
    <w:p w14:paraId="15653D95" w14:textId="4F19AB25" w:rsidR="00E37625" w:rsidRDefault="00417226">
      <w:pPr>
        <w:pStyle w:val="TOC2"/>
        <w:rPr>
          <w:rFonts w:asciiTheme="minorHAnsi" w:eastAsiaTheme="minorEastAsia" w:hAnsiTheme="minorHAnsi" w:cstheme="minorBidi"/>
          <w:sz w:val="22"/>
          <w:szCs w:val="22"/>
          <w:lang w:val="en-US"/>
        </w:rPr>
      </w:pPr>
      <w:hyperlink w:anchor="_Toc24287436" w:history="1">
        <w:r w:rsidR="00E37625" w:rsidRPr="00173D21">
          <w:rPr>
            <w:rStyle w:val="Hyperlink"/>
          </w:rPr>
          <w:t>Post transfusion purpura (PTP)</w:t>
        </w:r>
        <w:r w:rsidR="00E37625">
          <w:rPr>
            <w:webHidden/>
          </w:rPr>
          <w:tab/>
        </w:r>
        <w:r w:rsidR="00E37625">
          <w:rPr>
            <w:webHidden/>
          </w:rPr>
          <w:fldChar w:fldCharType="begin"/>
        </w:r>
        <w:r w:rsidR="00E37625">
          <w:rPr>
            <w:webHidden/>
          </w:rPr>
          <w:instrText xml:space="preserve"> PAGEREF _Toc24287436 \h </w:instrText>
        </w:r>
        <w:r w:rsidR="00E37625">
          <w:rPr>
            <w:webHidden/>
          </w:rPr>
        </w:r>
        <w:r w:rsidR="00E37625">
          <w:rPr>
            <w:webHidden/>
          </w:rPr>
          <w:fldChar w:fldCharType="separate"/>
        </w:r>
        <w:r w:rsidR="00E37625">
          <w:rPr>
            <w:webHidden/>
          </w:rPr>
          <w:t>34</w:t>
        </w:r>
        <w:r w:rsidR="00E37625">
          <w:rPr>
            <w:webHidden/>
          </w:rPr>
          <w:fldChar w:fldCharType="end"/>
        </w:r>
      </w:hyperlink>
    </w:p>
    <w:p w14:paraId="67F83C5E" w14:textId="1210615F" w:rsidR="00E37625" w:rsidRDefault="00417226">
      <w:pPr>
        <w:pStyle w:val="TOC1"/>
        <w:rPr>
          <w:rFonts w:asciiTheme="minorHAnsi" w:eastAsiaTheme="minorEastAsia" w:hAnsiTheme="minorHAnsi" w:cstheme="minorBidi"/>
          <w:b w:val="0"/>
          <w:sz w:val="22"/>
          <w:szCs w:val="22"/>
          <w:lang w:val="en-US"/>
        </w:rPr>
      </w:pPr>
      <w:hyperlink w:anchor="_Toc24287437" w:history="1">
        <w:r w:rsidR="00E37625" w:rsidRPr="00173D21">
          <w:rPr>
            <w:rStyle w:val="Hyperlink"/>
          </w:rPr>
          <w:t>Procedural reports</w:t>
        </w:r>
        <w:r w:rsidR="00E37625">
          <w:rPr>
            <w:webHidden/>
          </w:rPr>
          <w:tab/>
        </w:r>
        <w:r w:rsidR="00E37625">
          <w:rPr>
            <w:webHidden/>
          </w:rPr>
          <w:fldChar w:fldCharType="begin"/>
        </w:r>
        <w:r w:rsidR="00E37625">
          <w:rPr>
            <w:webHidden/>
          </w:rPr>
          <w:instrText xml:space="preserve"> PAGEREF _Toc24287437 \h </w:instrText>
        </w:r>
        <w:r w:rsidR="00E37625">
          <w:rPr>
            <w:webHidden/>
          </w:rPr>
        </w:r>
        <w:r w:rsidR="00E37625">
          <w:rPr>
            <w:webHidden/>
          </w:rPr>
          <w:fldChar w:fldCharType="separate"/>
        </w:r>
        <w:r w:rsidR="00E37625">
          <w:rPr>
            <w:webHidden/>
          </w:rPr>
          <w:t>35</w:t>
        </w:r>
        <w:r w:rsidR="00E37625">
          <w:rPr>
            <w:webHidden/>
          </w:rPr>
          <w:fldChar w:fldCharType="end"/>
        </w:r>
      </w:hyperlink>
    </w:p>
    <w:p w14:paraId="3930C7AD" w14:textId="169D5B6C" w:rsidR="00E37625" w:rsidRDefault="00417226">
      <w:pPr>
        <w:pStyle w:val="TOC2"/>
        <w:rPr>
          <w:rFonts w:asciiTheme="minorHAnsi" w:eastAsiaTheme="minorEastAsia" w:hAnsiTheme="minorHAnsi" w:cstheme="minorBidi"/>
          <w:sz w:val="22"/>
          <w:szCs w:val="22"/>
          <w:lang w:val="en-US"/>
        </w:rPr>
      </w:pPr>
      <w:hyperlink w:anchor="_Toc24287438" w:history="1">
        <w:r w:rsidR="00E37625" w:rsidRPr="00173D21">
          <w:rPr>
            <w:rStyle w:val="Hyperlink"/>
          </w:rPr>
          <w:t>Incorrect blood component transfused (IBCT)</w:t>
        </w:r>
        <w:r w:rsidR="00E37625">
          <w:rPr>
            <w:webHidden/>
          </w:rPr>
          <w:tab/>
        </w:r>
        <w:r w:rsidR="00E37625">
          <w:rPr>
            <w:webHidden/>
          </w:rPr>
          <w:fldChar w:fldCharType="begin"/>
        </w:r>
        <w:r w:rsidR="00E37625">
          <w:rPr>
            <w:webHidden/>
          </w:rPr>
          <w:instrText xml:space="preserve"> PAGEREF _Toc24287438 \h </w:instrText>
        </w:r>
        <w:r w:rsidR="00E37625">
          <w:rPr>
            <w:webHidden/>
          </w:rPr>
        </w:r>
        <w:r w:rsidR="00E37625">
          <w:rPr>
            <w:webHidden/>
          </w:rPr>
          <w:fldChar w:fldCharType="separate"/>
        </w:r>
        <w:r w:rsidR="00E37625">
          <w:rPr>
            <w:webHidden/>
          </w:rPr>
          <w:t>35</w:t>
        </w:r>
        <w:r w:rsidR="00E37625">
          <w:rPr>
            <w:webHidden/>
          </w:rPr>
          <w:fldChar w:fldCharType="end"/>
        </w:r>
      </w:hyperlink>
    </w:p>
    <w:p w14:paraId="1F691669" w14:textId="1884745A" w:rsidR="00E37625" w:rsidRDefault="00417226">
      <w:pPr>
        <w:pStyle w:val="TOC3"/>
        <w:rPr>
          <w:rFonts w:asciiTheme="minorHAnsi" w:eastAsiaTheme="minorEastAsia" w:hAnsiTheme="minorHAnsi" w:cstheme="minorBidi"/>
          <w:noProof/>
          <w:sz w:val="22"/>
          <w:szCs w:val="22"/>
          <w:lang w:val="en-US"/>
        </w:rPr>
      </w:pPr>
      <w:hyperlink w:anchor="_Toc24287439" w:history="1">
        <w:r w:rsidR="00E37625" w:rsidRPr="00173D21">
          <w:rPr>
            <w:rStyle w:val="Hyperlink"/>
            <w:noProof/>
          </w:rPr>
          <w:t>Case study 10: IBCT – ABO incompatible transfusion</w:t>
        </w:r>
        <w:r w:rsidR="00E37625">
          <w:rPr>
            <w:noProof/>
            <w:webHidden/>
          </w:rPr>
          <w:tab/>
        </w:r>
        <w:r w:rsidR="00E37625">
          <w:rPr>
            <w:noProof/>
            <w:webHidden/>
          </w:rPr>
          <w:fldChar w:fldCharType="begin"/>
        </w:r>
        <w:r w:rsidR="00E37625">
          <w:rPr>
            <w:noProof/>
            <w:webHidden/>
          </w:rPr>
          <w:instrText xml:space="preserve"> PAGEREF _Toc24287439 \h </w:instrText>
        </w:r>
        <w:r w:rsidR="00E37625">
          <w:rPr>
            <w:noProof/>
            <w:webHidden/>
          </w:rPr>
        </w:r>
        <w:r w:rsidR="00E37625">
          <w:rPr>
            <w:noProof/>
            <w:webHidden/>
          </w:rPr>
          <w:fldChar w:fldCharType="separate"/>
        </w:r>
        <w:r w:rsidR="00E37625">
          <w:rPr>
            <w:noProof/>
            <w:webHidden/>
          </w:rPr>
          <w:t>36</w:t>
        </w:r>
        <w:r w:rsidR="00E37625">
          <w:rPr>
            <w:noProof/>
            <w:webHidden/>
          </w:rPr>
          <w:fldChar w:fldCharType="end"/>
        </w:r>
      </w:hyperlink>
    </w:p>
    <w:p w14:paraId="1D8D7677" w14:textId="5067FBB5" w:rsidR="00E37625" w:rsidRDefault="00417226">
      <w:pPr>
        <w:pStyle w:val="TOC3"/>
        <w:rPr>
          <w:rFonts w:asciiTheme="minorHAnsi" w:eastAsiaTheme="minorEastAsia" w:hAnsiTheme="minorHAnsi" w:cstheme="minorBidi"/>
          <w:noProof/>
          <w:sz w:val="22"/>
          <w:szCs w:val="22"/>
          <w:lang w:val="en-US"/>
        </w:rPr>
      </w:pPr>
      <w:hyperlink w:anchor="_Toc24287440" w:history="1">
        <w:r w:rsidR="00E37625" w:rsidRPr="00173D21">
          <w:rPr>
            <w:rStyle w:val="Hyperlink"/>
            <w:noProof/>
          </w:rPr>
          <w:t>Case study 11: IBCT – RhD incompatible transfusion</w:t>
        </w:r>
        <w:r w:rsidR="00E37625">
          <w:rPr>
            <w:noProof/>
            <w:webHidden/>
          </w:rPr>
          <w:tab/>
        </w:r>
        <w:r w:rsidR="00E37625">
          <w:rPr>
            <w:noProof/>
            <w:webHidden/>
          </w:rPr>
          <w:fldChar w:fldCharType="begin"/>
        </w:r>
        <w:r w:rsidR="00E37625">
          <w:rPr>
            <w:noProof/>
            <w:webHidden/>
          </w:rPr>
          <w:instrText xml:space="preserve"> PAGEREF _Toc24287440 \h </w:instrText>
        </w:r>
        <w:r w:rsidR="00E37625">
          <w:rPr>
            <w:noProof/>
            <w:webHidden/>
          </w:rPr>
        </w:r>
        <w:r w:rsidR="00E37625">
          <w:rPr>
            <w:noProof/>
            <w:webHidden/>
          </w:rPr>
          <w:fldChar w:fldCharType="separate"/>
        </w:r>
        <w:r w:rsidR="00E37625">
          <w:rPr>
            <w:noProof/>
            <w:webHidden/>
          </w:rPr>
          <w:t>37</w:t>
        </w:r>
        <w:r w:rsidR="00E37625">
          <w:rPr>
            <w:noProof/>
            <w:webHidden/>
          </w:rPr>
          <w:fldChar w:fldCharType="end"/>
        </w:r>
      </w:hyperlink>
    </w:p>
    <w:p w14:paraId="57066F2C" w14:textId="2BF20162" w:rsidR="00E37625" w:rsidRDefault="00417226">
      <w:pPr>
        <w:pStyle w:val="TOC3"/>
        <w:rPr>
          <w:rFonts w:asciiTheme="minorHAnsi" w:eastAsiaTheme="minorEastAsia" w:hAnsiTheme="minorHAnsi" w:cstheme="minorBidi"/>
          <w:noProof/>
          <w:sz w:val="22"/>
          <w:szCs w:val="22"/>
          <w:lang w:val="en-US"/>
        </w:rPr>
      </w:pPr>
      <w:hyperlink w:anchor="_Toc24287441" w:history="1">
        <w:r w:rsidR="00E37625" w:rsidRPr="00173D21">
          <w:rPr>
            <w:rStyle w:val="Hyperlink"/>
            <w:noProof/>
          </w:rPr>
          <w:t>Case study 12: IBCT – over-transfusion of infant</w:t>
        </w:r>
        <w:r w:rsidR="00E37625">
          <w:rPr>
            <w:noProof/>
            <w:webHidden/>
          </w:rPr>
          <w:tab/>
        </w:r>
        <w:r w:rsidR="00E37625">
          <w:rPr>
            <w:noProof/>
            <w:webHidden/>
          </w:rPr>
          <w:fldChar w:fldCharType="begin"/>
        </w:r>
        <w:r w:rsidR="00E37625">
          <w:rPr>
            <w:noProof/>
            <w:webHidden/>
          </w:rPr>
          <w:instrText xml:space="preserve"> PAGEREF _Toc24287441 \h </w:instrText>
        </w:r>
        <w:r w:rsidR="00E37625">
          <w:rPr>
            <w:noProof/>
            <w:webHidden/>
          </w:rPr>
        </w:r>
        <w:r w:rsidR="00E37625">
          <w:rPr>
            <w:noProof/>
            <w:webHidden/>
          </w:rPr>
          <w:fldChar w:fldCharType="separate"/>
        </w:r>
        <w:r w:rsidR="00E37625">
          <w:rPr>
            <w:noProof/>
            <w:webHidden/>
          </w:rPr>
          <w:t>38</w:t>
        </w:r>
        <w:r w:rsidR="00E37625">
          <w:rPr>
            <w:noProof/>
            <w:webHidden/>
          </w:rPr>
          <w:fldChar w:fldCharType="end"/>
        </w:r>
      </w:hyperlink>
    </w:p>
    <w:p w14:paraId="2CE3D0D0" w14:textId="2E86561C" w:rsidR="00E37625" w:rsidRDefault="00417226">
      <w:pPr>
        <w:pStyle w:val="TOC3"/>
        <w:rPr>
          <w:rFonts w:asciiTheme="minorHAnsi" w:eastAsiaTheme="minorEastAsia" w:hAnsiTheme="minorHAnsi" w:cstheme="minorBidi"/>
          <w:noProof/>
          <w:sz w:val="22"/>
          <w:szCs w:val="22"/>
          <w:lang w:val="en-US"/>
        </w:rPr>
      </w:pPr>
      <w:hyperlink w:anchor="_Toc24287442" w:history="1">
        <w:r w:rsidR="00E37625" w:rsidRPr="00173D21">
          <w:rPr>
            <w:rStyle w:val="Hyperlink"/>
            <w:noProof/>
          </w:rPr>
          <w:t>Case study 13: IBCT – communication issues lead to wrong patient transfused</w:t>
        </w:r>
        <w:r w:rsidR="00E37625">
          <w:rPr>
            <w:noProof/>
            <w:webHidden/>
          </w:rPr>
          <w:tab/>
        </w:r>
        <w:r w:rsidR="00E37625">
          <w:rPr>
            <w:noProof/>
            <w:webHidden/>
          </w:rPr>
          <w:fldChar w:fldCharType="begin"/>
        </w:r>
        <w:r w:rsidR="00E37625">
          <w:rPr>
            <w:noProof/>
            <w:webHidden/>
          </w:rPr>
          <w:instrText xml:space="preserve"> PAGEREF _Toc24287442 \h </w:instrText>
        </w:r>
        <w:r w:rsidR="00E37625">
          <w:rPr>
            <w:noProof/>
            <w:webHidden/>
          </w:rPr>
        </w:r>
        <w:r w:rsidR="00E37625">
          <w:rPr>
            <w:noProof/>
            <w:webHidden/>
          </w:rPr>
          <w:fldChar w:fldCharType="separate"/>
        </w:r>
        <w:r w:rsidR="00E37625">
          <w:rPr>
            <w:noProof/>
            <w:webHidden/>
          </w:rPr>
          <w:t>39</w:t>
        </w:r>
        <w:r w:rsidR="00E37625">
          <w:rPr>
            <w:noProof/>
            <w:webHidden/>
          </w:rPr>
          <w:fldChar w:fldCharType="end"/>
        </w:r>
      </w:hyperlink>
    </w:p>
    <w:p w14:paraId="3ACE8FA2" w14:textId="140A4152" w:rsidR="00E37625" w:rsidRDefault="00417226">
      <w:pPr>
        <w:pStyle w:val="TOC2"/>
        <w:rPr>
          <w:rFonts w:asciiTheme="minorHAnsi" w:eastAsiaTheme="minorEastAsia" w:hAnsiTheme="minorHAnsi" w:cstheme="minorBidi"/>
          <w:sz w:val="22"/>
          <w:szCs w:val="22"/>
          <w:lang w:val="en-US"/>
        </w:rPr>
      </w:pPr>
      <w:hyperlink w:anchor="_Toc24287443" w:history="1">
        <w:r w:rsidR="00E37625" w:rsidRPr="00173D21">
          <w:rPr>
            <w:rStyle w:val="Hyperlink"/>
          </w:rPr>
          <w:t>Near miss</w:t>
        </w:r>
        <w:r w:rsidR="00E37625">
          <w:rPr>
            <w:webHidden/>
          </w:rPr>
          <w:tab/>
        </w:r>
        <w:r w:rsidR="00E37625">
          <w:rPr>
            <w:webHidden/>
          </w:rPr>
          <w:fldChar w:fldCharType="begin"/>
        </w:r>
        <w:r w:rsidR="00E37625">
          <w:rPr>
            <w:webHidden/>
          </w:rPr>
          <w:instrText xml:space="preserve"> PAGEREF _Toc24287443 \h </w:instrText>
        </w:r>
        <w:r w:rsidR="00E37625">
          <w:rPr>
            <w:webHidden/>
          </w:rPr>
        </w:r>
        <w:r w:rsidR="00E37625">
          <w:rPr>
            <w:webHidden/>
          </w:rPr>
          <w:fldChar w:fldCharType="separate"/>
        </w:r>
        <w:r w:rsidR="00E37625">
          <w:rPr>
            <w:webHidden/>
          </w:rPr>
          <w:t>39</w:t>
        </w:r>
        <w:r w:rsidR="00E37625">
          <w:rPr>
            <w:webHidden/>
          </w:rPr>
          <w:fldChar w:fldCharType="end"/>
        </w:r>
      </w:hyperlink>
    </w:p>
    <w:p w14:paraId="21690C0D" w14:textId="39C22371" w:rsidR="00E37625" w:rsidRDefault="00417226">
      <w:pPr>
        <w:pStyle w:val="TOC3"/>
        <w:rPr>
          <w:rFonts w:asciiTheme="minorHAnsi" w:eastAsiaTheme="minorEastAsia" w:hAnsiTheme="minorHAnsi" w:cstheme="minorBidi"/>
          <w:noProof/>
          <w:sz w:val="22"/>
          <w:szCs w:val="22"/>
          <w:lang w:val="en-US"/>
        </w:rPr>
      </w:pPr>
      <w:hyperlink w:anchor="_Toc24287444" w:history="1">
        <w:r w:rsidR="00E37625" w:rsidRPr="00173D21">
          <w:rPr>
            <w:rStyle w:val="Hyperlink"/>
            <w:noProof/>
          </w:rPr>
          <w:t>Case study 14: Near miss – wrong blood checked and spiked</w:t>
        </w:r>
        <w:r w:rsidR="00E37625">
          <w:rPr>
            <w:noProof/>
            <w:webHidden/>
          </w:rPr>
          <w:tab/>
        </w:r>
        <w:r w:rsidR="00E37625">
          <w:rPr>
            <w:noProof/>
            <w:webHidden/>
          </w:rPr>
          <w:fldChar w:fldCharType="begin"/>
        </w:r>
        <w:r w:rsidR="00E37625">
          <w:rPr>
            <w:noProof/>
            <w:webHidden/>
          </w:rPr>
          <w:instrText xml:space="preserve"> PAGEREF _Toc24287444 \h </w:instrText>
        </w:r>
        <w:r w:rsidR="00E37625">
          <w:rPr>
            <w:noProof/>
            <w:webHidden/>
          </w:rPr>
        </w:r>
        <w:r w:rsidR="00E37625">
          <w:rPr>
            <w:noProof/>
            <w:webHidden/>
          </w:rPr>
          <w:fldChar w:fldCharType="separate"/>
        </w:r>
        <w:r w:rsidR="00E37625">
          <w:rPr>
            <w:noProof/>
            <w:webHidden/>
          </w:rPr>
          <w:t>39</w:t>
        </w:r>
        <w:r w:rsidR="00E37625">
          <w:rPr>
            <w:noProof/>
            <w:webHidden/>
          </w:rPr>
          <w:fldChar w:fldCharType="end"/>
        </w:r>
      </w:hyperlink>
    </w:p>
    <w:p w14:paraId="56000C2A" w14:textId="52D32312" w:rsidR="00E37625" w:rsidRDefault="00417226">
      <w:pPr>
        <w:pStyle w:val="TOC2"/>
        <w:rPr>
          <w:rFonts w:asciiTheme="minorHAnsi" w:eastAsiaTheme="minorEastAsia" w:hAnsiTheme="minorHAnsi" w:cstheme="minorBidi"/>
          <w:sz w:val="22"/>
          <w:szCs w:val="22"/>
          <w:lang w:val="en-US"/>
        </w:rPr>
      </w:pPr>
      <w:hyperlink w:anchor="_Toc24287445" w:history="1">
        <w:r w:rsidR="00E37625" w:rsidRPr="00173D21">
          <w:rPr>
            <w:rStyle w:val="Hyperlink"/>
          </w:rPr>
          <w:t>Wrong blood in tube (WBIT)</w:t>
        </w:r>
        <w:r w:rsidR="00E37625">
          <w:rPr>
            <w:webHidden/>
          </w:rPr>
          <w:tab/>
        </w:r>
        <w:r w:rsidR="00E37625">
          <w:rPr>
            <w:webHidden/>
          </w:rPr>
          <w:fldChar w:fldCharType="begin"/>
        </w:r>
        <w:r w:rsidR="00E37625">
          <w:rPr>
            <w:webHidden/>
          </w:rPr>
          <w:instrText xml:space="preserve"> PAGEREF _Toc24287445 \h </w:instrText>
        </w:r>
        <w:r w:rsidR="00E37625">
          <w:rPr>
            <w:webHidden/>
          </w:rPr>
        </w:r>
        <w:r w:rsidR="00E37625">
          <w:rPr>
            <w:webHidden/>
          </w:rPr>
          <w:fldChar w:fldCharType="separate"/>
        </w:r>
        <w:r w:rsidR="00E37625">
          <w:rPr>
            <w:webHidden/>
          </w:rPr>
          <w:t>40</w:t>
        </w:r>
        <w:r w:rsidR="00E37625">
          <w:rPr>
            <w:webHidden/>
          </w:rPr>
          <w:fldChar w:fldCharType="end"/>
        </w:r>
      </w:hyperlink>
    </w:p>
    <w:p w14:paraId="5ADF7EFF" w14:textId="597C63DB" w:rsidR="00E37625" w:rsidRDefault="00417226">
      <w:pPr>
        <w:pStyle w:val="TOC3"/>
        <w:rPr>
          <w:rFonts w:asciiTheme="minorHAnsi" w:eastAsiaTheme="minorEastAsia" w:hAnsiTheme="minorHAnsi" w:cstheme="minorBidi"/>
          <w:noProof/>
          <w:sz w:val="22"/>
          <w:szCs w:val="22"/>
          <w:lang w:val="en-US"/>
        </w:rPr>
      </w:pPr>
      <w:hyperlink w:anchor="_Toc24287446" w:history="1">
        <w:r w:rsidR="00E37625" w:rsidRPr="00173D21">
          <w:rPr>
            <w:rStyle w:val="Hyperlink"/>
            <w:noProof/>
          </w:rPr>
          <w:t>Case study 15: WBIT – bloods taken in Medical Emergency Team (MET) call</w:t>
        </w:r>
        <w:r w:rsidR="00E37625">
          <w:rPr>
            <w:noProof/>
            <w:webHidden/>
          </w:rPr>
          <w:tab/>
        </w:r>
        <w:r w:rsidR="00E37625">
          <w:rPr>
            <w:noProof/>
            <w:webHidden/>
          </w:rPr>
          <w:fldChar w:fldCharType="begin"/>
        </w:r>
        <w:r w:rsidR="00E37625">
          <w:rPr>
            <w:noProof/>
            <w:webHidden/>
          </w:rPr>
          <w:instrText xml:space="preserve"> PAGEREF _Toc24287446 \h </w:instrText>
        </w:r>
        <w:r w:rsidR="00E37625">
          <w:rPr>
            <w:noProof/>
            <w:webHidden/>
          </w:rPr>
        </w:r>
        <w:r w:rsidR="00E37625">
          <w:rPr>
            <w:noProof/>
            <w:webHidden/>
          </w:rPr>
          <w:fldChar w:fldCharType="separate"/>
        </w:r>
        <w:r w:rsidR="00E37625">
          <w:rPr>
            <w:noProof/>
            <w:webHidden/>
          </w:rPr>
          <w:t>42</w:t>
        </w:r>
        <w:r w:rsidR="00E37625">
          <w:rPr>
            <w:noProof/>
            <w:webHidden/>
          </w:rPr>
          <w:fldChar w:fldCharType="end"/>
        </w:r>
      </w:hyperlink>
    </w:p>
    <w:p w14:paraId="4B17F160" w14:textId="461DFAAE" w:rsidR="00E37625" w:rsidRDefault="00417226">
      <w:pPr>
        <w:pStyle w:val="TOC3"/>
        <w:rPr>
          <w:rFonts w:asciiTheme="minorHAnsi" w:eastAsiaTheme="minorEastAsia" w:hAnsiTheme="minorHAnsi" w:cstheme="minorBidi"/>
          <w:noProof/>
          <w:sz w:val="22"/>
          <w:szCs w:val="22"/>
          <w:lang w:val="en-US"/>
        </w:rPr>
      </w:pPr>
      <w:hyperlink w:anchor="_Toc24287447" w:history="1">
        <w:r w:rsidR="00E37625" w:rsidRPr="00173D21">
          <w:rPr>
            <w:rStyle w:val="Hyperlink"/>
            <w:noProof/>
          </w:rPr>
          <w:t>Case study 16: WBIT – patient identification incomplete</w:t>
        </w:r>
        <w:r w:rsidR="00E37625">
          <w:rPr>
            <w:noProof/>
            <w:webHidden/>
          </w:rPr>
          <w:tab/>
        </w:r>
        <w:r w:rsidR="00E37625">
          <w:rPr>
            <w:noProof/>
            <w:webHidden/>
          </w:rPr>
          <w:fldChar w:fldCharType="begin"/>
        </w:r>
        <w:r w:rsidR="00E37625">
          <w:rPr>
            <w:noProof/>
            <w:webHidden/>
          </w:rPr>
          <w:instrText xml:space="preserve"> PAGEREF _Toc24287447 \h </w:instrText>
        </w:r>
        <w:r w:rsidR="00E37625">
          <w:rPr>
            <w:noProof/>
            <w:webHidden/>
          </w:rPr>
        </w:r>
        <w:r w:rsidR="00E37625">
          <w:rPr>
            <w:noProof/>
            <w:webHidden/>
          </w:rPr>
          <w:fldChar w:fldCharType="separate"/>
        </w:r>
        <w:r w:rsidR="00E37625">
          <w:rPr>
            <w:noProof/>
            <w:webHidden/>
          </w:rPr>
          <w:t>42</w:t>
        </w:r>
        <w:r w:rsidR="00E37625">
          <w:rPr>
            <w:noProof/>
            <w:webHidden/>
          </w:rPr>
          <w:fldChar w:fldCharType="end"/>
        </w:r>
      </w:hyperlink>
    </w:p>
    <w:p w14:paraId="7093C990" w14:textId="3C649F3C" w:rsidR="00E37625" w:rsidRDefault="00417226">
      <w:pPr>
        <w:pStyle w:val="TOC3"/>
        <w:rPr>
          <w:rFonts w:asciiTheme="minorHAnsi" w:eastAsiaTheme="minorEastAsia" w:hAnsiTheme="minorHAnsi" w:cstheme="minorBidi"/>
          <w:noProof/>
          <w:sz w:val="22"/>
          <w:szCs w:val="22"/>
          <w:lang w:val="en-US"/>
        </w:rPr>
      </w:pPr>
      <w:hyperlink w:anchor="_Toc24287448" w:history="1">
        <w:r w:rsidR="00E37625" w:rsidRPr="00173D21">
          <w:rPr>
            <w:rStyle w:val="Hyperlink"/>
            <w:noProof/>
          </w:rPr>
          <w:t>Case study 17: WBIT – patient identification from medical folder</w:t>
        </w:r>
        <w:r w:rsidR="00E37625">
          <w:rPr>
            <w:noProof/>
            <w:webHidden/>
          </w:rPr>
          <w:tab/>
        </w:r>
        <w:r w:rsidR="00E37625">
          <w:rPr>
            <w:noProof/>
            <w:webHidden/>
          </w:rPr>
          <w:fldChar w:fldCharType="begin"/>
        </w:r>
        <w:r w:rsidR="00E37625">
          <w:rPr>
            <w:noProof/>
            <w:webHidden/>
          </w:rPr>
          <w:instrText xml:space="preserve"> PAGEREF _Toc24287448 \h </w:instrText>
        </w:r>
        <w:r w:rsidR="00E37625">
          <w:rPr>
            <w:noProof/>
            <w:webHidden/>
          </w:rPr>
        </w:r>
        <w:r w:rsidR="00E37625">
          <w:rPr>
            <w:noProof/>
            <w:webHidden/>
          </w:rPr>
          <w:fldChar w:fldCharType="separate"/>
        </w:r>
        <w:r w:rsidR="00E37625">
          <w:rPr>
            <w:noProof/>
            <w:webHidden/>
          </w:rPr>
          <w:t>43</w:t>
        </w:r>
        <w:r w:rsidR="00E37625">
          <w:rPr>
            <w:noProof/>
            <w:webHidden/>
          </w:rPr>
          <w:fldChar w:fldCharType="end"/>
        </w:r>
      </w:hyperlink>
    </w:p>
    <w:p w14:paraId="70A88369" w14:textId="70971ACB" w:rsidR="00E37625" w:rsidRDefault="00417226">
      <w:pPr>
        <w:pStyle w:val="TOC2"/>
        <w:rPr>
          <w:rFonts w:asciiTheme="minorHAnsi" w:eastAsiaTheme="minorEastAsia" w:hAnsiTheme="minorHAnsi" w:cstheme="minorBidi"/>
          <w:sz w:val="22"/>
          <w:szCs w:val="22"/>
          <w:lang w:val="en-US"/>
        </w:rPr>
      </w:pPr>
      <w:hyperlink w:anchor="_Toc24287449" w:history="1">
        <w:r w:rsidR="00E37625" w:rsidRPr="00173D21">
          <w:rPr>
            <w:rStyle w:val="Hyperlink"/>
          </w:rPr>
          <w:t>RhD immunoglobulin (RhD Ig)</w:t>
        </w:r>
        <w:r w:rsidR="00E37625">
          <w:rPr>
            <w:webHidden/>
          </w:rPr>
          <w:tab/>
        </w:r>
        <w:r w:rsidR="00E37625">
          <w:rPr>
            <w:webHidden/>
          </w:rPr>
          <w:fldChar w:fldCharType="begin"/>
        </w:r>
        <w:r w:rsidR="00E37625">
          <w:rPr>
            <w:webHidden/>
          </w:rPr>
          <w:instrText xml:space="preserve"> PAGEREF _Toc24287449 \h </w:instrText>
        </w:r>
        <w:r w:rsidR="00E37625">
          <w:rPr>
            <w:webHidden/>
          </w:rPr>
        </w:r>
        <w:r w:rsidR="00E37625">
          <w:rPr>
            <w:webHidden/>
          </w:rPr>
          <w:fldChar w:fldCharType="separate"/>
        </w:r>
        <w:r w:rsidR="00E37625">
          <w:rPr>
            <w:webHidden/>
          </w:rPr>
          <w:t>43</w:t>
        </w:r>
        <w:r w:rsidR="00E37625">
          <w:rPr>
            <w:webHidden/>
          </w:rPr>
          <w:fldChar w:fldCharType="end"/>
        </w:r>
      </w:hyperlink>
    </w:p>
    <w:p w14:paraId="0BC634C8" w14:textId="20DA189F" w:rsidR="00E37625" w:rsidRDefault="00417226">
      <w:pPr>
        <w:pStyle w:val="TOC3"/>
        <w:rPr>
          <w:rFonts w:asciiTheme="minorHAnsi" w:eastAsiaTheme="minorEastAsia" w:hAnsiTheme="minorHAnsi" w:cstheme="minorBidi"/>
          <w:noProof/>
          <w:sz w:val="22"/>
          <w:szCs w:val="22"/>
          <w:lang w:val="en-US"/>
        </w:rPr>
      </w:pPr>
      <w:hyperlink w:anchor="_Toc24287450" w:history="1">
        <w:r w:rsidR="00E37625" w:rsidRPr="00173D21">
          <w:rPr>
            <w:rStyle w:val="Hyperlink"/>
            <w:noProof/>
          </w:rPr>
          <w:t>Blood Matters RhD Ig use in obstetrics audit</w:t>
        </w:r>
        <w:r w:rsidR="00E37625">
          <w:rPr>
            <w:noProof/>
            <w:webHidden/>
          </w:rPr>
          <w:tab/>
        </w:r>
        <w:r w:rsidR="00E37625">
          <w:rPr>
            <w:noProof/>
            <w:webHidden/>
          </w:rPr>
          <w:fldChar w:fldCharType="begin"/>
        </w:r>
        <w:r w:rsidR="00E37625">
          <w:rPr>
            <w:noProof/>
            <w:webHidden/>
          </w:rPr>
          <w:instrText xml:space="preserve"> PAGEREF _Toc24287450 \h </w:instrText>
        </w:r>
        <w:r w:rsidR="00E37625">
          <w:rPr>
            <w:noProof/>
            <w:webHidden/>
          </w:rPr>
        </w:r>
        <w:r w:rsidR="00E37625">
          <w:rPr>
            <w:noProof/>
            <w:webHidden/>
          </w:rPr>
          <w:fldChar w:fldCharType="separate"/>
        </w:r>
        <w:r w:rsidR="00E37625">
          <w:rPr>
            <w:noProof/>
            <w:webHidden/>
          </w:rPr>
          <w:t>44</w:t>
        </w:r>
        <w:r w:rsidR="00E37625">
          <w:rPr>
            <w:noProof/>
            <w:webHidden/>
          </w:rPr>
          <w:fldChar w:fldCharType="end"/>
        </w:r>
      </w:hyperlink>
    </w:p>
    <w:p w14:paraId="4DE383D8" w14:textId="46C0B452" w:rsidR="00E37625" w:rsidRDefault="00417226">
      <w:pPr>
        <w:pStyle w:val="TOC3"/>
        <w:rPr>
          <w:rFonts w:asciiTheme="minorHAnsi" w:eastAsiaTheme="minorEastAsia" w:hAnsiTheme="minorHAnsi" w:cstheme="minorBidi"/>
          <w:noProof/>
          <w:sz w:val="22"/>
          <w:szCs w:val="22"/>
          <w:lang w:val="en-US"/>
        </w:rPr>
      </w:pPr>
      <w:hyperlink w:anchor="_Toc24287451" w:history="1">
        <w:r w:rsidR="00E37625" w:rsidRPr="00173D21">
          <w:rPr>
            <w:rStyle w:val="Hyperlink"/>
            <w:noProof/>
          </w:rPr>
          <w:t>Case study 18: RhD Ig administration – electronic ordering and understanding of blood group and antibody results</w:t>
        </w:r>
        <w:r w:rsidR="00E37625">
          <w:rPr>
            <w:noProof/>
            <w:webHidden/>
          </w:rPr>
          <w:tab/>
        </w:r>
        <w:r w:rsidR="00E37625">
          <w:rPr>
            <w:noProof/>
            <w:webHidden/>
          </w:rPr>
          <w:fldChar w:fldCharType="begin"/>
        </w:r>
        <w:r w:rsidR="00E37625">
          <w:rPr>
            <w:noProof/>
            <w:webHidden/>
          </w:rPr>
          <w:instrText xml:space="preserve"> PAGEREF _Toc24287451 \h </w:instrText>
        </w:r>
        <w:r w:rsidR="00E37625">
          <w:rPr>
            <w:noProof/>
            <w:webHidden/>
          </w:rPr>
        </w:r>
        <w:r w:rsidR="00E37625">
          <w:rPr>
            <w:noProof/>
            <w:webHidden/>
          </w:rPr>
          <w:fldChar w:fldCharType="separate"/>
        </w:r>
        <w:r w:rsidR="00E37625">
          <w:rPr>
            <w:noProof/>
            <w:webHidden/>
          </w:rPr>
          <w:t>45</w:t>
        </w:r>
        <w:r w:rsidR="00E37625">
          <w:rPr>
            <w:noProof/>
            <w:webHidden/>
          </w:rPr>
          <w:fldChar w:fldCharType="end"/>
        </w:r>
      </w:hyperlink>
    </w:p>
    <w:p w14:paraId="2C45CF3C" w14:textId="0633869D" w:rsidR="00E37625" w:rsidRDefault="00417226">
      <w:pPr>
        <w:pStyle w:val="TOC3"/>
        <w:rPr>
          <w:rFonts w:asciiTheme="minorHAnsi" w:eastAsiaTheme="minorEastAsia" w:hAnsiTheme="minorHAnsi" w:cstheme="minorBidi"/>
          <w:noProof/>
          <w:sz w:val="22"/>
          <w:szCs w:val="22"/>
          <w:lang w:val="en-US"/>
        </w:rPr>
      </w:pPr>
      <w:hyperlink w:anchor="_Toc24287452" w:history="1">
        <w:r w:rsidR="00E37625" w:rsidRPr="00173D21">
          <w:rPr>
            <w:rStyle w:val="Hyperlink"/>
            <w:noProof/>
          </w:rPr>
          <w:t>Case study 19: RhD administration – transcription error leading to inappropriate administration</w:t>
        </w:r>
        <w:r w:rsidR="00E37625">
          <w:rPr>
            <w:noProof/>
            <w:webHidden/>
          </w:rPr>
          <w:tab/>
        </w:r>
        <w:r w:rsidR="00E37625">
          <w:rPr>
            <w:noProof/>
            <w:webHidden/>
          </w:rPr>
          <w:fldChar w:fldCharType="begin"/>
        </w:r>
        <w:r w:rsidR="00E37625">
          <w:rPr>
            <w:noProof/>
            <w:webHidden/>
          </w:rPr>
          <w:instrText xml:space="preserve"> PAGEREF _Toc24287452 \h </w:instrText>
        </w:r>
        <w:r w:rsidR="00E37625">
          <w:rPr>
            <w:noProof/>
            <w:webHidden/>
          </w:rPr>
        </w:r>
        <w:r w:rsidR="00E37625">
          <w:rPr>
            <w:noProof/>
            <w:webHidden/>
          </w:rPr>
          <w:fldChar w:fldCharType="separate"/>
        </w:r>
        <w:r w:rsidR="00E37625">
          <w:rPr>
            <w:noProof/>
            <w:webHidden/>
          </w:rPr>
          <w:t>46</w:t>
        </w:r>
        <w:r w:rsidR="00E37625">
          <w:rPr>
            <w:noProof/>
            <w:webHidden/>
          </w:rPr>
          <w:fldChar w:fldCharType="end"/>
        </w:r>
      </w:hyperlink>
    </w:p>
    <w:p w14:paraId="0D2BFB81" w14:textId="658F8B85" w:rsidR="00E37625" w:rsidRDefault="00417226">
      <w:pPr>
        <w:pStyle w:val="TOC2"/>
        <w:rPr>
          <w:rFonts w:asciiTheme="minorHAnsi" w:eastAsiaTheme="minorEastAsia" w:hAnsiTheme="minorHAnsi" w:cstheme="minorBidi"/>
          <w:sz w:val="22"/>
          <w:szCs w:val="22"/>
          <w:lang w:val="en-US"/>
        </w:rPr>
      </w:pPr>
      <w:hyperlink w:anchor="_Toc24287453" w:history="1">
        <w:r w:rsidR="00E37625" w:rsidRPr="00173D21">
          <w:rPr>
            <w:rStyle w:val="Hyperlink"/>
          </w:rPr>
          <w:t>Cell salvage</w:t>
        </w:r>
        <w:r w:rsidR="00E37625">
          <w:rPr>
            <w:webHidden/>
          </w:rPr>
          <w:tab/>
        </w:r>
        <w:r w:rsidR="00E37625">
          <w:rPr>
            <w:webHidden/>
          </w:rPr>
          <w:fldChar w:fldCharType="begin"/>
        </w:r>
        <w:r w:rsidR="00E37625">
          <w:rPr>
            <w:webHidden/>
          </w:rPr>
          <w:instrText xml:space="preserve"> PAGEREF _Toc24287453 \h </w:instrText>
        </w:r>
        <w:r w:rsidR="00E37625">
          <w:rPr>
            <w:webHidden/>
          </w:rPr>
        </w:r>
        <w:r w:rsidR="00E37625">
          <w:rPr>
            <w:webHidden/>
          </w:rPr>
          <w:fldChar w:fldCharType="separate"/>
        </w:r>
        <w:r w:rsidR="00E37625">
          <w:rPr>
            <w:webHidden/>
          </w:rPr>
          <w:t>46</w:t>
        </w:r>
        <w:r w:rsidR="00E37625">
          <w:rPr>
            <w:webHidden/>
          </w:rPr>
          <w:fldChar w:fldCharType="end"/>
        </w:r>
      </w:hyperlink>
    </w:p>
    <w:p w14:paraId="6B5C3B02" w14:textId="2D37666C" w:rsidR="00E37625" w:rsidRDefault="00417226">
      <w:pPr>
        <w:pStyle w:val="TOC2"/>
        <w:rPr>
          <w:rFonts w:asciiTheme="minorHAnsi" w:eastAsiaTheme="minorEastAsia" w:hAnsiTheme="minorHAnsi" w:cstheme="minorBidi"/>
          <w:sz w:val="22"/>
          <w:szCs w:val="22"/>
          <w:lang w:val="en-US"/>
        </w:rPr>
      </w:pPr>
      <w:hyperlink w:anchor="_Toc24287454" w:history="1">
        <w:r w:rsidR="00E37625" w:rsidRPr="00173D21">
          <w:rPr>
            <w:rStyle w:val="Hyperlink"/>
          </w:rPr>
          <w:t>Sentinel events</w:t>
        </w:r>
        <w:r w:rsidR="00E37625">
          <w:rPr>
            <w:webHidden/>
          </w:rPr>
          <w:tab/>
        </w:r>
        <w:r w:rsidR="00E37625">
          <w:rPr>
            <w:webHidden/>
          </w:rPr>
          <w:fldChar w:fldCharType="begin"/>
        </w:r>
        <w:r w:rsidR="00E37625">
          <w:rPr>
            <w:webHidden/>
          </w:rPr>
          <w:instrText xml:space="preserve"> PAGEREF _Toc24287454 \h </w:instrText>
        </w:r>
        <w:r w:rsidR="00E37625">
          <w:rPr>
            <w:webHidden/>
          </w:rPr>
        </w:r>
        <w:r w:rsidR="00E37625">
          <w:rPr>
            <w:webHidden/>
          </w:rPr>
          <w:fldChar w:fldCharType="separate"/>
        </w:r>
        <w:r w:rsidR="00E37625">
          <w:rPr>
            <w:webHidden/>
          </w:rPr>
          <w:t>46</w:t>
        </w:r>
        <w:r w:rsidR="00E37625">
          <w:rPr>
            <w:webHidden/>
          </w:rPr>
          <w:fldChar w:fldCharType="end"/>
        </w:r>
      </w:hyperlink>
    </w:p>
    <w:p w14:paraId="4C50AFF1" w14:textId="6C61E167" w:rsidR="00E37625" w:rsidRDefault="00417226">
      <w:pPr>
        <w:pStyle w:val="TOC1"/>
        <w:rPr>
          <w:rFonts w:asciiTheme="minorHAnsi" w:eastAsiaTheme="minorEastAsia" w:hAnsiTheme="minorHAnsi" w:cstheme="minorBidi"/>
          <w:b w:val="0"/>
          <w:sz w:val="22"/>
          <w:szCs w:val="22"/>
          <w:lang w:val="en-US"/>
        </w:rPr>
      </w:pPr>
      <w:hyperlink w:anchor="_Toc24287455" w:history="1">
        <w:r w:rsidR="00E37625" w:rsidRPr="00173D21">
          <w:rPr>
            <w:rStyle w:val="Hyperlink"/>
          </w:rPr>
          <w:t>Future</w:t>
        </w:r>
        <w:r w:rsidR="00E37625">
          <w:rPr>
            <w:webHidden/>
          </w:rPr>
          <w:tab/>
        </w:r>
        <w:r w:rsidR="00E37625">
          <w:rPr>
            <w:webHidden/>
          </w:rPr>
          <w:fldChar w:fldCharType="begin"/>
        </w:r>
        <w:r w:rsidR="00E37625">
          <w:rPr>
            <w:webHidden/>
          </w:rPr>
          <w:instrText xml:space="preserve"> PAGEREF _Toc24287455 \h </w:instrText>
        </w:r>
        <w:r w:rsidR="00E37625">
          <w:rPr>
            <w:webHidden/>
          </w:rPr>
        </w:r>
        <w:r w:rsidR="00E37625">
          <w:rPr>
            <w:webHidden/>
          </w:rPr>
          <w:fldChar w:fldCharType="separate"/>
        </w:r>
        <w:r w:rsidR="00E37625">
          <w:rPr>
            <w:webHidden/>
          </w:rPr>
          <w:t>47</w:t>
        </w:r>
        <w:r w:rsidR="00E37625">
          <w:rPr>
            <w:webHidden/>
          </w:rPr>
          <w:fldChar w:fldCharType="end"/>
        </w:r>
      </w:hyperlink>
    </w:p>
    <w:p w14:paraId="4E7A7FE6" w14:textId="5CE2A567" w:rsidR="00E37625" w:rsidRDefault="00417226">
      <w:pPr>
        <w:pStyle w:val="TOC1"/>
        <w:rPr>
          <w:rFonts w:asciiTheme="minorHAnsi" w:eastAsiaTheme="minorEastAsia" w:hAnsiTheme="minorHAnsi" w:cstheme="minorBidi"/>
          <w:b w:val="0"/>
          <w:sz w:val="22"/>
          <w:szCs w:val="22"/>
          <w:lang w:val="en-US"/>
        </w:rPr>
      </w:pPr>
      <w:hyperlink w:anchor="_Toc24287456" w:history="1">
        <w:r w:rsidR="00E37625" w:rsidRPr="00173D21">
          <w:rPr>
            <w:rStyle w:val="Hyperlink"/>
          </w:rPr>
          <w:t>References</w:t>
        </w:r>
        <w:r w:rsidR="00E37625">
          <w:rPr>
            <w:webHidden/>
          </w:rPr>
          <w:tab/>
        </w:r>
        <w:r w:rsidR="00E37625">
          <w:rPr>
            <w:webHidden/>
          </w:rPr>
          <w:fldChar w:fldCharType="begin"/>
        </w:r>
        <w:r w:rsidR="00E37625">
          <w:rPr>
            <w:webHidden/>
          </w:rPr>
          <w:instrText xml:space="preserve"> PAGEREF _Toc24287456 \h </w:instrText>
        </w:r>
        <w:r w:rsidR="00E37625">
          <w:rPr>
            <w:webHidden/>
          </w:rPr>
        </w:r>
        <w:r w:rsidR="00E37625">
          <w:rPr>
            <w:webHidden/>
          </w:rPr>
          <w:fldChar w:fldCharType="separate"/>
        </w:r>
        <w:r w:rsidR="00E37625">
          <w:rPr>
            <w:webHidden/>
          </w:rPr>
          <w:t>48</w:t>
        </w:r>
        <w:r w:rsidR="00E37625">
          <w:rPr>
            <w:webHidden/>
          </w:rPr>
          <w:fldChar w:fldCharType="end"/>
        </w:r>
      </w:hyperlink>
    </w:p>
    <w:p w14:paraId="4C89821B" w14:textId="0949DF31" w:rsidR="00E37625" w:rsidRDefault="00417226">
      <w:pPr>
        <w:pStyle w:val="TOC2"/>
        <w:rPr>
          <w:rFonts w:asciiTheme="minorHAnsi" w:eastAsiaTheme="minorEastAsia" w:hAnsiTheme="minorHAnsi" w:cstheme="minorBidi"/>
          <w:sz w:val="22"/>
          <w:szCs w:val="22"/>
          <w:lang w:val="en-US"/>
        </w:rPr>
      </w:pPr>
      <w:hyperlink w:anchor="_Toc24287457" w:history="1">
        <w:r w:rsidR="00E37625" w:rsidRPr="00173D21">
          <w:rPr>
            <w:rStyle w:val="Hyperlink"/>
          </w:rPr>
          <w:t>Case study references</w:t>
        </w:r>
        <w:r w:rsidR="00E37625">
          <w:rPr>
            <w:webHidden/>
          </w:rPr>
          <w:tab/>
        </w:r>
        <w:r w:rsidR="00E37625">
          <w:rPr>
            <w:webHidden/>
          </w:rPr>
          <w:fldChar w:fldCharType="begin"/>
        </w:r>
        <w:r w:rsidR="00E37625">
          <w:rPr>
            <w:webHidden/>
          </w:rPr>
          <w:instrText xml:space="preserve"> PAGEREF _Toc24287457 \h </w:instrText>
        </w:r>
        <w:r w:rsidR="00E37625">
          <w:rPr>
            <w:webHidden/>
          </w:rPr>
        </w:r>
        <w:r w:rsidR="00E37625">
          <w:rPr>
            <w:webHidden/>
          </w:rPr>
          <w:fldChar w:fldCharType="separate"/>
        </w:r>
        <w:r w:rsidR="00E37625">
          <w:rPr>
            <w:webHidden/>
          </w:rPr>
          <w:t>48</w:t>
        </w:r>
        <w:r w:rsidR="00E37625">
          <w:rPr>
            <w:webHidden/>
          </w:rPr>
          <w:fldChar w:fldCharType="end"/>
        </w:r>
      </w:hyperlink>
    </w:p>
    <w:p w14:paraId="525120B2" w14:textId="6C9B9C15" w:rsidR="00E37625" w:rsidRDefault="00417226">
      <w:pPr>
        <w:pStyle w:val="TOC1"/>
        <w:rPr>
          <w:rFonts w:asciiTheme="minorHAnsi" w:eastAsiaTheme="minorEastAsia" w:hAnsiTheme="minorHAnsi" w:cstheme="minorBidi"/>
          <w:b w:val="0"/>
          <w:sz w:val="22"/>
          <w:szCs w:val="22"/>
          <w:lang w:val="en-US"/>
        </w:rPr>
      </w:pPr>
      <w:hyperlink w:anchor="_Toc24287458" w:history="1">
        <w:r w:rsidR="00E37625" w:rsidRPr="00173D21">
          <w:rPr>
            <w:rStyle w:val="Hyperlink"/>
          </w:rPr>
          <w:t>Appendix</w:t>
        </w:r>
        <w:r w:rsidR="00996BCB">
          <w:rPr>
            <w:rStyle w:val="Hyperlink"/>
          </w:rPr>
          <w:t xml:space="preserve"> 1</w:t>
        </w:r>
        <w:r w:rsidR="00E37625" w:rsidRPr="00173D21">
          <w:rPr>
            <w:rStyle w:val="Hyperlink"/>
          </w:rPr>
          <w:t>: STIR Expert Group members  2017–18</w:t>
        </w:r>
        <w:r w:rsidR="00E37625">
          <w:rPr>
            <w:webHidden/>
          </w:rPr>
          <w:tab/>
        </w:r>
        <w:r w:rsidR="00E37625">
          <w:rPr>
            <w:webHidden/>
          </w:rPr>
          <w:fldChar w:fldCharType="begin"/>
        </w:r>
        <w:r w:rsidR="00E37625">
          <w:rPr>
            <w:webHidden/>
          </w:rPr>
          <w:instrText xml:space="preserve"> PAGEREF _Toc24287458 \h </w:instrText>
        </w:r>
        <w:r w:rsidR="00E37625">
          <w:rPr>
            <w:webHidden/>
          </w:rPr>
        </w:r>
        <w:r w:rsidR="00E37625">
          <w:rPr>
            <w:webHidden/>
          </w:rPr>
          <w:fldChar w:fldCharType="separate"/>
        </w:r>
        <w:r w:rsidR="00E37625">
          <w:rPr>
            <w:webHidden/>
          </w:rPr>
          <w:t>49</w:t>
        </w:r>
        <w:r w:rsidR="00E37625">
          <w:rPr>
            <w:webHidden/>
          </w:rPr>
          <w:fldChar w:fldCharType="end"/>
        </w:r>
      </w:hyperlink>
    </w:p>
    <w:p w14:paraId="0D60332B" w14:textId="4A1CD246" w:rsidR="00E37625" w:rsidRDefault="00417226">
      <w:pPr>
        <w:pStyle w:val="TOC1"/>
        <w:rPr>
          <w:rFonts w:asciiTheme="minorHAnsi" w:eastAsiaTheme="minorEastAsia" w:hAnsiTheme="minorHAnsi" w:cstheme="minorBidi"/>
          <w:b w:val="0"/>
          <w:sz w:val="22"/>
          <w:szCs w:val="22"/>
          <w:lang w:val="en-US"/>
        </w:rPr>
      </w:pPr>
      <w:hyperlink w:anchor="_Toc24287459" w:history="1">
        <w:r w:rsidR="00E37625" w:rsidRPr="00173D21">
          <w:rPr>
            <w:rStyle w:val="Hyperlink"/>
          </w:rPr>
          <w:t>Appendix 2: STIR publications and promotions</w:t>
        </w:r>
        <w:r w:rsidR="00E37625">
          <w:rPr>
            <w:webHidden/>
          </w:rPr>
          <w:tab/>
        </w:r>
        <w:r w:rsidR="00E37625">
          <w:rPr>
            <w:webHidden/>
          </w:rPr>
          <w:fldChar w:fldCharType="begin"/>
        </w:r>
        <w:r w:rsidR="00E37625">
          <w:rPr>
            <w:webHidden/>
          </w:rPr>
          <w:instrText xml:space="preserve"> PAGEREF _Toc24287459 \h </w:instrText>
        </w:r>
        <w:r w:rsidR="00E37625">
          <w:rPr>
            <w:webHidden/>
          </w:rPr>
        </w:r>
        <w:r w:rsidR="00E37625">
          <w:rPr>
            <w:webHidden/>
          </w:rPr>
          <w:fldChar w:fldCharType="separate"/>
        </w:r>
        <w:r w:rsidR="00E37625">
          <w:rPr>
            <w:webHidden/>
          </w:rPr>
          <w:t>50</w:t>
        </w:r>
        <w:r w:rsidR="00E37625">
          <w:rPr>
            <w:webHidden/>
          </w:rPr>
          <w:fldChar w:fldCharType="end"/>
        </w:r>
      </w:hyperlink>
    </w:p>
    <w:p w14:paraId="3E97BEAE" w14:textId="42BC4220" w:rsidR="00E37625" w:rsidRDefault="00417226">
      <w:pPr>
        <w:pStyle w:val="TOC1"/>
        <w:rPr>
          <w:rFonts w:asciiTheme="minorHAnsi" w:eastAsiaTheme="minorEastAsia" w:hAnsiTheme="minorHAnsi" w:cstheme="minorBidi"/>
          <w:b w:val="0"/>
          <w:sz w:val="22"/>
          <w:szCs w:val="22"/>
          <w:lang w:val="en-US"/>
        </w:rPr>
      </w:pPr>
      <w:hyperlink w:anchor="_Toc24287460" w:history="1">
        <w:r w:rsidR="00E37625" w:rsidRPr="00173D21">
          <w:rPr>
            <w:rStyle w:val="Hyperlink"/>
          </w:rPr>
          <w:t>Appendix 3: Imputability and severity scores</w:t>
        </w:r>
        <w:r w:rsidR="00E37625">
          <w:rPr>
            <w:webHidden/>
          </w:rPr>
          <w:tab/>
        </w:r>
        <w:r w:rsidR="00E37625">
          <w:rPr>
            <w:webHidden/>
          </w:rPr>
          <w:fldChar w:fldCharType="begin"/>
        </w:r>
        <w:r w:rsidR="00E37625">
          <w:rPr>
            <w:webHidden/>
          </w:rPr>
          <w:instrText xml:space="preserve"> PAGEREF _Toc24287460 \h </w:instrText>
        </w:r>
        <w:r w:rsidR="00E37625">
          <w:rPr>
            <w:webHidden/>
          </w:rPr>
        </w:r>
        <w:r w:rsidR="00E37625">
          <w:rPr>
            <w:webHidden/>
          </w:rPr>
          <w:fldChar w:fldCharType="separate"/>
        </w:r>
        <w:r w:rsidR="00E37625">
          <w:rPr>
            <w:webHidden/>
          </w:rPr>
          <w:t>51</w:t>
        </w:r>
        <w:r w:rsidR="00E37625">
          <w:rPr>
            <w:webHidden/>
          </w:rPr>
          <w:fldChar w:fldCharType="end"/>
        </w:r>
      </w:hyperlink>
    </w:p>
    <w:p w14:paraId="5E7AECAE" w14:textId="7E24B898" w:rsidR="00E37625" w:rsidRDefault="00417226">
      <w:pPr>
        <w:pStyle w:val="TOC1"/>
        <w:rPr>
          <w:rFonts w:asciiTheme="minorHAnsi" w:eastAsiaTheme="minorEastAsia" w:hAnsiTheme="minorHAnsi" w:cstheme="minorBidi"/>
          <w:b w:val="0"/>
          <w:sz w:val="22"/>
          <w:szCs w:val="22"/>
          <w:lang w:val="en-US"/>
        </w:rPr>
      </w:pPr>
      <w:hyperlink w:anchor="_Toc24287461" w:history="1">
        <w:r w:rsidR="00E37625" w:rsidRPr="00173D21">
          <w:rPr>
            <w:rStyle w:val="Hyperlink"/>
          </w:rPr>
          <w:t>Appendix 4: Case studies</w:t>
        </w:r>
        <w:r w:rsidR="00E37625">
          <w:rPr>
            <w:webHidden/>
          </w:rPr>
          <w:tab/>
        </w:r>
        <w:r w:rsidR="00E37625">
          <w:rPr>
            <w:webHidden/>
          </w:rPr>
          <w:fldChar w:fldCharType="begin"/>
        </w:r>
        <w:r w:rsidR="00E37625">
          <w:rPr>
            <w:webHidden/>
          </w:rPr>
          <w:instrText xml:space="preserve"> PAGEREF _Toc24287461 \h </w:instrText>
        </w:r>
        <w:r w:rsidR="00E37625">
          <w:rPr>
            <w:webHidden/>
          </w:rPr>
        </w:r>
        <w:r w:rsidR="00E37625">
          <w:rPr>
            <w:webHidden/>
          </w:rPr>
          <w:fldChar w:fldCharType="separate"/>
        </w:r>
        <w:r w:rsidR="00E37625">
          <w:rPr>
            <w:webHidden/>
          </w:rPr>
          <w:t>52</w:t>
        </w:r>
        <w:r w:rsidR="00E37625">
          <w:rPr>
            <w:webHidden/>
          </w:rPr>
          <w:fldChar w:fldCharType="end"/>
        </w:r>
      </w:hyperlink>
    </w:p>
    <w:p w14:paraId="085642F0" w14:textId="42713624" w:rsidR="003E2E12" w:rsidRPr="003072C6" w:rsidRDefault="00D31D30" w:rsidP="00213772">
      <w:pPr>
        <w:pStyle w:val="TOC2"/>
        <w:rPr>
          <w:noProof w:val="0"/>
        </w:rPr>
      </w:pPr>
      <w:r>
        <w:rPr>
          <w:noProof w:val="0"/>
        </w:rPr>
        <w:fldChar w:fldCharType="end"/>
      </w:r>
    </w:p>
    <w:p w14:paraId="7052A6C2" w14:textId="5A6FAA75" w:rsidR="00AC0C3B" w:rsidRPr="003072C6" w:rsidRDefault="00AC0C3B" w:rsidP="00E91933">
      <w:pPr>
        <w:pStyle w:val="DHHSbody"/>
      </w:pPr>
    </w:p>
    <w:p w14:paraId="2DD45BCF"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7B87F6AB" w14:textId="54B90C00" w:rsidR="00B5678E" w:rsidRPr="00B5678E" w:rsidRDefault="00B5678E" w:rsidP="00B5678E">
      <w:pPr>
        <w:pStyle w:val="Heading1"/>
      </w:pPr>
      <w:bookmarkStart w:id="0" w:name="_Toc24287402"/>
      <w:bookmarkStart w:id="1" w:name="_Toc442704364"/>
      <w:r>
        <w:lastRenderedPageBreak/>
        <w:t>Acknowledgements</w:t>
      </w:r>
      <w:bookmarkEnd w:id="0"/>
    </w:p>
    <w:p w14:paraId="47B609A4" w14:textId="0B8750B6" w:rsidR="00B5678E" w:rsidRPr="00B5678E" w:rsidRDefault="00B5678E" w:rsidP="00B5678E">
      <w:pPr>
        <w:pStyle w:val="DHHSbody"/>
      </w:pPr>
      <w:r w:rsidRPr="00B5678E">
        <w:t xml:space="preserve">The Blood Matters program is a collaboration between the Victorian Department of Health and Human Services and the Australian Red Cross Blood Service. It is founded on the expectation that </w:t>
      </w:r>
      <w:r w:rsidR="000A3615">
        <w:t>providing</w:t>
      </w:r>
      <w:r w:rsidRPr="00B5678E">
        <w:t xml:space="preserve"> </w:t>
      </w:r>
      <w:proofErr w:type="spellStart"/>
      <w:r w:rsidRPr="00B5678E">
        <w:t>haemovigilance</w:t>
      </w:r>
      <w:proofErr w:type="spellEnd"/>
      <w:r w:rsidRPr="00B5678E">
        <w:t xml:space="preserve"> information support</w:t>
      </w:r>
      <w:r w:rsidR="000A3615">
        <w:t>s</w:t>
      </w:r>
      <w:r w:rsidRPr="00B5678E">
        <w:t xml:space="preserve"> the community by promoting better transfusion practice.</w:t>
      </w:r>
    </w:p>
    <w:p w14:paraId="2D6F0548" w14:textId="77777777" w:rsidR="000A3615" w:rsidRDefault="00B5678E" w:rsidP="00E01893">
      <w:pPr>
        <w:pStyle w:val="DHHSbody"/>
      </w:pPr>
      <w:r w:rsidRPr="00B5678E">
        <w:t xml:space="preserve">The Serious Transfusion Incident Reporting (STIR) program thanks the participating Victorian, Tasmanian, Australian Capital Territory and Northern Territory public and private health services for their contribution to the program. </w:t>
      </w:r>
    </w:p>
    <w:p w14:paraId="2B150E46" w14:textId="61300E9D" w:rsidR="00B5678E" w:rsidRPr="00343635" w:rsidRDefault="00B5678E" w:rsidP="00E01893">
      <w:pPr>
        <w:pStyle w:val="DHHSbody"/>
      </w:pPr>
      <w:r w:rsidRPr="00B5678E">
        <w:t xml:space="preserve">Blood Matters recognises and appreciates the generous in-kind support of the STIR Expert </w:t>
      </w:r>
      <w:r w:rsidR="000A3615">
        <w:t>G</w:t>
      </w:r>
      <w:r w:rsidRPr="00B5678E">
        <w:t>roup, whose input is invaluable in reviewing the incidents and providing recommendations.</w:t>
      </w:r>
    </w:p>
    <w:p w14:paraId="61D16C4B" w14:textId="736CDF0E" w:rsidR="00B5678E" w:rsidRDefault="00B5678E" w:rsidP="00B5678E">
      <w:pPr>
        <w:pStyle w:val="Heading1"/>
      </w:pPr>
      <w:bookmarkStart w:id="2" w:name="_Toc24287403"/>
      <w:r w:rsidRPr="00343635">
        <w:lastRenderedPageBreak/>
        <w:t>Abbreviations, acronyms and definitions</w:t>
      </w:r>
      <w:bookmarkEnd w:id="2"/>
    </w:p>
    <w:tbl>
      <w:tblPr>
        <w:tblStyle w:val="TableGrid"/>
        <w:tblW w:w="9127" w:type="dxa"/>
        <w:tblLayout w:type="fixed"/>
        <w:tblLook w:val="04A0" w:firstRow="1" w:lastRow="0" w:firstColumn="1" w:lastColumn="0" w:noHBand="0" w:noVBand="1"/>
      </w:tblPr>
      <w:tblGrid>
        <w:gridCol w:w="2154"/>
        <w:gridCol w:w="6973"/>
      </w:tblGrid>
      <w:tr w:rsidR="000A3615" w:rsidRPr="00E01893" w14:paraId="3D0EBA70" w14:textId="77777777" w:rsidTr="00E56E6D">
        <w:trPr>
          <w:tblHeader/>
        </w:trPr>
        <w:tc>
          <w:tcPr>
            <w:tcW w:w="2154" w:type="dxa"/>
          </w:tcPr>
          <w:p w14:paraId="7A6762AB" w14:textId="09E12D60" w:rsidR="000A3615" w:rsidRPr="000A3615" w:rsidRDefault="000A3615" w:rsidP="00881FA7">
            <w:pPr>
              <w:pStyle w:val="DHHStablecolhead"/>
            </w:pPr>
            <w:r w:rsidRPr="000A3615">
              <w:t>Term</w:t>
            </w:r>
          </w:p>
        </w:tc>
        <w:tc>
          <w:tcPr>
            <w:tcW w:w="6973" w:type="dxa"/>
          </w:tcPr>
          <w:p w14:paraId="6B4123FE" w14:textId="6D53E67F" w:rsidR="000A3615" w:rsidRPr="000A3615" w:rsidRDefault="000A3615" w:rsidP="00881FA7">
            <w:pPr>
              <w:pStyle w:val="DHHStablecolhead"/>
            </w:pPr>
            <w:r w:rsidRPr="000A3615">
              <w:t>Definition</w:t>
            </w:r>
          </w:p>
        </w:tc>
      </w:tr>
      <w:tr w:rsidR="000A3615" w:rsidRPr="00E01893" w14:paraId="03221E6E" w14:textId="77777777" w:rsidTr="00E56E6D">
        <w:tc>
          <w:tcPr>
            <w:tcW w:w="2154" w:type="dxa"/>
          </w:tcPr>
          <w:p w14:paraId="55629F08" w14:textId="77777777" w:rsidR="00E01893" w:rsidRPr="00E01893" w:rsidRDefault="00E01893" w:rsidP="00EB32E5">
            <w:pPr>
              <w:pStyle w:val="DHHSbody"/>
            </w:pPr>
            <w:r w:rsidRPr="00E01893">
              <w:t>ABO</w:t>
            </w:r>
          </w:p>
        </w:tc>
        <w:tc>
          <w:tcPr>
            <w:tcW w:w="6973" w:type="dxa"/>
          </w:tcPr>
          <w:p w14:paraId="437BE58D" w14:textId="77777777" w:rsidR="00E01893" w:rsidRPr="00E01893" w:rsidRDefault="00E01893" w:rsidP="00EB32E5">
            <w:pPr>
              <w:pStyle w:val="DHHSbody"/>
            </w:pPr>
            <w:r w:rsidRPr="00E01893">
              <w:t>major human blood group system</w:t>
            </w:r>
          </w:p>
        </w:tc>
      </w:tr>
      <w:tr w:rsidR="000A3615" w:rsidRPr="00E01893" w14:paraId="5133AA03" w14:textId="77777777" w:rsidTr="00E56E6D">
        <w:tc>
          <w:tcPr>
            <w:tcW w:w="2154" w:type="dxa"/>
          </w:tcPr>
          <w:p w14:paraId="4EF60B05" w14:textId="77777777" w:rsidR="00E01893" w:rsidRPr="00E01893" w:rsidRDefault="00E01893" w:rsidP="00EB32E5">
            <w:pPr>
              <w:pStyle w:val="DHHSbody"/>
            </w:pPr>
            <w:r w:rsidRPr="00E01893">
              <w:t>ADAMTS13</w:t>
            </w:r>
          </w:p>
        </w:tc>
        <w:tc>
          <w:tcPr>
            <w:tcW w:w="6973" w:type="dxa"/>
          </w:tcPr>
          <w:p w14:paraId="5011AD56" w14:textId="77777777" w:rsidR="00E01893" w:rsidRPr="00E01893" w:rsidRDefault="00E01893" w:rsidP="00EB32E5">
            <w:pPr>
              <w:pStyle w:val="DHHSbody"/>
            </w:pPr>
            <w:r w:rsidRPr="00E01893">
              <w:t xml:space="preserve">a </w:t>
            </w:r>
            <w:proofErr w:type="spellStart"/>
            <w:r w:rsidRPr="00E01893">
              <w:t>disintegrin</w:t>
            </w:r>
            <w:proofErr w:type="spellEnd"/>
            <w:r w:rsidRPr="00E01893">
              <w:t xml:space="preserve"> and metalloproteinase with a thrombospondin type 1 motif, member 13</w:t>
            </w:r>
          </w:p>
        </w:tc>
      </w:tr>
      <w:tr w:rsidR="000A3615" w:rsidRPr="00E01893" w14:paraId="5609E7F2" w14:textId="77777777" w:rsidTr="00E56E6D">
        <w:tc>
          <w:tcPr>
            <w:tcW w:w="2154" w:type="dxa"/>
          </w:tcPr>
          <w:p w14:paraId="460E12E6" w14:textId="77777777" w:rsidR="00E01893" w:rsidRPr="00E01893" w:rsidRDefault="00E01893" w:rsidP="00EB32E5">
            <w:pPr>
              <w:pStyle w:val="DHHSbody"/>
            </w:pPr>
            <w:r w:rsidRPr="00E01893">
              <w:t>AHMDS</w:t>
            </w:r>
          </w:p>
        </w:tc>
        <w:tc>
          <w:tcPr>
            <w:tcW w:w="6973" w:type="dxa"/>
          </w:tcPr>
          <w:p w14:paraId="24F7EB48" w14:textId="77777777" w:rsidR="00E01893" w:rsidRPr="00E01893" w:rsidRDefault="00E01893" w:rsidP="00EB32E5">
            <w:pPr>
              <w:pStyle w:val="DHHSbody"/>
            </w:pPr>
            <w:r w:rsidRPr="00E01893">
              <w:t xml:space="preserve">Australian </w:t>
            </w:r>
            <w:proofErr w:type="spellStart"/>
            <w:r w:rsidRPr="00E01893">
              <w:t>Haemovigilance</w:t>
            </w:r>
            <w:proofErr w:type="spellEnd"/>
            <w:r w:rsidRPr="00E01893">
              <w:t xml:space="preserve"> Minimum Data Set</w:t>
            </w:r>
          </w:p>
        </w:tc>
      </w:tr>
      <w:tr w:rsidR="000A3615" w:rsidRPr="00E01893" w14:paraId="1C466962" w14:textId="77777777" w:rsidTr="00E56E6D">
        <w:tc>
          <w:tcPr>
            <w:tcW w:w="2154" w:type="dxa"/>
          </w:tcPr>
          <w:p w14:paraId="551410FF" w14:textId="77777777" w:rsidR="00E01893" w:rsidRPr="00E01893" w:rsidRDefault="00E01893" w:rsidP="00EB32E5">
            <w:pPr>
              <w:pStyle w:val="DHHSbody"/>
            </w:pPr>
            <w:r w:rsidRPr="00E01893">
              <w:t>ANZSBT</w:t>
            </w:r>
          </w:p>
        </w:tc>
        <w:tc>
          <w:tcPr>
            <w:tcW w:w="6973" w:type="dxa"/>
          </w:tcPr>
          <w:p w14:paraId="7DDCD78E" w14:textId="77777777" w:rsidR="00E01893" w:rsidRPr="00E01893" w:rsidRDefault="00E01893" w:rsidP="00EB32E5">
            <w:pPr>
              <w:pStyle w:val="DHHSbody"/>
            </w:pPr>
            <w:r w:rsidRPr="00E01893">
              <w:t>Australian and New Zealand Society of Blood Transfusion</w:t>
            </w:r>
          </w:p>
        </w:tc>
      </w:tr>
      <w:tr w:rsidR="000A3615" w:rsidRPr="00E01893" w14:paraId="55BAF547" w14:textId="77777777" w:rsidTr="00E56E6D">
        <w:tc>
          <w:tcPr>
            <w:tcW w:w="2154" w:type="dxa"/>
          </w:tcPr>
          <w:p w14:paraId="5445A5BF" w14:textId="77777777" w:rsidR="00E01893" w:rsidRPr="00E01893" w:rsidRDefault="00E01893" w:rsidP="00EB32E5">
            <w:pPr>
              <w:pStyle w:val="DHHSbody"/>
            </w:pPr>
            <w:r w:rsidRPr="00E01893">
              <w:t>ASFA</w:t>
            </w:r>
          </w:p>
        </w:tc>
        <w:tc>
          <w:tcPr>
            <w:tcW w:w="6973" w:type="dxa"/>
          </w:tcPr>
          <w:p w14:paraId="0EF485BA" w14:textId="77777777" w:rsidR="00E01893" w:rsidRPr="00E01893" w:rsidRDefault="00E01893" w:rsidP="00EB32E5">
            <w:pPr>
              <w:pStyle w:val="DHHSbody"/>
            </w:pPr>
            <w:r w:rsidRPr="00E01893">
              <w:t>American Society for Apheresis</w:t>
            </w:r>
          </w:p>
        </w:tc>
      </w:tr>
      <w:tr w:rsidR="000A3615" w:rsidRPr="00E01893" w14:paraId="01711E7A" w14:textId="77777777" w:rsidTr="00E56E6D">
        <w:tc>
          <w:tcPr>
            <w:tcW w:w="2154" w:type="dxa"/>
          </w:tcPr>
          <w:p w14:paraId="0060944A" w14:textId="77777777" w:rsidR="00E01893" w:rsidRPr="00E01893" w:rsidRDefault="00E01893" w:rsidP="00EB32E5">
            <w:pPr>
              <w:pStyle w:val="DHHSbody"/>
            </w:pPr>
            <w:r w:rsidRPr="00E01893">
              <w:t>ATR</w:t>
            </w:r>
          </w:p>
        </w:tc>
        <w:tc>
          <w:tcPr>
            <w:tcW w:w="6973" w:type="dxa"/>
          </w:tcPr>
          <w:p w14:paraId="14259927" w14:textId="77777777" w:rsidR="00E01893" w:rsidRPr="00E01893" w:rsidRDefault="00E01893" w:rsidP="00EB32E5">
            <w:pPr>
              <w:pStyle w:val="DHHSbody"/>
            </w:pPr>
            <w:r w:rsidRPr="00E01893">
              <w:t>acute transfusion reaction</w:t>
            </w:r>
          </w:p>
        </w:tc>
      </w:tr>
      <w:tr w:rsidR="000A3615" w:rsidRPr="00E01893" w14:paraId="1C7B8D0A" w14:textId="77777777" w:rsidTr="00E56E6D">
        <w:tc>
          <w:tcPr>
            <w:tcW w:w="2154" w:type="dxa"/>
          </w:tcPr>
          <w:p w14:paraId="6BAADDBB" w14:textId="77777777" w:rsidR="00E01893" w:rsidRPr="00E01893" w:rsidRDefault="00E01893" w:rsidP="00EB32E5">
            <w:pPr>
              <w:pStyle w:val="DHHSbody"/>
            </w:pPr>
            <w:r w:rsidRPr="00E01893">
              <w:t>B19V</w:t>
            </w:r>
          </w:p>
        </w:tc>
        <w:tc>
          <w:tcPr>
            <w:tcW w:w="6973" w:type="dxa"/>
          </w:tcPr>
          <w:p w14:paraId="15092FCD" w14:textId="77777777" w:rsidR="00E01893" w:rsidRPr="00E01893" w:rsidRDefault="00E01893" w:rsidP="00EB32E5">
            <w:pPr>
              <w:pStyle w:val="DHHSbody"/>
            </w:pPr>
            <w:r w:rsidRPr="00E01893">
              <w:t>B19 virus, also known as parvovirus</w:t>
            </w:r>
          </w:p>
        </w:tc>
      </w:tr>
      <w:tr w:rsidR="000A3615" w:rsidRPr="00E01893" w14:paraId="52187477" w14:textId="77777777" w:rsidTr="00E56E6D">
        <w:tc>
          <w:tcPr>
            <w:tcW w:w="2154" w:type="dxa"/>
          </w:tcPr>
          <w:p w14:paraId="4ADE69A3" w14:textId="77777777" w:rsidR="00E01893" w:rsidRPr="00E01893" w:rsidRDefault="00E01893" w:rsidP="00EB32E5">
            <w:pPr>
              <w:pStyle w:val="DHHSbody"/>
            </w:pPr>
            <w:proofErr w:type="spellStart"/>
            <w:r w:rsidRPr="00E01893">
              <w:t>BloodNET</w:t>
            </w:r>
            <w:proofErr w:type="spellEnd"/>
          </w:p>
        </w:tc>
        <w:tc>
          <w:tcPr>
            <w:tcW w:w="6973" w:type="dxa"/>
          </w:tcPr>
          <w:p w14:paraId="5187641C" w14:textId="0BAD753B" w:rsidR="00E01893" w:rsidRPr="00E01893" w:rsidRDefault="00E01893" w:rsidP="00EB32E5">
            <w:pPr>
              <w:pStyle w:val="DHHSbody"/>
            </w:pPr>
            <w:r w:rsidRPr="00E01893">
              <w:t>a web-based system through which staff in health facilities across Australia can order blood and blood products from the Australian Red Cross Blood Service in a standardised, secure and efficient way</w:t>
            </w:r>
          </w:p>
        </w:tc>
      </w:tr>
      <w:tr w:rsidR="000A3615" w:rsidRPr="00E01893" w14:paraId="4683FB04" w14:textId="77777777" w:rsidTr="00E56E6D">
        <w:tc>
          <w:tcPr>
            <w:tcW w:w="2154" w:type="dxa"/>
          </w:tcPr>
          <w:p w14:paraId="0F38E176" w14:textId="77777777" w:rsidR="00E01893" w:rsidRPr="00E01893" w:rsidRDefault="00E01893" w:rsidP="00EB32E5">
            <w:pPr>
              <w:pStyle w:val="DHHSbody"/>
            </w:pPr>
            <w:r w:rsidRPr="00E01893">
              <w:t>Blood Service</w:t>
            </w:r>
          </w:p>
        </w:tc>
        <w:tc>
          <w:tcPr>
            <w:tcW w:w="6973" w:type="dxa"/>
          </w:tcPr>
          <w:p w14:paraId="142E1262" w14:textId="77777777" w:rsidR="00E01893" w:rsidRPr="00E01893" w:rsidRDefault="00E01893" w:rsidP="00EB32E5">
            <w:pPr>
              <w:pStyle w:val="DHHSbody"/>
            </w:pPr>
            <w:r w:rsidRPr="00E01893">
              <w:t>Australian Red Cross Blood Service</w:t>
            </w:r>
          </w:p>
        </w:tc>
      </w:tr>
      <w:tr w:rsidR="000A3615" w:rsidRPr="00E01893" w14:paraId="04E6C2B6" w14:textId="77777777" w:rsidTr="00E56E6D">
        <w:tc>
          <w:tcPr>
            <w:tcW w:w="2154" w:type="dxa"/>
          </w:tcPr>
          <w:p w14:paraId="504191E2" w14:textId="77777777" w:rsidR="00E01893" w:rsidRPr="00E01893" w:rsidRDefault="00E01893" w:rsidP="00EB32E5">
            <w:pPr>
              <w:pStyle w:val="DHHSbody"/>
            </w:pPr>
            <w:r w:rsidRPr="00E01893">
              <w:t>DAT</w:t>
            </w:r>
          </w:p>
        </w:tc>
        <w:tc>
          <w:tcPr>
            <w:tcW w:w="6973" w:type="dxa"/>
          </w:tcPr>
          <w:p w14:paraId="7E86653D" w14:textId="77777777" w:rsidR="00E01893" w:rsidRPr="00E01893" w:rsidRDefault="00E01893" w:rsidP="00EB32E5">
            <w:pPr>
              <w:pStyle w:val="DHHSbody"/>
            </w:pPr>
            <w:r w:rsidRPr="00E01893">
              <w:t>direct agglutination test</w:t>
            </w:r>
          </w:p>
        </w:tc>
      </w:tr>
      <w:tr w:rsidR="000A3615" w:rsidRPr="00E01893" w14:paraId="2459DFB6" w14:textId="77777777" w:rsidTr="00E56E6D">
        <w:tc>
          <w:tcPr>
            <w:tcW w:w="2154" w:type="dxa"/>
          </w:tcPr>
          <w:p w14:paraId="23C862D0" w14:textId="77777777" w:rsidR="00E01893" w:rsidRPr="00E01893" w:rsidRDefault="00E01893" w:rsidP="00EB32E5">
            <w:pPr>
              <w:pStyle w:val="DHHSbody"/>
            </w:pPr>
            <w:r w:rsidRPr="00E01893">
              <w:t>DHTR</w:t>
            </w:r>
          </w:p>
        </w:tc>
        <w:tc>
          <w:tcPr>
            <w:tcW w:w="6973" w:type="dxa"/>
          </w:tcPr>
          <w:p w14:paraId="59837CDC" w14:textId="77777777" w:rsidR="00E01893" w:rsidRPr="00E01893" w:rsidRDefault="00E01893" w:rsidP="00EB32E5">
            <w:pPr>
              <w:pStyle w:val="DHHSbody"/>
            </w:pPr>
            <w:r w:rsidRPr="00E01893">
              <w:t>delayed haemolytic transfusion reaction</w:t>
            </w:r>
          </w:p>
        </w:tc>
      </w:tr>
      <w:tr w:rsidR="000A3615" w:rsidRPr="00E01893" w14:paraId="02A80DAF" w14:textId="77777777" w:rsidTr="00E56E6D">
        <w:tc>
          <w:tcPr>
            <w:tcW w:w="2154" w:type="dxa"/>
          </w:tcPr>
          <w:p w14:paraId="26E81027" w14:textId="77777777" w:rsidR="00E01893" w:rsidRPr="00E01893" w:rsidRDefault="00E01893" w:rsidP="00EB32E5">
            <w:pPr>
              <w:pStyle w:val="DHHSbody"/>
            </w:pPr>
            <w:r w:rsidRPr="00E01893">
              <w:t>DNA</w:t>
            </w:r>
          </w:p>
        </w:tc>
        <w:tc>
          <w:tcPr>
            <w:tcW w:w="6973" w:type="dxa"/>
          </w:tcPr>
          <w:p w14:paraId="2FC06323" w14:textId="77777777" w:rsidR="00E01893" w:rsidRPr="00E01893" w:rsidRDefault="00E01893" w:rsidP="00EB32E5">
            <w:pPr>
              <w:pStyle w:val="DHHSbody"/>
            </w:pPr>
            <w:r w:rsidRPr="00E01893">
              <w:t>deoxyribonucleic acid</w:t>
            </w:r>
          </w:p>
        </w:tc>
      </w:tr>
      <w:tr w:rsidR="000A3615" w:rsidRPr="00E01893" w14:paraId="5732BB4C" w14:textId="77777777" w:rsidTr="00E56E6D">
        <w:tc>
          <w:tcPr>
            <w:tcW w:w="2154" w:type="dxa"/>
          </w:tcPr>
          <w:p w14:paraId="0421AF7F" w14:textId="77777777" w:rsidR="00E01893" w:rsidRPr="00E01893" w:rsidRDefault="00E01893" w:rsidP="00EB32E5">
            <w:pPr>
              <w:pStyle w:val="DHHSbody"/>
            </w:pPr>
            <w:r w:rsidRPr="00E01893">
              <w:t>DSTR</w:t>
            </w:r>
          </w:p>
        </w:tc>
        <w:tc>
          <w:tcPr>
            <w:tcW w:w="6973" w:type="dxa"/>
          </w:tcPr>
          <w:p w14:paraId="1B56421B" w14:textId="77777777" w:rsidR="00E01893" w:rsidRPr="00E01893" w:rsidRDefault="00E01893" w:rsidP="00EB32E5">
            <w:pPr>
              <w:pStyle w:val="DHHSbody"/>
            </w:pPr>
            <w:r w:rsidRPr="00E01893">
              <w:t>delayed serologic transfusion reaction</w:t>
            </w:r>
          </w:p>
        </w:tc>
      </w:tr>
      <w:tr w:rsidR="000A3615" w:rsidRPr="00E01893" w14:paraId="64812AC6" w14:textId="77777777" w:rsidTr="00E56E6D">
        <w:tc>
          <w:tcPr>
            <w:tcW w:w="2154" w:type="dxa"/>
          </w:tcPr>
          <w:p w14:paraId="504837B9" w14:textId="77777777" w:rsidR="00E01893" w:rsidRPr="00E01893" w:rsidRDefault="00E01893" w:rsidP="00EB32E5">
            <w:pPr>
              <w:pStyle w:val="DHHSbody"/>
            </w:pPr>
            <w:r w:rsidRPr="00E01893">
              <w:t>ED</w:t>
            </w:r>
          </w:p>
        </w:tc>
        <w:tc>
          <w:tcPr>
            <w:tcW w:w="6973" w:type="dxa"/>
          </w:tcPr>
          <w:p w14:paraId="7D8EA5F2" w14:textId="77777777" w:rsidR="00E01893" w:rsidRPr="00E01893" w:rsidRDefault="00E01893" w:rsidP="00EB32E5">
            <w:pPr>
              <w:pStyle w:val="DHHSbody"/>
            </w:pPr>
            <w:r w:rsidRPr="00E01893">
              <w:t>emergency department</w:t>
            </w:r>
          </w:p>
        </w:tc>
      </w:tr>
      <w:tr w:rsidR="000A3615" w:rsidRPr="00E01893" w14:paraId="150FE319" w14:textId="77777777" w:rsidTr="00E56E6D">
        <w:tc>
          <w:tcPr>
            <w:tcW w:w="2154" w:type="dxa"/>
          </w:tcPr>
          <w:p w14:paraId="4A52E37E" w14:textId="77777777" w:rsidR="00E01893" w:rsidRPr="00E01893" w:rsidRDefault="00E01893" w:rsidP="00EB32E5">
            <w:pPr>
              <w:pStyle w:val="DHHSbody"/>
            </w:pPr>
            <w:r w:rsidRPr="00E01893">
              <w:t>FDA</w:t>
            </w:r>
          </w:p>
        </w:tc>
        <w:tc>
          <w:tcPr>
            <w:tcW w:w="6973" w:type="dxa"/>
          </w:tcPr>
          <w:p w14:paraId="68EE3263" w14:textId="77777777" w:rsidR="00E01893" w:rsidRPr="00E01893" w:rsidRDefault="00E01893" w:rsidP="00EB32E5">
            <w:pPr>
              <w:pStyle w:val="DHHSbody"/>
            </w:pPr>
            <w:r w:rsidRPr="00E01893">
              <w:t>Food and Drug Administration (USA)</w:t>
            </w:r>
          </w:p>
        </w:tc>
      </w:tr>
      <w:tr w:rsidR="000A3615" w:rsidRPr="00E01893" w14:paraId="676645C4" w14:textId="77777777" w:rsidTr="00E56E6D">
        <w:tc>
          <w:tcPr>
            <w:tcW w:w="2154" w:type="dxa"/>
          </w:tcPr>
          <w:p w14:paraId="1D87F579" w14:textId="77777777" w:rsidR="00E01893" w:rsidRPr="00E01893" w:rsidRDefault="00E01893" w:rsidP="00EB32E5">
            <w:pPr>
              <w:pStyle w:val="DHHSbody"/>
            </w:pPr>
            <w:r w:rsidRPr="00E01893">
              <w:t>FFP</w:t>
            </w:r>
          </w:p>
        </w:tc>
        <w:tc>
          <w:tcPr>
            <w:tcW w:w="6973" w:type="dxa"/>
          </w:tcPr>
          <w:p w14:paraId="03E0F010" w14:textId="77777777" w:rsidR="00E01893" w:rsidRPr="00E01893" w:rsidRDefault="00E01893" w:rsidP="00EB32E5">
            <w:pPr>
              <w:pStyle w:val="DHHSbody"/>
            </w:pPr>
            <w:r w:rsidRPr="00E01893">
              <w:t>fresh frozen plasma</w:t>
            </w:r>
          </w:p>
        </w:tc>
      </w:tr>
      <w:tr w:rsidR="000A3615" w:rsidRPr="00E01893" w14:paraId="0969C085" w14:textId="77777777" w:rsidTr="00E56E6D">
        <w:tc>
          <w:tcPr>
            <w:tcW w:w="2154" w:type="dxa"/>
          </w:tcPr>
          <w:p w14:paraId="598F53A2" w14:textId="77777777" w:rsidR="00E01893" w:rsidRPr="00E01893" w:rsidRDefault="00E01893" w:rsidP="00EB32E5">
            <w:pPr>
              <w:pStyle w:val="DHHSbody"/>
            </w:pPr>
            <w:r w:rsidRPr="00E01893">
              <w:t>FNHTR</w:t>
            </w:r>
          </w:p>
        </w:tc>
        <w:tc>
          <w:tcPr>
            <w:tcW w:w="6973" w:type="dxa"/>
          </w:tcPr>
          <w:p w14:paraId="6A88491D" w14:textId="695A1E87" w:rsidR="00E01893" w:rsidRPr="00E01893" w:rsidRDefault="00E01893" w:rsidP="00EB32E5">
            <w:pPr>
              <w:pStyle w:val="DHHSbody"/>
            </w:pPr>
            <w:r w:rsidRPr="00E01893">
              <w:t>febrile non-haemolytic transfusion reaction</w:t>
            </w:r>
          </w:p>
        </w:tc>
      </w:tr>
      <w:tr w:rsidR="000A3615" w:rsidRPr="00E01893" w14:paraId="68E78376" w14:textId="77777777" w:rsidTr="00E56E6D">
        <w:tc>
          <w:tcPr>
            <w:tcW w:w="2154" w:type="dxa"/>
          </w:tcPr>
          <w:p w14:paraId="1D114718" w14:textId="77777777" w:rsidR="00E01893" w:rsidRPr="00E01893" w:rsidRDefault="00E01893" w:rsidP="00EB32E5">
            <w:pPr>
              <w:pStyle w:val="DHHSbody"/>
            </w:pPr>
            <w:r w:rsidRPr="00E01893">
              <w:t>FY18</w:t>
            </w:r>
          </w:p>
        </w:tc>
        <w:tc>
          <w:tcPr>
            <w:tcW w:w="6973" w:type="dxa"/>
          </w:tcPr>
          <w:p w14:paraId="3AE11B77" w14:textId="77777777" w:rsidR="00E01893" w:rsidRPr="00E01893" w:rsidRDefault="00E01893" w:rsidP="00EB32E5">
            <w:pPr>
              <w:pStyle w:val="DHHSbody"/>
            </w:pPr>
            <w:r w:rsidRPr="00E01893">
              <w:t>financial year, 1 July 2017 to 30 June 2018</w:t>
            </w:r>
          </w:p>
        </w:tc>
      </w:tr>
      <w:tr w:rsidR="000A3615" w:rsidRPr="00E01893" w14:paraId="6B7D508C" w14:textId="77777777" w:rsidTr="00E56E6D">
        <w:tc>
          <w:tcPr>
            <w:tcW w:w="2154" w:type="dxa"/>
          </w:tcPr>
          <w:p w14:paraId="14AB40E7" w14:textId="77777777" w:rsidR="00E01893" w:rsidRPr="00E01893" w:rsidRDefault="00E01893" w:rsidP="00EB32E5">
            <w:pPr>
              <w:pStyle w:val="DHHSbody"/>
            </w:pPr>
            <w:proofErr w:type="spellStart"/>
            <w:r w:rsidRPr="00E01893">
              <w:t>Hb</w:t>
            </w:r>
            <w:proofErr w:type="spellEnd"/>
          </w:p>
        </w:tc>
        <w:tc>
          <w:tcPr>
            <w:tcW w:w="6973" w:type="dxa"/>
          </w:tcPr>
          <w:p w14:paraId="08E59B23" w14:textId="77777777" w:rsidR="00E01893" w:rsidRPr="00E01893" w:rsidRDefault="00E01893" w:rsidP="00EB32E5">
            <w:pPr>
              <w:pStyle w:val="DHHSbody"/>
            </w:pPr>
            <w:r w:rsidRPr="00E01893">
              <w:t>haemoglobin</w:t>
            </w:r>
          </w:p>
        </w:tc>
      </w:tr>
      <w:tr w:rsidR="000A3615" w:rsidRPr="00E01893" w14:paraId="760FE2FE" w14:textId="77777777" w:rsidTr="00E56E6D">
        <w:tc>
          <w:tcPr>
            <w:tcW w:w="2154" w:type="dxa"/>
          </w:tcPr>
          <w:p w14:paraId="41880BF6" w14:textId="77777777" w:rsidR="00E01893" w:rsidRPr="00E01893" w:rsidRDefault="00E01893" w:rsidP="00EB32E5">
            <w:pPr>
              <w:pStyle w:val="DHHSbody"/>
            </w:pPr>
            <w:r w:rsidRPr="00E01893">
              <w:t>HPA</w:t>
            </w:r>
          </w:p>
        </w:tc>
        <w:tc>
          <w:tcPr>
            <w:tcW w:w="6973" w:type="dxa"/>
          </w:tcPr>
          <w:p w14:paraId="1B3FB503" w14:textId="77777777" w:rsidR="00E01893" w:rsidRPr="00E01893" w:rsidRDefault="00E01893" w:rsidP="00EB32E5">
            <w:pPr>
              <w:pStyle w:val="DHHSbody"/>
            </w:pPr>
            <w:r w:rsidRPr="00E01893">
              <w:t>human platelet antigen</w:t>
            </w:r>
          </w:p>
        </w:tc>
      </w:tr>
      <w:tr w:rsidR="000A3615" w:rsidRPr="00E01893" w14:paraId="70BCCCEE" w14:textId="77777777" w:rsidTr="00E56E6D">
        <w:tc>
          <w:tcPr>
            <w:tcW w:w="2154" w:type="dxa"/>
          </w:tcPr>
          <w:p w14:paraId="5A841F3C" w14:textId="77777777" w:rsidR="00E01893" w:rsidRPr="00E01893" w:rsidRDefault="00E01893" w:rsidP="00EB32E5">
            <w:pPr>
              <w:pStyle w:val="DHHSbody"/>
            </w:pPr>
            <w:r w:rsidRPr="00E01893">
              <w:t>IBCT</w:t>
            </w:r>
          </w:p>
        </w:tc>
        <w:tc>
          <w:tcPr>
            <w:tcW w:w="6973" w:type="dxa"/>
          </w:tcPr>
          <w:p w14:paraId="19AF2F78" w14:textId="77777777" w:rsidR="00E01893" w:rsidRPr="00E01893" w:rsidRDefault="00E01893" w:rsidP="00EB32E5">
            <w:pPr>
              <w:pStyle w:val="DHHSbody"/>
            </w:pPr>
            <w:r w:rsidRPr="00E01893">
              <w:t>incorrect blood component transfused</w:t>
            </w:r>
          </w:p>
        </w:tc>
      </w:tr>
      <w:tr w:rsidR="000A3615" w:rsidRPr="00E01893" w14:paraId="2C8D633A" w14:textId="77777777" w:rsidTr="00E56E6D">
        <w:tc>
          <w:tcPr>
            <w:tcW w:w="2154" w:type="dxa"/>
          </w:tcPr>
          <w:p w14:paraId="160ECB76" w14:textId="77777777" w:rsidR="00E01893" w:rsidRPr="00E01893" w:rsidRDefault="00E01893" w:rsidP="00EB32E5">
            <w:pPr>
              <w:pStyle w:val="DHHSbody"/>
            </w:pPr>
            <w:r w:rsidRPr="00E01893">
              <w:t>ICU</w:t>
            </w:r>
          </w:p>
        </w:tc>
        <w:tc>
          <w:tcPr>
            <w:tcW w:w="6973" w:type="dxa"/>
          </w:tcPr>
          <w:p w14:paraId="50A0313A" w14:textId="77777777" w:rsidR="00E01893" w:rsidRPr="00E01893" w:rsidRDefault="00E01893" w:rsidP="00EB32E5">
            <w:pPr>
              <w:pStyle w:val="DHHSbody"/>
            </w:pPr>
            <w:r w:rsidRPr="00E01893">
              <w:t>intensive care unit</w:t>
            </w:r>
          </w:p>
        </w:tc>
      </w:tr>
      <w:tr w:rsidR="000A3615" w:rsidRPr="00E01893" w14:paraId="74AC49C4" w14:textId="77777777" w:rsidTr="00E56E6D">
        <w:tc>
          <w:tcPr>
            <w:tcW w:w="2154" w:type="dxa"/>
          </w:tcPr>
          <w:p w14:paraId="472463CA" w14:textId="77777777" w:rsidR="00E01893" w:rsidRPr="00E01893" w:rsidRDefault="00E01893" w:rsidP="00EB32E5">
            <w:pPr>
              <w:pStyle w:val="DHHSbody"/>
            </w:pPr>
            <w:r w:rsidRPr="00E01893">
              <w:t>IgA</w:t>
            </w:r>
          </w:p>
        </w:tc>
        <w:tc>
          <w:tcPr>
            <w:tcW w:w="6973" w:type="dxa"/>
          </w:tcPr>
          <w:p w14:paraId="5A150D4E" w14:textId="77777777" w:rsidR="00E01893" w:rsidRPr="00E01893" w:rsidRDefault="00E01893" w:rsidP="00EB32E5">
            <w:pPr>
              <w:pStyle w:val="DHHSbody"/>
            </w:pPr>
            <w:r w:rsidRPr="00E01893">
              <w:t>immunoglobulin A, a blood protein that's part of the immune system</w:t>
            </w:r>
          </w:p>
        </w:tc>
      </w:tr>
      <w:tr w:rsidR="000A3615" w:rsidRPr="00E01893" w14:paraId="4E5E0510" w14:textId="77777777" w:rsidTr="00E56E6D">
        <w:tc>
          <w:tcPr>
            <w:tcW w:w="2154" w:type="dxa"/>
          </w:tcPr>
          <w:p w14:paraId="1096DBA4" w14:textId="77777777" w:rsidR="00E01893" w:rsidRPr="00E01893" w:rsidRDefault="00E01893" w:rsidP="00EB32E5">
            <w:pPr>
              <w:pStyle w:val="DHHSbody"/>
            </w:pPr>
            <w:r w:rsidRPr="00E01893">
              <w:t>IM</w:t>
            </w:r>
          </w:p>
        </w:tc>
        <w:tc>
          <w:tcPr>
            <w:tcW w:w="6973" w:type="dxa"/>
          </w:tcPr>
          <w:p w14:paraId="0674EABD" w14:textId="77777777" w:rsidR="00E01893" w:rsidRPr="00E01893" w:rsidRDefault="00E01893" w:rsidP="00EB32E5">
            <w:pPr>
              <w:pStyle w:val="DHHSbody"/>
            </w:pPr>
            <w:r w:rsidRPr="00E01893">
              <w:t>intramuscular</w:t>
            </w:r>
          </w:p>
        </w:tc>
      </w:tr>
      <w:tr w:rsidR="000A3615" w:rsidRPr="00E01893" w14:paraId="25FEE3F9" w14:textId="77777777" w:rsidTr="00E56E6D">
        <w:tc>
          <w:tcPr>
            <w:tcW w:w="2154" w:type="dxa"/>
          </w:tcPr>
          <w:p w14:paraId="07F51DB1" w14:textId="77777777" w:rsidR="00E01893" w:rsidRPr="00E01893" w:rsidRDefault="00E01893" w:rsidP="00EB32E5">
            <w:pPr>
              <w:pStyle w:val="DHHSbody"/>
            </w:pPr>
            <w:r w:rsidRPr="00E01893">
              <w:t>INR</w:t>
            </w:r>
          </w:p>
        </w:tc>
        <w:tc>
          <w:tcPr>
            <w:tcW w:w="6973" w:type="dxa"/>
          </w:tcPr>
          <w:p w14:paraId="6180D1D6" w14:textId="77777777" w:rsidR="00E01893" w:rsidRPr="00E01893" w:rsidRDefault="00E01893" w:rsidP="00EB32E5">
            <w:pPr>
              <w:pStyle w:val="DHHSbody"/>
            </w:pPr>
            <w:r w:rsidRPr="00E01893">
              <w:t>international normalised ratio</w:t>
            </w:r>
          </w:p>
        </w:tc>
      </w:tr>
      <w:tr w:rsidR="000A3615" w:rsidRPr="00E01893" w14:paraId="217A7D55" w14:textId="77777777" w:rsidTr="00E56E6D">
        <w:tc>
          <w:tcPr>
            <w:tcW w:w="2154" w:type="dxa"/>
          </w:tcPr>
          <w:p w14:paraId="3E7C8A25" w14:textId="77777777" w:rsidR="00E01893" w:rsidRPr="00E01893" w:rsidRDefault="00E01893" w:rsidP="00EB32E5">
            <w:pPr>
              <w:pStyle w:val="DHHSbody"/>
            </w:pPr>
            <w:r w:rsidRPr="00E01893">
              <w:t>ISBT</w:t>
            </w:r>
          </w:p>
        </w:tc>
        <w:tc>
          <w:tcPr>
            <w:tcW w:w="6973" w:type="dxa"/>
          </w:tcPr>
          <w:p w14:paraId="4ACC7A3E" w14:textId="77777777" w:rsidR="00E01893" w:rsidRPr="00E01893" w:rsidRDefault="00E01893" w:rsidP="00EB32E5">
            <w:pPr>
              <w:pStyle w:val="DHHSbody"/>
            </w:pPr>
            <w:r w:rsidRPr="00E01893">
              <w:t>international society of blood transfusion</w:t>
            </w:r>
          </w:p>
        </w:tc>
      </w:tr>
      <w:tr w:rsidR="000A3615" w:rsidRPr="00E01893" w14:paraId="476A566C" w14:textId="77777777" w:rsidTr="00E56E6D">
        <w:tc>
          <w:tcPr>
            <w:tcW w:w="2154" w:type="dxa"/>
          </w:tcPr>
          <w:p w14:paraId="7326F36D" w14:textId="77777777" w:rsidR="00E01893" w:rsidRPr="00E01893" w:rsidRDefault="00E01893" w:rsidP="00EB32E5">
            <w:pPr>
              <w:pStyle w:val="DHHSbody"/>
            </w:pPr>
            <w:r w:rsidRPr="00E01893">
              <w:t>IV</w:t>
            </w:r>
          </w:p>
        </w:tc>
        <w:tc>
          <w:tcPr>
            <w:tcW w:w="6973" w:type="dxa"/>
          </w:tcPr>
          <w:p w14:paraId="38559CBA" w14:textId="77777777" w:rsidR="00E01893" w:rsidRPr="00E01893" w:rsidRDefault="00E01893" w:rsidP="00EB32E5">
            <w:pPr>
              <w:pStyle w:val="DHHSbody"/>
            </w:pPr>
            <w:r w:rsidRPr="00E01893">
              <w:t>intravenous</w:t>
            </w:r>
          </w:p>
        </w:tc>
      </w:tr>
      <w:tr w:rsidR="000A3615" w:rsidRPr="00E01893" w14:paraId="48679619" w14:textId="77777777" w:rsidTr="00E56E6D">
        <w:tc>
          <w:tcPr>
            <w:tcW w:w="2154" w:type="dxa"/>
          </w:tcPr>
          <w:p w14:paraId="558258AE" w14:textId="77777777" w:rsidR="00E01893" w:rsidRPr="00E01893" w:rsidRDefault="00E01893" w:rsidP="00EB32E5">
            <w:pPr>
              <w:pStyle w:val="DHHSbody"/>
            </w:pPr>
            <w:r w:rsidRPr="00E01893">
              <w:t>LDH</w:t>
            </w:r>
          </w:p>
        </w:tc>
        <w:tc>
          <w:tcPr>
            <w:tcW w:w="6973" w:type="dxa"/>
          </w:tcPr>
          <w:p w14:paraId="0490F730" w14:textId="77777777" w:rsidR="00E01893" w:rsidRPr="00E01893" w:rsidRDefault="00E01893" w:rsidP="00EB32E5">
            <w:pPr>
              <w:pStyle w:val="DHHSbody"/>
            </w:pPr>
            <w:r w:rsidRPr="00E01893">
              <w:t>lactate dehydrogenase</w:t>
            </w:r>
          </w:p>
        </w:tc>
      </w:tr>
      <w:tr w:rsidR="000A3615" w:rsidRPr="00E01893" w14:paraId="4AF3209C" w14:textId="77777777" w:rsidTr="00E56E6D">
        <w:tc>
          <w:tcPr>
            <w:tcW w:w="2154" w:type="dxa"/>
          </w:tcPr>
          <w:p w14:paraId="48F6169F" w14:textId="77777777" w:rsidR="00E01893" w:rsidRPr="00E01893" w:rsidRDefault="00E01893" w:rsidP="00EB32E5">
            <w:pPr>
              <w:pStyle w:val="DHHSbody"/>
            </w:pPr>
            <w:r w:rsidRPr="00E01893">
              <w:t>MET</w:t>
            </w:r>
          </w:p>
        </w:tc>
        <w:tc>
          <w:tcPr>
            <w:tcW w:w="6973" w:type="dxa"/>
          </w:tcPr>
          <w:p w14:paraId="23CEADED" w14:textId="77777777" w:rsidR="00E01893" w:rsidRPr="00E01893" w:rsidRDefault="00E01893" w:rsidP="00EB32E5">
            <w:pPr>
              <w:pStyle w:val="DHHSbody"/>
            </w:pPr>
            <w:r w:rsidRPr="00E01893">
              <w:t>medical emergency team</w:t>
            </w:r>
          </w:p>
        </w:tc>
      </w:tr>
      <w:tr w:rsidR="000A3615" w:rsidRPr="00E01893" w14:paraId="00D371F1" w14:textId="77777777" w:rsidTr="00E56E6D">
        <w:tc>
          <w:tcPr>
            <w:tcW w:w="2154" w:type="dxa"/>
          </w:tcPr>
          <w:p w14:paraId="6C36CD65" w14:textId="77777777" w:rsidR="00E01893" w:rsidRPr="00E01893" w:rsidRDefault="00E01893" w:rsidP="00EB32E5">
            <w:pPr>
              <w:pStyle w:val="DHHSbody"/>
            </w:pPr>
            <w:r w:rsidRPr="00E01893">
              <w:lastRenderedPageBreak/>
              <w:t>NBA</w:t>
            </w:r>
          </w:p>
        </w:tc>
        <w:tc>
          <w:tcPr>
            <w:tcW w:w="6973" w:type="dxa"/>
          </w:tcPr>
          <w:p w14:paraId="0D729BE6" w14:textId="77777777" w:rsidR="00E01893" w:rsidRPr="00E01893" w:rsidRDefault="00E01893" w:rsidP="00EB32E5">
            <w:pPr>
              <w:pStyle w:val="DHHSbody"/>
            </w:pPr>
            <w:r w:rsidRPr="00E01893">
              <w:t>National Blood Authority</w:t>
            </w:r>
          </w:p>
        </w:tc>
      </w:tr>
      <w:tr w:rsidR="000A3615" w:rsidRPr="00E01893" w14:paraId="220B1353" w14:textId="77777777" w:rsidTr="00E56E6D">
        <w:tc>
          <w:tcPr>
            <w:tcW w:w="2154" w:type="dxa"/>
          </w:tcPr>
          <w:p w14:paraId="4AC6E48C" w14:textId="77777777" w:rsidR="00E01893" w:rsidRPr="00E01893" w:rsidRDefault="00E01893" w:rsidP="00EB32E5">
            <w:pPr>
              <w:pStyle w:val="DHHSbody"/>
            </w:pPr>
            <w:r w:rsidRPr="00E01893">
              <w:t>PCR</w:t>
            </w:r>
          </w:p>
        </w:tc>
        <w:tc>
          <w:tcPr>
            <w:tcW w:w="6973" w:type="dxa"/>
          </w:tcPr>
          <w:p w14:paraId="4B3A98F7" w14:textId="77777777" w:rsidR="00E01893" w:rsidRPr="00E01893" w:rsidRDefault="00E01893" w:rsidP="00EB32E5">
            <w:pPr>
              <w:pStyle w:val="DHHSbody"/>
            </w:pPr>
            <w:r w:rsidRPr="00E01893">
              <w:t>polymerase chain reaction</w:t>
            </w:r>
          </w:p>
        </w:tc>
      </w:tr>
      <w:tr w:rsidR="000A3615" w:rsidRPr="00E01893" w14:paraId="65A3515E" w14:textId="77777777" w:rsidTr="00E56E6D">
        <w:tc>
          <w:tcPr>
            <w:tcW w:w="2154" w:type="dxa"/>
          </w:tcPr>
          <w:p w14:paraId="1DF11798" w14:textId="77777777" w:rsidR="00E01893" w:rsidRPr="00E01893" w:rsidRDefault="00E01893" w:rsidP="00EB32E5">
            <w:pPr>
              <w:pStyle w:val="DHHSbody"/>
            </w:pPr>
            <w:r w:rsidRPr="00E01893">
              <w:t>PPID</w:t>
            </w:r>
          </w:p>
        </w:tc>
        <w:tc>
          <w:tcPr>
            <w:tcW w:w="6973" w:type="dxa"/>
          </w:tcPr>
          <w:p w14:paraId="4522DDC9" w14:textId="77777777" w:rsidR="00E01893" w:rsidRPr="00E01893" w:rsidRDefault="00E01893" w:rsidP="00EB32E5">
            <w:pPr>
              <w:pStyle w:val="DHHSbody"/>
            </w:pPr>
            <w:r w:rsidRPr="00E01893">
              <w:t>positive patient identification</w:t>
            </w:r>
          </w:p>
        </w:tc>
      </w:tr>
      <w:tr w:rsidR="000A3615" w:rsidRPr="00E01893" w14:paraId="20DA3EDF" w14:textId="77777777" w:rsidTr="00E56E6D">
        <w:tc>
          <w:tcPr>
            <w:tcW w:w="2154" w:type="dxa"/>
          </w:tcPr>
          <w:p w14:paraId="45756BD3" w14:textId="77777777" w:rsidR="00E01893" w:rsidRPr="00E01893" w:rsidRDefault="00E01893" w:rsidP="00EB32E5">
            <w:pPr>
              <w:pStyle w:val="DHHSbody"/>
            </w:pPr>
            <w:r w:rsidRPr="00E01893">
              <w:t>PTP</w:t>
            </w:r>
          </w:p>
        </w:tc>
        <w:tc>
          <w:tcPr>
            <w:tcW w:w="6973" w:type="dxa"/>
          </w:tcPr>
          <w:p w14:paraId="44B64DFA" w14:textId="77777777" w:rsidR="00E01893" w:rsidRPr="00E01893" w:rsidRDefault="00E01893" w:rsidP="00EB32E5">
            <w:pPr>
              <w:pStyle w:val="DHHSbody"/>
            </w:pPr>
            <w:r w:rsidRPr="00E01893">
              <w:t>post-transfusion purpura</w:t>
            </w:r>
          </w:p>
        </w:tc>
      </w:tr>
      <w:tr w:rsidR="000A3615" w:rsidRPr="00E01893" w14:paraId="4B5A96C7" w14:textId="77777777" w:rsidTr="00E56E6D">
        <w:tc>
          <w:tcPr>
            <w:tcW w:w="2154" w:type="dxa"/>
          </w:tcPr>
          <w:p w14:paraId="6FAABCB0" w14:textId="77777777" w:rsidR="00E01893" w:rsidRPr="00E01893" w:rsidRDefault="00E01893" w:rsidP="00EB32E5">
            <w:pPr>
              <w:pStyle w:val="DHHSbody"/>
            </w:pPr>
            <w:r w:rsidRPr="00E01893">
              <w:t>RBC</w:t>
            </w:r>
          </w:p>
        </w:tc>
        <w:tc>
          <w:tcPr>
            <w:tcW w:w="6973" w:type="dxa"/>
          </w:tcPr>
          <w:p w14:paraId="04159750" w14:textId="77777777" w:rsidR="00E01893" w:rsidRPr="00E01893" w:rsidRDefault="00E01893" w:rsidP="00EB32E5">
            <w:pPr>
              <w:pStyle w:val="DHHSbody"/>
            </w:pPr>
            <w:r w:rsidRPr="00E01893">
              <w:t>red blood cells</w:t>
            </w:r>
          </w:p>
        </w:tc>
      </w:tr>
      <w:tr w:rsidR="000A3615" w:rsidRPr="00E01893" w14:paraId="756AC3C8" w14:textId="77777777" w:rsidTr="00E56E6D">
        <w:tc>
          <w:tcPr>
            <w:tcW w:w="2154" w:type="dxa"/>
          </w:tcPr>
          <w:p w14:paraId="6D572B67" w14:textId="77777777" w:rsidR="00E01893" w:rsidRPr="00E01893" w:rsidRDefault="00E01893" w:rsidP="00EB32E5">
            <w:pPr>
              <w:pStyle w:val="DHHSbody"/>
            </w:pPr>
            <w:r w:rsidRPr="00E01893">
              <w:t>RCA</w:t>
            </w:r>
          </w:p>
        </w:tc>
        <w:tc>
          <w:tcPr>
            <w:tcW w:w="6973" w:type="dxa"/>
          </w:tcPr>
          <w:p w14:paraId="442909D3" w14:textId="77777777" w:rsidR="00E01893" w:rsidRPr="00E01893" w:rsidRDefault="00E01893" w:rsidP="00EB32E5">
            <w:pPr>
              <w:pStyle w:val="DHHSbody"/>
            </w:pPr>
            <w:r w:rsidRPr="00E01893">
              <w:t>root cause analysis</w:t>
            </w:r>
          </w:p>
        </w:tc>
      </w:tr>
      <w:tr w:rsidR="000A3615" w:rsidRPr="00E01893" w14:paraId="31376FD6" w14:textId="77777777" w:rsidTr="00E56E6D">
        <w:tc>
          <w:tcPr>
            <w:tcW w:w="2154" w:type="dxa"/>
          </w:tcPr>
          <w:p w14:paraId="1BE5D196" w14:textId="77777777" w:rsidR="00E01893" w:rsidRPr="00E01893" w:rsidRDefault="00E01893" w:rsidP="00EB32E5">
            <w:pPr>
              <w:pStyle w:val="DHHSbody"/>
            </w:pPr>
            <w:r w:rsidRPr="00E01893">
              <w:t>Rh</w:t>
            </w:r>
          </w:p>
        </w:tc>
        <w:tc>
          <w:tcPr>
            <w:tcW w:w="6973" w:type="dxa"/>
          </w:tcPr>
          <w:p w14:paraId="5AA619C5" w14:textId="77777777" w:rsidR="00E01893" w:rsidRPr="00E01893" w:rsidRDefault="00E01893" w:rsidP="00EB32E5">
            <w:pPr>
              <w:pStyle w:val="DHHSbody"/>
            </w:pPr>
            <w:r w:rsidRPr="00E01893">
              <w:t>Rhesus, blood group</w:t>
            </w:r>
          </w:p>
        </w:tc>
      </w:tr>
      <w:tr w:rsidR="000A3615" w:rsidRPr="00E01893" w14:paraId="27BCA544" w14:textId="77777777" w:rsidTr="00E56E6D">
        <w:tc>
          <w:tcPr>
            <w:tcW w:w="2154" w:type="dxa"/>
          </w:tcPr>
          <w:p w14:paraId="36CA3358" w14:textId="77777777" w:rsidR="00E01893" w:rsidRPr="00E01893" w:rsidRDefault="00E01893" w:rsidP="00EB32E5">
            <w:pPr>
              <w:pStyle w:val="DHHSbody"/>
            </w:pPr>
            <w:proofErr w:type="spellStart"/>
            <w:r w:rsidRPr="00E01893">
              <w:t>RhD</w:t>
            </w:r>
            <w:proofErr w:type="spellEnd"/>
            <w:r w:rsidRPr="00E01893">
              <w:t xml:space="preserve"> Ig</w:t>
            </w:r>
          </w:p>
        </w:tc>
        <w:tc>
          <w:tcPr>
            <w:tcW w:w="6973" w:type="dxa"/>
          </w:tcPr>
          <w:p w14:paraId="06207F34" w14:textId="0012BFE6" w:rsidR="00E01893" w:rsidRPr="00E01893" w:rsidRDefault="00E01893" w:rsidP="00EB32E5">
            <w:pPr>
              <w:pStyle w:val="DHHSbody"/>
            </w:pPr>
            <w:proofErr w:type="spellStart"/>
            <w:r w:rsidRPr="00E01893">
              <w:t>RhD</w:t>
            </w:r>
            <w:proofErr w:type="spellEnd"/>
            <w:r w:rsidRPr="00E01893">
              <w:t xml:space="preserve"> immunoglobulin</w:t>
            </w:r>
          </w:p>
        </w:tc>
      </w:tr>
      <w:tr w:rsidR="000A3615" w:rsidRPr="00E01893" w14:paraId="0E68329C" w14:textId="77777777" w:rsidTr="00E56E6D">
        <w:tc>
          <w:tcPr>
            <w:tcW w:w="2154" w:type="dxa"/>
          </w:tcPr>
          <w:p w14:paraId="79AC9DA0" w14:textId="77777777" w:rsidR="00E01893" w:rsidRPr="00E01893" w:rsidRDefault="00E01893" w:rsidP="00EB32E5">
            <w:pPr>
              <w:pStyle w:val="DHHSbody"/>
            </w:pPr>
            <w:r w:rsidRPr="00E01893">
              <w:t>SCV</w:t>
            </w:r>
          </w:p>
        </w:tc>
        <w:tc>
          <w:tcPr>
            <w:tcW w:w="6973" w:type="dxa"/>
          </w:tcPr>
          <w:p w14:paraId="6E27F829" w14:textId="77777777" w:rsidR="00E01893" w:rsidRPr="00E01893" w:rsidRDefault="00E01893" w:rsidP="00EB32E5">
            <w:pPr>
              <w:pStyle w:val="DHHSbody"/>
            </w:pPr>
            <w:r w:rsidRPr="00E01893">
              <w:t>Safer Care Victoria</w:t>
            </w:r>
          </w:p>
        </w:tc>
      </w:tr>
      <w:tr w:rsidR="000A3615" w:rsidRPr="00E01893" w14:paraId="36178298" w14:textId="77777777" w:rsidTr="00E56E6D">
        <w:tc>
          <w:tcPr>
            <w:tcW w:w="2154" w:type="dxa"/>
          </w:tcPr>
          <w:p w14:paraId="4E6A4BEF" w14:textId="77777777" w:rsidR="00E01893" w:rsidRPr="00E01893" w:rsidRDefault="00E01893" w:rsidP="00EB32E5">
            <w:pPr>
              <w:pStyle w:val="DHHSbody"/>
            </w:pPr>
            <w:r w:rsidRPr="00E01893">
              <w:t>SHOT</w:t>
            </w:r>
          </w:p>
        </w:tc>
        <w:tc>
          <w:tcPr>
            <w:tcW w:w="6973" w:type="dxa"/>
          </w:tcPr>
          <w:p w14:paraId="5EEFF1AE" w14:textId="77777777" w:rsidR="00E01893" w:rsidRPr="00E01893" w:rsidRDefault="00E01893" w:rsidP="00EB32E5">
            <w:pPr>
              <w:pStyle w:val="DHHSbody"/>
            </w:pPr>
            <w:r w:rsidRPr="00E01893">
              <w:t>Serious Hazards of Transfusion (UK)</w:t>
            </w:r>
          </w:p>
        </w:tc>
      </w:tr>
      <w:tr w:rsidR="000A3615" w:rsidRPr="00E01893" w14:paraId="68AF7CF8" w14:textId="77777777" w:rsidTr="00E56E6D">
        <w:tc>
          <w:tcPr>
            <w:tcW w:w="2154" w:type="dxa"/>
          </w:tcPr>
          <w:p w14:paraId="3EF9C7A7" w14:textId="77777777" w:rsidR="00E01893" w:rsidRPr="00E01893" w:rsidRDefault="00E01893" w:rsidP="00EB32E5">
            <w:pPr>
              <w:pStyle w:val="DHHSbody"/>
            </w:pPr>
            <w:r w:rsidRPr="00E01893">
              <w:t>SR</w:t>
            </w:r>
          </w:p>
        </w:tc>
        <w:tc>
          <w:tcPr>
            <w:tcW w:w="6973" w:type="dxa"/>
          </w:tcPr>
          <w:p w14:paraId="0F6D219F" w14:textId="77777777" w:rsidR="00E01893" w:rsidRPr="00E01893" w:rsidRDefault="00E01893" w:rsidP="00EB32E5">
            <w:pPr>
              <w:pStyle w:val="DHHSbody"/>
            </w:pPr>
            <w:r w:rsidRPr="00E01893">
              <w:t>severity rating</w:t>
            </w:r>
          </w:p>
        </w:tc>
      </w:tr>
      <w:tr w:rsidR="000A3615" w:rsidRPr="00E01893" w14:paraId="1B471520" w14:textId="77777777" w:rsidTr="00E56E6D">
        <w:tc>
          <w:tcPr>
            <w:tcW w:w="2154" w:type="dxa"/>
          </w:tcPr>
          <w:p w14:paraId="2F5A1661" w14:textId="77777777" w:rsidR="00E01893" w:rsidRPr="00E01893" w:rsidRDefault="00E01893" w:rsidP="00EB32E5">
            <w:pPr>
              <w:pStyle w:val="DHHSbody"/>
            </w:pPr>
            <w:r w:rsidRPr="00E01893">
              <w:t>STIR</w:t>
            </w:r>
          </w:p>
        </w:tc>
        <w:tc>
          <w:tcPr>
            <w:tcW w:w="6973" w:type="dxa"/>
          </w:tcPr>
          <w:p w14:paraId="2E194A60" w14:textId="77777777" w:rsidR="00E01893" w:rsidRPr="00E01893" w:rsidRDefault="00E01893" w:rsidP="00EB32E5">
            <w:pPr>
              <w:pStyle w:val="DHHSbody"/>
            </w:pPr>
            <w:r w:rsidRPr="00E01893">
              <w:t>Serious Transfusion Incident Reporting</w:t>
            </w:r>
          </w:p>
        </w:tc>
      </w:tr>
      <w:tr w:rsidR="000A3615" w:rsidRPr="00E01893" w14:paraId="2D3CB339" w14:textId="77777777" w:rsidTr="00E56E6D">
        <w:tc>
          <w:tcPr>
            <w:tcW w:w="2154" w:type="dxa"/>
          </w:tcPr>
          <w:p w14:paraId="110234B6" w14:textId="77777777" w:rsidR="00E01893" w:rsidRPr="00E01893" w:rsidRDefault="00E01893" w:rsidP="00EB32E5">
            <w:pPr>
              <w:pStyle w:val="DHHSbody"/>
            </w:pPr>
            <w:r w:rsidRPr="00E01893">
              <w:t>TACO</w:t>
            </w:r>
          </w:p>
        </w:tc>
        <w:tc>
          <w:tcPr>
            <w:tcW w:w="6973" w:type="dxa"/>
          </w:tcPr>
          <w:p w14:paraId="1CACD38E" w14:textId="77777777" w:rsidR="00E01893" w:rsidRPr="00E01893" w:rsidRDefault="00E01893" w:rsidP="00EB32E5">
            <w:pPr>
              <w:pStyle w:val="DHHSbody"/>
            </w:pPr>
            <w:r w:rsidRPr="00E01893">
              <w:t>transfusion-associated circulatory overload</w:t>
            </w:r>
          </w:p>
        </w:tc>
      </w:tr>
      <w:tr w:rsidR="000A3615" w:rsidRPr="00E01893" w14:paraId="5D6CA458" w14:textId="77777777" w:rsidTr="00E56E6D">
        <w:tc>
          <w:tcPr>
            <w:tcW w:w="2154" w:type="dxa"/>
          </w:tcPr>
          <w:p w14:paraId="0CB453DF" w14:textId="77777777" w:rsidR="00E01893" w:rsidRPr="00E01893" w:rsidRDefault="00E01893" w:rsidP="00EB32E5">
            <w:pPr>
              <w:pStyle w:val="DHHSbody"/>
            </w:pPr>
            <w:r w:rsidRPr="00E01893">
              <w:t>TAD</w:t>
            </w:r>
          </w:p>
        </w:tc>
        <w:tc>
          <w:tcPr>
            <w:tcW w:w="6973" w:type="dxa"/>
          </w:tcPr>
          <w:p w14:paraId="7D025465" w14:textId="77777777" w:rsidR="00E01893" w:rsidRPr="00E01893" w:rsidRDefault="00E01893" w:rsidP="00EB32E5">
            <w:pPr>
              <w:pStyle w:val="DHHSbody"/>
            </w:pPr>
            <w:r w:rsidRPr="00E01893">
              <w:t>transfusion-associated dyspnoea</w:t>
            </w:r>
          </w:p>
        </w:tc>
      </w:tr>
      <w:tr w:rsidR="000A3615" w:rsidRPr="00E01893" w14:paraId="54922912" w14:textId="77777777" w:rsidTr="00E56E6D">
        <w:tc>
          <w:tcPr>
            <w:tcW w:w="2154" w:type="dxa"/>
          </w:tcPr>
          <w:p w14:paraId="2BE9B556" w14:textId="77777777" w:rsidR="00E01893" w:rsidRPr="00E01893" w:rsidRDefault="00E01893" w:rsidP="00EB32E5">
            <w:pPr>
              <w:pStyle w:val="DHHSbody"/>
            </w:pPr>
            <w:r w:rsidRPr="00E01893">
              <w:t>TAGVHD</w:t>
            </w:r>
          </w:p>
        </w:tc>
        <w:tc>
          <w:tcPr>
            <w:tcW w:w="6973" w:type="dxa"/>
          </w:tcPr>
          <w:p w14:paraId="3FDE7743" w14:textId="77777777" w:rsidR="00E01893" w:rsidRPr="00E01893" w:rsidRDefault="00E01893" w:rsidP="00EB32E5">
            <w:pPr>
              <w:pStyle w:val="DHHSbody"/>
            </w:pPr>
            <w:r w:rsidRPr="00E01893">
              <w:t>transfusion-associated graft versus host disease</w:t>
            </w:r>
          </w:p>
        </w:tc>
      </w:tr>
      <w:tr w:rsidR="000A3615" w:rsidRPr="00E01893" w14:paraId="33A72244" w14:textId="77777777" w:rsidTr="00E56E6D">
        <w:tc>
          <w:tcPr>
            <w:tcW w:w="2154" w:type="dxa"/>
          </w:tcPr>
          <w:p w14:paraId="063E6851" w14:textId="77777777" w:rsidR="00E01893" w:rsidRPr="00E01893" w:rsidRDefault="00E01893" w:rsidP="00EB32E5">
            <w:pPr>
              <w:pStyle w:val="DHHSbody"/>
            </w:pPr>
            <w:r w:rsidRPr="00E01893">
              <w:t>TPE</w:t>
            </w:r>
          </w:p>
        </w:tc>
        <w:tc>
          <w:tcPr>
            <w:tcW w:w="6973" w:type="dxa"/>
          </w:tcPr>
          <w:p w14:paraId="23349790" w14:textId="77777777" w:rsidR="00E01893" w:rsidRPr="00E01893" w:rsidRDefault="00E01893" w:rsidP="00EB32E5">
            <w:pPr>
              <w:pStyle w:val="DHHSbody"/>
            </w:pPr>
            <w:r w:rsidRPr="00E01893">
              <w:t>therapeutic plasma exchange</w:t>
            </w:r>
          </w:p>
        </w:tc>
      </w:tr>
      <w:tr w:rsidR="000A3615" w:rsidRPr="00E01893" w14:paraId="7906881F" w14:textId="77777777" w:rsidTr="00E56E6D">
        <w:tc>
          <w:tcPr>
            <w:tcW w:w="2154" w:type="dxa"/>
          </w:tcPr>
          <w:p w14:paraId="2DDA51F6" w14:textId="77777777" w:rsidR="00E01893" w:rsidRPr="00E01893" w:rsidRDefault="00E01893" w:rsidP="00EB32E5">
            <w:pPr>
              <w:pStyle w:val="DHHSbody"/>
            </w:pPr>
            <w:r w:rsidRPr="00E01893">
              <w:t>TRALI</w:t>
            </w:r>
          </w:p>
        </w:tc>
        <w:tc>
          <w:tcPr>
            <w:tcW w:w="6973" w:type="dxa"/>
          </w:tcPr>
          <w:p w14:paraId="2B871A3E" w14:textId="77777777" w:rsidR="00E01893" w:rsidRPr="00E01893" w:rsidRDefault="00E01893" w:rsidP="00EB32E5">
            <w:pPr>
              <w:pStyle w:val="DHHSbody"/>
            </w:pPr>
            <w:r w:rsidRPr="00E01893">
              <w:t>transfusion-related acute lung injury</w:t>
            </w:r>
          </w:p>
        </w:tc>
      </w:tr>
      <w:tr w:rsidR="000A3615" w:rsidRPr="00E01893" w14:paraId="30CA4CE4" w14:textId="77777777" w:rsidTr="00E56E6D">
        <w:tc>
          <w:tcPr>
            <w:tcW w:w="2154" w:type="dxa"/>
          </w:tcPr>
          <w:p w14:paraId="0AA11808" w14:textId="77777777" w:rsidR="00E01893" w:rsidRPr="00E01893" w:rsidRDefault="00E01893" w:rsidP="00EB32E5">
            <w:pPr>
              <w:pStyle w:val="DHHSbody"/>
            </w:pPr>
            <w:r w:rsidRPr="00E01893">
              <w:t>VHIMS</w:t>
            </w:r>
          </w:p>
        </w:tc>
        <w:tc>
          <w:tcPr>
            <w:tcW w:w="6973" w:type="dxa"/>
          </w:tcPr>
          <w:p w14:paraId="6123ADAA" w14:textId="687A67CD" w:rsidR="00E01893" w:rsidRPr="00E01893" w:rsidRDefault="00E01893" w:rsidP="00EB32E5">
            <w:pPr>
              <w:pStyle w:val="DHHSbody"/>
            </w:pPr>
            <w:r w:rsidRPr="00E01893">
              <w:t>Victorian Health Incident Management System</w:t>
            </w:r>
          </w:p>
        </w:tc>
      </w:tr>
      <w:tr w:rsidR="000A3615" w:rsidRPr="00E01893" w14:paraId="033A35C3" w14:textId="77777777" w:rsidTr="00E56E6D">
        <w:tc>
          <w:tcPr>
            <w:tcW w:w="2154" w:type="dxa"/>
          </w:tcPr>
          <w:p w14:paraId="2DBEDEA6" w14:textId="77777777" w:rsidR="00E01893" w:rsidRPr="00E01893" w:rsidRDefault="00E01893" w:rsidP="00EB32E5">
            <w:pPr>
              <w:pStyle w:val="DHHSbody"/>
            </w:pPr>
            <w:r w:rsidRPr="00E01893">
              <w:t>WBIT</w:t>
            </w:r>
          </w:p>
        </w:tc>
        <w:tc>
          <w:tcPr>
            <w:tcW w:w="6973" w:type="dxa"/>
          </w:tcPr>
          <w:p w14:paraId="0E703F54" w14:textId="77777777" w:rsidR="00E01893" w:rsidRPr="00E01893" w:rsidRDefault="00E01893" w:rsidP="00EB32E5">
            <w:pPr>
              <w:pStyle w:val="DHHSbody"/>
            </w:pPr>
            <w:r w:rsidRPr="00E01893">
              <w:t>wrong blood in tube</w:t>
            </w:r>
          </w:p>
        </w:tc>
      </w:tr>
    </w:tbl>
    <w:p w14:paraId="09F21203" w14:textId="187703E5" w:rsidR="00B5678E" w:rsidRPr="00E01893" w:rsidRDefault="00B5678E" w:rsidP="00E01893">
      <w:pPr>
        <w:pStyle w:val="Heading1"/>
      </w:pPr>
      <w:bookmarkStart w:id="3" w:name="_Toc24287404"/>
      <w:r w:rsidRPr="00343635">
        <w:lastRenderedPageBreak/>
        <w:t xml:space="preserve">Executive </w:t>
      </w:r>
      <w:r w:rsidR="000A3615">
        <w:t>s</w:t>
      </w:r>
      <w:r w:rsidRPr="00343635">
        <w:t>ummary</w:t>
      </w:r>
      <w:bookmarkEnd w:id="3"/>
    </w:p>
    <w:p w14:paraId="26A9AF25" w14:textId="28DD2928" w:rsidR="00B5678E" w:rsidRPr="00343635" w:rsidRDefault="00B5678E" w:rsidP="00E01893">
      <w:pPr>
        <w:pStyle w:val="DHHSbody"/>
      </w:pPr>
      <w:r w:rsidRPr="00343635">
        <w:t>Serious Transfusion Incident Reporting (STIR) has 93 registered health services</w:t>
      </w:r>
      <w:r w:rsidR="000A3615">
        <w:t>.</w:t>
      </w:r>
      <w:r w:rsidRPr="00343635">
        <w:t xml:space="preserve"> </w:t>
      </w:r>
      <w:r w:rsidR="000A3615">
        <w:t xml:space="preserve">In </w:t>
      </w:r>
      <w:r w:rsidRPr="00343635">
        <w:t xml:space="preserve">financial year </w:t>
      </w:r>
      <w:r w:rsidR="000A3615">
        <w:t>2017–</w:t>
      </w:r>
      <w:r w:rsidRPr="00343635">
        <w:t xml:space="preserve">18, </w:t>
      </w:r>
      <w:r w:rsidR="000A3615">
        <w:t xml:space="preserve">STIR </w:t>
      </w:r>
      <w:r w:rsidRPr="00343635">
        <w:t>received 159 notifications of transfusion incidents from 34 health services. Of the</w:t>
      </w:r>
      <w:r w:rsidR="000A3615">
        <w:t>se</w:t>
      </w:r>
      <w:r w:rsidRPr="00343635">
        <w:t xml:space="preserve"> 159 notifications, 134 were validated and included in this report. This year clinical reports represented 53 per cent of the reports received, and 47 per cent were procedural errors.</w:t>
      </w:r>
    </w:p>
    <w:p w14:paraId="56B0DECE" w14:textId="7E53C7E5" w:rsidR="00B5678E" w:rsidRPr="00343635" w:rsidRDefault="00B5678E" w:rsidP="00E01893">
      <w:pPr>
        <w:pStyle w:val="DHHSbody"/>
      </w:pPr>
      <w:r w:rsidRPr="00343635">
        <w:t>Clinical incidents include febrile non-haemolytic reactions (34 per cent of all clinical reactions), transfusion associated circulatory overload</w:t>
      </w:r>
      <w:r w:rsidR="000A3615">
        <w:t xml:space="preserve"> (</w:t>
      </w:r>
      <w:r w:rsidRPr="00343635">
        <w:t>TACO</w:t>
      </w:r>
      <w:r w:rsidR="000A3615">
        <w:t>)</w:t>
      </w:r>
      <w:r w:rsidRPr="00343635">
        <w:t xml:space="preserve"> (27 per cent) and allergic reactions, ranging from mild to anaphylaxis (22 per cent). </w:t>
      </w:r>
      <w:r w:rsidR="0056722C">
        <w:t>N</w:t>
      </w:r>
      <w:r w:rsidRPr="00343635">
        <w:t xml:space="preserve">o deaths </w:t>
      </w:r>
      <w:r w:rsidR="0056722C">
        <w:t xml:space="preserve">were </w:t>
      </w:r>
      <w:r w:rsidRPr="00343635">
        <w:t xml:space="preserve">attributed to any of the reactions reported, however a number of patients required ICU admission </w:t>
      </w:r>
      <w:r w:rsidR="0056722C">
        <w:t>due</w:t>
      </w:r>
      <w:r w:rsidR="0056722C" w:rsidRPr="00343635">
        <w:t xml:space="preserve"> </w:t>
      </w:r>
      <w:r w:rsidRPr="00343635">
        <w:t>to the reaction.</w:t>
      </w:r>
    </w:p>
    <w:p w14:paraId="23B65008" w14:textId="39C0B31A" w:rsidR="0056722C" w:rsidRDefault="00B5678E" w:rsidP="00E01893">
      <w:pPr>
        <w:pStyle w:val="DHHSbody"/>
      </w:pPr>
      <w:r w:rsidRPr="00343635">
        <w:t>Procedural errors include near misses (39 per cent)</w:t>
      </w:r>
      <w:r w:rsidR="0056722C">
        <w:t>. T</w:t>
      </w:r>
      <w:r w:rsidRPr="00343635">
        <w:t xml:space="preserve">hese </w:t>
      </w:r>
      <w:r w:rsidR="0056722C">
        <w:t>allow us</w:t>
      </w:r>
      <w:r w:rsidRPr="00343635">
        <w:t xml:space="preserve"> to learn from error</w:t>
      </w:r>
      <w:r w:rsidR="0056722C">
        <w:t>s</w:t>
      </w:r>
      <w:r w:rsidRPr="00343635">
        <w:t xml:space="preserve"> and </w:t>
      </w:r>
      <w:r w:rsidR="0056722C">
        <w:t>determine how we can improve processes</w:t>
      </w:r>
      <w:r w:rsidRPr="00343635">
        <w:t xml:space="preserve"> without harm to the patient. Wrong blood in tube events (WBIT), another type of near miss involving specimens, accounted for 28 per cent of procedural reports. Approximately one</w:t>
      </w:r>
      <w:r w:rsidR="0056722C">
        <w:t>-</w:t>
      </w:r>
      <w:r w:rsidRPr="00343635">
        <w:t>third of all WBIT</w:t>
      </w:r>
      <w:r w:rsidR="0056722C">
        <w:t xml:space="preserve"> event</w:t>
      </w:r>
      <w:r w:rsidRPr="00343635">
        <w:t xml:space="preserve">s are reported in emergency or midwifery departments, putting patients at risk of receiving an incorrect blood component. Incorrect blood component transfused </w:t>
      </w:r>
      <w:r w:rsidR="0056722C">
        <w:t>comprised</w:t>
      </w:r>
      <w:r w:rsidRPr="00343635">
        <w:t xml:space="preserve"> 17 per cent of procedural errors. </w:t>
      </w:r>
    </w:p>
    <w:p w14:paraId="5A605FCC" w14:textId="15CCB243" w:rsidR="00B5678E" w:rsidRPr="00343635" w:rsidRDefault="00B5678E" w:rsidP="00E01893">
      <w:pPr>
        <w:pStyle w:val="DHHSbody"/>
      </w:pPr>
      <w:r w:rsidRPr="00343635">
        <w:t xml:space="preserve">Two events required a root cause analysis (RCA) in this reporting period. The outcomes of these RCAs are reported here </w:t>
      </w:r>
      <w:r w:rsidR="0056722C">
        <w:t>to</w:t>
      </w:r>
      <w:r w:rsidRPr="00343635">
        <w:t xml:space="preserve"> assist others to review their processes and assess the need for change. We thank the health services involved for their willingness to share this information.</w:t>
      </w:r>
    </w:p>
    <w:p w14:paraId="3E480294" w14:textId="68DF82F0" w:rsidR="00B5678E" w:rsidRPr="00343635" w:rsidRDefault="00B5678E" w:rsidP="00E01893">
      <w:pPr>
        <w:pStyle w:val="DHHSbody"/>
      </w:pPr>
      <w:r w:rsidRPr="00343635">
        <w:t>As in previous reports</w:t>
      </w:r>
      <w:r w:rsidR="00221BBE">
        <w:t>,</w:t>
      </w:r>
      <w:r w:rsidRPr="00343635">
        <w:t xml:space="preserve"> there are a number of case studies to highlight interesting aspects of incidents and reactions that have occurred. We hope these can be used to help educate staff regarding the risks of transfusion.</w:t>
      </w:r>
    </w:p>
    <w:p w14:paraId="6B97D010" w14:textId="7B8DB2E6" w:rsidR="00B5678E" w:rsidRPr="00343635" w:rsidRDefault="00C22268" w:rsidP="00E01893">
      <w:pPr>
        <w:pStyle w:val="DHHSbody"/>
      </w:pPr>
      <w:r>
        <w:t>We have developed k</w:t>
      </w:r>
      <w:r w:rsidRPr="00343635">
        <w:t xml:space="preserve">ey </w:t>
      </w:r>
      <w:r w:rsidR="00B5678E" w:rsidRPr="00343635">
        <w:t>messages and recommendations from the events reported</w:t>
      </w:r>
      <w:r>
        <w:t>. These</w:t>
      </w:r>
      <w:r w:rsidR="00B5678E" w:rsidRPr="00343635">
        <w:t xml:space="preserve"> represent best practice as described in Australian and international guidelines.</w:t>
      </w:r>
    </w:p>
    <w:p w14:paraId="0877E569" w14:textId="2DBC13C6" w:rsidR="00B5678E" w:rsidRPr="00343635" w:rsidRDefault="00B5678E" w:rsidP="00E01893">
      <w:pPr>
        <w:pStyle w:val="DHHSbody"/>
      </w:pPr>
      <w:r w:rsidRPr="00343635">
        <w:t xml:space="preserve">STIR continues to work with health services to improve processes. Information from the STIR reports has contributed to the Blood Matters program of work, </w:t>
      </w:r>
      <w:r w:rsidR="00C22268">
        <w:t>such as</w:t>
      </w:r>
      <w:r w:rsidRPr="00343635">
        <w:t xml:space="preserve"> TACO information tags to increase awareness and the recent </w:t>
      </w:r>
      <w:proofErr w:type="spellStart"/>
      <w:r w:rsidRPr="00343635">
        <w:t>RhD</w:t>
      </w:r>
      <w:proofErr w:type="spellEnd"/>
      <w:r w:rsidRPr="00343635">
        <w:t xml:space="preserve"> immunoglobulin (Ig) use in obstetrics audit. </w:t>
      </w:r>
      <w:r w:rsidR="00C22268">
        <w:t>STIR reports have also influenced c</w:t>
      </w:r>
      <w:r w:rsidR="00C22268" w:rsidRPr="00343635">
        <w:t xml:space="preserve">linical </w:t>
      </w:r>
      <w:r w:rsidRPr="00343635">
        <w:t xml:space="preserve">education. </w:t>
      </w:r>
    </w:p>
    <w:p w14:paraId="34854A26" w14:textId="5018C778" w:rsidR="00B5678E" w:rsidRPr="00343635" w:rsidRDefault="00B5678E" w:rsidP="00E01893">
      <w:pPr>
        <w:pStyle w:val="Heading1"/>
      </w:pPr>
      <w:bookmarkStart w:id="4" w:name="_Toc24287405"/>
      <w:r w:rsidRPr="00343635">
        <w:lastRenderedPageBreak/>
        <w:t xml:space="preserve">Key </w:t>
      </w:r>
      <w:r w:rsidR="000820A4">
        <w:t>m</w:t>
      </w:r>
      <w:r w:rsidRPr="00343635">
        <w:t xml:space="preserve">essages </w:t>
      </w:r>
      <w:r w:rsidR="000820A4">
        <w:t>and</w:t>
      </w:r>
      <w:r w:rsidR="000820A4" w:rsidRPr="00343635">
        <w:t xml:space="preserve"> </w:t>
      </w:r>
      <w:r w:rsidR="000820A4">
        <w:t>r</w:t>
      </w:r>
      <w:r w:rsidR="000820A4" w:rsidRPr="00343635">
        <w:t>ecommendations</w:t>
      </w:r>
      <w:bookmarkEnd w:id="4"/>
    </w:p>
    <w:p w14:paraId="787A53B7" w14:textId="41D97B4C" w:rsidR="00B5678E" w:rsidRPr="00E01893" w:rsidRDefault="00B5678E" w:rsidP="00E01893">
      <w:pPr>
        <w:pStyle w:val="Heading2"/>
      </w:pPr>
      <w:bookmarkStart w:id="5" w:name="_Toc24287406"/>
      <w:r w:rsidRPr="00343635">
        <w:t>Clinical</w:t>
      </w:r>
      <w:bookmarkEnd w:id="5"/>
    </w:p>
    <w:p w14:paraId="07EA915D" w14:textId="3FAFF7D4" w:rsidR="00B5678E" w:rsidRPr="00343635" w:rsidRDefault="00B5678E" w:rsidP="00E01893">
      <w:pPr>
        <w:pStyle w:val="DHHSbody"/>
      </w:pPr>
      <w:r w:rsidRPr="00343635">
        <w:t xml:space="preserve">Always consider a potential transfusion reaction when clinical deterioration is noted in a patient receiving, or who has received, a blood product. When </w:t>
      </w:r>
      <w:r w:rsidR="00821C3C">
        <w:t>a</w:t>
      </w:r>
      <w:r w:rsidRPr="00343635">
        <w:t xml:space="preserve"> patient</w:t>
      </w:r>
      <w:r w:rsidR="00821C3C">
        <w:t xml:space="preserve"> deteriorates</w:t>
      </w:r>
      <w:r w:rsidRPr="00343635">
        <w:t xml:space="preserve"> during transfusion, </w:t>
      </w:r>
      <w:r w:rsidR="000820A4">
        <w:t xml:space="preserve">stop </w:t>
      </w:r>
      <w:r w:rsidRPr="00343635">
        <w:t>the transfusion (with intravenous access maintained)</w:t>
      </w:r>
      <w:r w:rsidR="00821C3C">
        <w:t>,</w:t>
      </w:r>
      <w:r w:rsidRPr="00343635">
        <w:t xml:space="preserve"> </w:t>
      </w:r>
      <w:r w:rsidR="000820A4">
        <w:t xml:space="preserve">assessing </w:t>
      </w:r>
      <w:r w:rsidRPr="00343635">
        <w:t xml:space="preserve">the patient and </w:t>
      </w:r>
      <w:r w:rsidR="000820A4">
        <w:t>investigat</w:t>
      </w:r>
      <w:r w:rsidR="00821C3C">
        <w:t>e</w:t>
      </w:r>
      <w:r w:rsidR="000820A4">
        <w:t xml:space="preserve"> </w:t>
      </w:r>
      <w:r w:rsidR="00821C3C">
        <w:t xml:space="preserve">whether </w:t>
      </w:r>
      <w:r w:rsidRPr="00343635">
        <w:t>a transfusion reaction</w:t>
      </w:r>
      <w:r w:rsidR="00821C3C">
        <w:t xml:space="preserve"> has </w:t>
      </w:r>
      <w:r w:rsidR="00172E8C">
        <w:t>occurred</w:t>
      </w:r>
      <w:r w:rsidRPr="00343635">
        <w:t xml:space="preserve"> (refer to</w:t>
      </w:r>
      <w:r w:rsidR="00821C3C">
        <w:t xml:space="preserve"> ‘Case study 3: ATR – allergic reaction made worse by continuing the transfusion)</w:t>
      </w:r>
      <w:r w:rsidRPr="00343635">
        <w:t>.</w:t>
      </w:r>
    </w:p>
    <w:p w14:paraId="4CD75641" w14:textId="4AD2C55B" w:rsidR="00B5678E" w:rsidRPr="00343635" w:rsidRDefault="00B5678E" w:rsidP="00E01893">
      <w:pPr>
        <w:pStyle w:val="DHHSbody"/>
      </w:pPr>
      <w:r w:rsidRPr="00343635">
        <w:t xml:space="preserve">The routine </w:t>
      </w:r>
      <w:proofErr w:type="gramStart"/>
      <w:r w:rsidRPr="00343635">
        <w:t>use</w:t>
      </w:r>
      <w:proofErr w:type="gramEnd"/>
      <w:r w:rsidRPr="00343635">
        <w:t xml:space="preserve"> of FFP for patients </w:t>
      </w:r>
      <w:r w:rsidRPr="00E01893">
        <w:t>u</w:t>
      </w:r>
      <w:r w:rsidRPr="00343635">
        <w:t xml:space="preserve">ndergoing therapeutic plasma exchange is not recommended unless there is a clear indication to replace coagulation factors (refer to </w:t>
      </w:r>
      <w:r w:rsidR="00821C3C">
        <w:t>‘Case study 4: ATR – allergic reaction to FFP in plasma exchange)</w:t>
      </w:r>
      <w:r w:rsidRPr="00343635">
        <w:t>.</w:t>
      </w:r>
    </w:p>
    <w:p w14:paraId="7C14E1AA" w14:textId="4F5BE75A" w:rsidR="00B5678E" w:rsidRPr="00343635" w:rsidRDefault="00B5678E" w:rsidP="00E01893">
      <w:pPr>
        <w:pStyle w:val="Heading2"/>
      </w:pPr>
      <w:bookmarkStart w:id="6" w:name="_Toc24287407"/>
      <w:r w:rsidRPr="00343635">
        <w:t>Procedural</w:t>
      </w:r>
      <w:bookmarkEnd w:id="6"/>
    </w:p>
    <w:p w14:paraId="48221FBB" w14:textId="7F7DCD47" w:rsidR="00B5678E" w:rsidRPr="00343635" w:rsidRDefault="00B5678E" w:rsidP="00E01893">
      <w:pPr>
        <w:pStyle w:val="DHHSbody"/>
      </w:pPr>
      <w:r w:rsidRPr="00343635">
        <w:t xml:space="preserve">Positive patient identification (PPID) at each step in the transfusion process is vital, regardless of the situation. This includes asking the patient to state their name and date of birth where possible, use of an interpreter when required and confirmation of stated identity with name band, blood product or labelled specimens and order/prescription (refer to </w:t>
      </w:r>
      <w:r w:rsidR="00C81A9D">
        <w:t>‘</w:t>
      </w:r>
      <w:r w:rsidR="00821C3C">
        <w:t>C</w:t>
      </w:r>
      <w:r w:rsidRPr="00343635">
        <w:t>ase stud</w:t>
      </w:r>
      <w:r w:rsidR="00C81A9D">
        <w:t>y</w:t>
      </w:r>
      <w:r w:rsidRPr="00343635">
        <w:t xml:space="preserve"> 1</w:t>
      </w:r>
      <w:r w:rsidR="00C81A9D">
        <w:t xml:space="preserve">1: IBCT – </w:t>
      </w:r>
      <w:proofErr w:type="spellStart"/>
      <w:r w:rsidR="00C81A9D">
        <w:t>RhD</w:t>
      </w:r>
      <w:proofErr w:type="spellEnd"/>
      <w:r w:rsidR="00C81A9D">
        <w:t xml:space="preserve"> incompatible transfusion’, ‘Case study</w:t>
      </w:r>
      <w:r w:rsidRPr="00343635">
        <w:t xml:space="preserve"> 17</w:t>
      </w:r>
      <w:r w:rsidR="00C81A9D">
        <w:t>: WBIT – patient identification from medical folder’</w:t>
      </w:r>
      <w:r w:rsidRPr="00343635">
        <w:t>,</w:t>
      </w:r>
      <w:r w:rsidR="00C81A9D">
        <w:t xml:space="preserve"> ‘Case study</w:t>
      </w:r>
      <w:r w:rsidRPr="00343635">
        <w:t xml:space="preserve"> 18</w:t>
      </w:r>
      <w:r w:rsidR="00C81A9D">
        <w:t xml:space="preserve">: </w:t>
      </w:r>
      <w:proofErr w:type="spellStart"/>
      <w:r w:rsidR="00C81A9D">
        <w:t>RhD</w:t>
      </w:r>
      <w:proofErr w:type="spellEnd"/>
      <w:r w:rsidR="00C81A9D">
        <w:t xml:space="preserve"> Ig administration – electronic ordering and understanding of blood group and antibody results’</w:t>
      </w:r>
      <w:r w:rsidRPr="00343635">
        <w:t xml:space="preserve">, </w:t>
      </w:r>
      <w:r w:rsidR="00C81A9D">
        <w:t xml:space="preserve">Case study </w:t>
      </w:r>
      <w:r w:rsidRPr="00343635">
        <w:t>19</w:t>
      </w:r>
      <w:r w:rsidR="00C81A9D">
        <w:t xml:space="preserve">: </w:t>
      </w:r>
      <w:proofErr w:type="spellStart"/>
      <w:r w:rsidR="00C81A9D">
        <w:t>RhD</w:t>
      </w:r>
      <w:proofErr w:type="spellEnd"/>
      <w:r w:rsidR="00C81A9D">
        <w:t xml:space="preserve"> administration – transcription error leading to inappropriate administration’ and ‘Case study </w:t>
      </w:r>
      <w:r w:rsidRPr="00343635">
        <w:t>15</w:t>
      </w:r>
      <w:r w:rsidR="00C81A9D">
        <w:t>: WBIT – bloods taken in Medical Emergency Team (MET) call)</w:t>
      </w:r>
      <w:r w:rsidRPr="00343635">
        <w:t>.</w:t>
      </w:r>
    </w:p>
    <w:p w14:paraId="60283534" w14:textId="774594B4" w:rsidR="00B5678E" w:rsidRPr="00343635" w:rsidRDefault="00B5678E" w:rsidP="00E01893">
      <w:pPr>
        <w:pStyle w:val="DHHSbody"/>
      </w:pPr>
      <w:r w:rsidRPr="00343635">
        <w:t xml:space="preserve">Blood administration must only occur after double independent checking has occurred. This involves both </w:t>
      </w:r>
      <w:proofErr w:type="gramStart"/>
      <w:r w:rsidRPr="00343635">
        <w:t>staff</w:t>
      </w:r>
      <w:proofErr w:type="gramEnd"/>
      <w:r w:rsidRPr="00343635">
        <w:t xml:space="preserve"> performing all checks at the bedside. Both staff should be able to independently confirm that the product to be commenced is intended for the patient (refer to </w:t>
      </w:r>
      <w:r w:rsidR="00C81A9D">
        <w:t xml:space="preserve">‘Case study 11: </w:t>
      </w:r>
      <w:r w:rsidR="00C81A9D" w:rsidRPr="00343635">
        <w:t xml:space="preserve">IBCT </w:t>
      </w:r>
      <w:r w:rsidR="00C81A9D">
        <w:t>–</w:t>
      </w:r>
      <w:r w:rsidR="00C81A9D" w:rsidRPr="00343635">
        <w:t xml:space="preserve"> </w:t>
      </w:r>
      <w:proofErr w:type="spellStart"/>
      <w:r w:rsidR="00C81A9D" w:rsidRPr="00343635">
        <w:t>RhD</w:t>
      </w:r>
      <w:proofErr w:type="spellEnd"/>
      <w:r w:rsidR="00C81A9D" w:rsidRPr="00343635">
        <w:t xml:space="preserve"> </w:t>
      </w:r>
      <w:r w:rsidR="00C81A9D" w:rsidRPr="009435C0">
        <w:t>incompatible</w:t>
      </w:r>
      <w:r w:rsidR="00C81A9D" w:rsidRPr="00343635">
        <w:t xml:space="preserve"> transfusion</w:t>
      </w:r>
      <w:r w:rsidR="00C81A9D">
        <w:t>’ and ‘Case study 1</w:t>
      </w:r>
      <w:r w:rsidR="00D91D91">
        <w:t>4</w:t>
      </w:r>
      <w:r w:rsidR="00C81A9D">
        <w:t xml:space="preserve">: </w:t>
      </w:r>
      <w:r w:rsidR="00D91D91">
        <w:t>Near miss</w:t>
      </w:r>
      <w:r w:rsidR="00C81A9D">
        <w:t xml:space="preserve"> –</w:t>
      </w:r>
      <w:r w:rsidR="00D91D91" w:rsidRPr="00D91D91">
        <w:rPr>
          <w:rFonts w:ascii="Cambria" w:eastAsia="Times New Roman" w:hAnsi="Cambria"/>
        </w:rPr>
        <w:t xml:space="preserve"> </w:t>
      </w:r>
      <w:r w:rsidR="00D91D91" w:rsidRPr="00D91D91">
        <w:t xml:space="preserve">wrong blood checked and </w:t>
      </w:r>
      <w:proofErr w:type="gramStart"/>
      <w:r w:rsidR="00D91D91" w:rsidRPr="00D91D91">
        <w:t>spiked</w:t>
      </w:r>
      <w:r w:rsidR="00C81A9D">
        <w:t xml:space="preserve"> ’</w:t>
      </w:r>
      <w:proofErr w:type="gramEnd"/>
      <w:r w:rsidRPr="00343635">
        <w:t>).</w:t>
      </w:r>
    </w:p>
    <w:p w14:paraId="018DF7CB" w14:textId="46481CA9" w:rsidR="00B5678E" w:rsidRPr="00343635" w:rsidRDefault="00B5678E" w:rsidP="00E01893">
      <w:pPr>
        <w:pStyle w:val="DHHSbody"/>
      </w:pPr>
      <w:r w:rsidRPr="00343635">
        <w:t xml:space="preserve">Health services considering </w:t>
      </w:r>
      <w:r w:rsidR="00C81A9D">
        <w:t>using</w:t>
      </w:r>
      <w:r w:rsidRPr="00343635">
        <w:t xml:space="preserve"> pneumatic chutes for the delivery of blood products must establish processes for verification when collecting the product from a chute, ensure appropriate training of staff in product collection</w:t>
      </w:r>
      <w:r w:rsidR="00C81A9D">
        <w:t>,</w:t>
      </w:r>
      <w:r w:rsidRPr="00343635">
        <w:t xml:space="preserve"> and reporting adverse events </w:t>
      </w:r>
      <w:r w:rsidR="00C81A9D">
        <w:t>if</w:t>
      </w:r>
      <w:r w:rsidR="00C81A9D" w:rsidRPr="00343635">
        <w:t xml:space="preserve"> </w:t>
      </w:r>
      <w:r w:rsidRPr="00343635">
        <w:t xml:space="preserve">they occur. </w:t>
      </w:r>
      <w:r w:rsidR="00C81A9D">
        <w:t>T</w:t>
      </w:r>
      <w:r w:rsidRPr="00343635">
        <w:t>he risks to patients associated with the collection and incorrect delivery of blood from pneumatic delivery system</w:t>
      </w:r>
      <w:r w:rsidR="00C81A9D">
        <w:t>s</w:t>
      </w:r>
      <w:r w:rsidRPr="00343635">
        <w:t xml:space="preserve"> need </w:t>
      </w:r>
      <w:r w:rsidR="00FA2ADC">
        <w:t xml:space="preserve">to be assessed </w:t>
      </w:r>
      <w:r w:rsidRPr="00343635">
        <w:t xml:space="preserve">as much as risks to the blood product itself (refer to </w:t>
      </w:r>
      <w:r w:rsidR="00FA2ADC">
        <w:t>‘Case study 11: IBCT –</w:t>
      </w:r>
      <w:r w:rsidR="00FA2ADC" w:rsidRPr="00343635">
        <w:t xml:space="preserve"> </w:t>
      </w:r>
      <w:proofErr w:type="spellStart"/>
      <w:r w:rsidR="00FA2ADC" w:rsidRPr="00343635">
        <w:t>RhD</w:t>
      </w:r>
      <w:proofErr w:type="spellEnd"/>
      <w:r w:rsidR="00FA2ADC" w:rsidRPr="00343635">
        <w:t xml:space="preserve"> </w:t>
      </w:r>
      <w:r w:rsidR="00FA2ADC" w:rsidRPr="009435C0">
        <w:t>incompatible</w:t>
      </w:r>
      <w:r w:rsidR="00FA2ADC" w:rsidRPr="00343635">
        <w:t xml:space="preserve"> transfusion</w:t>
      </w:r>
      <w:r w:rsidR="00FA2ADC">
        <w:t>’ and ‘Case study 1</w:t>
      </w:r>
      <w:r w:rsidR="00D91D91">
        <w:t>4</w:t>
      </w:r>
      <w:r w:rsidR="00FA2ADC">
        <w:t xml:space="preserve">: </w:t>
      </w:r>
      <w:r w:rsidR="00D91D91" w:rsidRPr="00D91D91">
        <w:t>Near miss – wrong blood checked and spiked</w:t>
      </w:r>
      <w:r w:rsidR="00FA2ADC">
        <w:t>’</w:t>
      </w:r>
      <w:r w:rsidRPr="00343635">
        <w:t>).</w:t>
      </w:r>
    </w:p>
    <w:p w14:paraId="3E67C970" w14:textId="2D44DB50" w:rsidR="00B5678E" w:rsidRPr="00343635" w:rsidRDefault="00B5678E" w:rsidP="00E01893">
      <w:pPr>
        <w:pStyle w:val="DHHSbody"/>
      </w:pPr>
      <w:r w:rsidRPr="00343635">
        <w:t>Review</w:t>
      </w:r>
      <w:r w:rsidR="000111A3">
        <w:t>s</w:t>
      </w:r>
      <w:r w:rsidRPr="00343635">
        <w:t xml:space="preserve"> of incidents reported to STIR </w:t>
      </w:r>
      <w:r w:rsidR="000111A3">
        <w:t xml:space="preserve">show </w:t>
      </w:r>
      <w:r w:rsidRPr="00343635">
        <w:t>that there are some similarities between the incidents we see reported</w:t>
      </w:r>
      <w:r w:rsidR="000111A3">
        <w:t xml:space="preserve"> </w:t>
      </w:r>
      <w:r w:rsidRPr="00343635">
        <w:t>and those reported to the UK serious hazards of transfusion (SHOT) system. There are some key messages from the SHOT 2017 report</w:t>
      </w:r>
      <w:r w:rsidR="000111A3">
        <w:t xml:space="preserve"> that also apply to the Australian context</w:t>
      </w:r>
      <w:r w:rsidRPr="00343635">
        <w:t xml:space="preserve">. </w:t>
      </w:r>
    </w:p>
    <w:p w14:paraId="2EA7AB5A" w14:textId="668A79AD" w:rsidR="00B5678E" w:rsidRPr="00343635" w:rsidRDefault="000111A3" w:rsidP="00080269">
      <w:pPr>
        <w:pStyle w:val="Heading3"/>
      </w:pPr>
      <w:bookmarkStart w:id="7" w:name="_Toc24287408"/>
      <w:r>
        <w:t>Key messages f</w:t>
      </w:r>
      <w:r w:rsidRPr="00343635">
        <w:t xml:space="preserve">rom </w:t>
      </w:r>
      <w:r w:rsidR="00B5678E" w:rsidRPr="00343635">
        <w:t>SHOT 2017</w:t>
      </w:r>
      <w:bookmarkEnd w:id="7"/>
    </w:p>
    <w:p w14:paraId="71655C95" w14:textId="4371E9C6" w:rsidR="00B5678E" w:rsidRPr="00343635" w:rsidRDefault="00B5678E" w:rsidP="00E01893">
      <w:pPr>
        <w:pStyle w:val="DHHSbody"/>
      </w:pPr>
      <w:r w:rsidRPr="00080269">
        <w:rPr>
          <w:b/>
          <w:bCs/>
        </w:rPr>
        <w:t>Do not assume, verify</w:t>
      </w:r>
      <w:r w:rsidRPr="00343635">
        <w:t>: At each step in the transfusion process, do not assume that no errors have been made in previous steps</w:t>
      </w:r>
      <w:r w:rsidR="000111A3">
        <w:t>.</w:t>
      </w:r>
      <w:r w:rsidRPr="00343635">
        <w:t xml:space="preserve"> </w:t>
      </w:r>
      <w:r w:rsidR="000111A3">
        <w:t>V</w:t>
      </w:r>
      <w:r w:rsidR="000111A3" w:rsidRPr="00343635">
        <w:t xml:space="preserve">erify </w:t>
      </w:r>
      <w:r w:rsidRPr="00343635">
        <w:t>each step, particularly patient identification.</w:t>
      </w:r>
    </w:p>
    <w:p w14:paraId="589DA581" w14:textId="77777777" w:rsidR="00B5678E" w:rsidRPr="00343635" w:rsidRDefault="00B5678E" w:rsidP="00E01893">
      <w:pPr>
        <w:pStyle w:val="DHHSbody"/>
      </w:pPr>
      <w:r w:rsidRPr="00080269">
        <w:rPr>
          <w:b/>
          <w:bCs/>
        </w:rPr>
        <w:t>Human factors:</w:t>
      </w:r>
      <w:r w:rsidRPr="00343635">
        <w:t xml:space="preserve"> Failure of communication, distractions, interruptions, wrong assumptions, poor handovers and overriding alerts in the laboratory information systems are all important contributory factors.</w:t>
      </w:r>
    </w:p>
    <w:p w14:paraId="32E33CED" w14:textId="77777777" w:rsidR="00B5678E" w:rsidRPr="00343635" w:rsidRDefault="00B5678E" w:rsidP="00E01893">
      <w:pPr>
        <w:pStyle w:val="DHHSbody"/>
      </w:pPr>
      <w:r w:rsidRPr="00080269">
        <w:rPr>
          <w:b/>
          <w:bCs/>
        </w:rPr>
        <w:t>It is the clinician’s responsibility</w:t>
      </w:r>
      <w:r w:rsidRPr="00343635">
        <w:t xml:space="preserve"> to determine, document and communicate the patient’s specific transfusion requirements.</w:t>
      </w:r>
    </w:p>
    <w:p w14:paraId="570AB68F" w14:textId="13C7523F" w:rsidR="00B5678E" w:rsidRPr="00343635" w:rsidRDefault="00B5678E" w:rsidP="00E01893">
      <w:pPr>
        <w:pStyle w:val="Heading1"/>
      </w:pPr>
      <w:bookmarkStart w:id="8" w:name="_Toc24287409"/>
      <w:r w:rsidRPr="00343635">
        <w:lastRenderedPageBreak/>
        <w:t>Introduction</w:t>
      </w:r>
      <w:bookmarkEnd w:id="8"/>
    </w:p>
    <w:p w14:paraId="510A6C28" w14:textId="04223BB5" w:rsidR="00B5678E" w:rsidRPr="00343635" w:rsidRDefault="00B5678E" w:rsidP="00E01893">
      <w:pPr>
        <w:pStyle w:val="DHHSbody"/>
      </w:pPr>
      <w:r w:rsidRPr="00343635">
        <w:t xml:space="preserve">Welcome to the fifth annual STIR report, covering the period 1 July 2017 to 30 June 2018. </w:t>
      </w:r>
    </w:p>
    <w:p w14:paraId="17E41D11" w14:textId="77777777" w:rsidR="00B5678E" w:rsidRPr="00343635" w:rsidRDefault="00B5678E" w:rsidP="00E01893">
      <w:pPr>
        <w:pStyle w:val="DHHSbody"/>
      </w:pPr>
      <w:r w:rsidRPr="00343635">
        <w:t xml:space="preserve">This year includes reports on two new categories: delayed serologic and transfusion-associated dyspnoea. Reporting for these categories commenced from 1 July 2017 as requested by the National Blood Authority (NBA). </w:t>
      </w:r>
    </w:p>
    <w:p w14:paraId="253BC32F" w14:textId="4C8C9DEC" w:rsidR="00B5678E" w:rsidRPr="00343635" w:rsidRDefault="00B5678E" w:rsidP="00E01893">
      <w:pPr>
        <w:pStyle w:val="DHHSbody"/>
      </w:pPr>
      <w:r w:rsidRPr="00343635">
        <w:t>Reporting to STIR is voluntary and all data is de-identified before inclusion for review or reporting. Health services are encouraged to report to STIR</w:t>
      </w:r>
      <w:r w:rsidR="000111A3">
        <w:t>,</w:t>
      </w:r>
      <w:r w:rsidRPr="00343635">
        <w:t xml:space="preserve"> as doing so contributes to the bigger picture across multiple states</w:t>
      </w:r>
      <w:r w:rsidR="000111A3">
        <w:t>. This helps to</w:t>
      </w:r>
      <w:r w:rsidRPr="00343635">
        <w:t xml:space="preserve"> </w:t>
      </w:r>
      <w:r w:rsidR="000111A3" w:rsidRPr="00343635">
        <w:t>improv</w:t>
      </w:r>
      <w:r w:rsidR="000111A3">
        <w:t>e</w:t>
      </w:r>
      <w:r w:rsidR="000111A3" w:rsidRPr="00343635">
        <w:t xml:space="preserve"> </w:t>
      </w:r>
      <w:r w:rsidR="000111A3">
        <w:t xml:space="preserve">our </w:t>
      </w:r>
      <w:r w:rsidRPr="00343635">
        <w:t xml:space="preserve">understanding of transfusion-related errors, and allows </w:t>
      </w:r>
      <w:r w:rsidR="000111A3">
        <w:t xml:space="preserve">us to identify </w:t>
      </w:r>
      <w:r w:rsidRPr="00343635">
        <w:t xml:space="preserve">safety and quality measures </w:t>
      </w:r>
      <w:r w:rsidR="000111A3">
        <w:t>for</w:t>
      </w:r>
      <w:r w:rsidRPr="00343635">
        <w:t xml:space="preserve"> better transfusion outcomes. In addition, it may assist in meeting some of the requirements for institutional accreditation.</w:t>
      </w:r>
    </w:p>
    <w:p w14:paraId="00BBA9C9" w14:textId="5FF7E08F" w:rsidR="00B5678E" w:rsidRPr="00343635" w:rsidRDefault="00B5678E" w:rsidP="00E01893">
      <w:pPr>
        <w:pStyle w:val="DHHSbody"/>
      </w:pPr>
      <w:r w:rsidRPr="00343635">
        <w:t xml:space="preserve">STIR continues to </w:t>
      </w:r>
      <w:r w:rsidR="000111A3">
        <w:t>analyse</w:t>
      </w:r>
      <w:r w:rsidRPr="00343635">
        <w:t xml:space="preserve"> local data on serious transfusion reactions and incidents, </w:t>
      </w:r>
      <w:r w:rsidR="000111A3">
        <w:t xml:space="preserve">provide </w:t>
      </w:r>
      <w:r w:rsidRPr="00343635">
        <w:t>case studies that highlight risks associated with transfusion practice, and</w:t>
      </w:r>
      <w:r w:rsidR="000111A3">
        <w:t xml:space="preserve"> develop</w:t>
      </w:r>
      <w:r w:rsidRPr="00343635">
        <w:t xml:space="preserve"> tools and recommendations for health services to address </w:t>
      </w:r>
      <w:proofErr w:type="spellStart"/>
      <w:r w:rsidRPr="00343635">
        <w:t>haemovigilance</w:t>
      </w:r>
      <w:proofErr w:type="spellEnd"/>
      <w:r w:rsidRPr="00343635">
        <w:t xml:space="preserve"> issues. In addition, to ensure more timely information to clinicians</w:t>
      </w:r>
      <w:r w:rsidR="000111A3" w:rsidRPr="00343635">
        <w:t>,</w:t>
      </w:r>
      <w:r w:rsidR="000111A3">
        <w:t xml:space="preserve"> STIR also sends </w:t>
      </w:r>
      <w:r w:rsidRPr="00343635">
        <w:t>bulletins highlighting important clinical information to health services.</w:t>
      </w:r>
    </w:p>
    <w:p w14:paraId="3A6D30FA" w14:textId="77777777" w:rsidR="00B5678E" w:rsidRPr="00343635" w:rsidRDefault="00B5678E" w:rsidP="00E01893">
      <w:pPr>
        <w:pStyle w:val="DHHSbody"/>
      </w:pPr>
      <w:r w:rsidRPr="00343635">
        <w:t xml:space="preserve">This annual report provides information from 134 validated investigations, reported by 34 health services from Victoria, Tasmania, Australian Capital Territory and Northern Territory (Figure 1). In this reporting period, STIR received more clinical than procedural reports (53 per cent versus 47 per cent). Acute transfusion reaction was the largest clinical category at 61 per cent, with TACO second at 27 per cent. </w:t>
      </w:r>
    </w:p>
    <w:p w14:paraId="09FCC011" w14:textId="5453D0C3" w:rsidR="00B5678E" w:rsidRDefault="00B5678E" w:rsidP="00E01893">
      <w:pPr>
        <w:pStyle w:val="DHHSfigurecaption"/>
      </w:pPr>
      <w:r w:rsidRPr="00343635">
        <w:t>Figure 1</w:t>
      </w:r>
      <w:r w:rsidR="000111A3">
        <w:t>:</w:t>
      </w:r>
      <w:r w:rsidRPr="00343635">
        <w:t xml:space="preserve"> Number of validated clinical and procedural reports and health services reporting to STIR each financial year</w:t>
      </w:r>
    </w:p>
    <w:p w14:paraId="2E7C9891" w14:textId="787AE640" w:rsidR="00900B3D" w:rsidRPr="00900B3D" w:rsidRDefault="00900B3D" w:rsidP="00900B3D">
      <w:pPr>
        <w:pStyle w:val="DHHSbody"/>
      </w:pPr>
      <w:r>
        <w:rPr>
          <w:noProof/>
        </w:rPr>
        <w:drawing>
          <wp:inline distT="0" distB="0" distL="0" distR="0" wp14:anchorId="1DE00DC7" wp14:editId="0D0F630A">
            <wp:extent cx="5897892" cy="2761494"/>
            <wp:effectExtent l="0" t="0" r="0" b="0"/>
            <wp:docPr id="7" name="Picture 7" descr="Figure 1&#10;This figure shows the number of validated reports each ye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1.png"/>
                    <pic:cNvPicPr/>
                  </pic:nvPicPr>
                  <pic:blipFill>
                    <a:blip r:embed="rId11"/>
                    <a:stretch>
                      <a:fillRect/>
                    </a:stretch>
                  </pic:blipFill>
                  <pic:spPr>
                    <a:xfrm>
                      <a:off x="0" y="0"/>
                      <a:ext cx="5897892" cy="2761494"/>
                    </a:xfrm>
                    <a:prstGeom prst="rect">
                      <a:avLst/>
                    </a:prstGeom>
                  </pic:spPr>
                </pic:pic>
              </a:graphicData>
            </a:graphic>
          </wp:inline>
        </w:drawing>
      </w:r>
    </w:p>
    <w:p w14:paraId="4060F191" w14:textId="329E1255" w:rsidR="00B5678E" w:rsidRPr="00343635" w:rsidRDefault="00B5678E" w:rsidP="00B5678E"/>
    <w:p w14:paraId="622013A7" w14:textId="7CD9942F" w:rsidR="00B5678E" w:rsidRPr="00343635" w:rsidRDefault="000111A3" w:rsidP="00080269">
      <w:pPr>
        <w:pStyle w:val="DHHSbodyaftertablefigure"/>
      </w:pPr>
      <w:r>
        <w:t>This year f</w:t>
      </w:r>
      <w:r w:rsidRPr="00343635">
        <w:t xml:space="preserve">or </w:t>
      </w:r>
      <w:r w:rsidR="00B5678E" w:rsidRPr="00343635">
        <w:t>the first time</w:t>
      </w:r>
      <w:r>
        <w:t>,</w:t>
      </w:r>
      <w:r w:rsidR="00B5678E" w:rsidRPr="00343635">
        <w:t xml:space="preserve"> near miss events were reported more often than WBIT events (39 per </w:t>
      </w:r>
      <w:r w:rsidR="00B5678E" w:rsidRPr="00E01893">
        <w:t>cent</w:t>
      </w:r>
      <w:r w:rsidR="00B5678E" w:rsidRPr="00343635">
        <w:t xml:space="preserve"> versus 28 per cent of procedural events). This is the first time </w:t>
      </w:r>
      <w:r w:rsidR="00B5678E" w:rsidRPr="000111A3">
        <w:t>WBIT</w:t>
      </w:r>
      <w:r w:rsidR="00B5678E" w:rsidRPr="00343635">
        <w:t xml:space="preserve"> has not been the leading cause for procedural incident reports, even after changes to the reporting criteria for WBIT in 2015 (excluding zero tolerance).</w:t>
      </w:r>
    </w:p>
    <w:p w14:paraId="039ECE8E" w14:textId="4216C1B7" w:rsidR="00B5678E" w:rsidRPr="00343635" w:rsidRDefault="00B5678E" w:rsidP="00E01893">
      <w:pPr>
        <w:pStyle w:val="DHHSbody"/>
      </w:pPr>
      <w:r w:rsidRPr="00343635">
        <w:t>The STIR Expert</w:t>
      </w:r>
      <w:r w:rsidR="000111A3">
        <w:t xml:space="preserve"> G</w:t>
      </w:r>
      <w:r w:rsidRPr="00343635">
        <w:t xml:space="preserve">roup continues to supply expert advice and review </w:t>
      </w:r>
      <w:r w:rsidRPr="00E01893">
        <w:t>of</w:t>
      </w:r>
      <w:r w:rsidRPr="00343635">
        <w:t xml:space="preserve"> received reactions and incidents. </w:t>
      </w:r>
    </w:p>
    <w:p w14:paraId="7E66CBBD" w14:textId="21FA9827" w:rsidR="00B5678E" w:rsidRPr="00343635" w:rsidRDefault="00B5678E" w:rsidP="00E01893">
      <w:pPr>
        <w:pStyle w:val="DHHSbody"/>
      </w:pPr>
      <w:r w:rsidRPr="00343635">
        <w:lastRenderedPageBreak/>
        <w:t xml:space="preserve">The NBA via </w:t>
      </w:r>
      <w:proofErr w:type="spellStart"/>
      <w:r w:rsidRPr="00343635">
        <w:t>BloodNET</w:t>
      </w:r>
      <w:proofErr w:type="spellEnd"/>
      <w:r w:rsidRPr="00343635">
        <w:t xml:space="preserve"> provides total blood issue data. Table 1 shows total blood issues per jurisdiction 2017</w:t>
      </w:r>
      <w:r w:rsidR="000111A3">
        <w:t>–</w:t>
      </w:r>
      <w:r w:rsidRPr="00343635">
        <w:t xml:space="preserve">18 (FY18) (distributed units minus units lost due to wastage, damage or other reasons). In comparison </w:t>
      </w:r>
      <w:r w:rsidR="005178A5">
        <w:t>with</w:t>
      </w:r>
      <w:r w:rsidRPr="00343635">
        <w:t xml:space="preserve"> previous annual data</w:t>
      </w:r>
      <w:r w:rsidR="005178A5">
        <w:t>,</w:t>
      </w:r>
      <w:r w:rsidRPr="00343635">
        <w:t xml:space="preserve"> there continues to be a slight decline in the total number of blood products issued to each jurisdiction.</w:t>
      </w:r>
    </w:p>
    <w:p w14:paraId="48A30DAB" w14:textId="4D9F3305" w:rsidR="00B5678E" w:rsidRPr="00343635" w:rsidRDefault="00B5678E" w:rsidP="00E01893">
      <w:pPr>
        <w:pStyle w:val="DHHStablecaption"/>
      </w:pPr>
      <w:r w:rsidRPr="00343635">
        <w:t>Table 1</w:t>
      </w:r>
      <w:r w:rsidR="000111A3">
        <w:t>:</w:t>
      </w:r>
      <w:r w:rsidRPr="00343635">
        <w:t xml:space="preserve"> Total blood issues per jurisdiction reporting to STIR 2017</w:t>
      </w:r>
      <w:r w:rsidR="005178A5">
        <w:t>–</w:t>
      </w:r>
      <w:r w:rsidRPr="00343635">
        <w:t>18</w:t>
      </w:r>
    </w:p>
    <w:tbl>
      <w:tblPr>
        <w:tblStyle w:val="TableGrid"/>
        <w:tblW w:w="8359" w:type="dxa"/>
        <w:tblLook w:val="04A0" w:firstRow="1" w:lastRow="0" w:firstColumn="1" w:lastColumn="0" w:noHBand="0" w:noVBand="1"/>
      </w:tblPr>
      <w:tblGrid>
        <w:gridCol w:w="2547"/>
        <w:gridCol w:w="1417"/>
        <w:gridCol w:w="1418"/>
        <w:gridCol w:w="1417"/>
        <w:gridCol w:w="1560"/>
      </w:tblGrid>
      <w:tr w:rsidR="00881FA7" w:rsidRPr="00343635" w14:paraId="01F0912A" w14:textId="77777777" w:rsidTr="00E56E6D">
        <w:trPr>
          <w:trHeight w:val="285"/>
          <w:tblHeader/>
        </w:trPr>
        <w:tc>
          <w:tcPr>
            <w:tcW w:w="2547" w:type="dxa"/>
            <w:noWrap/>
            <w:hideMark/>
          </w:tcPr>
          <w:p w14:paraId="32502446" w14:textId="6F753230" w:rsidR="00B5678E" w:rsidRPr="00DC315B" w:rsidRDefault="000111A3" w:rsidP="00DC315B">
            <w:pPr>
              <w:pStyle w:val="DHHStablecolhead"/>
            </w:pPr>
            <w:r>
              <w:t>20</w:t>
            </w:r>
            <w:r w:rsidR="00B5678E" w:rsidRPr="00DC315B">
              <w:t>17</w:t>
            </w:r>
            <w:r>
              <w:t>–</w:t>
            </w:r>
            <w:r w:rsidR="00B5678E" w:rsidRPr="00DC315B">
              <w:t>18</w:t>
            </w:r>
          </w:p>
        </w:tc>
        <w:tc>
          <w:tcPr>
            <w:tcW w:w="1417" w:type="dxa"/>
            <w:noWrap/>
            <w:hideMark/>
          </w:tcPr>
          <w:p w14:paraId="478C7263" w14:textId="77777777" w:rsidR="00B5678E" w:rsidRPr="00DC315B" w:rsidRDefault="00B5678E" w:rsidP="00DC315B">
            <w:pPr>
              <w:pStyle w:val="DHHStablecolhead"/>
            </w:pPr>
            <w:r w:rsidRPr="00DC315B">
              <w:t xml:space="preserve">Vic </w:t>
            </w:r>
          </w:p>
        </w:tc>
        <w:tc>
          <w:tcPr>
            <w:tcW w:w="1418" w:type="dxa"/>
            <w:noWrap/>
            <w:hideMark/>
          </w:tcPr>
          <w:p w14:paraId="720D1B73" w14:textId="77777777" w:rsidR="00B5678E" w:rsidRPr="00DC315B" w:rsidRDefault="00B5678E" w:rsidP="00DC315B">
            <w:pPr>
              <w:pStyle w:val="DHHStablecolhead"/>
            </w:pPr>
            <w:r w:rsidRPr="00DC315B">
              <w:t xml:space="preserve">ACT </w:t>
            </w:r>
          </w:p>
        </w:tc>
        <w:tc>
          <w:tcPr>
            <w:tcW w:w="1417" w:type="dxa"/>
            <w:noWrap/>
            <w:hideMark/>
          </w:tcPr>
          <w:p w14:paraId="7BE302A9" w14:textId="77777777" w:rsidR="00B5678E" w:rsidRPr="00DC315B" w:rsidRDefault="00B5678E" w:rsidP="00DC315B">
            <w:pPr>
              <w:pStyle w:val="DHHStablecolhead"/>
            </w:pPr>
            <w:proofErr w:type="spellStart"/>
            <w:r w:rsidRPr="00DC315B">
              <w:t>Tas</w:t>
            </w:r>
            <w:proofErr w:type="spellEnd"/>
          </w:p>
        </w:tc>
        <w:tc>
          <w:tcPr>
            <w:tcW w:w="1560" w:type="dxa"/>
            <w:noWrap/>
            <w:hideMark/>
          </w:tcPr>
          <w:p w14:paraId="4EE9FF36" w14:textId="77777777" w:rsidR="00B5678E" w:rsidRPr="00DC315B" w:rsidRDefault="00B5678E" w:rsidP="00DC315B">
            <w:pPr>
              <w:pStyle w:val="DHHStablecolhead"/>
            </w:pPr>
            <w:r w:rsidRPr="00DC315B">
              <w:t>NT</w:t>
            </w:r>
          </w:p>
        </w:tc>
      </w:tr>
      <w:tr w:rsidR="00881FA7" w:rsidRPr="00343635" w14:paraId="3C0C0256" w14:textId="77777777" w:rsidTr="00E56E6D">
        <w:trPr>
          <w:trHeight w:val="285"/>
        </w:trPr>
        <w:tc>
          <w:tcPr>
            <w:tcW w:w="2547" w:type="dxa"/>
            <w:noWrap/>
            <w:hideMark/>
          </w:tcPr>
          <w:p w14:paraId="04FDA3DF" w14:textId="77777777" w:rsidR="00B5678E" w:rsidRPr="00343635" w:rsidRDefault="00B5678E" w:rsidP="00DC315B">
            <w:pPr>
              <w:pStyle w:val="DHHStabletext"/>
            </w:pPr>
            <w:r w:rsidRPr="00343635">
              <w:t>Total red cells</w:t>
            </w:r>
          </w:p>
        </w:tc>
        <w:tc>
          <w:tcPr>
            <w:tcW w:w="1417" w:type="dxa"/>
            <w:noWrap/>
            <w:hideMark/>
          </w:tcPr>
          <w:p w14:paraId="11844A8E" w14:textId="77777777" w:rsidR="00B5678E" w:rsidRPr="00343635" w:rsidRDefault="00B5678E" w:rsidP="00881FA7">
            <w:pPr>
              <w:pStyle w:val="DHHStabletext"/>
              <w:jc w:val="right"/>
            </w:pPr>
            <w:r w:rsidRPr="00343635">
              <w:t>176,011</w:t>
            </w:r>
          </w:p>
        </w:tc>
        <w:tc>
          <w:tcPr>
            <w:tcW w:w="1418" w:type="dxa"/>
            <w:noWrap/>
            <w:hideMark/>
          </w:tcPr>
          <w:p w14:paraId="1B2CD7F6" w14:textId="77777777" w:rsidR="00B5678E" w:rsidRPr="00343635" w:rsidRDefault="00B5678E" w:rsidP="00881FA7">
            <w:pPr>
              <w:pStyle w:val="DHHStabletext"/>
              <w:jc w:val="right"/>
            </w:pPr>
            <w:r w:rsidRPr="00343635">
              <w:t>9,431</w:t>
            </w:r>
          </w:p>
        </w:tc>
        <w:tc>
          <w:tcPr>
            <w:tcW w:w="1417" w:type="dxa"/>
            <w:noWrap/>
            <w:hideMark/>
          </w:tcPr>
          <w:p w14:paraId="2265AD4E" w14:textId="77777777" w:rsidR="00B5678E" w:rsidRPr="00343635" w:rsidRDefault="00B5678E" w:rsidP="00881FA7">
            <w:pPr>
              <w:pStyle w:val="DHHStabletext"/>
              <w:jc w:val="right"/>
            </w:pPr>
            <w:r w:rsidRPr="00343635">
              <w:t>11,374</w:t>
            </w:r>
          </w:p>
        </w:tc>
        <w:tc>
          <w:tcPr>
            <w:tcW w:w="1560" w:type="dxa"/>
            <w:noWrap/>
            <w:hideMark/>
          </w:tcPr>
          <w:p w14:paraId="31B65C9F" w14:textId="77777777" w:rsidR="00B5678E" w:rsidRPr="00343635" w:rsidRDefault="00B5678E" w:rsidP="00881FA7">
            <w:pPr>
              <w:pStyle w:val="DHHStabletext"/>
              <w:jc w:val="right"/>
            </w:pPr>
            <w:r w:rsidRPr="00343635">
              <w:t>3,988</w:t>
            </w:r>
          </w:p>
        </w:tc>
      </w:tr>
      <w:tr w:rsidR="00881FA7" w:rsidRPr="00343635" w14:paraId="16D52CA5" w14:textId="77777777" w:rsidTr="00E56E6D">
        <w:trPr>
          <w:trHeight w:val="285"/>
        </w:trPr>
        <w:tc>
          <w:tcPr>
            <w:tcW w:w="2547" w:type="dxa"/>
            <w:noWrap/>
            <w:hideMark/>
          </w:tcPr>
          <w:p w14:paraId="33C272C6" w14:textId="77777777" w:rsidR="00B5678E" w:rsidRPr="00343635" w:rsidRDefault="00B5678E" w:rsidP="00DC315B">
            <w:pPr>
              <w:pStyle w:val="DHHStabletext"/>
            </w:pPr>
            <w:r w:rsidRPr="00343635">
              <w:t>Total platelets</w:t>
            </w:r>
          </w:p>
        </w:tc>
        <w:tc>
          <w:tcPr>
            <w:tcW w:w="1417" w:type="dxa"/>
            <w:noWrap/>
            <w:hideMark/>
          </w:tcPr>
          <w:p w14:paraId="45B9E9B3" w14:textId="77777777" w:rsidR="00B5678E" w:rsidRPr="00343635" w:rsidRDefault="00B5678E" w:rsidP="00881FA7">
            <w:pPr>
              <w:pStyle w:val="DHHStabletext"/>
              <w:jc w:val="right"/>
            </w:pPr>
            <w:r w:rsidRPr="00343635">
              <w:t>33,561</w:t>
            </w:r>
          </w:p>
        </w:tc>
        <w:tc>
          <w:tcPr>
            <w:tcW w:w="1418" w:type="dxa"/>
            <w:noWrap/>
            <w:hideMark/>
          </w:tcPr>
          <w:p w14:paraId="084754B8" w14:textId="77777777" w:rsidR="00B5678E" w:rsidRPr="00343635" w:rsidRDefault="00B5678E" w:rsidP="00881FA7">
            <w:pPr>
              <w:pStyle w:val="DHHStabletext"/>
              <w:jc w:val="right"/>
            </w:pPr>
            <w:r w:rsidRPr="00343635">
              <w:t>1,549</w:t>
            </w:r>
          </w:p>
        </w:tc>
        <w:tc>
          <w:tcPr>
            <w:tcW w:w="1417" w:type="dxa"/>
            <w:noWrap/>
            <w:hideMark/>
          </w:tcPr>
          <w:p w14:paraId="3389BE68" w14:textId="77777777" w:rsidR="00B5678E" w:rsidRPr="00343635" w:rsidRDefault="00B5678E" w:rsidP="00881FA7">
            <w:pPr>
              <w:pStyle w:val="DHHStabletext"/>
              <w:jc w:val="right"/>
            </w:pPr>
            <w:r w:rsidRPr="00343635">
              <w:t>2,293</w:t>
            </w:r>
          </w:p>
        </w:tc>
        <w:tc>
          <w:tcPr>
            <w:tcW w:w="1560" w:type="dxa"/>
            <w:noWrap/>
            <w:hideMark/>
          </w:tcPr>
          <w:p w14:paraId="465A7206" w14:textId="77777777" w:rsidR="00B5678E" w:rsidRPr="00343635" w:rsidRDefault="00B5678E" w:rsidP="00881FA7">
            <w:pPr>
              <w:pStyle w:val="DHHStabletext"/>
              <w:jc w:val="right"/>
            </w:pPr>
            <w:r w:rsidRPr="00343635">
              <w:t>852</w:t>
            </w:r>
          </w:p>
        </w:tc>
      </w:tr>
      <w:tr w:rsidR="00881FA7" w:rsidRPr="00343635" w14:paraId="3D377824" w14:textId="77777777" w:rsidTr="00E56E6D">
        <w:trPr>
          <w:trHeight w:val="285"/>
        </w:trPr>
        <w:tc>
          <w:tcPr>
            <w:tcW w:w="2547" w:type="dxa"/>
            <w:noWrap/>
            <w:hideMark/>
          </w:tcPr>
          <w:p w14:paraId="0B1E6EF7" w14:textId="77777777" w:rsidR="00B5678E" w:rsidRPr="00343635" w:rsidRDefault="00B5678E" w:rsidP="00DC315B">
            <w:pPr>
              <w:pStyle w:val="DHHStabletext"/>
            </w:pPr>
            <w:r w:rsidRPr="00343635">
              <w:t>Total fresh frozen plasma (FFP)</w:t>
            </w:r>
          </w:p>
        </w:tc>
        <w:tc>
          <w:tcPr>
            <w:tcW w:w="1417" w:type="dxa"/>
            <w:noWrap/>
            <w:hideMark/>
          </w:tcPr>
          <w:p w14:paraId="2993B5F9" w14:textId="77777777" w:rsidR="00B5678E" w:rsidRPr="00343635" w:rsidRDefault="00B5678E" w:rsidP="00881FA7">
            <w:pPr>
              <w:pStyle w:val="DHHStabletext"/>
              <w:jc w:val="right"/>
            </w:pPr>
            <w:r w:rsidRPr="00343635">
              <w:t>27,311</w:t>
            </w:r>
          </w:p>
        </w:tc>
        <w:tc>
          <w:tcPr>
            <w:tcW w:w="1418" w:type="dxa"/>
            <w:noWrap/>
            <w:hideMark/>
          </w:tcPr>
          <w:p w14:paraId="22B8ECCC" w14:textId="77777777" w:rsidR="00B5678E" w:rsidRPr="00343635" w:rsidRDefault="00B5678E" w:rsidP="00881FA7">
            <w:pPr>
              <w:pStyle w:val="DHHStabletext"/>
              <w:jc w:val="right"/>
            </w:pPr>
            <w:r w:rsidRPr="00343635">
              <w:t>1,170</w:t>
            </w:r>
          </w:p>
        </w:tc>
        <w:tc>
          <w:tcPr>
            <w:tcW w:w="1417" w:type="dxa"/>
            <w:noWrap/>
            <w:hideMark/>
          </w:tcPr>
          <w:p w14:paraId="2B6111B2" w14:textId="77777777" w:rsidR="00B5678E" w:rsidRPr="00343635" w:rsidRDefault="00B5678E" w:rsidP="00881FA7">
            <w:pPr>
              <w:pStyle w:val="DHHStabletext"/>
              <w:jc w:val="right"/>
            </w:pPr>
            <w:r w:rsidRPr="00343635">
              <w:t>1,594</w:t>
            </w:r>
          </w:p>
        </w:tc>
        <w:tc>
          <w:tcPr>
            <w:tcW w:w="1560" w:type="dxa"/>
            <w:noWrap/>
            <w:hideMark/>
          </w:tcPr>
          <w:p w14:paraId="45F0AD5C" w14:textId="77777777" w:rsidR="00B5678E" w:rsidRPr="00343635" w:rsidRDefault="00B5678E" w:rsidP="00881FA7">
            <w:pPr>
              <w:pStyle w:val="DHHStabletext"/>
              <w:jc w:val="right"/>
            </w:pPr>
            <w:r w:rsidRPr="00343635">
              <w:t>226</w:t>
            </w:r>
          </w:p>
        </w:tc>
      </w:tr>
      <w:tr w:rsidR="00881FA7" w:rsidRPr="00343635" w14:paraId="3C8E525E" w14:textId="77777777" w:rsidTr="00E56E6D">
        <w:trPr>
          <w:trHeight w:val="285"/>
        </w:trPr>
        <w:tc>
          <w:tcPr>
            <w:tcW w:w="2547" w:type="dxa"/>
            <w:noWrap/>
            <w:hideMark/>
          </w:tcPr>
          <w:p w14:paraId="1408CF21" w14:textId="77777777" w:rsidR="00B5678E" w:rsidRPr="00343635" w:rsidRDefault="00B5678E" w:rsidP="00DC315B">
            <w:pPr>
              <w:pStyle w:val="DHHStabletext"/>
            </w:pPr>
            <w:r w:rsidRPr="00343635">
              <w:t>Total cryoprecipitate</w:t>
            </w:r>
          </w:p>
        </w:tc>
        <w:tc>
          <w:tcPr>
            <w:tcW w:w="1417" w:type="dxa"/>
            <w:noWrap/>
            <w:hideMark/>
          </w:tcPr>
          <w:p w14:paraId="30FED47E" w14:textId="77777777" w:rsidR="00B5678E" w:rsidRPr="00343635" w:rsidRDefault="00B5678E" w:rsidP="00881FA7">
            <w:pPr>
              <w:pStyle w:val="DHHStabletext"/>
              <w:jc w:val="right"/>
            </w:pPr>
            <w:r w:rsidRPr="00343635">
              <w:t>24,876</w:t>
            </w:r>
          </w:p>
        </w:tc>
        <w:tc>
          <w:tcPr>
            <w:tcW w:w="1418" w:type="dxa"/>
            <w:noWrap/>
            <w:hideMark/>
          </w:tcPr>
          <w:p w14:paraId="3B2AC5C2" w14:textId="77777777" w:rsidR="00B5678E" w:rsidRPr="00343635" w:rsidRDefault="00B5678E" w:rsidP="00881FA7">
            <w:pPr>
              <w:pStyle w:val="DHHStabletext"/>
              <w:jc w:val="right"/>
            </w:pPr>
            <w:r w:rsidRPr="00343635">
              <w:t>1,704</w:t>
            </w:r>
          </w:p>
        </w:tc>
        <w:tc>
          <w:tcPr>
            <w:tcW w:w="1417" w:type="dxa"/>
            <w:noWrap/>
            <w:hideMark/>
          </w:tcPr>
          <w:p w14:paraId="72F17119" w14:textId="77777777" w:rsidR="00B5678E" w:rsidRPr="00343635" w:rsidRDefault="00B5678E" w:rsidP="00881FA7">
            <w:pPr>
              <w:pStyle w:val="DHHStabletext"/>
              <w:jc w:val="right"/>
            </w:pPr>
            <w:r w:rsidRPr="00343635">
              <w:t>1,486</w:t>
            </w:r>
          </w:p>
        </w:tc>
        <w:tc>
          <w:tcPr>
            <w:tcW w:w="1560" w:type="dxa"/>
            <w:noWrap/>
            <w:hideMark/>
          </w:tcPr>
          <w:p w14:paraId="338CD32E" w14:textId="77777777" w:rsidR="00B5678E" w:rsidRPr="00343635" w:rsidRDefault="00B5678E" w:rsidP="00881FA7">
            <w:pPr>
              <w:pStyle w:val="DHHStabletext"/>
              <w:jc w:val="right"/>
            </w:pPr>
            <w:r w:rsidRPr="00343635">
              <w:t>759</w:t>
            </w:r>
          </w:p>
        </w:tc>
      </w:tr>
      <w:tr w:rsidR="00881FA7" w:rsidRPr="00343635" w14:paraId="51BE5B79" w14:textId="77777777" w:rsidTr="00E56E6D">
        <w:trPr>
          <w:trHeight w:val="285"/>
        </w:trPr>
        <w:tc>
          <w:tcPr>
            <w:tcW w:w="2547" w:type="dxa"/>
            <w:noWrap/>
            <w:hideMark/>
          </w:tcPr>
          <w:p w14:paraId="3AFAC501" w14:textId="77777777" w:rsidR="00B5678E" w:rsidRPr="00343635" w:rsidRDefault="00B5678E" w:rsidP="00DC315B">
            <w:pPr>
              <w:pStyle w:val="DHHStabletext"/>
            </w:pPr>
            <w:r w:rsidRPr="00343635">
              <w:t>Total</w:t>
            </w:r>
          </w:p>
        </w:tc>
        <w:tc>
          <w:tcPr>
            <w:tcW w:w="1417" w:type="dxa"/>
            <w:noWrap/>
            <w:hideMark/>
          </w:tcPr>
          <w:p w14:paraId="41647D92" w14:textId="77777777" w:rsidR="00B5678E" w:rsidRPr="00343635" w:rsidRDefault="00B5678E" w:rsidP="00881FA7">
            <w:pPr>
              <w:pStyle w:val="DHHStabletext"/>
              <w:jc w:val="right"/>
            </w:pPr>
            <w:r w:rsidRPr="00343635">
              <w:t>261,759</w:t>
            </w:r>
          </w:p>
        </w:tc>
        <w:tc>
          <w:tcPr>
            <w:tcW w:w="1418" w:type="dxa"/>
            <w:noWrap/>
            <w:hideMark/>
          </w:tcPr>
          <w:p w14:paraId="47322B72" w14:textId="77777777" w:rsidR="00B5678E" w:rsidRPr="00343635" w:rsidRDefault="00B5678E" w:rsidP="00881FA7">
            <w:pPr>
              <w:pStyle w:val="DHHStabletext"/>
              <w:jc w:val="right"/>
            </w:pPr>
            <w:r w:rsidRPr="00343635">
              <w:t>13,854</w:t>
            </w:r>
          </w:p>
        </w:tc>
        <w:tc>
          <w:tcPr>
            <w:tcW w:w="1417" w:type="dxa"/>
            <w:noWrap/>
            <w:hideMark/>
          </w:tcPr>
          <w:p w14:paraId="6AB99359" w14:textId="77777777" w:rsidR="00B5678E" w:rsidRPr="00343635" w:rsidRDefault="00B5678E" w:rsidP="00881FA7">
            <w:pPr>
              <w:pStyle w:val="DHHStabletext"/>
              <w:jc w:val="right"/>
            </w:pPr>
            <w:r w:rsidRPr="00343635">
              <w:t>16,747</w:t>
            </w:r>
          </w:p>
        </w:tc>
        <w:tc>
          <w:tcPr>
            <w:tcW w:w="1560" w:type="dxa"/>
            <w:noWrap/>
            <w:hideMark/>
          </w:tcPr>
          <w:p w14:paraId="6C569C7D" w14:textId="77777777" w:rsidR="00B5678E" w:rsidRPr="00343635" w:rsidRDefault="00B5678E" w:rsidP="00881FA7">
            <w:pPr>
              <w:pStyle w:val="DHHStabletext"/>
              <w:jc w:val="right"/>
            </w:pPr>
            <w:r w:rsidRPr="00343635">
              <w:t>5,825</w:t>
            </w:r>
          </w:p>
        </w:tc>
      </w:tr>
    </w:tbl>
    <w:p w14:paraId="2D69ADBA" w14:textId="53336E67" w:rsidR="00B5678E" w:rsidRPr="00343635" w:rsidRDefault="00B5678E" w:rsidP="00DC315B">
      <w:pPr>
        <w:pStyle w:val="DHHSbodyaftertablefigure"/>
      </w:pPr>
      <w:r w:rsidRPr="00343635">
        <w:t xml:space="preserve">The NBA issue </w:t>
      </w:r>
      <w:r w:rsidRPr="00DC315B">
        <w:t>data</w:t>
      </w:r>
      <w:r w:rsidRPr="00343635">
        <w:t xml:space="preserve"> can then be used to determine an estimate of the frequency of serious clinical reactions to blood, as shown in Table 2. As incident reporting is voluntary, this rate would be an under</w:t>
      </w:r>
      <w:r w:rsidR="005178A5">
        <w:t>-</w:t>
      </w:r>
      <w:r w:rsidRPr="00343635">
        <w:t xml:space="preserve">estimate and needs to be considered with care. No national data on numbers of patients transfused, or numbers of blood products received by individual patients, to serve as denominator data </w:t>
      </w:r>
      <w:r w:rsidR="005178A5">
        <w:t>is</w:t>
      </w:r>
      <w:r w:rsidR="005178A5" w:rsidRPr="00343635">
        <w:t xml:space="preserve"> </w:t>
      </w:r>
      <w:r w:rsidRPr="00343635">
        <w:t>available in Australia.</w:t>
      </w:r>
    </w:p>
    <w:p w14:paraId="4A3A92B5" w14:textId="771F4C11" w:rsidR="00B5678E" w:rsidRPr="00343635" w:rsidRDefault="00B5678E" w:rsidP="00DC315B">
      <w:pPr>
        <w:pStyle w:val="DHHSfigurecaption"/>
      </w:pPr>
      <w:r w:rsidRPr="00343635">
        <w:t>Table 2</w:t>
      </w:r>
      <w:r w:rsidR="000111A3">
        <w:t>:</w:t>
      </w:r>
      <w:r w:rsidRPr="00343635">
        <w:t xml:space="preserve"> Frequency of clinical events per product issued in Victoria</w:t>
      </w:r>
    </w:p>
    <w:tbl>
      <w:tblPr>
        <w:tblStyle w:val="TableGrid"/>
        <w:tblW w:w="0" w:type="auto"/>
        <w:tblLook w:val="04A0" w:firstRow="1" w:lastRow="0" w:firstColumn="1" w:lastColumn="0" w:noHBand="0" w:noVBand="1"/>
      </w:tblPr>
      <w:tblGrid>
        <w:gridCol w:w="2254"/>
        <w:gridCol w:w="2254"/>
        <w:gridCol w:w="2254"/>
        <w:gridCol w:w="2254"/>
      </w:tblGrid>
      <w:tr w:rsidR="00B5678E" w:rsidRPr="00343635" w14:paraId="6711A7D6" w14:textId="77777777" w:rsidTr="00E56E6D">
        <w:trPr>
          <w:tblHeader/>
        </w:trPr>
        <w:tc>
          <w:tcPr>
            <w:tcW w:w="2254" w:type="dxa"/>
          </w:tcPr>
          <w:p w14:paraId="441B174D" w14:textId="77777777" w:rsidR="00B5678E" w:rsidRPr="00DC315B" w:rsidRDefault="00B5678E" w:rsidP="00DC315B">
            <w:pPr>
              <w:pStyle w:val="DHHStablecolhead"/>
            </w:pPr>
            <w:r w:rsidRPr="00DC315B">
              <w:t xml:space="preserve">Product </w:t>
            </w:r>
          </w:p>
        </w:tc>
        <w:tc>
          <w:tcPr>
            <w:tcW w:w="2254" w:type="dxa"/>
          </w:tcPr>
          <w:p w14:paraId="5E59ADE0" w14:textId="77777777" w:rsidR="00B5678E" w:rsidRPr="00DC315B" w:rsidRDefault="00B5678E" w:rsidP="00DC315B">
            <w:pPr>
              <w:pStyle w:val="DHHStablecolhead"/>
            </w:pPr>
            <w:r w:rsidRPr="00DC315B">
              <w:t>Blood issues (Victoria)</w:t>
            </w:r>
          </w:p>
        </w:tc>
        <w:tc>
          <w:tcPr>
            <w:tcW w:w="2254" w:type="dxa"/>
          </w:tcPr>
          <w:p w14:paraId="31706077" w14:textId="25D6E216" w:rsidR="00B5678E" w:rsidRPr="00DC315B" w:rsidRDefault="00B5678E" w:rsidP="00DC315B">
            <w:pPr>
              <w:pStyle w:val="DHHStablecolhead"/>
            </w:pPr>
            <w:r w:rsidRPr="00DC315B">
              <w:t>Validated clinical events</w:t>
            </w:r>
          </w:p>
        </w:tc>
        <w:tc>
          <w:tcPr>
            <w:tcW w:w="2254" w:type="dxa"/>
          </w:tcPr>
          <w:p w14:paraId="3F3172E6" w14:textId="77777777" w:rsidR="00B5678E" w:rsidRPr="00DC315B" w:rsidRDefault="00B5678E" w:rsidP="00DC315B">
            <w:pPr>
              <w:pStyle w:val="DHHStablecolhead"/>
            </w:pPr>
            <w:r w:rsidRPr="00DC315B">
              <w:t>Frequency</w:t>
            </w:r>
          </w:p>
        </w:tc>
      </w:tr>
      <w:tr w:rsidR="00B5678E" w:rsidRPr="00343635" w14:paraId="01C866EE" w14:textId="77777777" w:rsidTr="00E56E6D">
        <w:tc>
          <w:tcPr>
            <w:tcW w:w="2254" w:type="dxa"/>
          </w:tcPr>
          <w:p w14:paraId="2B60A51E" w14:textId="77777777" w:rsidR="00B5678E" w:rsidRPr="00DC315B" w:rsidRDefault="00B5678E" w:rsidP="00DC315B">
            <w:pPr>
              <w:pStyle w:val="DHHStabletext"/>
            </w:pPr>
            <w:r w:rsidRPr="00DC315B">
              <w:t>Red cells</w:t>
            </w:r>
          </w:p>
        </w:tc>
        <w:tc>
          <w:tcPr>
            <w:tcW w:w="2254" w:type="dxa"/>
          </w:tcPr>
          <w:p w14:paraId="35AB4AB6" w14:textId="77777777" w:rsidR="00B5678E" w:rsidRPr="00DC315B" w:rsidRDefault="00B5678E" w:rsidP="00881FA7">
            <w:pPr>
              <w:pStyle w:val="DHHStabletext"/>
              <w:jc w:val="right"/>
            </w:pPr>
            <w:r w:rsidRPr="00DC315B">
              <w:t>176,011</w:t>
            </w:r>
          </w:p>
        </w:tc>
        <w:tc>
          <w:tcPr>
            <w:tcW w:w="2254" w:type="dxa"/>
          </w:tcPr>
          <w:p w14:paraId="075E07A8" w14:textId="77777777" w:rsidR="00B5678E" w:rsidRPr="00DC315B" w:rsidRDefault="00B5678E" w:rsidP="00881FA7">
            <w:pPr>
              <w:pStyle w:val="DHHStabletext"/>
              <w:jc w:val="right"/>
            </w:pPr>
            <w:r w:rsidRPr="00DC315B">
              <w:t>31</w:t>
            </w:r>
          </w:p>
        </w:tc>
        <w:tc>
          <w:tcPr>
            <w:tcW w:w="2254" w:type="dxa"/>
          </w:tcPr>
          <w:p w14:paraId="3D585BD9" w14:textId="77777777" w:rsidR="00B5678E" w:rsidRPr="00DC315B" w:rsidRDefault="00B5678E" w:rsidP="00881FA7">
            <w:pPr>
              <w:pStyle w:val="DHHStabletext"/>
              <w:jc w:val="right"/>
            </w:pPr>
            <w:r w:rsidRPr="00DC315B">
              <w:t>1:5678</w:t>
            </w:r>
          </w:p>
        </w:tc>
      </w:tr>
      <w:tr w:rsidR="00B5678E" w:rsidRPr="00343635" w14:paraId="2DA9C25F" w14:textId="77777777" w:rsidTr="00E56E6D">
        <w:tc>
          <w:tcPr>
            <w:tcW w:w="2254" w:type="dxa"/>
          </w:tcPr>
          <w:p w14:paraId="00217CCD" w14:textId="77777777" w:rsidR="00B5678E" w:rsidRPr="00DC315B" w:rsidRDefault="00B5678E" w:rsidP="00DC315B">
            <w:pPr>
              <w:pStyle w:val="DHHStabletext"/>
            </w:pPr>
            <w:r w:rsidRPr="00DC315B">
              <w:t>Platelets</w:t>
            </w:r>
          </w:p>
        </w:tc>
        <w:tc>
          <w:tcPr>
            <w:tcW w:w="2254" w:type="dxa"/>
          </w:tcPr>
          <w:p w14:paraId="1FBD6AC4" w14:textId="77777777" w:rsidR="00B5678E" w:rsidRPr="00DC315B" w:rsidRDefault="00B5678E" w:rsidP="00881FA7">
            <w:pPr>
              <w:pStyle w:val="DHHStabletext"/>
              <w:jc w:val="right"/>
            </w:pPr>
            <w:r w:rsidRPr="00DC315B">
              <w:t>33,561</w:t>
            </w:r>
          </w:p>
        </w:tc>
        <w:tc>
          <w:tcPr>
            <w:tcW w:w="2254" w:type="dxa"/>
          </w:tcPr>
          <w:p w14:paraId="40B5A4B5" w14:textId="77777777" w:rsidR="00B5678E" w:rsidRPr="00DC315B" w:rsidRDefault="00B5678E" w:rsidP="00881FA7">
            <w:pPr>
              <w:pStyle w:val="DHHStabletext"/>
              <w:jc w:val="right"/>
            </w:pPr>
            <w:r w:rsidRPr="00DC315B">
              <w:t>13</w:t>
            </w:r>
          </w:p>
        </w:tc>
        <w:tc>
          <w:tcPr>
            <w:tcW w:w="2254" w:type="dxa"/>
          </w:tcPr>
          <w:p w14:paraId="137C9696" w14:textId="77777777" w:rsidR="00B5678E" w:rsidRPr="00DC315B" w:rsidRDefault="00B5678E" w:rsidP="00881FA7">
            <w:pPr>
              <w:pStyle w:val="DHHStabletext"/>
              <w:jc w:val="right"/>
            </w:pPr>
            <w:r w:rsidRPr="00DC315B">
              <w:t>1:2582</w:t>
            </w:r>
          </w:p>
        </w:tc>
      </w:tr>
      <w:tr w:rsidR="00B5678E" w:rsidRPr="00343635" w14:paraId="27BA6EA1" w14:textId="77777777" w:rsidTr="00E56E6D">
        <w:tc>
          <w:tcPr>
            <w:tcW w:w="2254" w:type="dxa"/>
          </w:tcPr>
          <w:p w14:paraId="64929418" w14:textId="77777777" w:rsidR="00B5678E" w:rsidRPr="00DC315B" w:rsidRDefault="00B5678E" w:rsidP="00DC315B">
            <w:pPr>
              <w:pStyle w:val="DHHStabletext"/>
            </w:pPr>
            <w:r w:rsidRPr="00DC315B">
              <w:t>FFP</w:t>
            </w:r>
          </w:p>
        </w:tc>
        <w:tc>
          <w:tcPr>
            <w:tcW w:w="2254" w:type="dxa"/>
          </w:tcPr>
          <w:p w14:paraId="664857E6" w14:textId="77777777" w:rsidR="00B5678E" w:rsidRPr="00DC315B" w:rsidRDefault="00B5678E" w:rsidP="00881FA7">
            <w:pPr>
              <w:pStyle w:val="DHHStabletext"/>
              <w:jc w:val="right"/>
            </w:pPr>
            <w:r w:rsidRPr="00DC315B">
              <w:t>27,311</w:t>
            </w:r>
          </w:p>
        </w:tc>
        <w:tc>
          <w:tcPr>
            <w:tcW w:w="2254" w:type="dxa"/>
          </w:tcPr>
          <w:p w14:paraId="00610413" w14:textId="77777777" w:rsidR="00B5678E" w:rsidRPr="00DC315B" w:rsidRDefault="00B5678E" w:rsidP="00881FA7">
            <w:pPr>
              <w:pStyle w:val="DHHStabletext"/>
              <w:jc w:val="right"/>
            </w:pPr>
            <w:r w:rsidRPr="00DC315B">
              <w:t>7</w:t>
            </w:r>
          </w:p>
        </w:tc>
        <w:tc>
          <w:tcPr>
            <w:tcW w:w="2254" w:type="dxa"/>
          </w:tcPr>
          <w:p w14:paraId="24E60780" w14:textId="77777777" w:rsidR="00B5678E" w:rsidRPr="00DC315B" w:rsidRDefault="00B5678E" w:rsidP="00881FA7">
            <w:pPr>
              <w:pStyle w:val="DHHStabletext"/>
              <w:jc w:val="right"/>
            </w:pPr>
            <w:r w:rsidRPr="00DC315B">
              <w:t>1:3902</w:t>
            </w:r>
          </w:p>
        </w:tc>
      </w:tr>
      <w:tr w:rsidR="00B5678E" w:rsidRPr="00343635" w14:paraId="4A51B73D" w14:textId="77777777" w:rsidTr="00E56E6D">
        <w:tc>
          <w:tcPr>
            <w:tcW w:w="2254" w:type="dxa"/>
          </w:tcPr>
          <w:p w14:paraId="3632D009" w14:textId="77777777" w:rsidR="00B5678E" w:rsidRPr="00DC315B" w:rsidRDefault="00B5678E" w:rsidP="00DC315B">
            <w:pPr>
              <w:pStyle w:val="DHHStabletext"/>
            </w:pPr>
            <w:r w:rsidRPr="00DC315B">
              <w:t>Cryoprecipitate</w:t>
            </w:r>
          </w:p>
        </w:tc>
        <w:tc>
          <w:tcPr>
            <w:tcW w:w="2254" w:type="dxa"/>
          </w:tcPr>
          <w:p w14:paraId="5663AFED" w14:textId="77777777" w:rsidR="00B5678E" w:rsidRPr="00DC315B" w:rsidRDefault="00B5678E" w:rsidP="00881FA7">
            <w:pPr>
              <w:pStyle w:val="DHHStabletext"/>
              <w:jc w:val="right"/>
            </w:pPr>
            <w:r w:rsidRPr="00DC315B">
              <w:t>24,876</w:t>
            </w:r>
          </w:p>
        </w:tc>
        <w:tc>
          <w:tcPr>
            <w:tcW w:w="2254" w:type="dxa"/>
          </w:tcPr>
          <w:p w14:paraId="4960FBF3" w14:textId="77777777" w:rsidR="00B5678E" w:rsidRPr="00DC315B" w:rsidRDefault="00B5678E" w:rsidP="00881FA7">
            <w:pPr>
              <w:pStyle w:val="DHHStabletext"/>
              <w:jc w:val="right"/>
            </w:pPr>
            <w:r w:rsidRPr="00DC315B">
              <w:t>-</w:t>
            </w:r>
          </w:p>
        </w:tc>
        <w:tc>
          <w:tcPr>
            <w:tcW w:w="2254" w:type="dxa"/>
          </w:tcPr>
          <w:p w14:paraId="28AE85DA" w14:textId="0A1BD576" w:rsidR="00B5678E" w:rsidRPr="00DC315B" w:rsidRDefault="000111A3" w:rsidP="00881FA7">
            <w:pPr>
              <w:pStyle w:val="DHHStabletext"/>
              <w:jc w:val="right"/>
            </w:pPr>
            <w:r>
              <w:t>-</w:t>
            </w:r>
          </w:p>
        </w:tc>
      </w:tr>
    </w:tbl>
    <w:p w14:paraId="3BEF7E18" w14:textId="72BD5AE1" w:rsidR="00B5678E" w:rsidRPr="00343635" w:rsidRDefault="00DC315B" w:rsidP="00DC315B">
      <w:pPr>
        <w:pStyle w:val="DHHStablefigurenote"/>
      </w:pPr>
      <w:r>
        <w:t xml:space="preserve">Note: Validated clinical events includes </w:t>
      </w:r>
      <w:r w:rsidR="00B5678E" w:rsidRPr="00343635">
        <w:t>Victorian notifications only (n = 51)</w:t>
      </w:r>
    </w:p>
    <w:p w14:paraId="42E3AE70" w14:textId="7D4B9CB5" w:rsidR="00B5678E" w:rsidRPr="00343635" w:rsidRDefault="00B5678E" w:rsidP="00DC315B">
      <w:pPr>
        <w:pStyle w:val="Heading1"/>
      </w:pPr>
      <w:bookmarkStart w:id="9" w:name="_Toc24287410"/>
      <w:r w:rsidRPr="00343635">
        <w:lastRenderedPageBreak/>
        <w:t>Method</w:t>
      </w:r>
      <w:bookmarkEnd w:id="9"/>
    </w:p>
    <w:p w14:paraId="33A7E677" w14:textId="77777777" w:rsidR="00B5678E" w:rsidRPr="00343635" w:rsidRDefault="00B5678E" w:rsidP="00DC315B">
      <w:pPr>
        <w:pStyle w:val="DHHSbody"/>
      </w:pPr>
      <w:r w:rsidRPr="00343635">
        <w:t>Figure 2 shows the steps in the reporting and validation of health service notifications to STIR. There are a number of validation steps built into the process. At notification, information is reviewed to ensure the notification meets STIR guidelines. On return of investigation forms, the information provided is checked for clarity and to ensure as much information as possible is available to the reviewer. All investigation forms are sent to members of the Expert group for review, with all severity rating (SR) one (1) and two (2) events requiring a full Expert group panel review.</w:t>
      </w:r>
    </w:p>
    <w:p w14:paraId="4B412CA9" w14:textId="330593A6" w:rsidR="00B5678E" w:rsidRDefault="00B5678E" w:rsidP="00DC315B">
      <w:pPr>
        <w:pStyle w:val="DHHSfigurecaption"/>
      </w:pPr>
      <w:r w:rsidRPr="00343635">
        <w:t>Figure 2</w:t>
      </w:r>
      <w:r w:rsidR="005178A5">
        <w:t>:</w:t>
      </w:r>
      <w:r w:rsidRPr="00343635">
        <w:t xml:space="preserve"> Steps in the reporting and validation of health service notifications</w:t>
      </w:r>
    </w:p>
    <w:tbl>
      <w:tblPr>
        <w:tblStyle w:val="TableGrid"/>
        <w:tblW w:w="0" w:type="auto"/>
        <w:tblLook w:val="04A0" w:firstRow="1" w:lastRow="0" w:firstColumn="1" w:lastColumn="0" w:noHBand="0" w:noVBand="1"/>
      </w:tblPr>
      <w:tblGrid>
        <w:gridCol w:w="1305"/>
        <w:gridCol w:w="7875"/>
      </w:tblGrid>
      <w:tr w:rsidR="00900B3D" w14:paraId="742FBCB3" w14:textId="77777777" w:rsidTr="00E56E6D">
        <w:trPr>
          <w:tblHeader/>
        </w:trPr>
        <w:tc>
          <w:tcPr>
            <w:tcW w:w="1305" w:type="dxa"/>
          </w:tcPr>
          <w:p w14:paraId="70B9D5DE" w14:textId="21BDC11F" w:rsidR="00900B3D" w:rsidRDefault="00900B3D" w:rsidP="00900B3D">
            <w:pPr>
              <w:pStyle w:val="DHHStablecolhead"/>
              <w:rPr>
                <w:noProof/>
                <w:lang w:eastAsia="en-AU"/>
              </w:rPr>
            </w:pPr>
            <w:r>
              <w:rPr>
                <w:noProof/>
                <w:lang w:eastAsia="en-AU"/>
              </w:rPr>
              <w:t>Icon</w:t>
            </w:r>
          </w:p>
        </w:tc>
        <w:tc>
          <w:tcPr>
            <w:tcW w:w="7875" w:type="dxa"/>
          </w:tcPr>
          <w:p w14:paraId="244E8ACE" w14:textId="4E31AEE8" w:rsidR="00900B3D" w:rsidRPr="005178A5" w:rsidRDefault="00900B3D" w:rsidP="00900B3D">
            <w:pPr>
              <w:pStyle w:val="DHHStablecolhead"/>
            </w:pPr>
            <w:r>
              <w:t>Steps</w:t>
            </w:r>
          </w:p>
        </w:tc>
      </w:tr>
      <w:tr w:rsidR="00900B3D" w14:paraId="27F0BF20" w14:textId="77777777" w:rsidTr="00B11A9B">
        <w:tc>
          <w:tcPr>
            <w:tcW w:w="1305" w:type="dxa"/>
          </w:tcPr>
          <w:p w14:paraId="31C42925" w14:textId="3BEB2DB6" w:rsidR="00900B3D" w:rsidRDefault="00900B3D" w:rsidP="00900B3D">
            <w:pPr>
              <w:pStyle w:val="DHHSbody"/>
            </w:pPr>
            <w:r>
              <w:rPr>
                <w:noProof/>
                <w:lang w:eastAsia="en-AU"/>
              </w:rPr>
              <w:drawing>
                <wp:inline distT="0" distB="0" distL="0" distR="0" wp14:anchorId="48457609" wp14:editId="4F329DF8">
                  <wp:extent cx="561975" cy="561975"/>
                  <wp:effectExtent l="0" t="0" r="0" b="0"/>
                  <wp:docPr id="8" name="Picture 9" descr="Health service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P006 - Illustration Library 2014 - Icon_Hospital"/>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875" w:type="dxa"/>
          </w:tcPr>
          <w:p w14:paraId="4D6B4988" w14:textId="12CA17CF" w:rsidR="00900B3D" w:rsidRDefault="00900B3D" w:rsidP="00900B3D">
            <w:pPr>
              <w:pStyle w:val="DHHStabletext"/>
            </w:pPr>
            <w:r w:rsidRPr="005178A5">
              <w:t>159 notifications from health services</w:t>
            </w:r>
          </w:p>
        </w:tc>
      </w:tr>
      <w:tr w:rsidR="00900B3D" w14:paraId="6A8681C9" w14:textId="77777777" w:rsidTr="00B11A9B">
        <w:tc>
          <w:tcPr>
            <w:tcW w:w="1305" w:type="dxa"/>
          </w:tcPr>
          <w:p w14:paraId="59E0E47F" w14:textId="01D08C66" w:rsidR="00900B3D" w:rsidRDefault="00900B3D" w:rsidP="00900B3D">
            <w:pPr>
              <w:pStyle w:val="DHHSbody"/>
            </w:pPr>
            <w:r>
              <w:rPr>
                <w:noProof/>
                <w:lang w:eastAsia="en-AU"/>
              </w:rPr>
              <w:drawing>
                <wp:inline distT="0" distB="0" distL="0" distR="0" wp14:anchorId="38A6C399" wp14:editId="3296F0C3">
                  <wp:extent cx="528320" cy="528320"/>
                  <wp:effectExtent l="0" t="0" r="0" b="0"/>
                  <wp:docPr id="9" name="Picture 2" descr="form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006 - Illustration Library 2014 - Icon_Questionnaire"/>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320" cy="528320"/>
                          </a:xfrm>
                          <a:prstGeom prst="rect">
                            <a:avLst/>
                          </a:prstGeom>
                          <a:noFill/>
                          <a:ln>
                            <a:noFill/>
                          </a:ln>
                        </pic:spPr>
                      </pic:pic>
                    </a:graphicData>
                  </a:graphic>
                </wp:inline>
              </w:drawing>
            </w:r>
          </w:p>
        </w:tc>
        <w:tc>
          <w:tcPr>
            <w:tcW w:w="7875" w:type="dxa"/>
          </w:tcPr>
          <w:p w14:paraId="23AACCFB" w14:textId="2D060D4C" w:rsidR="00900B3D" w:rsidRDefault="00900B3D" w:rsidP="00900B3D">
            <w:pPr>
              <w:pStyle w:val="DHHStabletext"/>
            </w:pPr>
            <w:r w:rsidRPr="005178A5">
              <w:t>10 notifications withdrawn before investigation form returned</w:t>
            </w:r>
          </w:p>
        </w:tc>
      </w:tr>
      <w:tr w:rsidR="00900B3D" w14:paraId="0D0CBC16" w14:textId="77777777" w:rsidTr="00B11A9B">
        <w:tc>
          <w:tcPr>
            <w:tcW w:w="1305" w:type="dxa"/>
          </w:tcPr>
          <w:p w14:paraId="452DFC99" w14:textId="58CBAE4C" w:rsidR="00900B3D" w:rsidRDefault="00900B3D" w:rsidP="00900B3D">
            <w:pPr>
              <w:pStyle w:val="DHHSbody"/>
            </w:pPr>
            <w:r>
              <w:rPr>
                <w:noProof/>
                <w:lang w:eastAsia="en-AU"/>
              </w:rPr>
              <w:drawing>
                <wp:inline distT="0" distB="0" distL="0" distR="0" wp14:anchorId="18EA8DAD" wp14:editId="491ACAB9">
                  <wp:extent cx="575945" cy="575945"/>
                  <wp:effectExtent l="0" t="0" r="0" b="0"/>
                  <wp:docPr id="10" name="Picture 13" descr="to STIR Expert Group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P006 - Illustration Library 2014 - Icon_Group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inline>
              </w:drawing>
            </w:r>
          </w:p>
        </w:tc>
        <w:tc>
          <w:tcPr>
            <w:tcW w:w="7875" w:type="dxa"/>
          </w:tcPr>
          <w:p w14:paraId="3CCEC6E3" w14:textId="77777777" w:rsidR="00900B3D" w:rsidRPr="00343635" w:rsidRDefault="00900B3D" w:rsidP="00900B3D">
            <w:pPr>
              <w:pStyle w:val="DHHStabletext"/>
            </w:pPr>
            <w:r w:rsidRPr="005178A5">
              <w:t xml:space="preserve">149 investigation forms sent to </w:t>
            </w:r>
            <w:r>
              <w:t xml:space="preserve">STIR </w:t>
            </w:r>
            <w:r w:rsidRPr="005178A5">
              <w:t>Expert Group for review</w:t>
            </w:r>
          </w:p>
          <w:p w14:paraId="104047BC" w14:textId="77777777" w:rsidR="00900B3D" w:rsidRDefault="00900B3D" w:rsidP="00900B3D">
            <w:pPr>
              <w:pStyle w:val="DHHStabletext"/>
            </w:pPr>
          </w:p>
        </w:tc>
      </w:tr>
      <w:tr w:rsidR="00900B3D" w14:paraId="7FE5A04E" w14:textId="77777777" w:rsidTr="00B11A9B">
        <w:tc>
          <w:tcPr>
            <w:tcW w:w="1305" w:type="dxa"/>
          </w:tcPr>
          <w:p w14:paraId="3C9841BA" w14:textId="1249D7E6" w:rsidR="00900B3D" w:rsidRDefault="00900B3D" w:rsidP="00900B3D">
            <w:pPr>
              <w:pStyle w:val="DHHSbody"/>
            </w:pPr>
            <w:r>
              <w:rPr>
                <w:noProof/>
                <w:lang w:eastAsia="en-AU"/>
              </w:rPr>
              <w:drawing>
                <wp:inline distT="0" distB="0" distL="0" distR="0" wp14:anchorId="35EC55E1" wp14:editId="634663D2">
                  <wp:extent cx="413385" cy="413385"/>
                  <wp:effectExtent l="0" t="0" r="0" b="0"/>
                  <wp:docPr id="11" name="Picture 21"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P006 - Illustration Library 2014 - Icon_Magnifying glass"/>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noFill/>
                          <a:ln>
                            <a:noFill/>
                          </a:ln>
                        </pic:spPr>
                      </pic:pic>
                    </a:graphicData>
                  </a:graphic>
                </wp:inline>
              </w:drawing>
            </w:r>
          </w:p>
        </w:tc>
        <w:tc>
          <w:tcPr>
            <w:tcW w:w="7875" w:type="dxa"/>
          </w:tcPr>
          <w:p w14:paraId="0EE5B1AB" w14:textId="77777777" w:rsidR="00900B3D" w:rsidRPr="00343635" w:rsidRDefault="00900B3D" w:rsidP="00900B3D">
            <w:pPr>
              <w:pStyle w:val="DHHStabletext"/>
            </w:pPr>
            <w:r w:rsidRPr="005178A5">
              <w:t>29 investigation forms required second review</w:t>
            </w:r>
          </w:p>
          <w:p w14:paraId="381E5D14" w14:textId="77777777" w:rsidR="00900B3D" w:rsidRDefault="00900B3D" w:rsidP="00900B3D">
            <w:pPr>
              <w:pStyle w:val="DHHStabletext"/>
            </w:pPr>
          </w:p>
        </w:tc>
      </w:tr>
      <w:tr w:rsidR="00900B3D" w14:paraId="4D6DB901" w14:textId="77777777" w:rsidTr="00B11A9B">
        <w:tc>
          <w:tcPr>
            <w:tcW w:w="1305" w:type="dxa"/>
          </w:tcPr>
          <w:p w14:paraId="2743BA96" w14:textId="55005361" w:rsidR="00900B3D" w:rsidRDefault="00900B3D" w:rsidP="00900B3D">
            <w:pPr>
              <w:pStyle w:val="DHHSbody"/>
            </w:pPr>
            <w:r>
              <w:rPr>
                <w:noProof/>
                <w:lang w:eastAsia="en-AU"/>
              </w:rPr>
              <w:drawing>
                <wp:inline distT="0" distB="0" distL="0" distR="0" wp14:anchorId="088B98C4" wp14:editId="60304581">
                  <wp:extent cx="521335" cy="521335"/>
                  <wp:effectExtent l="0" t="0" r="0" b="0"/>
                  <wp:docPr id="12" name="Picture 5" descr="scissor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006 - Illustration Library 2014 - Icon_Scissors"/>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335" cy="521335"/>
                          </a:xfrm>
                          <a:prstGeom prst="rect">
                            <a:avLst/>
                          </a:prstGeom>
                          <a:noFill/>
                          <a:ln>
                            <a:noFill/>
                          </a:ln>
                        </pic:spPr>
                      </pic:pic>
                    </a:graphicData>
                  </a:graphic>
                </wp:inline>
              </w:drawing>
            </w:r>
          </w:p>
        </w:tc>
        <w:tc>
          <w:tcPr>
            <w:tcW w:w="7875" w:type="dxa"/>
          </w:tcPr>
          <w:p w14:paraId="6C59D5D8" w14:textId="7F388A4D" w:rsidR="00900B3D" w:rsidRDefault="00900B3D" w:rsidP="00900B3D">
            <w:pPr>
              <w:pStyle w:val="DHHStabletext"/>
            </w:pPr>
            <w:r w:rsidRPr="005178A5">
              <w:t>15 investigations excluded by expert review</w:t>
            </w:r>
          </w:p>
        </w:tc>
      </w:tr>
      <w:tr w:rsidR="00900B3D" w14:paraId="58D94BB2" w14:textId="77777777" w:rsidTr="00B11A9B">
        <w:tc>
          <w:tcPr>
            <w:tcW w:w="1305" w:type="dxa"/>
          </w:tcPr>
          <w:p w14:paraId="055F26D2" w14:textId="550E182C" w:rsidR="00900B3D" w:rsidRDefault="00900B3D" w:rsidP="00900B3D">
            <w:pPr>
              <w:pStyle w:val="DHHSbody"/>
            </w:pPr>
            <w:r>
              <w:rPr>
                <w:noProof/>
                <w:lang w:eastAsia="en-AU"/>
              </w:rPr>
              <w:drawing>
                <wp:inline distT="0" distB="0" distL="0" distR="0" wp14:anchorId="18C23DFB" wp14:editId="0CCEFA1C">
                  <wp:extent cx="561975" cy="561975"/>
                  <wp:effectExtent l="0" t="0" r="0" b="0"/>
                  <wp:docPr id="13" name="Picture 7" descr="check mark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P006 - Illustration Library 2014 - Icon_Tick"/>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875" w:type="dxa"/>
          </w:tcPr>
          <w:p w14:paraId="2E60F665" w14:textId="464D2442" w:rsidR="00900B3D" w:rsidRDefault="00900B3D" w:rsidP="00900B3D">
            <w:pPr>
              <w:pStyle w:val="DHHStabletext"/>
            </w:pPr>
            <w:r w:rsidRPr="005178A5">
              <w:t>134 final validated reports included for analysis</w:t>
            </w:r>
          </w:p>
        </w:tc>
      </w:tr>
    </w:tbl>
    <w:p w14:paraId="77FE093D" w14:textId="67B5635E" w:rsidR="00900B3D" w:rsidRDefault="00900B3D" w:rsidP="00900B3D">
      <w:pPr>
        <w:pStyle w:val="DHHSbody"/>
      </w:pPr>
    </w:p>
    <w:p w14:paraId="34B1F0E1" w14:textId="77777777" w:rsidR="00900B3D" w:rsidRPr="00900B3D" w:rsidRDefault="00900B3D" w:rsidP="00900B3D">
      <w:pPr>
        <w:pStyle w:val="DHHSbody"/>
      </w:pPr>
    </w:p>
    <w:p w14:paraId="4DA930E9" w14:textId="4FCBCEB0" w:rsidR="00B5678E" w:rsidRPr="00343635" w:rsidRDefault="00B5678E" w:rsidP="00DC315B">
      <w:pPr>
        <w:pStyle w:val="Heading1"/>
      </w:pPr>
      <w:bookmarkStart w:id="10" w:name="_Toc24287411"/>
      <w:r w:rsidRPr="00343635">
        <w:lastRenderedPageBreak/>
        <w:t xml:space="preserve">Withdrawn </w:t>
      </w:r>
      <w:r w:rsidR="00DC315B">
        <w:t>r</w:t>
      </w:r>
      <w:r w:rsidRPr="00343635">
        <w:t>eports</w:t>
      </w:r>
      <w:bookmarkEnd w:id="10"/>
    </w:p>
    <w:p w14:paraId="6EC63A8D" w14:textId="23CC97C3" w:rsidR="00B5678E" w:rsidRPr="00343635" w:rsidRDefault="00B5678E" w:rsidP="00DC315B">
      <w:pPr>
        <w:pStyle w:val="DHHSbody"/>
      </w:pPr>
      <w:r w:rsidRPr="00343635">
        <w:t>This year</w:t>
      </w:r>
      <w:r w:rsidR="005178A5">
        <w:t>,</w:t>
      </w:r>
      <w:r w:rsidRPr="00343635">
        <w:t xml:space="preserve"> 25 reports </w:t>
      </w:r>
      <w:r w:rsidR="005178A5">
        <w:t xml:space="preserve">were </w:t>
      </w:r>
      <w:r w:rsidRPr="00343635">
        <w:t xml:space="preserve">withdrawn by the health service or excluded by the Expert </w:t>
      </w:r>
      <w:r w:rsidR="005178A5">
        <w:t>G</w:t>
      </w:r>
      <w:r w:rsidRPr="00343635">
        <w:t>roup</w:t>
      </w:r>
      <w:r w:rsidR="005178A5">
        <w:t>. This is</w:t>
      </w:r>
      <w:r w:rsidRPr="00343635">
        <w:t xml:space="preserve"> summarised in Table 3. Reports </w:t>
      </w:r>
      <w:r w:rsidRPr="00DC315B">
        <w:t>were</w:t>
      </w:r>
      <w:r w:rsidRPr="00343635">
        <w:t xml:space="preserve"> excluded due to </w:t>
      </w:r>
      <w:r w:rsidR="005178A5">
        <w:t xml:space="preserve">the </w:t>
      </w:r>
      <w:r w:rsidRPr="00343635">
        <w:t xml:space="preserve">event being out of scope, unlikely to be attributable to the transfusion, or </w:t>
      </w:r>
      <w:r w:rsidR="005178A5">
        <w:t xml:space="preserve">there was </w:t>
      </w:r>
      <w:r w:rsidRPr="00343635">
        <w:t xml:space="preserve">not enough information provided to determine if it was indeed </w:t>
      </w:r>
      <w:r w:rsidR="005178A5">
        <w:t xml:space="preserve">related to the </w:t>
      </w:r>
      <w:r w:rsidRPr="00343635">
        <w:t>transfusion</w:t>
      </w:r>
      <w:r w:rsidR="005178A5">
        <w:t xml:space="preserve"> </w:t>
      </w:r>
      <w:r w:rsidRPr="00343635">
        <w:t>or to determine type of reaction.</w:t>
      </w:r>
    </w:p>
    <w:p w14:paraId="45C1203E" w14:textId="072ACA0B" w:rsidR="00B5678E" w:rsidRPr="00343635" w:rsidRDefault="00B5678E" w:rsidP="00DC315B">
      <w:pPr>
        <w:pStyle w:val="DHHSfigurecaption"/>
      </w:pPr>
      <w:r w:rsidRPr="00343635">
        <w:t>Table 3</w:t>
      </w:r>
      <w:r w:rsidR="005178A5">
        <w:t>:</w:t>
      </w:r>
      <w:r w:rsidRPr="00343635">
        <w:t xml:space="preserve"> Reasons for withdrawal of notifications to STIR</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881FA7" w:rsidRPr="00343635" w14:paraId="589FCC06" w14:textId="77777777" w:rsidTr="00E56E6D">
        <w:trPr>
          <w:tblHeader/>
        </w:trPr>
        <w:tc>
          <w:tcPr>
            <w:tcW w:w="1288" w:type="dxa"/>
          </w:tcPr>
          <w:p w14:paraId="1CFECF74" w14:textId="77777777" w:rsidR="00B5678E" w:rsidRPr="00DC315B" w:rsidRDefault="00B5678E" w:rsidP="00DC315B">
            <w:pPr>
              <w:pStyle w:val="DHHStablecolhead"/>
            </w:pPr>
            <w:r w:rsidRPr="00DC315B">
              <w:t>Fiscal year</w:t>
            </w:r>
          </w:p>
        </w:tc>
        <w:tc>
          <w:tcPr>
            <w:tcW w:w="1288" w:type="dxa"/>
          </w:tcPr>
          <w:p w14:paraId="76696250" w14:textId="77777777" w:rsidR="00B5678E" w:rsidRPr="00DC315B" w:rsidRDefault="00B5678E" w:rsidP="00DC315B">
            <w:pPr>
              <w:pStyle w:val="DHHStablecolhead"/>
            </w:pPr>
            <w:r w:rsidRPr="00DC315B">
              <w:t>Duplicate</w:t>
            </w:r>
          </w:p>
        </w:tc>
        <w:tc>
          <w:tcPr>
            <w:tcW w:w="1288" w:type="dxa"/>
          </w:tcPr>
          <w:p w14:paraId="43ED9AB6" w14:textId="77777777" w:rsidR="00B5678E" w:rsidRPr="00DC315B" w:rsidRDefault="00B5678E" w:rsidP="00DC315B">
            <w:pPr>
              <w:pStyle w:val="DHHStablecolhead"/>
            </w:pPr>
            <w:r w:rsidRPr="00DC315B">
              <w:t>Not in scope</w:t>
            </w:r>
          </w:p>
        </w:tc>
        <w:tc>
          <w:tcPr>
            <w:tcW w:w="1288" w:type="dxa"/>
          </w:tcPr>
          <w:p w14:paraId="0D551781" w14:textId="77777777" w:rsidR="00B5678E" w:rsidRPr="00DC315B" w:rsidRDefault="00B5678E" w:rsidP="00DC315B">
            <w:pPr>
              <w:pStyle w:val="DHHStablecolhead"/>
            </w:pPr>
            <w:r w:rsidRPr="00DC315B">
              <w:t>Deemed not related</w:t>
            </w:r>
          </w:p>
        </w:tc>
        <w:tc>
          <w:tcPr>
            <w:tcW w:w="1288" w:type="dxa"/>
          </w:tcPr>
          <w:p w14:paraId="14736C1C" w14:textId="77777777" w:rsidR="00B5678E" w:rsidRPr="00DC315B" w:rsidRDefault="00B5678E" w:rsidP="00DC315B">
            <w:pPr>
              <w:pStyle w:val="DHHStablecolhead"/>
            </w:pPr>
            <w:r w:rsidRPr="00DC315B">
              <w:t>Not completed</w:t>
            </w:r>
          </w:p>
        </w:tc>
        <w:tc>
          <w:tcPr>
            <w:tcW w:w="1288" w:type="dxa"/>
          </w:tcPr>
          <w:p w14:paraId="2B072326" w14:textId="77777777" w:rsidR="00B5678E" w:rsidRPr="00DC315B" w:rsidRDefault="00B5678E" w:rsidP="00DC315B">
            <w:pPr>
              <w:pStyle w:val="DHHStablecolhead"/>
            </w:pPr>
            <w:r w:rsidRPr="00DC315B">
              <w:t xml:space="preserve">Excluded after Expert review </w:t>
            </w:r>
          </w:p>
        </w:tc>
        <w:tc>
          <w:tcPr>
            <w:tcW w:w="1288" w:type="dxa"/>
          </w:tcPr>
          <w:p w14:paraId="4BDC2C64" w14:textId="77777777" w:rsidR="00B5678E" w:rsidRPr="00DC315B" w:rsidRDefault="00B5678E" w:rsidP="00DC315B">
            <w:pPr>
              <w:pStyle w:val="DHHStablecolhead"/>
            </w:pPr>
            <w:r w:rsidRPr="00DC315B">
              <w:t>Total</w:t>
            </w:r>
          </w:p>
        </w:tc>
      </w:tr>
      <w:tr w:rsidR="00881FA7" w:rsidRPr="00343635" w14:paraId="7C139E0B" w14:textId="77777777" w:rsidTr="00444614">
        <w:tc>
          <w:tcPr>
            <w:tcW w:w="1288" w:type="dxa"/>
          </w:tcPr>
          <w:p w14:paraId="0562D7E7" w14:textId="0F95BEC6" w:rsidR="00B5678E" w:rsidRPr="00343635" w:rsidRDefault="00B5678E" w:rsidP="00DC315B">
            <w:pPr>
              <w:pStyle w:val="DHHStabletext"/>
            </w:pPr>
            <w:r w:rsidRPr="00343635">
              <w:t>2012</w:t>
            </w:r>
            <w:r w:rsidR="005178A5">
              <w:t>–</w:t>
            </w:r>
            <w:r w:rsidRPr="00343635">
              <w:t>13</w:t>
            </w:r>
          </w:p>
        </w:tc>
        <w:tc>
          <w:tcPr>
            <w:tcW w:w="1288" w:type="dxa"/>
          </w:tcPr>
          <w:p w14:paraId="3C01649A" w14:textId="77777777" w:rsidR="00B5678E" w:rsidRPr="00343635" w:rsidRDefault="00B5678E" w:rsidP="00881FA7">
            <w:pPr>
              <w:pStyle w:val="DHHStabletext"/>
              <w:jc w:val="right"/>
            </w:pPr>
            <w:r w:rsidRPr="00343635">
              <w:t>2</w:t>
            </w:r>
          </w:p>
        </w:tc>
        <w:tc>
          <w:tcPr>
            <w:tcW w:w="1288" w:type="dxa"/>
          </w:tcPr>
          <w:p w14:paraId="1C7D3DD1" w14:textId="77777777" w:rsidR="00B5678E" w:rsidRPr="00343635" w:rsidRDefault="00B5678E" w:rsidP="00881FA7">
            <w:pPr>
              <w:pStyle w:val="DHHStabletext"/>
              <w:jc w:val="right"/>
            </w:pPr>
            <w:r w:rsidRPr="00343635">
              <w:t>4</w:t>
            </w:r>
          </w:p>
        </w:tc>
        <w:tc>
          <w:tcPr>
            <w:tcW w:w="1288" w:type="dxa"/>
          </w:tcPr>
          <w:p w14:paraId="0BB9348D" w14:textId="77777777" w:rsidR="00B5678E" w:rsidRPr="00343635" w:rsidRDefault="00B5678E" w:rsidP="00881FA7">
            <w:pPr>
              <w:pStyle w:val="DHHStabletext"/>
              <w:jc w:val="right"/>
            </w:pPr>
            <w:r w:rsidRPr="00343635">
              <w:t>-</w:t>
            </w:r>
          </w:p>
        </w:tc>
        <w:tc>
          <w:tcPr>
            <w:tcW w:w="1288" w:type="dxa"/>
          </w:tcPr>
          <w:p w14:paraId="5B21AC7C" w14:textId="77777777" w:rsidR="00B5678E" w:rsidRPr="00343635" w:rsidRDefault="00B5678E" w:rsidP="00881FA7">
            <w:pPr>
              <w:pStyle w:val="DHHStabletext"/>
              <w:jc w:val="right"/>
            </w:pPr>
            <w:r w:rsidRPr="00343635">
              <w:t>4</w:t>
            </w:r>
          </w:p>
        </w:tc>
        <w:tc>
          <w:tcPr>
            <w:tcW w:w="1288" w:type="dxa"/>
          </w:tcPr>
          <w:p w14:paraId="35E2F1C8" w14:textId="77777777" w:rsidR="00B5678E" w:rsidRPr="00343635" w:rsidRDefault="00B5678E" w:rsidP="00881FA7">
            <w:pPr>
              <w:pStyle w:val="DHHStabletext"/>
              <w:jc w:val="right"/>
            </w:pPr>
            <w:r w:rsidRPr="00343635">
              <w:t>-</w:t>
            </w:r>
          </w:p>
        </w:tc>
        <w:tc>
          <w:tcPr>
            <w:tcW w:w="1288" w:type="dxa"/>
          </w:tcPr>
          <w:p w14:paraId="5E624C3D" w14:textId="77777777" w:rsidR="00B5678E" w:rsidRPr="00343635" w:rsidRDefault="00B5678E" w:rsidP="00881FA7">
            <w:pPr>
              <w:pStyle w:val="DHHStabletext"/>
              <w:jc w:val="right"/>
            </w:pPr>
            <w:r w:rsidRPr="00343635">
              <w:t>10</w:t>
            </w:r>
          </w:p>
        </w:tc>
      </w:tr>
      <w:tr w:rsidR="00881FA7" w:rsidRPr="00343635" w14:paraId="2DE71782" w14:textId="77777777" w:rsidTr="00444614">
        <w:tc>
          <w:tcPr>
            <w:tcW w:w="1288" w:type="dxa"/>
          </w:tcPr>
          <w:p w14:paraId="17A2FCB1" w14:textId="7EC45CEF" w:rsidR="00B5678E" w:rsidRPr="00343635" w:rsidRDefault="00B5678E" w:rsidP="00DC315B">
            <w:pPr>
              <w:pStyle w:val="DHHStabletext"/>
            </w:pPr>
            <w:r w:rsidRPr="00343635">
              <w:t>2013</w:t>
            </w:r>
            <w:r w:rsidR="005178A5">
              <w:t>–</w:t>
            </w:r>
            <w:r w:rsidRPr="00343635">
              <w:t>14</w:t>
            </w:r>
          </w:p>
        </w:tc>
        <w:tc>
          <w:tcPr>
            <w:tcW w:w="1288" w:type="dxa"/>
          </w:tcPr>
          <w:p w14:paraId="62C4CCF8" w14:textId="77777777" w:rsidR="00B5678E" w:rsidRPr="00343635" w:rsidRDefault="00B5678E" w:rsidP="00881FA7">
            <w:pPr>
              <w:pStyle w:val="DHHStabletext"/>
              <w:jc w:val="right"/>
            </w:pPr>
            <w:r w:rsidRPr="00343635">
              <w:t>1</w:t>
            </w:r>
          </w:p>
        </w:tc>
        <w:tc>
          <w:tcPr>
            <w:tcW w:w="1288" w:type="dxa"/>
          </w:tcPr>
          <w:p w14:paraId="32F8288D" w14:textId="77777777" w:rsidR="00B5678E" w:rsidRPr="00343635" w:rsidRDefault="00B5678E" w:rsidP="00881FA7">
            <w:pPr>
              <w:pStyle w:val="DHHStabletext"/>
              <w:jc w:val="right"/>
            </w:pPr>
            <w:r w:rsidRPr="00343635">
              <w:t>6</w:t>
            </w:r>
          </w:p>
        </w:tc>
        <w:tc>
          <w:tcPr>
            <w:tcW w:w="1288" w:type="dxa"/>
          </w:tcPr>
          <w:p w14:paraId="7538769F" w14:textId="77777777" w:rsidR="00B5678E" w:rsidRPr="00343635" w:rsidRDefault="00B5678E" w:rsidP="00881FA7">
            <w:pPr>
              <w:pStyle w:val="DHHStabletext"/>
              <w:jc w:val="right"/>
            </w:pPr>
            <w:r w:rsidRPr="00343635">
              <w:t>4</w:t>
            </w:r>
          </w:p>
        </w:tc>
        <w:tc>
          <w:tcPr>
            <w:tcW w:w="1288" w:type="dxa"/>
          </w:tcPr>
          <w:p w14:paraId="122BA3F5" w14:textId="77777777" w:rsidR="00B5678E" w:rsidRPr="00343635" w:rsidRDefault="00B5678E" w:rsidP="00881FA7">
            <w:pPr>
              <w:pStyle w:val="DHHStabletext"/>
              <w:jc w:val="right"/>
            </w:pPr>
            <w:r w:rsidRPr="00343635">
              <w:t>16</w:t>
            </w:r>
          </w:p>
        </w:tc>
        <w:tc>
          <w:tcPr>
            <w:tcW w:w="1288" w:type="dxa"/>
          </w:tcPr>
          <w:p w14:paraId="2F3D9A96" w14:textId="77777777" w:rsidR="00B5678E" w:rsidRPr="00343635" w:rsidRDefault="00B5678E" w:rsidP="00881FA7">
            <w:pPr>
              <w:pStyle w:val="DHHStabletext"/>
              <w:jc w:val="right"/>
            </w:pPr>
            <w:r w:rsidRPr="00343635">
              <w:t>-</w:t>
            </w:r>
          </w:p>
        </w:tc>
        <w:tc>
          <w:tcPr>
            <w:tcW w:w="1288" w:type="dxa"/>
          </w:tcPr>
          <w:p w14:paraId="69604940" w14:textId="77777777" w:rsidR="00B5678E" w:rsidRPr="00343635" w:rsidRDefault="00B5678E" w:rsidP="00881FA7">
            <w:pPr>
              <w:pStyle w:val="DHHStabletext"/>
              <w:jc w:val="right"/>
            </w:pPr>
            <w:r w:rsidRPr="00343635">
              <w:t>27</w:t>
            </w:r>
          </w:p>
        </w:tc>
      </w:tr>
      <w:tr w:rsidR="00881FA7" w:rsidRPr="00343635" w14:paraId="74C64ADE" w14:textId="77777777" w:rsidTr="00444614">
        <w:tc>
          <w:tcPr>
            <w:tcW w:w="1288" w:type="dxa"/>
          </w:tcPr>
          <w:p w14:paraId="157DA85A" w14:textId="4E2E4711" w:rsidR="00B5678E" w:rsidRPr="00343635" w:rsidRDefault="00B5678E" w:rsidP="00DC315B">
            <w:pPr>
              <w:pStyle w:val="DHHStabletext"/>
            </w:pPr>
            <w:r w:rsidRPr="00343635">
              <w:t>2014</w:t>
            </w:r>
            <w:r w:rsidR="005178A5">
              <w:t>–</w:t>
            </w:r>
            <w:r w:rsidRPr="00343635">
              <w:t>15</w:t>
            </w:r>
          </w:p>
        </w:tc>
        <w:tc>
          <w:tcPr>
            <w:tcW w:w="1288" w:type="dxa"/>
          </w:tcPr>
          <w:p w14:paraId="10B03B2C" w14:textId="77777777" w:rsidR="00B5678E" w:rsidRPr="00343635" w:rsidRDefault="00B5678E" w:rsidP="00881FA7">
            <w:pPr>
              <w:pStyle w:val="DHHStabletext"/>
              <w:jc w:val="right"/>
            </w:pPr>
            <w:r w:rsidRPr="00343635">
              <w:t>9</w:t>
            </w:r>
          </w:p>
        </w:tc>
        <w:tc>
          <w:tcPr>
            <w:tcW w:w="1288" w:type="dxa"/>
          </w:tcPr>
          <w:p w14:paraId="53DABC7B" w14:textId="77777777" w:rsidR="00B5678E" w:rsidRPr="00343635" w:rsidRDefault="00B5678E" w:rsidP="00881FA7">
            <w:pPr>
              <w:pStyle w:val="DHHStabletext"/>
              <w:jc w:val="right"/>
            </w:pPr>
            <w:r w:rsidRPr="00343635">
              <w:t>11</w:t>
            </w:r>
          </w:p>
        </w:tc>
        <w:tc>
          <w:tcPr>
            <w:tcW w:w="1288" w:type="dxa"/>
          </w:tcPr>
          <w:p w14:paraId="097DAF0D" w14:textId="77777777" w:rsidR="00B5678E" w:rsidRPr="00343635" w:rsidRDefault="00B5678E" w:rsidP="00881FA7">
            <w:pPr>
              <w:pStyle w:val="DHHStabletext"/>
              <w:jc w:val="right"/>
            </w:pPr>
            <w:r w:rsidRPr="00343635">
              <w:t>6</w:t>
            </w:r>
          </w:p>
        </w:tc>
        <w:tc>
          <w:tcPr>
            <w:tcW w:w="1288" w:type="dxa"/>
          </w:tcPr>
          <w:p w14:paraId="35B13C92" w14:textId="77777777" w:rsidR="00B5678E" w:rsidRPr="00343635" w:rsidRDefault="00B5678E" w:rsidP="00881FA7">
            <w:pPr>
              <w:pStyle w:val="DHHStabletext"/>
              <w:jc w:val="right"/>
            </w:pPr>
            <w:r w:rsidRPr="00343635">
              <w:t>8</w:t>
            </w:r>
          </w:p>
        </w:tc>
        <w:tc>
          <w:tcPr>
            <w:tcW w:w="1288" w:type="dxa"/>
          </w:tcPr>
          <w:p w14:paraId="6B6D8561" w14:textId="77777777" w:rsidR="00B5678E" w:rsidRPr="00343635" w:rsidRDefault="00B5678E" w:rsidP="00881FA7">
            <w:pPr>
              <w:pStyle w:val="DHHStabletext"/>
              <w:jc w:val="right"/>
            </w:pPr>
            <w:r w:rsidRPr="00343635">
              <w:t>4</w:t>
            </w:r>
          </w:p>
        </w:tc>
        <w:tc>
          <w:tcPr>
            <w:tcW w:w="1288" w:type="dxa"/>
          </w:tcPr>
          <w:p w14:paraId="63A2B9FF" w14:textId="77777777" w:rsidR="00B5678E" w:rsidRPr="00343635" w:rsidRDefault="00B5678E" w:rsidP="00881FA7">
            <w:pPr>
              <w:pStyle w:val="DHHStabletext"/>
              <w:jc w:val="right"/>
            </w:pPr>
            <w:r w:rsidRPr="00343635">
              <w:t>38</w:t>
            </w:r>
          </w:p>
        </w:tc>
      </w:tr>
      <w:tr w:rsidR="00881FA7" w:rsidRPr="00343635" w14:paraId="360E6B37" w14:textId="77777777" w:rsidTr="00444614">
        <w:tc>
          <w:tcPr>
            <w:tcW w:w="1288" w:type="dxa"/>
          </w:tcPr>
          <w:p w14:paraId="763321AD" w14:textId="606935F5" w:rsidR="00B5678E" w:rsidRPr="00343635" w:rsidRDefault="00B5678E" w:rsidP="00DC315B">
            <w:pPr>
              <w:pStyle w:val="DHHStabletext"/>
            </w:pPr>
            <w:r w:rsidRPr="00343635">
              <w:t>2015</w:t>
            </w:r>
            <w:r w:rsidR="005178A5">
              <w:t>–</w:t>
            </w:r>
            <w:r w:rsidRPr="00343635">
              <w:t>16</w:t>
            </w:r>
          </w:p>
        </w:tc>
        <w:tc>
          <w:tcPr>
            <w:tcW w:w="1288" w:type="dxa"/>
          </w:tcPr>
          <w:p w14:paraId="229FF3F1" w14:textId="77777777" w:rsidR="00B5678E" w:rsidRPr="00343635" w:rsidRDefault="00B5678E" w:rsidP="00881FA7">
            <w:pPr>
              <w:pStyle w:val="DHHStabletext"/>
              <w:jc w:val="right"/>
            </w:pPr>
            <w:r w:rsidRPr="00343635">
              <w:t>6</w:t>
            </w:r>
          </w:p>
        </w:tc>
        <w:tc>
          <w:tcPr>
            <w:tcW w:w="1288" w:type="dxa"/>
          </w:tcPr>
          <w:p w14:paraId="6D5E3565" w14:textId="77777777" w:rsidR="00B5678E" w:rsidRPr="00343635" w:rsidRDefault="00B5678E" w:rsidP="00881FA7">
            <w:pPr>
              <w:pStyle w:val="DHHStabletext"/>
              <w:jc w:val="right"/>
            </w:pPr>
            <w:r w:rsidRPr="00343635">
              <w:t>11</w:t>
            </w:r>
          </w:p>
        </w:tc>
        <w:tc>
          <w:tcPr>
            <w:tcW w:w="1288" w:type="dxa"/>
          </w:tcPr>
          <w:p w14:paraId="52336385" w14:textId="77777777" w:rsidR="00B5678E" w:rsidRPr="00343635" w:rsidRDefault="00B5678E" w:rsidP="00881FA7">
            <w:pPr>
              <w:pStyle w:val="DHHStabletext"/>
              <w:jc w:val="right"/>
            </w:pPr>
            <w:r w:rsidRPr="00343635">
              <w:t>5</w:t>
            </w:r>
          </w:p>
        </w:tc>
        <w:tc>
          <w:tcPr>
            <w:tcW w:w="1288" w:type="dxa"/>
          </w:tcPr>
          <w:p w14:paraId="187DBAAA" w14:textId="77777777" w:rsidR="00B5678E" w:rsidRPr="00343635" w:rsidRDefault="00B5678E" w:rsidP="00881FA7">
            <w:pPr>
              <w:pStyle w:val="DHHStabletext"/>
              <w:jc w:val="right"/>
            </w:pPr>
            <w:r w:rsidRPr="00343635">
              <w:t>5</w:t>
            </w:r>
          </w:p>
        </w:tc>
        <w:tc>
          <w:tcPr>
            <w:tcW w:w="1288" w:type="dxa"/>
          </w:tcPr>
          <w:p w14:paraId="2A6EBAF7" w14:textId="77777777" w:rsidR="00B5678E" w:rsidRPr="00343635" w:rsidRDefault="00B5678E" w:rsidP="00881FA7">
            <w:pPr>
              <w:pStyle w:val="DHHStabletext"/>
              <w:jc w:val="right"/>
            </w:pPr>
            <w:r w:rsidRPr="00343635">
              <w:t>4</w:t>
            </w:r>
          </w:p>
        </w:tc>
        <w:tc>
          <w:tcPr>
            <w:tcW w:w="1288" w:type="dxa"/>
          </w:tcPr>
          <w:p w14:paraId="750759D6" w14:textId="77777777" w:rsidR="00B5678E" w:rsidRPr="00343635" w:rsidRDefault="00B5678E" w:rsidP="00881FA7">
            <w:pPr>
              <w:pStyle w:val="DHHStabletext"/>
              <w:jc w:val="right"/>
            </w:pPr>
            <w:r w:rsidRPr="00343635">
              <w:t>31</w:t>
            </w:r>
          </w:p>
        </w:tc>
      </w:tr>
      <w:tr w:rsidR="00881FA7" w:rsidRPr="00343635" w14:paraId="1F67B478" w14:textId="77777777" w:rsidTr="00444614">
        <w:tc>
          <w:tcPr>
            <w:tcW w:w="1288" w:type="dxa"/>
          </w:tcPr>
          <w:p w14:paraId="6233FC36" w14:textId="3F47EF97" w:rsidR="00B5678E" w:rsidRPr="00343635" w:rsidRDefault="00B5678E" w:rsidP="00DC315B">
            <w:pPr>
              <w:pStyle w:val="DHHStabletext"/>
            </w:pPr>
            <w:r w:rsidRPr="00343635">
              <w:t>2016</w:t>
            </w:r>
            <w:r w:rsidR="005178A5">
              <w:t>–</w:t>
            </w:r>
            <w:r w:rsidRPr="00343635">
              <w:t>17</w:t>
            </w:r>
          </w:p>
        </w:tc>
        <w:tc>
          <w:tcPr>
            <w:tcW w:w="1288" w:type="dxa"/>
          </w:tcPr>
          <w:p w14:paraId="7F5F9EA5" w14:textId="77777777" w:rsidR="00B5678E" w:rsidRPr="00343635" w:rsidRDefault="00B5678E" w:rsidP="00881FA7">
            <w:pPr>
              <w:pStyle w:val="DHHStabletext"/>
              <w:jc w:val="right"/>
            </w:pPr>
            <w:r w:rsidRPr="00343635">
              <w:t>5</w:t>
            </w:r>
          </w:p>
        </w:tc>
        <w:tc>
          <w:tcPr>
            <w:tcW w:w="1288" w:type="dxa"/>
          </w:tcPr>
          <w:p w14:paraId="125629E3" w14:textId="77777777" w:rsidR="00B5678E" w:rsidRPr="00343635" w:rsidRDefault="00B5678E" w:rsidP="00881FA7">
            <w:pPr>
              <w:pStyle w:val="DHHStabletext"/>
              <w:jc w:val="right"/>
            </w:pPr>
            <w:r w:rsidRPr="00343635">
              <w:t>4</w:t>
            </w:r>
          </w:p>
        </w:tc>
        <w:tc>
          <w:tcPr>
            <w:tcW w:w="1288" w:type="dxa"/>
          </w:tcPr>
          <w:p w14:paraId="0E91AC61" w14:textId="77777777" w:rsidR="00B5678E" w:rsidRPr="00343635" w:rsidRDefault="00B5678E" w:rsidP="00881FA7">
            <w:pPr>
              <w:pStyle w:val="DHHStabletext"/>
              <w:jc w:val="right"/>
            </w:pPr>
            <w:r w:rsidRPr="00343635">
              <w:t>2</w:t>
            </w:r>
          </w:p>
        </w:tc>
        <w:tc>
          <w:tcPr>
            <w:tcW w:w="1288" w:type="dxa"/>
          </w:tcPr>
          <w:p w14:paraId="058EC096" w14:textId="77777777" w:rsidR="00B5678E" w:rsidRPr="00343635" w:rsidRDefault="00B5678E" w:rsidP="00881FA7">
            <w:pPr>
              <w:pStyle w:val="DHHStabletext"/>
              <w:jc w:val="right"/>
            </w:pPr>
            <w:r w:rsidRPr="00343635">
              <w:t>1</w:t>
            </w:r>
          </w:p>
        </w:tc>
        <w:tc>
          <w:tcPr>
            <w:tcW w:w="1288" w:type="dxa"/>
          </w:tcPr>
          <w:p w14:paraId="507EE893" w14:textId="77777777" w:rsidR="00B5678E" w:rsidRPr="00343635" w:rsidRDefault="00B5678E" w:rsidP="00881FA7">
            <w:pPr>
              <w:pStyle w:val="DHHStabletext"/>
              <w:jc w:val="right"/>
            </w:pPr>
            <w:r w:rsidRPr="00343635">
              <w:t>5</w:t>
            </w:r>
          </w:p>
        </w:tc>
        <w:tc>
          <w:tcPr>
            <w:tcW w:w="1288" w:type="dxa"/>
          </w:tcPr>
          <w:p w14:paraId="2FAD1E14" w14:textId="77777777" w:rsidR="00B5678E" w:rsidRPr="00343635" w:rsidRDefault="00B5678E" w:rsidP="00881FA7">
            <w:pPr>
              <w:pStyle w:val="DHHStabletext"/>
              <w:jc w:val="right"/>
            </w:pPr>
            <w:r w:rsidRPr="00343635">
              <w:t>17</w:t>
            </w:r>
          </w:p>
        </w:tc>
      </w:tr>
      <w:tr w:rsidR="00881FA7" w:rsidRPr="00343635" w14:paraId="6CB09550" w14:textId="77777777" w:rsidTr="00444614">
        <w:tc>
          <w:tcPr>
            <w:tcW w:w="1288" w:type="dxa"/>
          </w:tcPr>
          <w:p w14:paraId="688312D8" w14:textId="45BF49CC" w:rsidR="00B5678E" w:rsidRPr="00343635" w:rsidRDefault="00B5678E" w:rsidP="00DC315B">
            <w:pPr>
              <w:pStyle w:val="DHHStabletext"/>
            </w:pPr>
            <w:r w:rsidRPr="00343635">
              <w:t>2017</w:t>
            </w:r>
            <w:r w:rsidR="005178A5">
              <w:t>–</w:t>
            </w:r>
            <w:r w:rsidRPr="00343635">
              <w:t>18</w:t>
            </w:r>
          </w:p>
        </w:tc>
        <w:tc>
          <w:tcPr>
            <w:tcW w:w="1288" w:type="dxa"/>
          </w:tcPr>
          <w:p w14:paraId="0776CB9A" w14:textId="77777777" w:rsidR="00B5678E" w:rsidRPr="00343635" w:rsidRDefault="00B5678E" w:rsidP="00881FA7">
            <w:pPr>
              <w:pStyle w:val="DHHStabletext"/>
              <w:jc w:val="right"/>
            </w:pPr>
            <w:r w:rsidRPr="00343635">
              <w:t>3</w:t>
            </w:r>
          </w:p>
        </w:tc>
        <w:tc>
          <w:tcPr>
            <w:tcW w:w="1288" w:type="dxa"/>
          </w:tcPr>
          <w:p w14:paraId="736D9255" w14:textId="77777777" w:rsidR="00B5678E" w:rsidRPr="00343635" w:rsidRDefault="00B5678E" w:rsidP="00881FA7">
            <w:pPr>
              <w:pStyle w:val="DHHStabletext"/>
              <w:jc w:val="right"/>
            </w:pPr>
            <w:r w:rsidRPr="00343635">
              <w:t>5</w:t>
            </w:r>
          </w:p>
        </w:tc>
        <w:tc>
          <w:tcPr>
            <w:tcW w:w="1288" w:type="dxa"/>
          </w:tcPr>
          <w:p w14:paraId="4D93BA58" w14:textId="77777777" w:rsidR="00B5678E" w:rsidRPr="00343635" w:rsidRDefault="00B5678E" w:rsidP="00881FA7">
            <w:pPr>
              <w:pStyle w:val="DHHStabletext"/>
              <w:jc w:val="right"/>
            </w:pPr>
            <w:r w:rsidRPr="00343635">
              <w:t>-</w:t>
            </w:r>
          </w:p>
        </w:tc>
        <w:tc>
          <w:tcPr>
            <w:tcW w:w="1288" w:type="dxa"/>
          </w:tcPr>
          <w:p w14:paraId="3760985D" w14:textId="77777777" w:rsidR="00B5678E" w:rsidRPr="00343635" w:rsidRDefault="00B5678E" w:rsidP="00881FA7">
            <w:pPr>
              <w:pStyle w:val="DHHStabletext"/>
              <w:jc w:val="right"/>
            </w:pPr>
            <w:r w:rsidRPr="00343635">
              <w:t>2</w:t>
            </w:r>
          </w:p>
        </w:tc>
        <w:tc>
          <w:tcPr>
            <w:tcW w:w="1288" w:type="dxa"/>
          </w:tcPr>
          <w:p w14:paraId="0FC1EBD3" w14:textId="77777777" w:rsidR="00B5678E" w:rsidRPr="00343635" w:rsidRDefault="00B5678E" w:rsidP="00881FA7">
            <w:pPr>
              <w:pStyle w:val="DHHStabletext"/>
              <w:jc w:val="right"/>
            </w:pPr>
            <w:r w:rsidRPr="00343635">
              <w:t>15</w:t>
            </w:r>
          </w:p>
        </w:tc>
        <w:tc>
          <w:tcPr>
            <w:tcW w:w="1288" w:type="dxa"/>
          </w:tcPr>
          <w:p w14:paraId="1D80AE6F" w14:textId="77777777" w:rsidR="00B5678E" w:rsidRPr="00343635" w:rsidRDefault="00B5678E" w:rsidP="00881FA7">
            <w:pPr>
              <w:pStyle w:val="DHHStabletext"/>
              <w:jc w:val="right"/>
            </w:pPr>
            <w:r w:rsidRPr="00343635">
              <w:t>25</w:t>
            </w:r>
          </w:p>
        </w:tc>
      </w:tr>
    </w:tbl>
    <w:p w14:paraId="4D5D18B8" w14:textId="77777777" w:rsidR="00B5678E" w:rsidRPr="00343635" w:rsidRDefault="00B5678E" w:rsidP="00B5678E"/>
    <w:p w14:paraId="078A3206" w14:textId="13FF6C14" w:rsidR="00B5678E" w:rsidRPr="00343635" w:rsidRDefault="00B5678E" w:rsidP="00DC315B">
      <w:pPr>
        <w:pStyle w:val="Heading1"/>
      </w:pPr>
      <w:bookmarkStart w:id="11" w:name="_Toc24287412"/>
      <w:r w:rsidRPr="00343635">
        <w:lastRenderedPageBreak/>
        <w:t>Validation</w:t>
      </w:r>
      <w:bookmarkEnd w:id="11"/>
    </w:p>
    <w:p w14:paraId="5BADC83A" w14:textId="1FE536C0" w:rsidR="00B5678E" w:rsidRPr="00343635" w:rsidRDefault="00B5678E" w:rsidP="00DC315B">
      <w:pPr>
        <w:pStyle w:val="DHHSbody"/>
      </w:pPr>
      <w:r w:rsidRPr="00343635">
        <w:t>As part of the validation process</w:t>
      </w:r>
      <w:r w:rsidR="005178A5">
        <w:t>,</w:t>
      </w:r>
      <w:r w:rsidRPr="00343635">
        <w:t xml:space="preserve"> each returned investigation form is assessed for completeness by the secretariat before undergoing validation</w:t>
      </w:r>
      <w:r w:rsidR="00E07575">
        <w:t xml:space="preserve"> by the STIR Expert Group reviewer</w:t>
      </w:r>
      <w:r w:rsidRPr="00343635">
        <w:t xml:space="preserve">. The </w:t>
      </w:r>
      <w:r w:rsidR="00172E8C">
        <w:t xml:space="preserve">reviewer </w:t>
      </w:r>
      <w:r w:rsidRPr="00343635">
        <w:t xml:space="preserve">reviews the information to ensure it supports the diagnosis, </w:t>
      </w:r>
      <w:proofErr w:type="spellStart"/>
      <w:r w:rsidRPr="00343635">
        <w:t>imputability</w:t>
      </w:r>
      <w:proofErr w:type="spellEnd"/>
      <w:r w:rsidRPr="00343635">
        <w:t xml:space="preserve"> and severity ascribed by the reporting health service. Where there is uncertainty, the reviewer can request a second review. All incidents identified as severity</w:t>
      </w:r>
      <w:r w:rsidR="00E07575">
        <w:t xml:space="preserve"> rating (SR)</w:t>
      </w:r>
      <w:r w:rsidRPr="00343635">
        <w:t xml:space="preserve"> </w:t>
      </w:r>
      <w:r w:rsidR="00E07575">
        <w:t>1</w:t>
      </w:r>
      <w:r w:rsidR="00E07575" w:rsidRPr="00343635">
        <w:t xml:space="preserve"> </w:t>
      </w:r>
      <w:r w:rsidRPr="00343635">
        <w:t xml:space="preserve">or </w:t>
      </w:r>
      <w:r w:rsidR="00E07575">
        <w:t>2</w:t>
      </w:r>
      <w:r w:rsidR="00E07575" w:rsidRPr="00343635">
        <w:t xml:space="preserve"> </w:t>
      </w:r>
      <w:r w:rsidRPr="00343635">
        <w:t xml:space="preserve">are reviewed by the </w:t>
      </w:r>
      <w:r w:rsidR="00E07575">
        <w:t xml:space="preserve">STIR </w:t>
      </w:r>
      <w:r w:rsidRPr="00343635">
        <w:t xml:space="preserve">Expert </w:t>
      </w:r>
      <w:r w:rsidR="00E07575">
        <w:t>G</w:t>
      </w:r>
      <w:r w:rsidRPr="00343635">
        <w:t>roup.</w:t>
      </w:r>
    </w:p>
    <w:p w14:paraId="34E72DD1" w14:textId="77777777" w:rsidR="00B5678E" w:rsidRPr="00343635" w:rsidRDefault="00B5678E" w:rsidP="00DC315B">
      <w:pPr>
        <w:pStyle w:val="DHHSbody"/>
      </w:pPr>
      <w:r w:rsidRPr="00343635">
        <w:t xml:space="preserve">Tables 4 and 5 record the changes to incident type and severity rating that occurred after expert review. </w:t>
      </w:r>
    </w:p>
    <w:p w14:paraId="23D56F1D" w14:textId="37721AC0" w:rsidR="00B5678E" w:rsidRPr="00343635" w:rsidRDefault="00B5678E" w:rsidP="00DC315B">
      <w:pPr>
        <w:pStyle w:val="DHHStablecaption"/>
        <w:rPr>
          <w:highlight w:val="yellow"/>
        </w:rPr>
      </w:pPr>
      <w:r w:rsidRPr="00343635">
        <w:t>Table 4</w:t>
      </w:r>
      <w:r w:rsidR="00E07575">
        <w:t>:</w:t>
      </w:r>
      <w:r w:rsidRPr="00343635">
        <w:t xml:space="preserve"> Changes to incident type following </w:t>
      </w:r>
      <w:r w:rsidR="00E07575">
        <w:t xml:space="preserve">STIR </w:t>
      </w:r>
      <w:r w:rsidRPr="00343635">
        <w:t>Expert</w:t>
      </w:r>
      <w:r w:rsidR="00E07575">
        <w:t xml:space="preserve"> Group</w:t>
      </w:r>
      <w:r w:rsidRPr="00343635">
        <w:t xml:space="preserve"> review</w:t>
      </w:r>
    </w:p>
    <w:tbl>
      <w:tblPr>
        <w:tblStyle w:val="TableGrid"/>
        <w:tblW w:w="9488" w:type="dxa"/>
        <w:tblLook w:val="04A0" w:firstRow="1" w:lastRow="0" w:firstColumn="1" w:lastColumn="0" w:noHBand="0" w:noVBand="1"/>
      </w:tblPr>
      <w:tblGrid>
        <w:gridCol w:w="3114"/>
        <w:gridCol w:w="2126"/>
        <w:gridCol w:w="2410"/>
        <w:gridCol w:w="1838"/>
      </w:tblGrid>
      <w:tr w:rsidR="00B5678E" w:rsidRPr="00343635" w14:paraId="7BD95F0C" w14:textId="77777777" w:rsidTr="00E56E6D">
        <w:trPr>
          <w:tblHeader/>
        </w:trPr>
        <w:tc>
          <w:tcPr>
            <w:tcW w:w="3114" w:type="dxa"/>
          </w:tcPr>
          <w:p w14:paraId="28FD6D14" w14:textId="055DB944" w:rsidR="00B5678E" w:rsidRPr="00DC315B" w:rsidRDefault="00E07575" w:rsidP="00DC315B">
            <w:pPr>
              <w:pStyle w:val="DHHStablecolhead"/>
            </w:pPr>
            <w:r>
              <w:t>Original i</w:t>
            </w:r>
            <w:r w:rsidR="00B5678E" w:rsidRPr="00DC315B">
              <w:t>ncident type</w:t>
            </w:r>
            <w:r>
              <w:t xml:space="preserve"> </w:t>
            </w:r>
            <w:r w:rsidR="00B5678E" w:rsidRPr="00DC315B">
              <w:t>submitted</w:t>
            </w:r>
          </w:p>
        </w:tc>
        <w:tc>
          <w:tcPr>
            <w:tcW w:w="2126" w:type="dxa"/>
          </w:tcPr>
          <w:p w14:paraId="1D4E54E3" w14:textId="1DA7EFDA" w:rsidR="00B5678E" w:rsidRPr="00DC315B" w:rsidRDefault="00DC315B" w:rsidP="00DC315B">
            <w:pPr>
              <w:pStyle w:val="DHHStablecolhead"/>
            </w:pPr>
            <w:r w:rsidRPr="00DC315B">
              <w:t>Validated incident type: f</w:t>
            </w:r>
            <w:r w:rsidR="00B5678E" w:rsidRPr="00DC315B">
              <w:t xml:space="preserve">ebrile </w:t>
            </w:r>
            <w:proofErr w:type="gramStart"/>
            <w:r w:rsidR="00B5678E" w:rsidRPr="00DC315B">
              <w:t>non haemolytic</w:t>
            </w:r>
            <w:proofErr w:type="gramEnd"/>
            <w:r w:rsidR="00B5678E" w:rsidRPr="00DC315B">
              <w:t xml:space="preserve"> transfusion reaction (FNHTR)</w:t>
            </w:r>
          </w:p>
        </w:tc>
        <w:tc>
          <w:tcPr>
            <w:tcW w:w="2410" w:type="dxa"/>
          </w:tcPr>
          <w:p w14:paraId="611B39EA" w14:textId="0DB5793B" w:rsidR="00B5678E" w:rsidRPr="00DC315B" w:rsidRDefault="00DC315B" w:rsidP="00DC315B">
            <w:pPr>
              <w:pStyle w:val="DHHStablecolhead"/>
            </w:pPr>
            <w:r w:rsidRPr="00DC315B">
              <w:t>Validated incident type: t</w:t>
            </w:r>
            <w:r w:rsidR="00B5678E" w:rsidRPr="00DC315B">
              <w:t xml:space="preserve">ransfusion associated circulatory overload (TACO) only </w:t>
            </w:r>
          </w:p>
        </w:tc>
        <w:tc>
          <w:tcPr>
            <w:tcW w:w="1838" w:type="dxa"/>
          </w:tcPr>
          <w:p w14:paraId="6C89C1B6" w14:textId="44D20472" w:rsidR="00B5678E" w:rsidRPr="00DC315B" w:rsidRDefault="00DC315B" w:rsidP="00DC315B">
            <w:pPr>
              <w:pStyle w:val="DHHStablecolhead"/>
            </w:pPr>
            <w:r w:rsidRPr="00DC315B">
              <w:t>Validated incident type: i</w:t>
            </w:r>
            <w:r w:rsidR="00B5678E" w:rsidRPr="00DC315B">
              <w:t>ncorrect blood component transfused (IBCT)</w:t>
            </w:r>
          </w:p>
        </w:tc>
      </w:tr>
      <w:tr w:rsidR="00B5678E" w:rsidRPr="00343635" w14:paraId="70123944" w14:textId="77777777" w:rsidTr="00444614">
        <w:tc>
          <w:tcPr>
            <w:tcW w:w="3114" w:type="dxa"/>
          </w:tcPr>
          <w:p w14:paraId="5D2039FB" w14:textId="77777777" w:rsidR="00B5678E" w:rsidRPr="00DC315B" w:rsidRDefault="00B5678E" w:rsidP="00DC315B">
            <w:pPr>
              <w:pStyle w:val="DHHStabletext"/>
            </w:pPr>
            <w:r w:rsidRPr="00DC315B">
              <w:t>Acute haemolytic transfusion reaction</w:t>
            </w:r>
          </w:p>
        </w:tc>
        <w:tc>
          <w:tcPr>
            <w:tcW w:w="2126" w:type="dxa"/>
          </w:tcPr>
          <w:p w14:paraId="385D3E4E" w14:textId="77777777" w:rsidR="00B5678E" w:rsidRPr="00DC315B" w:rsidRDefault="00B5678E" w:rsidP="00881FA7">
            <w:pPr>
              <w:pStyle w:val="DHHStabletext"/>
              <w:jc w:val="right"/>
            </w:pPr>
            <w:r w:rsidRPr="00DC315B">
              <w:t>1</w:t>
            </w:r>
          </w:p>
        </w:tc>
        <w:tc>
          <w:tcPr>
            <w:tcW w:w="2410" w:type="dxa"/>
          </w:tcPr>
          <w:p w14:paraId="6C2C144B" w14:textId="45C37FCE" w:rsidR="00B5678E" w:rsidRPr="00DC315B" w:rsidRDefault="004D0E35" w:rsidP="00881FA7">
            <w:pPr>
              <w:pStyle w:val="DHHStabletext"/>
              <w:jc w:val="right"/>
            </w:pPr>
            <w:r>
              <w:t>-</w:t>
            </w:r>
          </w:p>
        </w:tc>
        <w:tc>
          <w:tcPr>
            <w:tcW w:w="1838" w:type="dxa"/>
          </w:tcPr>
          <w:p w14:paraId="721378E7" w14:textId="4CE2606A" w:rsidR="00B5678E" w:rsidRPr="00DC315B" w:rsidRDefault="004D0E35" w:rsidP="00881FA7">
            <w:pPr>
              <w:pStyle w:val="DHHStabletext"/>
              <w:jc w:val="right"/>
            </w:pPr>
            <w:r>
              <w:t>-</w:t>
            </w:r>
          </w:p>
        </w:tc>
      </w:tr>
      <w:tr w:rsidR="00B5678E" w:rsidRPr="00343635" w14:paraId="10BCF559" w14:textId="77777777" w:rsidTr="00444614">
        <w:tc>
          <w:tcPr>
            <w:tcW w:w="3114" w:type="dxa"/>
          </w:tcPr>
          <w:p w14:paraId="062BCF95" w14:textId="77777777" w:rsidR="00B5678E" w:rsidRPr="00DC315B" w:rsidRDefault="00B5678E" w:rsidP="00DC315B">
            <w:pPr>
              <w:pStyle w:val="DHHStabletext"/>
            </w:pPr>
            <w:r w:rsidRPr="00DC315B">
              <w:t>Allergic/anaphylactic reaction</w:t>
            </w:r>
          </w:p>
        </w:tc>
        <w:tc>
          <w:tcPr>
            <w:tcW w:w="2126" w:type="dxa"/>
          </w:tcPr>
          <w:p w14:paraId="59C72D91" w14:textId="77777777" w:rsidR="00B5678E" w:rsidRPr="00DC315B" w:rsidRDefault="00B5678E" w:rsidP="00881FA7">
            <w:pPr>
              <w:pStyle w:val="DHHStabletext"/>
              <w:jc w:val="right"/>
            </w:pPr>
            <w:r w:rsidRPr="00DC315B">
              <w:t>2</w:t>
            </w:r>
          </w:p>
        </w:tc>
        <w:tc>
          <w:tcPr>
            <w:tcW w:w="2410" w:type="dxa"/>
          </w:tcPr>
          <w:p w14:paraId="492BF47C" w14:textId="05A9E3C7" w:rsidR="00B5678E" w:rsidRPr="00DC315B" w:rsidRDefault="004D0E35" w:rsidP="00881FA7">
            <w:pPr>
              <w:pStyle w:val="DHHStabletext"/>
              <w:jc w:val="right"/>
            </w:pPr>
            <w:r>
              <w:t>-</w:t>
            </w:r>
          </w:p>
        </w:tc>
        <w:tc>
          <w:tcPr>
            <w:tcW w:w="1838" w:type="dxa"/>
          </w:tcPr>
          <w:p w14:paraId="364F0699" w14:textId="529C7D6E" w:rsidR="00B5678E" w:rsidRPr="00DC315B" w:rsidRDefault="004D0E35" w:rsidP="00881FA7">
            <w:pPr>
              <w:pStyle w:val="DHHStabletext"/>
              <w:jc w:val="right"/>
            </w:pPr>
            <w:r>
              <w:t>-</w:t>
            </w:r>
          </w:p>
        </w:tc>
      </w:tr>
      <w:tr w:rsidR="00B5678E" w:rsidRPr="00343635" w14:paraId="13883716" w14:textId="77777777" w:rsidTr="00444614">
        <w:tc>
          <w:tcPr>
            <w:tcW w:w="3114" w:type="dxa"/>
          </w:tcPr>
          <w:p w14:paraId="3C1D2209" w14:textId="77992564" w:rsidR="00B5678E" w:rsidRPr="00DC315B" w:rsidRDefault="00B5678E" w:rsidP="00DC315B">
            <w:pPr>
              <w:pStyle w:val="DHHStabletext"/>
            </w:pPr>
            <w:r w:rsidRPr="00DC315B">
              <w:t xml:space="preserve">Acute transfusion reactions (ATR) </w:t>
            </w:r>
            <w:r w:rsidR="00E07575">
              <w:t>–</w:t>
            </w:r>
            <w:r w:rsidRPr="00DC315B">
              <w:t xml:space="preserve"> other</w:t>
            </w:r>
          </w:p>
        </w:tc>
        <w:tc>
          <w:tcPr>
            <w:tcW w:w="2126" w:type="dxa"/>
          </w:tcPr>
          <w:p w14:paraId="44AF90C8" w14:textId="77777777" w:rsidR="00B5678E" w:rsidRPr="00DC315B" w:rsidRDefault="00B5678E" w:rsidP="00881FA7">
            <w:pPr>
              <w:pStyle w:val="DHHStabletext"/>
              <w:jc w:val="right"/>
            </w:pPr>
            <w:r w:rsidRPr="00DC315B">
              <w:t>2</w:t>
            </w:r>
          </w:p>
        </w:tc>
        <w:tc>
          <w:tcPr>
            <w:tcW w:w="2410" w:type="dxa"/>
          </w:tcPr>
          <w:p w14:paraId="1E521682" w14:textId="1612F2F9" w:rsidR="00B5678E" w:rsidRPr="00DC315B" w:rsidRDefault="004D0E35" w:rsidP="00881FA7">
            <w:pPr>
              <w:pStyle w:val="DHHStabletext"/>
              <w:jc w:val="right"/>
            </w:pPr>
            <w:r>
              <w:t>-</w:t>
            </w:r>
          </w:p>
        </w:tc>
        <w:tc>
          <w:tcPr>
            <w:tcW w:w="1838" w:type="dxa"/>
          </w:tcPr>
          <w:p w14:paraId="4E364880" w14:textId="4F6E3B9B" w:rsidR="00B5678E" w:rsidRPr="00DC315B" w:rsidRDefault="004D0E35" w:rsidP="00881FA7">
            <w:pPr>
              <w:pStyle w:val="DHHStabletext"/>
              <w:jc w:val="right"/>
            </w:pPr>
            <w:r>
              <w:t>-</w:t>
            </w:r>
          </w:p>
        </w:tc>
      </w:tr>
      <w:tr w:rsidR="00B5678E" w:rsidRPr="00343635" w14:paraId="4A4C8905" w14:textId="77777777" w:rsidTr="00444614">
        <w:tc>
          <w:tcPr>
            <w:tcW w:w="3114" w:type="dxa"/>
          </w:tcPr>
          <w:p w14:paraId="6BB5FFA3" w14:textId="493C564D" w:rsidR="00B5678E" w:rsidRPr="00DC315B" w:rsidRDefault="00B5678E" w:rsidP="00DC315B">
            <w:pPr>
              <w:pStyle w:val="DHHStabletext"/>
            </w:pPr>
            <w:r w:rsidRPr="00DC315B">
              <w:t>TACO</w:t>
            </w:r>
            <w:r w:rsidR="00E07575">
              <w:t xml:space="preserve"> / </w:t>
            </w:r>
            <w:r w:rsidRPr="00DC315B">
              <w:t>transfusion associated dyspnoea (TAD)</w:t>
            </w:r>
          </w:p>
        </w:tc>
        <w:tc>
          <w:tcPr>
            <w:tcW w:w="2126" w:type="dxa"/>
          </w:tcPr>
          <w:p w14:paraId="401CF658" w14:textId="528148EB" w:rsidR="00B5678E" w:rsidRPr="00DC315B" w:rsidRDefault="004D0E35" w:rsidP="00881FA7">
            <w:pPr>
              <w:pStyle w:val="DHHStabletext"/>
              <w:jc w:val="right"/>
            </w:pPr>
            <w:r>
              <w:t>-</w:t>
            </w:r>
          </w:p>
        </w:tc>
        <w:tc>
          <w:tcPr>
            <w:tcW w:w="2410" w:type="dxa"/>
          </w:tcPr>
          <w:p w14:paraId="322357A0" w14:textId="77777777" w:rsidR="00B5678E" w:rsidRPr="00DC315B" w:rsidRDefault="00B5678E" w:rsidP="00881FA7">
            <w:pPr>
              <w:pStyle w:val="DHHStabletext"/>
              <w:jc w:val="right"/>
            </w:pPr>
            <w:r w:rsidRPr="00DC315B">
              <w:t>2</w:t>
            </w:r>
          </w:p>
        </w:tc>
        <w:tc>
          <w:tcPr>
            <w:tcW w:w="1838" w:type="dxa"/>
          </w:tcPr>
          <w:p w14:paraId="10E55DCF" w14:textId="3C8C0D22" w:rsidR="00B5678E" w:rsidRPr="00DC315B" w:rsidRDefault="004D0E35" w:rsidP="00881FA7">
            <w:pPr>
              <w:pStyle w:val="DHHStabletext"/>
              <w:jc w:val="right"/>
            </w:pPr>
            <w:r>
              <w:t>-</w:t>
            </w:r>
          </w:p>
        </w:tc>
      </w:tr>
      <w:tr w:rsidR="00B5678E" w:rsidRPr="00343635" w14:paraId="0B6FF4C3" w14:textId="77777777" w:rsidTr="00444614">
        <w:tc>
          <w:tcPr>
            <w:tcW w:w="3114" w:type="dxa"/>
          </w:tcPr>
          <w:p w14:paraId="75314ED8" w14:textId="2AC7B43F" w:rsidR="00B5678E" w:rsidRPr="00DC315B" w:rsidRDefault="00B5678E" w:rsidP="00DC315B">
            <w:pPr>
              <w:pStyle w:val="DHHStabletext"/>
            </w:pPr>
            <w:r w:rsidRPr="00DC315B">
              <w:t>Transfusion associated lung injury (TRALI)</w:t>
            </w:r>
            <w:r w:rsidR="00E07575">
              <w:t xml:space="preserve"> </w:t>
            </w:r>
            <w:r w:rsidRPr="00DC315B">
              <w:t>/</w:t>
            </w:r>
            <w:r w:rsidR="00E07575">
              <w:t xml:space="preserve"> </w:t>
            </w:r>
            <w:r w:rsidRPr="00DC315B">
              <w:t>TACO</w:t>
            </w:r>
          </w:p>
        </w:tc>
        <w:tc>
          <w:tcPr>
            <w:tcW w:w="2126" w:type="dxa"/>
          </w:tcPr>
          <w:p w14:paraId="7FAA9FFD" w14:textId="6AA0739E" w:rsidR="00B5678E" w:rsidRPr="00DC315B" w:rsidRDefault="004D0E35" w:rsidP="00881FA7">
            <w:pPr>
              <w:pStyle w:val="DHHStabletext"/>
              <w:jc w:val="right"/>
            </w:pPr>
            <w:r>
              <w:t>-</w:t>
            </w:r>
          </w:p>
        </w:tc>
        <w:tc>
          <w:tcPr>
            <w:tcW w:w="2410" w:type="dxa"/>
          </w:tcPr>
          <w:p w14:paraId="4FC89FED" w14:textId="77777777" w:rsidR="00B5678E" w:rsidRPr="00DC315B" w:rsidRDefault="00B5678E" w:rsidP="00881FA7">
            <w:pPr>
              <w:pStyle w:val="DHHStabletext"/>
              <w:jc w:val="right"/>
            </w:pPr>
            <w:r w:rsidRPr="00DC315B">
              <w:t>2</w:t>
            </w:r>
          </w:p>
        </w:tc>
        <w:tc>
          <w:tcPr>
            <w:tcW w:w="1838" w:type="dxa"/>
          </w:tcPr>
          <w:p w14:paraId="5EAC1A0B" w14:textId="1469E85A" w:rsidR="00B5678E" w:rsidRPr="00DC315B" w:rsidRDefault="004D0E35" w:rsidP="00881FA7">
            <w:pPr>
              <w:pStyle w:val="DHHStabletext"/>
              <w:jc w:val="right"/>
            </w:pPr>
            <w:r>
              <w:t>-</w:t>
            </w:r>
          </w:p>
        </w:tc>
      </w:tr>
      <w:tr w:rsidR="00B5678E" w:rsidRPr="00343635" w14:paraId="66A03179" w14:textId="77777777" w:rsidTr="00444614">
        <w:tc>
          <w:tcPr>
            <w:tcW w:w="3114" w:type="dxa"/>
          </w:tcPr>
          <w:p w14:paraId="610D8B5E" w14:textId="77777777" w:rsidR="00B5678E" w:rsidRPr="00DC315B" w:rsidRDefault="00B5678E" w:rsidP="00DC315B">
            <w:pPr>
              <w:pStyle w:val="DHHStabletext"/>
            </w:pPr>
            <w:r w:rsidRPr="00DC315B">
              <w:t>Near miss</w:t>
            </w:r>
          </w:p>
        </w:tc>
        <w:tc>
          <w:tcPr>
            <w:tcW w:w="2126" w:type="dxa"/>
          </w:tcPr>
          <w:p w14:paraId="5FA88DA2" w14:textId="66528936" w:rsidR="00B5678E" w:rsidRPr="00DC315B" w:rsidRDefault="004D0E35" w:rsidP="00881FA7">
            <w:pPr>
              <w:pStyle w:val="DHHStabletext"/>
              <w:jc w:val="right"/>
            </w:pPr>
            <w:r>
              <w:t>-</w:t>
            </w:r>
          </w:p>
        </w:tc>
        <w:tc>
          <w:tcPr>
            <w:tcW w:w="2410" w:type="dxa"/>
          </w:tcPr>
          <w:p w14:paraId="604E5CB0" w14:textId="0766DD0C" w:rsidR="00B5678E" w:rsidRPr="00DC315B" w:rsidRDefault="004D0E35" w:rsidP="00881FA7">
            <w:pPr>
              <w:pStyle w:val="DHHStabletext"/>
              <w:jc w:val="right"/>
            </w:pPr>
            <w:r>
              <w:t>-</w:t>
            </w:r>
          </w:p>
        </w:tc>
        <w:tc>
          <w:tcPr>
            <w:tcW w:w="1838" w:type="dxa"/>
          </w:tcPr>
          <w:p w14:paraId="3946A7CD" w14:textId="77777777" w:rsidR="00B5678E" w:rsidRPr="00DC315B" w:rsidRDefault="00B5678E" w:rsidP="00881FA7">
            <w:pPr>
              <w:pStyle w:val="DHHStabletext"/>
              <w:jc w:val="right"/>
            </w:pPr>
            <w:r w:rsidRPr="00DC315B">
              <w:t>4</w:t>
            </w:r>
          </w:p>
        </w:tc>
      </w:tr>
    </w:tbl>
    <w:p w14:paraId="762365F5" w14:textId="10E2EA4B" w:rsidR="00B5678E" w:rsidRPr="00343635" w:rsidRDefault="00B5678E" w:rsidP="00DC315B">
      <w:pPr>
        <w:pStyle w:val="DHHSbodyaftertablefigure"/>
      </w:pPr>
      <w:r w:rsidRPr="00343635">
        <w:t>Of note is the number of incidents submitted as near</w:t>
      </w:r>
      <w:r w:rsidR="00E07575">
        <w:t xml:space="preserve"> </w:t>
      </w:r>
      <w:r w:rsidRPr="00343635">
        <w:t>miss</w:t>
      </w:r>
      <w:r w:rsidR="00E07575">
        <w:t xml:space="preserve"> that</w:t>
      </w:r>
      <w:r w:rsidRPr="00343635">
        <w:t xml:space="preserve"> were changed to incorrect blood component transfused</w:t>
      </w:r>
      <w:r w:rsidR="00E07575">
        <w:t>,</w:t>
      </w:r>
      <w:r w:rsidRPr="00343635">
        <w:t xml:space="preserve"> as in each event the transfusion had commenced.</w:t>
      </w:r>
    </w:p>
    <w:p w14:paraId="1C8CA0DD" w14:textId="6C42F68A" w:rsidR="00B5678E" w:rsidRPr="00343635" w:rsidRDefault="00B5678E" w:rsidP="00DC315B">
      <w:pPr>
        <w:pStyle w:val="DHHStablecaption"/>
      </w:pPr>
      <w:r w:rsidRPr="00343635">
        <w:t>Table 5</w:t>
      </w:r>
      <w:r w:rsidR="00E07575">
        <w:t>:</w:t>
      </w:r>
      <w:r w:rsidRPr="00343635">
        <w:t xml:space="preserve"> Changes to the severity rating following expert review</w:t>
      </w:r>
    </w:p>
    <w:tbl>
      <w:tblPr>
        <w:tblStyle w:val="TableGrid"/>
        <w:tblW w:w="8334" w:type="dxa"/>
        <w:tblLook w:val="04A0" w:firstRow="1" w:lastRow="0" w:firstColumn="1" w:lastColumn="0" w:noHBand="0" w:noVBand="1"/>
      </w:tblPr>
      <w:tblGrid>
        <w:gridCol w:w="4390"/>
        <w:gridCol w:w="1984"/>
        <w:gridCol w:w="1960"/>
      </w:tblGrid>
      <w:tr w:rsidR="00B5678E" w:rsidRPr="00343635" w14:paraId="7C5B49A1" w14:textId="77777777" w:rsidTr="00E56E6D">
        <w:trPr>
          <w:tblHeader/>
        </w:trPr>
        <w:tc>
          <w:tcPr>
            <w:tcW w:w="4390" w:type="dxa"/>
          </w:tcPr>
          <w:p w14:paraId="3148AE6B" w14:textId="5FF90E48" w:rsidR="00B5678E" w:rsidRPr="00E07575" w:rsidRDefault="00B5678E" w:rsidP="00080269">
            <w:pPr>
              <w:pStyle w:val="DHHStablecolhead"/>
            </w:pPr>
            <w:r w:rsidRPr="00E07575">
              <w:t>Incident severity rating submitted as SR 4</w:t>
            </w:r>
          </w:p>
        </w:tc>
        <w:tc>
          <w:tcPr>
            <w:tcW w:w="1984" w:type="dxa"/>
          </w:tcPr>
          <w:p w14:paraId="4C581770" w14:textId="0B197E51" w:rsidR="00B5678E" w:rsidRPr="00E07575" w:rsidRDefault="00E07575" w:rsidP="00080269">
            <w:pPr>
              <w:pStyle w:val="DHHStablecolhead"/>
            </w:pPr>
            <w:r w:rsidRPr="00E07575">
              <w:t xml:space="preserve">Incident severity rating validated as </w:t>
            </w:r>
            <w:r w:rsidR="00B5678E" w:rsidRPr="00E07575">
              <w:t>SR 2</w:t>
            </w:r>
          </w:p>
        </w:tc>
        <w:tc>
          <w:tcPr>
            <w:tcW w:w="1960" w:type="dxa"/>
          </w:tcPr>
          <w:p w14:paraId="6A87F1FC" w14:textId="51C8BDB7" w:rsidR="00B5678E" w:rsidRPr="00E07575" w:rsidRDefault="00E07575" w:rsidP="00080269">
            <w:pPr>
              <w:pStyle w:val="DHHStablecolhead"/>
            </w:pPr>
            <w:r w:rsidRPr="00E07575">
              <w:t xml:space="preserve">Incident severity rating validated as </w:t>
            </w:r>
            <w:r w:rsidR="00B5678E" w:rsidRPr="00E07575">
              <w:t>SR 3</w:t>
            </w:r>
          </w:p>
        </w:tc>
      </w:tr>
      <w:tr w:rsidR="00B5678E" w:rsidRPr="00343635" w14:paraId="54F4F96F" w14:textId="77777777" w:rsidTr="00444614">
        <w:tc>
          <w:tcPr>
            <w:tcW w:w="4390" w:type="dxa"/>
          </w:tcPr>
          <w:p w14:paraId="552493B5" w14:textId="77777777" w:rsidR="00B5678E" w:rsidRPr="00CA2830" w:rsidRDefault="00B5678E" w:rsidP="00CA2830">
            <w:pPr>
              <w:pStyle w:val="DHHStabletext"/>
            </w:pPr>
            <w:r w:rsidRPr="00CA2830">
              <w:t xml:space="preserve">FNHTR </w:t>
            </w:r>
          </w:p>
        </w:tc>
        <w:tc>
          <w:tcPr>
            <w:tcW w:w="1984" w:type="dxa"/>
          </w:tcPr>
          <w:p w14:paraId="77436815" w14:textId="77777777" w:rsidR="00B5678E" w:rsidRPr="00CA2830" w:rsidRDefault="00B5678E" w:rsidP="00080269">
            <w:pPr>
              <w:pStyle w:val="DHHStabletext"/>
              <w:jc w:val="right"/>
            </w:pPr>
            <w:r w:rsidRPr="00CA2830">
              <w:t>2</w:t>
            </w:r>
          </w:p>
        </w:tc>
        <w:tc>
          <w:tcPr>
            <w:tcW w:w="1960" w:type="dxa"/>
          </w:tcPr>
          <w:p w14:paraId="6FFCEBF5" w14:textId="77777777" w:rsidR="00B5678E" w:rsidRPr="00CA2830" w:rsidRDefault="00B5678E" w:rsidP="00080269">
            <w:pPr>
              <w:pStyle w:val="DHHStabletext"/>
              <w:jc w:val="right"/>
            </w:pPr>
            <w:r w:rsidRPr="00CA2830">
              <w:t>12</w:t>
            </w:r>
          </w:p>
        </w:tc>
      </w:tr>
      <w:tr w:rsidR="00B5678E" w:rsidRPr="00343635" w14:paraId="0384057B" w14:textId="77777777" w:rsidTr="00444614">
        <w:tc>
          <w:tcPr>
            <w:tcW w:w="4390" w:type="dxa"/>
          </w:tcPr>
          <w:p w14:paraId="5511F2A9" w14:textId="77777777" w:rsidR="00B5678E" w:rsidRPr="00CA2830" w:rsidRDefault="00B5678E" w:rsidP="00CA2830">
            <w:pPr>
              <w:pStyle w:val="DHHStabletext"/>
            </w:pPr>
            <w:r w:rsidRPr="00CA2830">
              <w:t>Allergic/anaphylactic</w:t>
            </w:r>
          </w:p>
        </w:tc>
        <w:tc>
          <w:tcPr>
            <w:tcW w:w="1984" w:type="dxa"/>
          </w:tcPr>
          <w:p w14:paraId="2C972758" w14:textId="77777777" w:rsidR="00B5678E" w:rsidRPr="00CA2830" w:rsidRDefault="00B5678E" w:rsidP="00080269">
            <w:pPr>
              <w:pStyle w:val="DHHStabletext"/>
              <w:jc w:val="right"/>
            </w:pPr>
            <w:r w:rsidRPr="00CA2830">
              <w:t>1</w:t>
            </w:r>
          </w:p>
        </w:tc>
        <w:tc>
          <w:tcPr>
            <w:tcW w:w="1960" w:type="dxa"/>
          </w:tcPr>
          <w:p w14:paraId="3DCD2EAA" w14:textId="77777777" w:rsidR="00B5678E" w:rsidRPr="00CA2830" w:rsidRDefault="00B5678E" w:rsidP="00080269">
            <w:pPr>
              <w:pStyle w:val="DHHStabletext"/>
              <w:jc w:val="right"/>
            </w:pPr>
            <w:r w:rsidRPr="00CA2830">
              <w:t>1</w:t>
            </w:r>
          </w:p>
        </w:tc>
      </w:tr>
      <w:tr w:rsidR="00B5678E" w:rsidRPr="00343635" w14:paraId="0A142E0F" w14:textId="77777777" w:rsidTr="00444614">
        <w:tc>
          <w:tcPr>
            <w:tcW w:w="4390" w:type="dxa"/>
          </w:tcPr>
          <w:p w14:paraId="7AD2EB5D" w14:textId="77777777" w:rsidR="00B5678E" w:rsidRPr="00CA2830" w:rsidRDefault="00B5678E" w:rsidP="00CA2830">
            <w:pPr>
              <w:pStyle w:val="DHHStabletext"/>
            </w:pPr>
            <w:r w:rsidRPr="00CA2830">
              <w:t>Delayed serologic transfusion reactions (DSTR)</w:t>
            </w:r>
          </w:p>
        </w:tc>
        <w:tc>
          <w:tcPr>
            <w:tcW w:w="1984" w:type="dxa"/>
          </w:tcPr>
          <w:p w14:paraId="089C4B05" w14:textId="77777777" w:rsidR="00B5678E" w:rsidRPr="00CA2830" w:rsidRDefault="00B5678E" w:rsidP="00080269">
            <w:pPr>
              <w:pStyle w:val="DHHStabletext"/>
              <w:jc w:val="right"/>
            </w:pPr>
            <w:r w:rsidRPr="00CA2830">
              <w:t>-</w:t>
            </w:r>
          </w:p>
        </w:tc>
        <w:tc>
          <w:tcPr>
            <w:tcW w:w="1960" w:type="dxa"/>
          </w:tcPr>
          <w:p w14:paraId="6EF6B895" w14:textId="77777777" w:rsidR="00B5678E" w:rsidRPr="00CA2830" w:rsidRDefault="00B5678E" w:rsidP="00080269">
            <w:pPr>
              <w:pStyle w:val="DHHStabletext"/>
              <w:jc w:val="right"/>
            </w:pPr>
            <w:r w:rsidRPr="00CA2830">
              <w:t>2</w:t>
            </w:r>
          </w:p>
        </w:tc>
      </w:tr>
      <w:tr w:rsidR="00B5678E" w:rsidRPr="00343635" w14:paraId="44CEACFC" w14:textId="77777777" w:rsidTr="00444614">
        <w:tc>
          <w:tcPr>
            <w:tcW w:w="4390" w:type="dxa"/>
          </w:tcPr>
          <w:p w14:paraId="4337A7BA" w14:textId="77777777" w:rsidR="00B5678E" w:rsidRPr="00CA2830" w:rsidRDefault="00B5678E" w:rsidP="00CA2830">
            <w:pPr>
              <w:pStyle w:val="DHHStabletext"/>
            </w:pPr>
            <w:r w:rsidRPr="00CA2830">
              <w:t>TACO</w:t>
            </w:r>
          </w:p>
        </w:tc>
        <w:tc>
          <w:tcPr>
            <w:tcW w:w="1984" w:type="dxa"/>
          </w:tcPr>
          <w:p w14:paraId="492A5FD7" w14:textId="77777777" w:rsidR="00B5678E" w:rsidRPr="00CA2830" w:rsidRDefault="00B5678E" w:rsidP="00080269">
            <w:pPr>
              <w:pStyle w:val="DHHStabletext"/>
              <w:jc w:val="right"/>
            </w:pPr>
            <w:r w:rsidRPr="00CA2830">
              <w:t>2</w:t>
            </w:r>
          </w:p>
        </w:tc>
        <w:tc>
          <w:tcPr>
            <w:tcW w:w="1960" w:type="dxa"/>
          </w:tcPr>
          <w:p w14:paraId="79AB89B4" w14:textId="77777777" w:rsidR="00B5678E" w:rsidRPr="00CA2830" w:rsidRDefault="00B5678E" w:rsidP="00080269">
            <w:pPr>
              <w:pStyle w:val="DHHStabletext"/>
              <w:jc w:val="right"/>
            </w:pPr>
            <w:r w:rsidRPr="00CA2830">
              <w:t>6</w:t>
            </w:r>
          </w:p>
        </w:tc>
      </w:tr>
      <w:tr w:rsidR="00B5678E" w:rsidRPr="00343635" w14:paraId="45275D27" w14:textId="77777777" w:rsidTr="00444614">
        <w:tc>
          <w:tcPr>
            <w:tcW w:w="4390" w:type="dxa"/>
          </w:tcPr>
          <w:p w14:paraId="47CF1D48" w14:textId="77777777" w:rsidR="00B5678E" w:rsidRPr="00CA2830" w:rsidRDefault="00B5678E" w:rsidP="00CA2830">
            <w:pPr>
              <w:pStyle w:val="DHHStabletext"/>
            </w:pPr>
            <w:r w:rsidRPr="00CA2830">
              <w:t>IBCT</w:t>
            </w:r>
          </w:p>
        </w:tc>
        <w:tc>
          <w:tcPr>
            <w:tcW w:w="1984" w:type="dxa"/>
          </w:tcPr>
          <w:p w14:paraId="6FA335E9" w14:textId="77777777" w:rsidR="00B5678E" w:rsidRPr="00CA2830" w:rsidRDefault="00B5678E" w:rsidP="00080269">
            <w:pPr>
              <w:pStyle w:val="DHHStabletext"/>
              <w:jc w:val="right"/>
            </w:pPr>
            <w:r w:rsidRPr="00CA2830">
              <w:t>-</w:t>
            </w:r>
          </w:p>
        </w:tc>
        <w:tc>
          <w:tcPr>
            <w:tcW w:w="1960" w:type="dxa"/>
          </w:tcPr>
          <w:p w14:paraId="635814EB" w14:textId="77777777" w:rsidR="00B5678E" w:rsidRPr="00CA2830" w:rsidRDefault="00B5678E" w:rsidP="00080269">
            <w:pPr>
              <w:pStyle w:val="DHHStabletext"/>
              <w:jc w:val="right"/>
            </w:pPr>
            <w:r w:rsidRPr="00CA2830">
              <w:t>1</w:t>
            </w:r>
          </w:p>
        </w:tc>
      </w:tr>
    </w:tbl>
    <w:p w14:paraId="76112AAE" w14:textId="30AD6B55" w:rsidR="00B5678E" w:rsidRPr="00343635" w:rsidRDefault="00B5678E" w:rsidP="00CA2830">
      <w:pPr>
        <w:pStyle w:val="DHHSbodyaftertablefigure"/>
      </w:pPr>
      <w:r w:rsidRPr="00343635">
        <w:t>Initially</w:t>
      </w:r>
      <w:r w:rsidR="00E07575">
        <w:t>,</w:t>
      </w:r>
      <w:r w:rsidRPr="00343635">
        <w:t xml:space="preserve"> all </w:t>
      </w:r>
      <w:r w:rsidR="00E07575">
        <w:t>incidents that had their</w:t>
      </w:r>
      <w:r w:rsidR="00E07575" w:rsidRPr="00343635">
        <w:t xml:space="preserve"> </w:t>
      </w:r>
      <w:r w:rsidRPr="00343635">
        <w:t>severity rating</w:t>
      </w:r>
      <w:r w:rsidR="00E07575">
        <w:t xml:space="preserve"> </w:t>
      </w:r>
      <w:r w:rsidR="00E539DD">
        <w:t xml:space="preserve">(see Appendix 3) </w:t>
      </w:r>
      <w:r w:rsidR="00E07575">
        <w:t>altered</w:t>
      </w:r>
      <w:r w:rsidRPr="00343635">
        <w:t xml:space="preserve"> were notified as SR 4</w:t>
      </w:r>
      <w:r w:rsidR="00E07575">
        <w:t>, defined as</w:t>
      </w:r>
      <w:r w:rsidRPr="00343635">
        <w:t xml:space="preserve"> </w:t>
      </w:r>
      <w:r w:rsidR="00E07575">
        <w:t>e</w:t>
      </w:r>
      <w:r w:rsidR="00E07575" w:rsidRPr="00343635">
        <w:t xml:space="preserve">vents </w:t>
      </w:r>
      <w:r w:rsidRPr="00343635">
        <w:t>that result in minor injury requiring only</w:t>
      </w:r>
      <w:r w:rsidR="00E07575">
        <w:t>,</w:t>
      </w:r>
      <w:r w:rsidRPr="00343635">
        <w:t xml:space="preserve"> first aid treatment or no injury (no obvious clinical problem)</w:t>
      </w:r>
      <w:r w:rsidR="00E07575">
        <w:t>.</w:t>
      </w:r>
      <w:r w:rsidRPr="00343635">
        <w:t xml:space="preserve"> </w:t>
      </w:r>
      <w:r w:rsidR="00E07575">
        <w:t>H</w:t>
      </w:r>
      <w:r w:rsidR="00E07575" w:rsidRPr="00343635">
        <w:t>owever</w:t>
      </w:r>
      <w:r w:rsidRPr="00343635">
        <w:t>, the ATRs and TACOs all reported a combination of increased length of stay or admission</w:t>
      </w:r>
      <w:r w:rsidR="00E07575">
        <w:t xml:space="preserve"> to intensive care</w:t>
      </w:r>
      <w:r w:rsidRPr="00343635">
        <w:t>, and/or treatment with antihistamine, steroid and/or oxygen</w:t>
      </w:r>
      <w:r w:rsidR="00E07575">
        <w:t>. This</w:t>
      </w:r>
      <w:r w:rsidRPr="00343635">
        <w:t xml:space="preserve"> </w:t>
      </w:r>
      <w:r w:rsidR="00E07575" w:rsidRPr="00343635">
        <w:t>warrant</w:t>
      </w:r>
      <w:r w:rsidR="00E07575">
        <w:t>s</w:t>
      </w:r>
      <w:r w:rsidR="00E07575" w:rsidRPr="00343635">
        <w:t xml:space="preserve"> </w:t>
      </w:r>
      <w:r w:rsidRPr="00343635">
        <w:t>a higher severity rating.</w:t>
      </w:r>
    </w:p>
    <w:p w14:paraId="0B9F4B27" w14:textId="528FC028" w:rsidR="00B5678E" w:rsidRPr="00CA2830" w:rsidRDefault="00B5678E" w:rsidP="00CA2830">
      <w:pPr>
        <w:pStyle w:val="DHHSbody"/>
      </w:pPr>
      <w:r w:rsidRPr="00343635">
        <w:lastRenderedPageBreak/>
        <w:t xml:space="preserve">The severity of FNHTR and TACO </w:t>
      </w:r>
      <w:r w:rsidR="00E07575">
        <w:t>is</w:t>
      </w:r>
      <w:r w:rsidR="00E07575" w:rsidRPr="00343635">
        <w:t xml:space="preserve"> </w:t>
      </w:r>
      <w:r w:rsidRPr="00343635">
        <w:t>most often changed (14 of 24 for FNHTR and 8 of 19 for TACO), increasing the rating at validation. This may be, in part, because the reporters consider these minor reactions, or because the rating</w:t>
      </w:r>
      <w:r w:rsidR="00E07575">
        <w:t xml:space="preserve"> system is</w:t>
      </w:r>
      <w:r w:rsidRPr="00343635">
        <w:t xml:space="preserve"> unclear to them.</w:t>
      </w:r>
    </w:p>
    <w:p w14:paraId="7912C70B" w14:textId="77777777" w:rsidR="00B5678E" w:rsidRPr="00343635" w:rsidRDefault="00B5678E" w:rsidP="00CA2830">
      <w:pPr>
        <w:pStyle w:val="DHHSbody"/>
      </w:pPr>
      <w:r w:rsidRPr="00343635">
        <w:t>Overall, 35 per cent of all returned investigation forms were altered by either event type or severity rating or excluded (Table 6).</w:t>
      </w:r>
    </w:p>
    <w:p w14:paraId="606AF3D2" w14:textId="77777777" w:rsidR="00B5678E" w:rsidRPr="00CA2830" w:rsidRDefault="00B5678E" w:rsidP="00CA2830">
      <w:pPr>
        <w:pStyle w:val="DHHStablecaption"/>
      </w:pPr>
      <w:r w:rsidRPr="00343635">
        <w:t>Table 6: Summary of impact of validation process</w:t>
      </w:r>
    </w:p>
    <w:tbl>
      <w:tblPr>
        <w:tblStyle w:val="TableGrid"/>
        <w:tblW w:w="8334" w:type="dxa"/>
        <w:tblLook w:val="04A0" w:firstRow="1" w:lastRow="0" w:firstColumn="1" w:lastColumn="0" w:noHBand="0" w:noVBand="1"/>
      </w:tblPr>
      <w:tblGrid>
        <w:gridCol w:w="3208"/>
        <w:gridCol w:w="2563"/>
        <w:gridCol w:w="2563"/>
      </w:tblGrid>
      <w:tr w:rsidR="00B5678E" w:rsidRPr="00343635" w14:paraId="5524E7A6" w14:textId="77777777" w:rsidTr="00E56E6D">
        <w:trPr>
          <w:tblHeader/>
        </w:trPr>
        <w:tc>
          <w:tcPr>
            <w:tcW w:w="3208" w:type="dxa"/>
          </w:tcPr>
          <w:p w14:paraId="02189ED4" w14:textId="28F20950" w:rsidR="00B5678E" w:rsidRPr="00CA2830" w:rsidRDefault="00E07575" w:rsidP="00CA2830">
            <w:pPr>
              <w:pStyle w:val="DHHStablecolhead"/>
            </w:pPr>
            <w:r>
              <w:t>Action</w:t>
            </w:r>
          </w:p>
        </w:tc>
        <w:tc>
          <w:tcPr>
            <w:tcW w:w="2563" w:type="dxa"/>
          </w:tcPr>
          <w:p w14:paraId="0591CED6" w14:textId="77777777" w:rsidR="00B5678E" w:rsidRPr="00CA2830" w:rsidRDefault="00B5678E" w:rsidP="00CA2830">
            <w:pPr>
              <w:pStyle w:val="DHHStablecolhead"/>
            </w:pPr>
            <w:r w:rsidRPr="00CA2830">
              <w:t>Number</w:t>
            </w:r>
          </w:p>
        </w:tc>
        <w:tc>
          <w:tcPr>
            <w:tcW w:w="2563" w:type="dxa"/>
          </w:tcPr>
          <w:p w14:paraId="45B8947A" w14:textId="77777777" w:rsidR="00B5678E" w:rsidRPr="00CA2830" w:rsidRDefault="00B5678E" w:rsidP="00CA2830">
            <w:pPr>
              <w:pStyle w:val="DHHStablecolhead"/>
            </w:pPr>
            <w:r w:rsidRPr="00CA2830">
              <w:t xml:space="preserve">Percentage of all incidents reviewed </w:t>
            </w:r>
            <w:r w:rsidRPr="00CA2830">
              <w:br/>
              <w:t>(n = 149)</w:t>
            </w:r>
          </w:p>
        </w:tc>
      </w:tr>
      <w:tr w:rsidR="00B5678E" w:rsidRPr="00343635" w14:paraId="602ECF8E" w14:textId="77777777" w:rsidTr="00444614">
        <w:tc>
          <w:tcPr>
            <w:tcW w:w="3208" w:type="dxa"/>
          </w:tcPr>
          <w:p w14:paraId="03D7A5F9" w14:textId="714DBE6C" w:rsidR="00B5678E" w:rsidRPr="00343635" w:rsidRDefault="00B5678E" w:rsidP="00CA2830">
            <w:pPr>
              <w:pStyle w:val="DHHStabletext"/>
            </w:pPr>
            <w:r w:rsidRPr="00343635">
              <w:t xml:space="preserve">Incidents excluded </w:t>
            </w:r>
            <w:r w:rsidR="00E07575" w:rsidRPr="00343635">
              <w:t>by</w:t>
            </w:r>
            <w:r w:rsidR="00E07575">
              <w:t xml:space="preserve"> STIR </w:t>
            </w:r>
            <w:r w:rsidRPr="00343635">
              <w:t xml:space="preserve">Expert </w:t>
            </w:r>
            <w:r w:rsidR="00E07575">
              <w:t>G</w:t>
            </w:r>
            <w:r w:rsidRPr="00343635">
              <w:t>roup</w:t>
            </w:r>
          </w:p>
        </w:tc>
        <w:tc>
          <w:tcPr>
            <w:tcW w:w="2563" w:type="dxa"/>
          </w:tcPr>
          <w:p w14:paraId="0306ECB2" w14:textId="77777777" w:rsidR="00B5678E" w:rsidRPr="00343635" w:rsidRDefault="00B5678E" w:rsidP="00881FA7">
            <w:pPr>
              <w:pStyle w:val="DHHStabletext"/>
              <w:jc w:val="right"/>
            </w:pPr>
            <w:r w:rsidRPr="00343635">
              <w:t>15</w:t>
            </w:r>
          </w:p>
        </w:tc>
        <w:tc>
          <w:tcPr>
            <w:tcW w:w="2563" w:type="dxa"/>
          </w:tcPr>
          <w:p w14:paraId="3BB314B9" w14:textId="77777777" w:rsidR="00B5678E" w:rsidRPr="00343635" w:rsidRDefault="00B5678E" w:rsidP="00881FA7">
            <w:pPr>
              <w:pStyle w:val="DHHStabletext"/>
              <w:jc w:val="right"/>
            </w:pPr>
            <w:r w:rsidRPr="00343635">
              <w:t>10%</w:t>
            </w:r>
          </w:p>
        </w:tc>
      </w:tr>
      <w:tr w:rsidR="00B5678E" w:rsidRPr="00343635" w14:paraId="6447C0D8" w14:textId="77777777" w:rsidTr="00444614">
        <w:tc>
          <w:tcPr>
            <w:tcW w:w="3208" w:type="dxa"/>
          </w:tcPr>
          <w:p w14:paraId="7EDD5CF7" w14:textId="77777777" w:rsidR="00B5678E" w:rsidRPr="00343635" w:rsidRDefault="00B5678E" w:rsidP="00CA2830">
            <w:pPr>
              <w:pStyle w:val="DHHStabletext"/>
            </w:pPr>
            <w:r w:rsidRPr="00343635">
              <w:t>Reclassification of incident type</w:t>
            </w:r>
          </w:p>
        </w:tc>
        <w:tc>
          <w:tcPr>
            <w:tcW w:w="2563" w:type="dxa"/>
          </w:tcPr>
          <w:p w14:paraId="0D445C88" w14:textId="77777777" w:rsidR="00B5678E" w:rsidRPr="00343635" w:rsidRDefault="00B5678E" w:rsidP="00881FA7">
            <w:pPr>
              <w:pStyle w:val="DHHStabletext"/>
              <w:jc w:val="right"/>
            </w:pPr>
            <w:r w:rsidRPr="00343635">
              <w:t>13</w:t>
            </w:r>
          </w:p>
        </w:tc>
        <w:tc>
          <w:tcPr>
            <w:tcW w:w="2563" w:type="dxa"/>
          </w:tcPr>
          <w:p w14:paraId="129E76FF" w14:textId="77777777" w:rsidR="00B5678E" w:rsidRPr="00343635" w:rsidRDefault="00B5678E" w:rsidP="00881FA7">
            <w:pPr>
              <w:pStyle w:val="DHHStabletext"/>
              <w:jc w:val="right"/>
            </w:pPr>
            <w:r w:rsidRPr="00343635">
              <w:t>9%</w:t>
            </w:r>
          </w:p>
        </w:tc>
      </w:tr>
      <w:tr w:rsidR="00B5678E" w:rsidRPr="00343635" w14:paraId="27A0BE95" w14:textId="77777777" w:rsidTr="00444614">
        <w:tc>
          <w:tcPr>
            <w:tcW w:w="3208" w:type="dxa"/>
          </w:tcPr>
          <w:p w14:paraId="2FBDFEC1" w14:textId="77777777" w:rsidR="00B5678E" w:rsidRPr="00343635" w:rsidRDefault="00B5678E" w:rsidP="00CA2830">
            <w:pPr>
              <w:pStyle w:val="DHHStabletext"/>
            </w:pPr>
            <w:r w:rsidRPr="00343635">
              <w:t>Adjustment of severity rating</w:t>
            </w:r>
          </w:p>
        </w:tc>
        <w:tc>
          <w:tcPr>
            <w:tcW w:w="2563" w:type="dxa"/>
          </w:tcPr>
          <w:p w14:paraId="26E2F540" w14:textId="77777777" w:rsidR="00B5678E" w:rsidRPr="00343635" w:rsidRDefault="00B5678E" w:rsidP="00881FA7">
            <w:pPr>
              <w:pStyle w:val="DHHStabletext"/>
              <w:jc w:val="right"/>
            </w:pPr>
            <w:r w:rsidRPr="00343635">
              <w:t>27</w:t>
            </w:r>
          </w:p>
        </w:tc>
        <w:tc>
          <w:tcPr>
            <w:tcW w:w="2563" w:type="dxa"/>
          </w:tcPr>
          <w:p w14:paraId="6BE7687F" w14:textId="77777777" w:rsidR="00B5678E" w:rsidRPr="00343635" w:rsidRDefault="00B5678E" w:rsidP="00881FA7">
            <w:pPr>
              <w:pStyle w:val="DHHStabletext"/>
              <w:jc w:val="right"/>
            </w:pPr>
            <w:r w:rsidRPr="00343635">
              <w:t>18%</w:t>
            </w:r>
          </w:p>
        </w:tc>
      </w:tr>
      <w:tr w:rsidR="00B5678E" w:rsidRPr="00343635" w14:paraId="779B38CA" w14:textId="77777777" w:rsidTr="00444614">
        <w:tc>
          <w:tcPr>
            <w:tcW w:w="3208" w:type="dxa"/>
          </w:tcPr>
          <w:p w14:paraId="5EF47775" w14:textId="4E8F240E" w:rsidR="00B5678E" w:rsidRPr="00343635" w:rsidRDefault="00B5678E" w:rsidP="00CA2830">
            <w:pPr>
              <w:pStyle w:val="DHHStabletext"/>
            </w:pPr>
            <w:r w:rsidRPr="00343635">
              <w:t>Unique incidents altered following review</w:t>
            </w:r>
          </w:p>
        </w:tc>
        <w:tc>
          <w:tcPr>
            <w:tcW w:w="2563" w:type="dxa"/>
          </w:tcPr>
          <w:p w14:paraId="6397B205" w14:textId="77777777" w:rsidR="00B5678E" w:rsidRPr="00343635" w:rsidRDefault="00B5678E" w:rsidP="00881FA7">
            <w:pPr>
              <w:pStyle w:val="DHHStabletext"/>
              <w:jc w:val="right"/>
            </w:pPr>
            <w:r w:rsidRPr="00343635">
              <w:t>52</w:t>
            </w:r>
          </w:p>
        </w:tc>
        <w:tc>
          <w:tcPr>
            <w:tcW w:w="2563" w:type="dxa"/>
          </w:tcPr>
          <w:p w14:paraId="4D9566F2" w14:textId="77777777" w:rsidR="00B5678E" w:rsidRPr="00343635" w:rsidRDefault="00B5678E" w:rsidP="00881FA7">
            <w:pPr>
              <w:pStyle w:val="DHHStabletext"/>
              <w:jc w:val="right"/>
            </w:pPr>
            <w:r w:rsidRPr="00343635">
              <w:t>35%</w:t>
            </w:r>
          </w:p>
        </w:tc>
      </w:tr>
    </w:tbl>
    <w:p w14:paraId="2BD25D63" w14:textId="7D2681A2" w:rsidR="00B5678E" w:rsidRPr="00343635" w:rsidRDefault="00B5678E" w:rsidP="00CA2830">
      <w:pPr>
        <w:pStyle w:val="DHHSbodyaftertablefigure"/>
      </w:pPr>
      <w:r w:rsidRPr="00343635">
        <w:t>There is also a process of validation in place for Blood Service reports (reactions reported to the Blood Service by health services). This is especially important for reports of transfusion transmitted infection (TTI), TRALI and post</w:t>
      </w:r>
      <w:r w:rsidR="00E07575">
        <w:t>-</w:t>
      </w:r>
      <w:r w:rsidRPr="00343635">
        <w:t xml:space="preserve">transfusion purpura (PTP), where the Blood Service will conduct testing of donors. This information is useful </w:t>
      </w:r>
      <w:r w:rsidR="00E07575">
        <w:t>when determining</w:t>
      </w:r>
      <w:r w:rsidRPr="00343635">
        <w:t xml:space="preserve"> </w:t>
      </w:r>
      <w:proofErr w:type="spellStart"/>
      <w:r w:rsidRPr="00343635">
        <w:t>imputability</w:t>
      </w:r>
      <w:proofErr w:type="spellEnd"/>
      <w:r w:rsidRPr="00343635">
        <w:t xml:space="preserve">. </w:t>
      </w:r>
    </w:p>
    <w:p w14:paraId="405561A7" w14:textId="77777777" w:rsidR="00B5678E" w:rsidRPr="00343635" w:rsidRDefault="00B5678E" w:rsidP="00CA2830">
      <w:pPr>
        <w:pStyle w:val="DHHSbody"/>
      </w:pPr>
      <w:r w:rsidRPr="00343635">
        <w:t xml:space="preserve">In FY18, the Blood Service recorded 34 reactions submitted by Victorian health services. Of these: </w:t>
      </w:r>
    </w:p>
    <w:p w14:paraId="26901079" w14:textId="77777777" w:rsidR="00B5678E" w:rsidRPr="00CA2830" w:rsidRDefault="00B5678E" w:rsidP="00CA2830">
      <w:pPr>
        <w:pStyle w:val="DHHSbullet1"/>
      </w:pPr>
      <w:r w:rsidRPr="00CA2830">
        <w:t xml:space="preserve">nine were also reported by the health service to STIR </w:t>
      </w:r>
    </w:p>
    <w:p w14:paraId="7FD4AC66" w14:textId="77777777" w:rsidR="00B5678E" w:rsidRPr="00CA2830" w:rsidRDefault="00B5678E" w:rsidP="00CA2830">
      <w:pPr>
        <w:pStyle w:val="DHHSbullet1"/>
      </w:pPr>
      <w:r w:rsidRPr="00CA2830">
        <w:t xml:space="preserve">nine were determined by the Blood Service not to be related to the transfusion, and these were not reported to STIR </w:t>
      </w:r>
    </w:p>
    <w:p w14:paraId="1CE6B8F9" w14:textId="494821BB" w:rsidR="00B5678E" w:rsidRPr="00CA2830" w:rsidRDefault="00B5678E" w:rsidP="00CA2830">
      <w:pPr>
        <w:pStyle w:val="DHHSbullet1"/>
      </w:pPr>
      <w:r w:rsidRPr="00CA2830">
        <w:t>four reports did not fit STIR criteria</w:t>
      </w:r>
    </w:p>
    <w:p w14:paraId="5A52DBEE" w14:textId="61CBB31E" w:rsidR="00B5678E" w:rsidRPr="00CA2830" w:rsidRDefault="00B5678E" w:rsidP="00080269">
      <w:pPr>
        <w:pStyle w:val="DHHSbullet1lastline"/>
      </w:pPr>
      <w:r w:rsidRPr="00CA2830">
        <w:t>12 reactions occurred at health services registered with STIR, however, none were reported to STIR. Most of these (</w:t>
      </w:r>
      <w:r w:rsidR="00E07575">
        <w:t xml:space="preserve">nine out of </w:t>
      </w:r>
      <w:r w:rsidRPr="00CA2830">
        <w:t xml:space="preserve">12) may have been because they were mild reactions generally not fitting STIR criteria for </w:t>
      </w:r>
      <w:r w:rsidRPr="00E07575">
        <w:t>reporting</w:t>
      </w:r>
      <w:r w:rsidR="00E07575">
        <w:t>.</w:t>
      </w:r>
      <w:r w:rsidRPr="00CA2830">
        <w:t xml:space="preserve"> </w:t>
      </w:r>
      <w:r w:rsidR="00E07575">
        <w:t>H</w:t>
      </w:r>
      <w:r w:rsidR="00E07575" w:rsidRPr="00CA2830">
        <w:t>owever</w:t>
      </w:r>
      <w:r w:rsidRPr="00CA2830">
        <w:t>, a small number would have been appropriate to report.</w:t>
      </w:r>
    </w:p>
    <w:p w14:paraId="37CC317F" w14:textId="41E0CAAE" w:rsidR="00B5678E" w:rsidRPr="00343635" w:rsidRDefault="00B5678E" w:rsidP="00CA2830">
      <w:pPr>
        <w:pStyle w:val="DHHSbody"/>
      </w:pPr>
      <w:r w:rsidRPr="00343635">
        <w:t>When reactions were submitted to the Blood Service and STIR, there was good agreement between Blood Service determination of incidents and that validated by the STIR</w:t>
      </w:r>
      <w:r w:rsidR="00E07575">
        <w:t xml:space="preserve"> E</w:t>
      </w:r>
      <w:r w:rsidRPr="00343635">
        <w:t xml:space="preserve">xpert </w:t>
      </w:r>
      <w:r w:rsidR="00E07575">
        <w:t>G</w:t>
      </w:r>
      <w:r w:rsidR="00E07575" w:rsidRPr="00343635">
        <w:t>roup</w:t>
      </w:r>
      <w:r w:rsidRPr="00343635">
        <w:t>.</w:t>
      </w:r>
    </w:p>
    <w:p w14:paraId="2F93AE87" w14:textId="21BFB164" w:rsidR="00B5678E" w:rsidRPr="00343635" w:rsidRDefault="00B5678E" w:rsidP="00CA2830">
      <w:pPr>
        <w:pStyle w:val="DHHSbody"/>
      </w:pPr>
      <w:r w:rsidRPr="00343635">
        <w:t xml:space="preserve">Reporting to STIR is voluntary and focuses on more serious reactions, </w:t>
      </w:r>
      <w:r w:rsidR="00E07575">
        <w:t>which means</w:t>
      </w:r>
      <w:r w:rsidR="00E07575" w:rsidRPr="00343635">
        <w:t xml:space="preserve"> </w:t>
      </w:r>
      <w:r w:rsidRPr="00343635">
        <w:t>some reports to the Blood Service may not be submitted to STIR, especially if they are deemed mild.</w:t>
      </w:r>
    </w:p>
    <w:p w14:paraId="11D705D2" w14:textId="000B873C" w:rsidR="00B5678E" w:rsidRPr="00343635" w:rsidRDefault="00B5678E" w:rsidP="00CA2830">
      <w:pPr>
        <w:pStyle w:val="Heading1"/>
      </w:pPr>
      <w:bookmarkStart w:id="12" w:name="_Toc24287413"/>
      <w:r w:rsidRPr="00CA2830">
        <w:lastRenderedPageBreak/>
        <w:t>Demographics</w:t>
      </w:r>
      <w:bookmarkEnd w:id="12"/>
    </w:p>
    <w:p w14:paraId="07C7B297" w14:textId="4E2BD7E6" w:rsidR="00B5678E" w:rsidRDefault="00B5678E" w:rsidP="00CA2830">
      <w:pPr>
        <w:pStyle w:val="DHHSfigurecaption"/>
      </w:pPr>
      <w:r w:rsidRPr="00343635">
        <w:t>Figure 3</w:t>
      </w:r>
      <w:r w:rsidR="00E07575">
        <w:t>:</w:t>
      </w:r>
      <w:r w:rsidRPr="00343635">
        <w:t xml:space="preserve"> Number of validated reports per reporting jurisdiction</w:t>
      </w:r>
    </w:p>
    <w:p w14:paraId="0306656E" w14:textId="3CACC159" w:rsidR="002408CA" w:rsidRPr="002408CA" w:rsidRDefault="002408CA" w:rsidP="002408CA">
      <w:pPr>
        <w:pStyle w:val="DHHSbody"/>
      </w:pPr>
      <w:r>
        <w:rPr>
          <w:noProof/>
        </w:rPr>
        <w:drawing>
          <wp:inline distT="0" distB="0" distL="0" distR="0" wp14:anchorId="4A8235B8" wp14:editId="1615D3FB">
            <wp:extent cx="5688000" cy="4586945"/>
            <wp:effectExtent l="0" t="0" r="0" b="0"/>
            <wp:docPr id="14" name="Picture 14" descr="Figure 3&#10;Map showing validated reports per jurisdiction. In the Norther Territory, 1 of 5 registered health services reported 2 incidents; in Australian Capital Territory, 1 of 3 registered health services reported 8 incidents. In Victoria, 30 of 79 registered health services reported 102 incidents; in Tasmania, 2 of 9 registered health services reported 22 incid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910524_STIR 2017-18 report – BODY V5.png"/>
                    <pic:cNvPicPr/>
                  </pic:nvPicPr>
                  <pic:blipFill rotWithShape="1">
                    <a:blip r:embed="rId18"/>
                    <a:srcRect l="10000" t="21076" r="24123" b="41352"/>
                    <a:stretch/>
                  </pic:blipFill>
                  <pic:spPr bwMode="auto">
                    <a:xfrm>
                      <a:off x="0" y="0"/>
                      <a:ext cx="5688000" cy="4586945"/>
                    </a:xfrm>
                    <a:prstGeom prst="rect">
                      <a:avLst/>
                    </a:prstGeom>
                    <a:ln>
                      <a:noFill/>
                    </a:ln>
                    <a:extLst>
                      <a:ext uri="{53640926-AAD7-44D8-BBD7-CCE9431645EC}">
                        <a14:shadowObscured xmlns:a14="http://schemas.microsoft.com/office/drawing/2010/main"/>
                      </a:ext>
                    </a:extLst>
                  </pic:spPr>
                </pic:pic>
              </a:graphicData>
            </a:graphic>
          </wp:inline>
        </w:drawing>
      </w:r>
    </w:p>
    <w:p w14:paraId="0CCFC93D" w14:textId="2F1A27D9" w:rsidR="00B5678E" w:rsidRPr="00343635" w:rsidRDefault="00B5678E" w:rsidP="00CA2830">
      <w:pPr>
        <w:pStyle w:val="DHHSbodyaftertablefigure"/>
      </w:pPr>
      <w:r w:rsidRPr="00343635">
        <w:t>Four jurisdictions report to STIR. As seen in Figure 3</w:t>
      </w:r>
      <w:r w:rsidR="00733098">
        <w:t>,</w:t>
      </w:r>
      <w:r w:rsidRPr="00343635">
        <w:t xml:space="preserve"> the number of reports </w:t>
      </w:r>
      <w:r w:rsidR="00733098">
        <w:t>varies</w:t>
      </w:r>
      <w:r w:rsidRPr="00343635">
        <w:t xml:space="preserve"> in each area and this reflect</w:t>
      </w:r>
      <w:r w:rsidR="00733098">
        <w:t>s</w:t>
      </w:r>
      <w:r w:rsidRPr="00343635">
        <w:t xml:space="preserve"> transfusion rates as much as reporting behaviour. Each jurisdiction is responsible for final reports of their data to the NBA for the national </w:t>
      </w:r>
      <w:proofErr w:type="spellStart"/>
      <w:r w:rsidRPr="00343635">
        <w:t>haemovigilance</w:t>
      </w:r>
      <w:proofErr w:type="spellEnd"/>
      <w:r w:rsidRPr="00343635">
        <w:t xml:space="preserve"> report.</w:t>
      </w:r>
    </w:p>
    <w:p w14:paraId="1D83DB15" w14:textId="77777777" w:rsidR="00B5678E" w:rsidRPr="00343635" w:rsidRDefault="00B5678E" w:rsidP="00CA2830">
      <w:pPr>
        <w:pStyle w:val="DHHSbody"/>
      </w:pPr>
      <w:r w:rsidRPr="00343635">
        <w:t xml:space="preserve">As shown in Table 7, the mean age of patients was 49 years, with more reports for male compared to female patients. Red cells continue to represent the majority of products in cases contributing to STIR reports. </w:t>
      </w:r>
    </w:p>
    <w:p w14:paraId="66788104" w14:textId="1977718C" w:rsidR="00B5678E" w:rsidRPr="00343635" w:rsidRDefault="00B5678E" w:rsidP="00080269">
      <w:pPr>
        <w:pStyle w:val="DHHStablecaption"/>
        <w:spacing w:line="240" w:lineRule="auto"/>
      </w:pPr>
      <w:r w:rsidRPr="00343635">
        <w:lastRenderedPageBreak/>
        <w:t>Table 7</w:t>
      </w:r>
      <w:r w:rsidR="00733098">
        <w:t>:</w:t>
      </w:r>
      <w:r w:rsidR="00733098" w:rsidRPr="00343635">
        <w:t xml:space="preserve"> </w:t>
      </w:r>
      <w:r w:rsidRPr="00343635">
        <w:t xml:space="preserve">Demographics for all </w:t>
      </w:r>
      <w:r w:rsidRPr="00CA2830">
        <w:t>validated</w:t>
      </w:r>
      <w:r w:rsidRPr="00343635">
        <w:t xml:space="preserve"> reports</w:t>
      </w:r>
    </w:p>
    <w:tbl>
      <w:tblPr>
        <w:tblStyle w:val="TableGrid"/>
        <w:tblW w:w="0" w:type="auto"/>
        <w:tblLook w:val="04A0" w:firstRow="1" w:lastRow="0" w:firstColumn="1" w:lastColumn="0" w:noHBand="0" w:noVBand="1"/>
      </w:tblPr>
      <w:tblGrid>
        <w:gridCol w:w="2830"/>
        <w:gridCol w:w="6186"/>
      </w:tblGrid>
      <w:tr w:rsidR="00B5678E" w:rsidRPr="00343635" w14:paraId="02BCF77D" w14:textId="77777777" w:rsidTr="00E56E6D">
        <w:trPr>
          <w:tblHeader/>
        </w:trPr>
        <w:tc>
          <w:tcPr>
            <w:tcW w:w="2830" w:type="dxa"/>
          </w:tcPr>
          <w:p w14:paraId="37FA6A7B" w14:textId="77777777" w:rsidR="00B5678E" w:rsidRPr="00343635" w:rsidRDefault="00B5678E" w:rsidP="00080269">
            <w:pPr>
              <w:pStyle w:val="DHHStablecolhead"/>
              <w:keepNext/>
              <w:keepLines/>
            </w:pPr>
            <w:r w:rsidRPr="00343635">
              <w:t>Demographic</w:t>
            </w:r>
          </w:p>
        </w:tc>
        <w:tc>
          <w:tcPr>
            <w:tcW w:w="6186" w:type="dxa"/>
          </w:tcPr>
          <w:p w14:paraId="1CD3C1C2" w14:textId="3878FC41" w:rsidR="00B5678E" w:rsidRPr="00733098" w:rsidRDefault="00733098" w:rsidP="00080269">
            <w:pPr>
              <w:pStyle w:val="DHHStablecolhead"/>
              <w:keepNext/>
              <w:keepLines/>
            </w:pPr>
            <w:r>
              <w:t>Statistic</w:t>
            </w:r>
          </w:p>
        </w:tc>
      </w:tr>
      <w:tr w:rsidR="00B5678E" w:rsidRPr="00343635" w14:paraId="7BF638EC" w14:textId="77777777" w:rsidTr="00E56E6D">
        <w:tc>
          <w:tcPr>
            <w:tcW w:w="2830" w:type="dxa"/>
          </w:tcPr>
          <w:p w14:paraId="266F18E1" w14:textId="77777777" w:rsidR="00B5678E" w:rsidRPr="00343635" w:rsidRDefault="00B5678E" w:rsidP="00080269">
            <w:pPr>
              <w:pStyle w:val="DHHStabletext"/>
              <w:keepNext/>
              <w:keepLines/>
            </w:pPr>
            <w:r w:rsidRPr="00343635">
              <w:t>Age</w:t>
            </w:r>
          </w:p>
        </w:tc>
        <w:tc>
          <w:tcPr>
            <w:tcW w:w="6186" w:type="dxa"/>
          </w:tcPr>
          <w:p w14:paraId="0F1A3880" w14:textId="164BC6CD" w:rsidR="00B5678E" w:rsidRPr="00343635" w:rsidRDefault="00B5678E" w:rsidP="00080269">
            <w:pPr>
              <w:pStyle w:val="DHHStabletext"/>
              <w:keepNext/>
              <w:keepLines/>
            </w:pPr>
            <w:r w:rsidRPr="00343635">
              <w:t>0</w:t>
            </w:r>
            <w:r w:rsidR="00733098">
              <w:t>–</w:t>
            </w:r>
            <w:r w:rsidRPr="00343635">
              <w:t>100 years (mean 49 years)</w:t>
            </w:r>
          </w:p>
        </w:tc>
      </w:tr>
      <w:tr w:rsidR="00B5678E" w:rsidRPr="00343635" w14:paraId="72294AA4" w14:textId="77777777" w:rsidTr="00E56E6D">
        <w:tc>
          <w:tcPr>
            <w:tcW w:w="2830" w:type="dxa"/>
          </w:tcPr>
          <w:p w14:paraId="2FF2BF4E" w14:textId="77777777" w:rsidR="00B5678E" w:rsidRPr="00343635" w:rsidRDefault="00B5678E" w:rsidP="00080269">
            <w:pPr>
              <w:pStyle w:val="DHHStabletext"/>
              <w:keepNext/>
              <w:keepLines/>
            </w:pPr>
            <w:r w:rsidRPr="00343635">
              <w:t>Gender</w:t>
            </w:r>
          </w:p>
        </w:tc>
        <w:tc>
          <w:tcPr>
            <w:tcW w:w="6186" w:type="dxa"/>
          </w:tcPr>
          <w:p w14:paraId="0EA1D9B2" w14:textId="1BD86AAC" w:rsidR="00B5678E" w:rsidRPr="00343635" w:rsidRDefault="00B5678E" w:rsidP="00080269">
            <w:pPr>
              <w:pStyle w:val="DHHStabletext"/>
              <w:keepNext/>
              <w:keepLines/>
            </w:pPr>
            <w:r w:rsidRPr="00343635">
              <w:t>Male: 69 (52%)</w:t>
            </w:r>
            <w:r w:rsidR="00733098">
              <w:t>;</w:t>
            </w:r>
            <w:r w:rsidRPr="00343635">
              <w:t xml:space="preserve"> </w:t>
            </w:r>
            <w:r w:rsidR="00733098">
              <w:t>f</w:t>
            </w:r>
            <w:r w:rsidRPr="00343635">
              <w:t>emale</w:t>
            </w:r>
            <w:r w:rsidR="00733098">
              <w:t>:</w:t>
            </w:r>
            <w:r w:rsidRPr="00343635">
              <w:t xml:space="preserve"> 65 (48%)</w:t>
            </w:r>
          </w:p>
        </w:tc>
      </w:tr>
      <w:tr w:rsidR="00B5678E" w:rsidRPr="00343635" w14:paraId="69AF3411" w14:textId="77777777" w:rsidTr="00E56E6D">
        <w:tc>
          <w:tcPr>
            <w:tcW w:w="2830" w:type="dxa"/>
          </w:tcPr>
          <w:p w14:paraId="352172A2" w14:textId="77777777" w:rsidR="00B5678E" w:rsidRPr="00343635" w:rsidRDefault="00B5678E" w:rsidP="00080269">
            <w:pPr>
              <w:pStyle w:val="DHHStabletext"/>
              <w:keepNext/>
              <w:keepLines/>
            </w:pPr>
            <w:r w:rsidRPr="00343635">
              <w:t>Blood products</w:t>
            </w:r>
          </w:p>
        </w:tc>
        <w:tc>
          <w:tcPr>
            <w:tcW w:w="6186" w:type="dxa"/>
          </w:tcPr>
          <w:p w14:paraId="5F3790D5" w14:textId="77777777" w:rsidR="00B5678E" w:rsidRPr="00343635" w:rsidRDefault="00B5678E" w:rsidP="00080269">
            <w:pPr>
              <w:pStyle w:val="DHHStabletext"/>
              <w:keepNext/>
              <w:keepLines/>
            </w:pPr>
            <w:r w:rsidRPr="00343635">
              <w:t xml:space="preserve">Red cells: 76 notifications </w:t>
            </w:r>
          </w:p>
          <w:p w14:paraId="71BC2F5D" w14:textId="77777777" w:rsidR="00B5678E" w:rsidRPr="00343635" w:rsidRDefault="00B5678E" w:rsidP="00080269">
            <w:pPr>
              <w:pStyle w:val="DHHStabletext"/>
              <w:keepNext/>
              <w:keepLines/>
            </w:pPr>
            <w:r w:rsidRPr="00343635">
              <w:t>Platelets: 17</w:t>
            </w:r>
          </w:p>
          <w:p w14:paraId="5B7209E1" w14:textId="686E511B" w:rsidR="00B5678E" w:rsidRPr="00343635" w:rsidRDefault="00B5678E" w:rsidP="00080269">
            <w:pPr>
              <w:pStyle w:val="DHHStabletext"/>
              <w:keepNext/>
              <w:keepLines/>
            </w:pPr>
            <w:r w:rsidRPr="00343635">
              <w:t xml:space="preserve">Fresh </w:t>
            </w:r>
            <w:r w:rsidR="00733098">
              <w:t>f</w:t>
            </w:r>
            <w:r w:rsidRPr="00343635">
              <w:t xml:space="preserve">rozen </w:t>
            </w:r>
            <w:r w:rsidR="00733098">
              <w:t>p</w:t>
            </w:r>
            <w:r w:rsidR="00733098" w:rsidRPr="00343635">
              <w:t>lasma</w:t>
            </w:r>
            <w:r w:rsidRPr="00343635">
              <w:t>: 7</w:t>
            </w:r>
          </w:p>
          <w:p w14:paraId="40F1E9C2" w14:textId="77777777" w:rsidR="00B5678E" w:rsidRPr="00343635" w:rsidRDefault="00B5678E" w:rsidP="00080269">
            <w:pPr>
              <w:pStyle w:val="DHHStabletext"/>
              <w:keepNext/>
              <w:keepLines/>
            </w:pPr>
            <w:r w:rsidRPr="00343635">
              <w:t>Cryoprecipitate: 0</w:t>
            </w:r>
          </w:p>
          <w:p w14:paraId="1BA19C55" w14:textId="77777777" w:rsidR="00B5678E" w:rsidRPr="00343635" w:rsidRDefault="00B5678E" w:rsidP="00080269">
            <w:pPr>
              <w:pStyle w:val="DHHStabletext"/>
              <w:keepNext/>
              <w:keepLines/>
            </w:pPr>
            <w:r w:rsidRPr="00343635">
              <w:t>Multiple products: 1</w:t>
            </w:r>
          </w:p>
          <w:p w14:paraId="21F72F17" w14:textId="77777777" w:rsidR="00B5678E" w:rsidRPr="00343635" w:rsidRDefault="00B5678E" w:rsidP="00080269">
            <w:pPr>
              <w:pStyle w:val="DHHStabletext"/>
              <w:keepNext/>
              <w:keepLines/>
            </w:pPr>
            <w:proofErr w:type="spellStart"/>
            <w:r w:rsidRPr="00343635">
              <w:t>RhD</w:t>
            </w:r>
            <w:proofErr w:type="spellEnd"/>
            <w:r w:rsidRPr="00343635">
              <w:t xml:space="preserve"> Ig: 10</w:t>
            </w:r>
          </w:p>
          <w:p w14:paraId="107167FE" w14:textId="200C92B8" w:rsidR="00B5678E" w:rsidRPr="00343635" w:rsidRDefault="00B5678E" w:rsidP="00080269">
            <w:pPr>
              <w:pStyle w:val="DHHStabletext"/>
              <w:keepNext/>
              <w:keepLines/>
            </w:pPr>
            <w:r w:rsidRPr="00343635">
              <w:t>Other (includes near</w:t>
            </w:r>
            <w:r w:rsidR="00733098">
              <w:t xml:space="preserve"> </w:t>
            </w:r>
            <w:r w:rsidRPr="00343635">
              <w:t>miss n = 7 and WBIT n= 16): 23</w:t>
            </w:r>
          </w:p>
        </w:tc>
      </w:tr>
    </w:tbl>
    <w:p w14:paraId="5CAB5FDC" w14:textId="6CDA336A" w:rsidR="00B5678E" w:rsidRPr="00343635" w:rsidRDefault="00B5678E" w:rsidP="00CA2830">
      <w:pPr>
        <w:pStyle w:val="Heading2"/>
      </w:pPr>
      <w:bookmarkStart w:id="13" w:name="_Toc24287414"/>
      <w:r w:rsidRPr="00343635">
        <w:t xml:space="preserve">Timing of </w:t>
      </w:r>
      <w:r w:rsidRPr="00CA2830">
        <w:t>transfusion</w:t>
      </w:r>
      <w:bookmarkEnd w:id="13"/>
    </w:p>
    <w:p w14:paraId="358963C0" w14:textId="054891B3" w:rsidR="00B5678E" w:rsidRPr="00CA2830" w:rsidRDefault="00B5678E" w:rsidP="00CA2830">
      <w:pPr>
        <w:pStyle w:val="DHHSbody"/>
      </w:pPr>
      <w:r w:rsidRPr="00CA2830">
        <w:t>Routine transfusions continue to occur out</w:t>
      </w:r>
      <w:r w:rsidR="00733098">
        <w:t xml:space="preserve"> </w:t>
      </w:r>
      <w:r w:rsidRPr="00CA2830">
        <w:t>of</w:t>
      </w:r>
      <w:r w:rsidR="00733098">
        <w:t xml:space="preserve"> </w:t>
      </w:r>
      <w:r w:rsidRPr="00CA2830">
        <w:t>hours</w:t>
      </w:r>
      <w:r w:rsidR="00733098">
        <w:t xml:space="preserve"> (between 8 pm and 8 am)</w:t>
      </w:r>
      <w:r w:rsidRPr="00CA2830">
        <w:t>. Seventeen per cent of reported procedural incidents occurred out</w:t>
      </w:r>
      <w:r w:rsidR="00733098">
        <w:t xml:space="preserve"> </w:t>
      </w:r>
      <w:r w:rsidRPr="00CA2830">
        <w:t>of</w:t>
      </w:r>
      <w:r w:rsidR="00733098">
        <w:t xml:space="preserve"> </w:t>
      </w:r>
      <w:r w:rsidRPr="00CA2830">
        <w:t>hours; similarly</w:t>
      </w:r>
      <w:r w:rsidR="00733098">
        <w:t>,</w:t>
      </w:r>
      <w:r w:rsidRPr="00CA2830">
        <w:t xml:space="preserve"> 17 per cent of clinical reactions occurred during this time (although clinical forms do not ask details regarding urgency of transfusion) (Tables 8 and 9).</w:t>
      </w:r>
    </w:p>
    <w:p w14:paraId="72C4801C" w14:textId="77777777" w:rsidR="00B5678E" w:rsidRPr="00CA2830" w:rsidRDefault="00B5678E" w:rsidP="00CA2830">
      <w:pPr>
        <w:pStyle w:val="DHHSbody"/>
      </w:pPr>
      <w:r w:rsidRPr="00CA2830">
        <w:t>Guidelines (ANZSBT 2018) recommend that unless the transfusion is urgent, out-of-hours transfusions should be avoided. Transfusion must take place when enough trained staff are available to monitor the patient and emergency medical support is readily available, if necessary. Overnight or out-of-hours transfusion should be avoided unless clinically indicated.</w:t>
      </w:r>
    </w:p>
    <w:p w14:paraId="77739752" w14:textId="3FDF3C98" w:rsidR="00B5678E" w:rsidRPr="00343635" w:rsidRDefault="00B5678E" w:rsidP="00907495">
      <w:pPr>
        <w:pStyle w:val="DHHStablecaption"/>
      </w:pPr>
      <w:r w:rsidRPr="00343635">
        <w:t>Table 8</w:t>
      </w:r>
      <w:r w:rsidR="00733098">
        <w:t>:</w:t>
      </w:r>
      <w:r w:rsidRPr="00343635">
        <w:t xml:space="preserve"> Timing of procedural incidents by urgency of transfusion</w:t>
      </w:r>
      <w:r w:rsidR="00733098">
        <w:t xml:space="preserve"> –</w:t>
      </w:r>
      <w:r w:rsidRPr="00343635">
        <w:t xml:space="preserve"> IBCT, near miss, WBIT (n = 54)</w:t>
      </w:r>
    </w:p>
    <w:tbl>
      <w:tblPr>
        <w:tblStyle w:val="TableGrid"/>
        <w:tblW w:w="0" w:type="auto"/>
        <w:tblLook w:val="04A0" w:firstRow="1" w:lastRow="0" w:firstColumn="1" w:lastColumn="0" w:noHBand="0" w:noVBand="1"/>
      </w:tblPr>
      <w:tblGrid>
        <w:gridCol w:w="1803"/>
        <w:gridCol w:w="1803"/>
        <w:gridCol w:w="1803"/>
        <w:gridCol w:w="1803"/>
        <w:gridCol w:w="1804"/>
      </w:tblGrid>
      <w:tr w:rsidR="00881FA7" w:rsidRPr="00343635" w14:paraId="66A4ACD3" w14:textId="77777777" w:rsidTr="00E56E6D">
        <w:trPr>
          <w:tblHeader/>
        </w:trPr>
        <w:tc>
          <w:tcPr>
            <w:tcW w:w="1803" w:type="dxa"/>
          </w:tcPr>
          <w:p w14:paraId="28812D63" w14:textId="5E8E0F76" w:rsidR="00B5678E" w:rsidRPr="00733098" w:rsidRDefault="00733098" w:rsidP="00080269">
            <w:pPr>
              <w:pStyle w:val="DHHStablecolhead"/>
            </w:pPr>
            <w:r>
              <w:t>Time</w:t>
            </w:r>
          </w:p>
        </w:tc>
        <w:tc>
          <w:tcPr>
            <w:tcW w:w="1803" w:type="dxa"/>
          </w:tcPr>
          <w:p w14:paraId="7EB6E788" w14:textId="77777777" w:rsidR="00B5678E" w:rsidRPr="00907495" w:rsidRDefault="00B5678E" w:rsidP="00907495">
            <w:pPr>
              <w:pStyle w:val="DHHStablecolhead"/>
            </w:pPr>
            <w:r w:rsidRPr="00907495">
              <w:t>Routine</w:t>
            </w:r>
          </w:p>
        </w:tc>
        <w:tc>
          <w:tcPr>
            <w:tcW w:w="1803" w:type="dxa"/>
          </w:tcPr>
          <w:p w14:paraId="49DD51EE" w14:textId="77777777" w:rsidR="00B5678E" w:rsidRPr="00907495" w:rsidRDefault="00B5678E" w:rsidP="00907495">
            <w:pPr>
              <w:pStyle w:val="DHHStablecolhead"/>
            </w:pPr>
            <w:r w:rsidRPr="00907495">
              <w:t>Emergency</w:t>
            </w:r>
          </w:p>
        </w:tc>
        <w:tc>
          <w:tcPr>
            <w:tcW w:w="1803" w:type="dxa"/>
          </w:tcPr>
          <w:p w14:paraId="4A9CE550" w14:textId="77777777" w:rsidR="00B5678E" w:rsidRPr="00907495" w:rsidRDefault="00B5678E" w:rsidP="00907495">
            <w:pPr>
              <w:pStyle w:val="DHHStablecolhead"/>
            </w:pPr>
            <w:r w:rsidRPr="00907495">
              <w:t>Unknown</w:t>
            </w:r>
          </w:p>
        </w:tc>
        <w:tc>
          <w:tcPr>
            <w:tcW w:w="1804" w:type="dxa"/>
          </w:tcPr>
          <w:p w14:paraId="0015FD57" w14:textId="77777777" w:rsidR="00B5678E" w:rsidRPr="00907495" w:rsidRDefault="00B5678E" w:rsidP="00907495">
            <w:pPr>
              <w:pStyle w:val="DHHStablecolhead"/>
            </w:pPr>
            <w:r w:rsidRPr="00907495">
              <w:t>Total</w:t>
            </w:r>
          </w:p>
        </w:tc>
      </w:tr>
      <w:tr w:rsidR="00881FA7" w:rsidRPr="00343635" w14:paraId="7966125B" w14:textId="77777777" w:rsidTr="00E56E6D">
        <w:tc>
          <w:tcPr>
            <w:tcW w:w="1803" w:type="dxa"/>
          </w:tcPr>
          <w:p w14:paraId="5686F9A9" w14:textId="77777777" w:rsidR="00B5678E" w:rsidRPr="00907495" w:rsidRDefault="00B5678E" w:rsidP="00907495">
            <w:pPr>
              <w:pStyle w:val="DHHStabletext"/>
            </w:pPr>
            <w:r w:rsidRPr="00907495">
              <w:t>8 am – 8 pm</w:t>
            </w:r>
          </w:p>
        </w:tc>
        <w:tc>
          <w:tcPr>
            <w:tcW w:w="1803" w:type="dxa"/>
          </w:tcPr>
          <w:p w14:paraId="1324BC29" w14:textId="77777777" w:rsidR="00B5678E" w:rsidRPr="00907495" w:rsidRDefault="00B5678E" w:rsidP="00881FA7">
            <w:pPr>
              <w:pStyle w:val="DHHStabletext"/>
              <w:jc w:val="right"/>
            </w:pPr>
            <w:r w:rsidRPr="00907495">
              <w:t>29</w:t>
            </w:r>
          </w:p>
        </w:tc>
        <w:tc>
          <w:tcPr>
            <w:tcW w:w="1803" w:type="dxa"/>
          </w:tcPr>
          <w:p w14:paraId="03533CBA" w14:textId="77777777" w:rsidR="00B5678E" w:rsidRPr="00907495" w:rsidRDefault="00B5678E" w:rsidP="00881FA7">
            <w:pPr>
              <w:pStyle w:val="DHHStabletext"/>
              <w:jc w:val="right"/>
            </w:pPr>
            <w:r w:rsidRPr="00907495">
              <w:t>8</w:t>
            </w:r>
          </w:p>
        </w:tc>
        <w:tc>
          <w:tcPr>
            <w:tcW w:w="1803" w:type="dxa"/>
          </w:tcPr>
          <w:p w14:paraId="2B4D5827" w14:textId="77777777" w:rsidR="00B5678E" w:rsidRPr="00907495" w:rsidRDefault="00B5678E" w:rsidP="00881FA7">
            <w:pPr>
              <w:pStyle w:val="DHHStabletext"/>
              <w:jc w:val="right"/>
            </w:pPr>
            <w:r w:rsidRPr="00907495">
              <w:t>2</w:t>
            </w:r>
          </w:p>
        </w:tc>
        <w:tc>
          <w:tcPr>
            <w:tcW w:w="1804" w:type="dxa"/>
          </w:tcPr>
          <w:p w14:paraId="513BACEE" w14:textId="77777777" w:rsidR="00B5678E" w:rsidRPr="00907495" w:rsidRDefault="00B5678E" w:rsidP="00881FA7">
            <w:pPr>
              <w:pStyle w:val="DHHStabletext"/>
              <w:jc w:val="right"/>
            </w:pPr>
            <w:r w:rsidRPr="00907495">
              <w:t>39</w:t>
            </w:r>
          </w:p>
        </w:tc>
      </w:tr>
      <w:tr w:rsidR="00881FA7" w:rsidRPr="00343635" w14:paraId="2CBF3024" w14:textId="77777777" w:rsidTr="00E56E6D">
        <w:tc>
          <w:tcPr>
            <w:tcW w:w="1803" w:type="dxa"/>
          </w:tcPr>
          <w:p w14:paraId="5BDB1C7A" w14:textId="77777777" w:rsidR="00B5678E" w:rsidRPr="00907495" w:rsidRDefault="00B5678E" w:rsidP="00907495">
            <w:pPr>
              <w:pStyle w:val="DHHStabletext"/>
            </w:pPr>
            <w:r w:rsidRPr="00907495">
              <w:t>8 pm – midnight</w:t>
            </w:r>
          </w:p>
        </w:tc>
        <w:tc>
          <w:tcPr>
            <w:tcW w:w="1803" w:type="dxa"/>
          </w:tcPr>
          <w:p w14:paraId="7FE0520D" w14:textId="77777777" w:rsidR="00B5678E" w:rsidRPr="00907495" w:rsidRDefault="00B5678E" w:rsidP="00881FA7">
            <w:pPr>
              <w:pStyle w:val="DHHStabletext"/>
              <w:jc w:val="right"/>
            </w:pPr>
            <w:r w:rsidRPr="00907495">
              <w:t>3</w:t>
            </w:r>
          </w:p>
        </w:tc>
        <w:tc>
          <w:tcPr>
            <w:tcW w:w="1803" w:type="dxa"/>
          </w:tcPr>
          <w:p w14:paraId="5BB8C5D7" w14:textId="77777777" w:rsidR="00B5678E" w:rsidRPr="00907495" w:rsidRDefault="00B5678E" w:rsidP="00881FA7">
            <w:pPr>
              <w:pStyle w:val="DHHStabletext"/>
              <w:jc w:val="right"/>
            </w:pPr>
            <w:r w:rsidRPr="00907495">
              <w:t>3</w:t>
            </w:r>
          </w:p>
        </w:tc>
        <w:tc>
          <w:tcPr>
            <w:tcW w:w="1803" w:type="dxa"/>
          </w:tcPr>
          <w:p w14:paraId="5A8AB287" w14:textId="6DA0B726" w:rsidR="00B5678E" w:rsidRPr="00907495" w:rsidRDefault="00080269" w:rsidP="00881FA7">
            <w:pPr>
              <w:pStyle w:val="DHHStabletext"/>
              <w:jc w:val="right"/>
            </w:pPr>
            <w:r w:rsidRPr="00080269">
              <w:t>-</w:t>
            </w:r>
          </w:p>
        </w:tc>
        <w:tc>
          <w:tcPr>
            <w:tcW w:w="1804" w:type="dxa"/>
          </w:tcPr>
          <w:p w14:paraId="15EFD4B0" w14:textId="77777777" w:rsidR="00B5678E" w:rsidRPr="00907495" w:rsidRDefault="00B5678E" w:rsidP="00881FA7">
            <w:pPr>
              <w:pStyle w:val="DHHStabletext"/>
              <w:jc w:val="right"/>
            </w:pPr>
            <w:r w:rsidRPr="00907495">
              <w:t>6</w:t>
            </w:r>
          </w:p>
        </w:tc>
      </w:tr>
      <w:tr w:rsidR="00881FA7" w:rsidRPr="00343635" w14:paraId="18542492" w14:textId="77777777" w:rsidTr="00E56E6D">
        <w:tc>
          <w:tcPr>
            <w:tcW w:w="1803" w:type="dxa"/>
          </w:tcPr>
          <w:p w14:paraId="3DA6A481" w14:textId="77777777" w:rsidR="00B5678E" w:rsidRPr="00907495" w:rsidRDefault="00B5678E" w:rsidP="00907495">
            <w:pPr>
              <w:pStyle w:val="DHHStabletext"/>
            </w:pPr>
            <w:r w:rsidRPr="00907495">
              <w:t>Midnight – 8am</w:t>
            </w:r>
          </w:p>
        </w:tc>
        <w:tc>
          <w:tcPr>
            <w:tcW w:w="1803" w:type="dxa"/>
          </w:tcPr>
          <w:p w14:paraId="3D01B105" w14:textId="77777777" w:rsidR="00B5678E" w:rsidRPr="00907495" w:rsidRDefault="00B5678E" w:rsidP="00881FA7">
            <w:pPr>
              <w:pStyle w:val="DHHStabletext"/>
              <w:jc w:val="right"/>
            </w:pPr>
            <w:r w:rsidRPr="00907495">
              <w:t>3</w:t>
            </w:r>
          </w:p>
        </w:tc>
        <w:tc>
          <w:tcPr>
            <w:tcW w:w="1803" w:type="dxa"/>
          </w:tcPr>
          <w:p w14:paraId="04F0E396" w14:textId="77777777" w:rsidR="00B5678E" w:rsidRPr="00907495" w:rsidRDefault="00B5678E" w:rsidP="00881FA7">
            <w:pPr>
              <w:pStyle w:val="DHHStabletext"/>
              <w:jc w:val="right"/>
            </w:pPr>
            <w:r w:rsidRPr="00907495">
              <w:t>4</w:t>
            </w:r>
          </w:p>
        </w:tc>
        <w:tc>
          <w:tcPr>
            <w:tcW w:w="1803" w:type="dxa"/>
          </w:tcPr>
          <w:p w14:paraId="2857B202" w14:textId="77777777" w:rsidR="00B5678E" w:rsidRPr="00907495" w:rsidRDefault="00B5678E" w:rsidP="00881FA7">
            <w:pPr>
              <w:pStyle w:val="DHHStabletext"/>
              <w:jc w:val="right"/>
            </w:pPr>
            <w:r w:rsidRPr="00907495">
              <w:t>1</w:t>
            </w:r>
          </w:p>
        </w:tc>
        <w:tc>
          <w:tcPr>
            <w:tcW w:w="1804" w:type="dxa"/>
          </w:tcPr>
          <w:p w14:paraId="4754B943" w14:textId="77777777" w:rsidR="00B5678E" w:rsidRPr="00907495" w:rsidRDefault="00B5678E" w:rsidP="00881FA7">
            <w:pPr>
              <w:pStyle w:val="DHHStabletext"/>
              <w:jc w:val="right"/>
            </w:pPr>
            <w:r w:rsidRPr="00907495">
              <w:t>8</w:t>
            </w:r>
          </w:p>
        </w:tc>
      </w:tr>
      <w:tr w:rsidR="00881FA7" w:rsidRPr="00343635" w14:paraId="3503456B" w14:textId="77777777" w:rsidTr="00E56E6D">
        <w:tc>
          <w:tcPr>
            <w:tcW w:w="1803" w:type="dxa"/>
          </w:tcPr>
          <w:p w14:paraId="6F0BB7B9" w14:textId="77777777" w:rsidR="00B5678E" w:rsidRPr="00907495" w:rsidRDefault="00B5678E" w:rsidP="00907495">
            <w:pPr>
              <w:pStyle w:val="DHHStabletext"/>
            </w:pPr>
            <w:r w:rsidRPr="00907495">
              <w:t>Unknown</w:t>
            </w:r>
          </w:p>
        </w:tc>
        <w:tc>
          <w:tcPr>
            <w:tcW w:w="1803" w:type="dxa"/>
          </w:tcPr>
          <w:p w14:paraId="2F942760" w14:textId="77777777" w:rsidR="00B5678E" w:rsidRPr="00907495" w:rsidRDefault="00B5678E" w:rsidP="00881FA7">
            <w:pPr>
              <w:pStyle w:val="DHHStabletext"/>
              <w:jc w:val="right"/>
            </w:pPr>
            <w:r w:rsidRPr="00907495">
              <w:t>1</w:t>
            </w:r>
          </w:p>
        </w:tc>
        <w:tc>
          <w:tcPr>
            <w:tcW w:w="1803" w:type="dxa"/>
          </w:tcPr>
          <w:p w14:paraId="61B74864" w14:textId="77777777" w:rsidR="00B5678E" w:rsidRPr="00907495" w:rsidRDefault="00B5678E" w:rsidP="00881FA7">
            <w:pPr>
              <w:pStyle w:val="DHHStabletext"/>
              <w:jc w:val="right"/>
            </w:pPr>
            <w:r w:rsidRPr="00907495">
              <w:t>-</w:t>
            </w:r>
          </w:p>
        </w:tc>
        <w:tc>
          <w:tcPr>
            <w:tcW w:w="1803" w:type="dxa"/>
          </w:tcPr>
          <w:p w14:paraId="4F611F36" w14:textId="6F8CBF68" w:rsidR="00B5678E" w:rsidRPr="00907495" w:rsidRDefault="00080269" w:rsidP="00881FA7">
            <w:pPr>
              <w:pStyle w:val="DHHStabletext"/>
              <w:jc w:val="right"/>
            </w:pPr>
            <w:r w:rsidRPr="00080269">
              <w:t>-</w:t>
            </w:r>
          </w:p>
        </w:tc>
        <w:tc>
          <w:tcPr>
            <w:tcW w:w="1804" w:type="dxa"/>
          </w:tcPr>
          <w:p w14:paraId="5BF73042" w14:textId="77777777" w:rsidR="00B5678E" w:rsidRPr="00907495" w:rsidRDefault="00B5678E" w:rsidP="00881FA7">
            <w:pPr>
              <w:pStyle w:val="DHHStabletext"/>
              <w:jc w:val="right"/>
            </w:pPr>
            <w:r w:rsidRPr="00907495">
              <w:t>1</w:t>
            </w:r>
          </w:p>
        </w:tc>
      </w:tr>
      <w:tr w:rsidR="00881FA7" w:rsidRPr="00343635" w14:paraId="3A7F820D" w14:textId="77777777" w:rsidTr="00E56E6D">
        <w:tc>
          <w:tcPr>
            <w:tcW w:w="1803" w:type="dxa"/>
          </w:tcPr>
          <w:p w14:paraId="598AF3DC" w14:textId="77777777" w:rsidR="00B5678E" w:rsidRPr="00907495" w:rsidRDefault="00B5678E" w:rsidP="00907495">
            <w:pPr>
              <w:pStyle w:val="DHHStabletext"/>
            </w:pPr>
            <w:r w:rsidRPr="00907495">
              <w:t>Total</w:t>
            </w:r>
          </w:p>
        </w:tc>
        <w:tc>
          <w:tcPr>
            <w:tcW w:w="1803" w:type="dxa"/>
          </w:tcPr>
          <w:p w14:paraId="42BA1E88" w14:textId="77777777" w:rsidR="00B5678E" w:rsidRPr="00907495" w:rsidRDefault="00B5678E" w:rsidP="00881FA7">
            <w:pPr>
              <w:pStyle w:val="DHHStabletext"/>
              <w:jc w:val="right"/>
            </w:pPr>
            <w:r w:rsidRPr="00907495">
              <w:t>36</w:t>
            </w:r>
          </w:p>
        </w:tc>
        <w:tc>
          <w:tcPr>
            <w:tcW w:w="1803" w:type="dxa"/>
          </w:tcPr>
          <w:p w14:paraId="7932188D" w14:textId="77777777" w:rsidR="00B5678E" w:rsidRPr="00907495" w:rsidRDefault="00B5678E" w:rsidP="00881FA7">
            <w:pPr>
              <w:pStyle w:val="DHHStabletext"/>
              <w:jc w:val="right"/>
            </w:pPr>
            <w:r w:rsidRPr="00907495">
              <w:t>15</w:t>
            </w:r>
          </w:p>
        </w:tc>
        <w:tc>
          <w:tcPr>
            <w:tcW w:w="1803" w:type="dxa"/>
          </w:tcPr>
          <w:p w14:paraId="11E4CE90" w14:textId="77777777" w:rsidR="00B5678E" w:rsidRPr="00907495" w:rsidRDefault="00B5678E" w:rsidP="00881FA7">
            <w:pPr>
              <w:pStyle w:val="DHHStabletext"/>
              <w:jc w:val="right"/>
            </w:pPr>
            <w:r w:rsidRPr="00907495">
              <w:t>3</w:t>
            </w:r>
          </w:p>
        </w:tc>
        <w:tc>
          <w:tcPr>
            <w:tcW w:w="1804" w:type="dxa"/>
          </w:tcPr>
          <w:p w14:paraId="11D52F2D" w14:textId="77777777" w:rsidR="00B5678E" w:rsidRPr="00907495" w:rsidRDefault="00B5678E" w:rsidP="00881FA7">
            <w:pPr>
              <w:pStyle w:val="DHHStabletext"/>
              <w:jc w:val="right"/>
            </w:pPr>
            <w:r w:rsidRPr="00907495">
              <w:t>54</w:t>
            </w:r>
          </w:p>
        </w:tc>
      </w:tr>
    </w:tbl>
    <w:p w14:paraId="31434F97" w14:textId="79FD0FAE" w:rsidR="00B5678E" w:rsidRPr="00343635" w:rsidRDefault="00B5678E" w:rsidP="00907495">
      <w:pPr>
        <w:pStyle w:val="DHHStablecaption"/>
      </w:pPr>
      <w:r w:rsidRPr="00343635">
        <w:t>Table 9</w:t>
      </w:r>
      <w:r w:rsidR="00733098">
        <w:t>:</w:t>
      </w:r>
      <w:r w:rsidR="00733098" w:rsidRPr="00343635">
        <w:t xml:space="preserve"> </w:t>
      </w:r>
      <w:r w:rsidRPr="00343635">
        <w:t>Timing of clinical reactions</w:t>
      </w:r>
      <w:r w:rsidR="00733098">
        <w:t xml:space="preserve"> –</w:t>
      </w:r>
      <w:r w:rsidRPr="00343635">
        <w:t xml:space="preserve"> ATR, TRALI, TACO (n = 63)</w:t>
      </w:r>
    </w:p>
    <w:tbl>
      <w:tblPr>
        <w:tblStyle w:val="TableGrid"/>
        <w:tblW w:w="0" w:type="auto"/>
        <w:tblLook w:val="04A0" w:firstRow="1" w:lastRow="0" w:firstColumn="1" w:lastColumn="0" w:noHBand="0" w:noVBand="1"/>
      </w:tblPr>
      <w:tblGrid>
        <w:gridCol w:w="1803"/>
        <w:gridCol w:w="1803"/>
      </w:tblGrid>
      <w:tr w:rsidR="00B5678E" w:rsidRPr="00343635" w14:paraId="0E9734F6" w14:textId="77777777" w:rsidTr="00E56E6D">
        <w:trPr>
          <w:tblHeader/>
        </w:trPr>
        <w:tc>
          <w:tcPr>
            <w:tcW w:w="1803" w:type="dxa"/>
          </w:tcPr>
          <w:p w14:paraId="7E511437" w14:textId="62B5AC10" w:rsidR="00B5678E" w:rsidRPr="00733098" w:rsidRDefault="00733098" w:rsidP="00080269">
            <w:pPr>
              <w:pStyle w:val="DHHStablecolhead"/>
            </w:pPr>
            <w:r>
              <w:t>Time</w:t>
            </w:r>
          </w:p>
        </w:tc>
        <w:tc>
          <w:tcPr>
            <w:tcW w:w="1803" w:type="dxa"/>
          </w:tcPr>
          <w:p w14:paraId="0781834F" w14:textId="77777777" w:rsidR="00B5678E" w:rsidRPr="00907495" w:rsidRDefault="00B5678E" w:rsidP="00907495">
            <w:pPr>
              <w:pStyle w:val="DHHStablecolhead"/>
            </w:pPr>
            <w:r w:rsidRPr="00343635">
              <w:t>Number</w:t>
            </w:r>
          </w:p>
        </w:tc>
      </w:tr>
      <w:tr w:rsidR="00B5678E" w:rsidRPr="00343635" w14:paraId="0BD5BF03" w14:textId="77777777" w:rsidTr="00E56E6D">
        <w:tc>
          <w:tcPr>
            <w:tcW w:w="1803" w:type="dxa"/>
          </w:tcPr>
          <w:p w14:paraId="59D76AE0" w14:textId="77777777" w:rsidR="00B5678E" w:rsidRPr="00907495" w:rsidRDefault="00B5678E" w:rsidP="00907495">
            <w:pPr>
              <w:pStyle w:val="DHHStabletext"/>
            </w:pPr>
            <w:r w:rsidRPr="00907495">
              <w:t>8 am – 8 pm</w:t>
            </w:r>
          </w:p>
        </w:tc>
        <w:tc>
          <w:tcPr>
            <w:tcW w:w="1803" w:type="dxa"/>
          </w:tcPr>
          <w:p w14:paraId="382C0557" w14:textId="77777777" w:rsidR="00B5678E" w:rsidRPr="00907495" w:rsidRDefault="00B5678E" w:rsidP="00881FA7">
            <w:pPr>
              <w:pStyle w:val="DHHStabletext"/>
              <w:jc w:val="right"/>
            </w:pPr>
            <w:r w:rsidRPr="00907495">
              <w:t>49</w:t>
            </w:r>
          </w:p>
        </w:tc>
      </w:tr>
      <w:tr w:rsidR="00B5678E" w:rsidRPr="00343635" w14:paraId="6950FE6A" w14:textId="77777777" w:rsidTr="00E56E6D">
        <w:tc>
          <w:tcPr>
            <w:tcW w:w="1803" w:type="dxa"/>
          </w:tcPr>
          <w:p w14:paraId="220D98DA" w14:textId="77777777" w:rsidR="00B5678E" w:rsidRPr="00907495" w:rsidRDefault="00B5678E" w:rsidP="00907495">
            <w:pPr>
              <w:pStyle w:val="DHHStabletext"/>
            </w:pPr>
            <w:r w:rsidRPr="00907495">
              <w:t>8 pm – midnight</w:t>
            </w:r>
          </w:p>
        </w:tc>
        <w:tc>
          <w:tcPr>
            <w:tcW w:w="1803" w:type="dxa"/>
          </w:tcPr>
          <w:p w14:paraId="7EADB6F6" w14:textId="77777777" w:rsidR="00B5678E" w:rsidRPr="00907495" w:rsidRDefault="00B5678E" w:rsidP="00881FA7">
            <w:pPr>
              <w:pStyle w:val="DHHStabletext"/>
              <w:jc w:val="right"/>
            </w:pPr>
            <w:r w:rsidRPr="00907495">
              <w:t>3</w:t>
            </w:r>
          </w:p>
        </w:tc>
      </w:tr>
      <w:tr w:rsidR="00B5678E" w:rsidRPr="00343635" w14:paraId="463C870C" w14:textId="77777777" w:rsidTr="00E56E6D">
        <w:tc>
          <w:tcPr>
            <w:tcW w:w="1803" w:type="dxa"/>
          </w:tcPr>
          <w:p w14:paraId="633D1CDF" w14:textId="77777777" w:rsidR="00B5678E" w:rsidRPr="00907495" w:rsidRDefault="00B5678E" w:rsidP="00907495">
            <w:pPr>
              <w:pStyle w:val="DHHStabletext"/>
            </w:pPr>
            <w:r w:rsidRPr="00907495">
              <w:t>Midnight – 8am</w:t>
            </w:r>
          </w:p>
        </w:tc>
        <w:tc>
          <w:tcPr>
            <w:tcW w:w="1803" w:type="dxa"/>
          </w:tcPr>
          <w:p w14:paraId="3A897439" w14:textId="77777777" w:rsidR="00B5678E" w:rsidRPr="00907495" w:rsidRDefault="00B5678E" w:rsidP="00881FA7">
            <w:pPr>
              <w:pStyle w:val="DHHStabletext"/>
              <w:jc w:val="right"/>
            </w:pPr>
            <w:r w:rsidRPr="00907495">
              <w:t>8</w:t>
            </w:r>
          </w:p>
        </w:tc>
      </w:tr>
      <w:tr w:rsidR="00B5678E" w:rsidRPr="00343635" w14:paraId="59770247" w14:textId="77777777" w:rsidTr="00E56E6D">
        <w:tc>
          <w:tcPr>
            <w:tcW w:w="1803" w:type="dxa"/>
          </w:tcPr>
          <w:p w14:paraId="1B15B71F" w14:textId="77777777" w:rsidR="00B5678E" w:rsidRPr="00907495" w:rsidRDefault="00B5678E" w:rsidP="00907495">
            <w:pPr>
              <w:pStyle w:val="DHHStabletext"/>
            </w:pPr>
            <w:r w:rsidRPr="00907495">
              <w:t>Unknown</w:t>
            </w:r>
          </w:p>
        </w:tc>
        <w:tc>
          <w:tcPr>
            <w:tcW w:w="1803" w:type="dxa"/>
          </w:tcPr>
          <w:p w14:paraId="2B1ED8FC" w14:textId="77777777" w:rsidR="00B5678E" w:rsidRPr="00907495" w:rsidRDefault="00B5678E" w:rsidP="00881FA7">
            <w:pPr>
              <w:pStyle w:val="DHHStabletext"/>
              <w:jc w:val="right"/>
            </w:pPr>
            <w:r w:rsidRPr="00907495">
              <w:t>3</w:t>
            </w:r>
          </w:p>
        </w:tc>
      </w:tr>
      <w:tr w:rsidR="00B5678E" w:rsidRPr="00343635" w14:paraId="19CB1AD5" w14:textId="77777777" w:rsidTr="00E56E6D">
        <w:tc>
          <w:tcPr>
            <w:tcW w:w="1803" w:type="dxa"/>
          </w:tcPr>
          <w:p w14:paraId="459F499D" w14:textId="77777777" w:rsidR="00B5678E" w:rsidRPr="00907495" w:rsidRDefault="00B5678E" w:rsidP="00907495">
            <w:pPr>
              <w:pStyle w:val="DHHStabletext"/>
            </w:pPr>
            <w:r w:rsidRPr="00907495">
              <w:t>Total</w:t>
            </w:r>
          </w:p>
        </w:tc>
        <w:tc>
          <w:tcPr>
            <w:tcW w:w="1803" w:type="dxa"/>
          </w:tcPr>
          <w:p w14:paraId="0AD7F47D" w14:textId="77777777" w:rsidR="00B5678E" w:rsidRPr="00907495" w:rsidRDefault="00B5678E" w:rsidP="00881FA7">
            <w:pPr>
              <w:pStyle w:val="DHHStabletext"/>
              <w:jc w:val="right"/>
            </w:pPr>
            <w:r w:rsidRPr="00907495">
              <w:t>63</w:t>
            </w:r>
          </w:p>
        </w:tc>
      </w:tr>
    </w:tbl>
    <w:p w14:paraId="10982788" w14:textId="3223EB4B" w:rsidR="00B5678E" w:rsidRPr="00343635" w:rsidRDefault="00B5678E" w:rsidP="00907495">
      <w:pPr>
        <w:pStyle w:val="Heading2"/>
      </w:pPr>
      <w:bookmarkStart w:id="14" w:name="_Toc24287415"/>
      <w:r w:rsidRPr="00343635">
        <w:t>Health service review of incidents/</w:t>
      </w:r>
      <w:r w:rsidRPr="00907495">
        <w:t>reactions</w:t>
      </w:r>
      <w:bookmarkEnd w:id="14"/>
    </w:p>
    <w:p w14:paraId="2D9914C5" w14:textId="19C61F6D" w:rsidR="009D1F2F" w:rsidRDefault="00B5678E" w:rsidP="00907495">
      <w:pPr>
        <w:pStyle w:val="DHHSbody"/>
      </w:pPr>
      <w:r w:rsidRPr="00343635">
        <w:t>Despite health services reporting high rates of review processes to blood management committees, chief medical officers and/or clinical governance (Table 10), very few</w:t>
      </w:r>
      <w:r w:rsidR="009D1F2F">
        <w:t xml:space="preserve"> health services </w:t>
      </w:r>
      <w:r w:rsidRPr="00343635">
        <w:t xml:space="preserve">reported changes to </w:t>
      </w:r>
      <w:r w:rsidRPr="00343635">
        <w:lastRenderedPageBreak/>
        <w:t xml:space="preserve">procedures. </w:t>
      </w:r>
      <w:r w:rsidR="009D1F2F">
        <w:t>This may be appropriate f</w:t>
      </w:r>
      <w:r w:rsidRPr="00343635">
        <w:t xml:space="preserve">or clinical reactions (allergic, FNHTR), because the reaction is often idiosyncratic and inherent to the blood product characteristics and cannot be avoided. </w:t>
      </w:r>
    </w:p>
    <w:p w14:paraId="4751B3DF" w14:textId="7D8CB9B9" w:rsidR="009D1F2F" w:rsidRDefault="00B5678E" w:rsidP="00907495">
      <w:pPr>
        <w:pStyle w:val="DHHSbody"/>
      </w:pPr>
      <w:r w:rsidRPr="00343635">
        <w:t xml:space="preserve">However, procedural incidents </w:t>
      </w:r>
      <w:r w:rsidR="009D1F2F">
        <w:t>provide an</w:t>
      </w:r>
      <w:r w:rsidRPr="00343635">
        <w:t xml:space="preserve"> opportunity to review processes and make changes. In many instances</w:t>
      </w:r>
      <w:r w:rsidR="009D1F2F">
        <w:t>,</w:t>
      </w:r>
      <w:r w:rsidRPr="00343635">
        <w:t xml:space="preserve"> it may be that staff have not followed protocols</w:t>
      </w:r>
      <w:r w:rsidR="009D1F2F">
        <w:t>, i</w:t>
      </w:r>
      <w:r w:rsidRPr="00343635">
        <w:t>nvestigation may be required.</w:t>
      </w:r>
      <w:r w:rsidR="009D1F2F">
        <w:t xml:space="preserve"> For example, whether</w:t>
      </w:r>
      <w:r w:rsidRPr="00343635">
        <w:t xml:space="preserve"> the protocol </w:t>
      </w:r>
      <w:r w:rsidR="00687810">
        <w:t xml:space="preserve">is </w:t>
      </w:r>
      <w:r w:rsidRPr="00343635">
        <w:t>available, easy to understand and follow</w:t>
      </w:r>
      <w:r w:rsidR="009D1F2F">
        <w:t>, or whether</w:t>
      </w:r>
      <w:r w:rsidRPr="00343635">
        <w:t xml:space="preserve"> increased workload mean</w:t>
      </w:r>
      <w:r w:rsidR="009D1F2F">
        <w:t>t</w:t>
      </w:r>
      <w:r w:rsidRPr="00343635">
        <w:t xml:space="preserve"> staff were looking for and using shortcuts</w:t>
      </w:r>
      <w:r w:rsidR="009D1F2F">
        <w:t>.</w:t>
      </w:r>
    </w:p>
    <w:p w14:paraId="38313C23" w14:textId="0D58AD31" w:rsidR="00B5678E" w:rsidRPr="00343635" w:rsidRDefault="00B5678E" w:rsidP="00907495">
      <w:pPr>
        <w:pStyle w:val="DHHSbody"/>
      </w:pPr>
      <w:r w:rsidRPr="00343635">
        <w:t>These are less easy to investigate and manage, but are critical to improve patient safety.</w:t>
      </w:r>
    </w:p>
    <w:p w14:paraId="53DCD93D" w14:textId="1DF8E57A" w:rsidR="00B5678E" w:rsidRPr="00907495" w:rsidRDefault="00B5678E" w:rsidP="00907495">
      <w:pPr>
        <w:pStyle w:val="DHHStablecaption"/>
      </w:pPr>
      <w:r w:rsidRPr="00343635">
        <w:t>Table 10: Review process</w:t>
      </w:r>
    </w:p>
    <w:tbl>
      <w:tblPr>
        <w:tblW w:w="84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42"/>
        <w:gridCol w:w="1560"/>
        <w:gridCol w:w="1701"/>
        <w:gridCol w:w="1814"/>
      </w:tblGrid>
      <w:tr w:rsidR="00B5678E" w:rsidRPr="00343635" w14:paraId="22A162CB" w14:textId="77777777" w:rsidTr="00080269">
        <w:trPr>
          <w:trHeight w:val="294"/>
          <w:tblHeader/>
        </w:trPr>
        <w:tc>
          <w:tcPr>
            <w:tcW w:w="1565" w:type="dxa"/>
            <w:shd w:val="clear" w:color="auto" w:fill="auto"/>
            <w:vAlign w:val="center"/>
            <w:hideMark/>
          </w:tcPr>
          <w:p w14:paraId="5A86E0C9" w14:textId="70884765" w:rsidR="00B5678E" w:rsidRPr="00343635" w:rsidRDefault="009D1F2F" w:rsidP="00080269">
            <w:pPr>
              <w:pStyle w:val="DHHStablecolhead"/>
            </w:pPr>
            <w:r>
              <w:t>Reaction</w:t>
            </w:r>
          </w:p>
        </w:tc>
        <w:tc>
          <w:tcPr>
            <w:tcW w:w="1842" w:type="dxa"/>
            <w:shd w:val="clear" w:color="auto" w:fill="auto"/>
            <w:vAlign w:val="center"/>
            <w:hideMark/>
          </w:tcPr>
          <w:p w14:paraId="036A60E1" w14:textId="77777777" w:rsidR="00B5678E" w:rsidRPr="00907495" w:rsidRDefault="00B5678E" w:rsidP="00907495">
            <w:pPr>
              <w:pStyle w:val="DHHStablecolhead"/>
            </w:pPr>
            <w:r w:rsidRPr="00907495">
              <w:t>Hospital blood management committee or equivalent</w:t>
            </w:r>
          </w:p>
        </w:tc>
        <w:tc>
          <w:tcPr>
            <w:tcW w:w="1560" w:type="dxa"/>
            <w:shd w:val="clear" w:color="auto" w:fill="auto"/>
            <w:vAlign w:val="center"/>
            <w:hideMark/>
          </w:tcPr>
          <w:p w14:paraId="231353C2" w14:textId="77777777" w:rsidR="00B5678E" w:rsidRPr="00907495" w:rsidRDefault="00B5678E" w:rsidP="00907495">
            <w:pPr>
              <w:pStyle w:val="DHHStablecolhead"/>
            </w:pPr>
            <w:r w:rsidRPr="00907495">
              <w:t>Chief medical officer / senior medical officer</w:t>
            </w:r>
          </w:p>
        </w:tc>
        <w:tc>
          <w:tcPr>
            <w:tcW w:w="1701" w:type="dxa"/>
            <w:shd w:val="clear" w:color="auto" w:fill="auto"/>
            <w:vAlign w:val="center"/>
            <w:hideMark/>
          </w:tcPr>
          <w:p w14:paraId="3780FFE9" w14:textId="77777777" w:rsidR="00B5678E" w:rsidRPr="00907495" w:rsidRDefault="00B5678E" w:rsidP="00907495">
            <w:pPr>
              <w:pStyle w:val="DHHStablecolhead"/>
            </w:pPr>
            <w:r w:rsidRPr="00907495">
              <w:t>Clinical governance or equivalent</w:t>
            </w:r>
          </w:p>
        </w:tc>
        <w:tc>
          <w:tcPr>
            <w:tcW w:w="1814" w:type="dxa"/>
          </w:tcPr>
          <w:p w14:paraId="6AE65D97" w14:textId="77777777" w:rsidR="00B5678E" w:rsidRPr="00907495" w:rsidRDefault="00B5678E" w:rsidP="00907495">
            <w:pPr>
              <w:pStyle w:val="DHHStablecolhead"/>
            </w:pPr>
            <w:r w:rsidRPr="00907495">
              <w:t>Lead to changes at the health service</w:t>
            </w:r>
          </w:p>
        </w:tc>
      </w:tr>
      <w:tr w:rsidR="00B5678E" w:rsidRPr="00343635" w14:paraId="2F7D4A8B" w14:textId="77777777" w:rsidTr="00B5678E">
        <w:trPr>
          <w:trHeight w:val="294"/>
        </w:trPr>
        <w:tc>
          <w:tcPr>
            <w:tcW w:w="1565" w:type="dxa"/>
            <w:shd w:val="clear" w:color="auto" w:fill="auto"/>
            <w:vAlign w:val="center"/>
            <w:hideMark/>
          </w:tcPr>
          <w:p w14:paraId="2457BFD1" w14:textId="1D8B8DB6" w:rsidR="00B5678E" w:rsidRPr="00907495" w:rsidRDefault="00B5678E" w:rsidP="00907495">
            <w:pPr>
              <w:pStyle w:val="DHHStabletext"/>
            </w:pPr>
            <w:r w:rsidRPr="00907495">
              <w:t xml:space="preserve">ATR </w:t>
            </w:r>
            <w:r w:rsidRPr="00907495">
              <w:br/>
              <w:t>(n</w:t>
            </w:r>
            <w:r w:rsidR="009D1F2F">
              <w:t> </w:t>
            </w:r>
            <w:r w:rsidRPr="00907495">
              <w:t>=</w:t>
            </w:r>
            <w:r w:rsidR="009D1F2F">
              <w:t> </w:t>
            </w:r>
            <w:r w:rsidRPr="00907495">
              <w:t>43)</w:t>
            </w:r>
          </w:p>
        </w:tc>
        <w:tc>
          <w:tcPr>
            <w:tcW w:w="1842" w:type="dxa"/>
            <w:shd w:val="clear" w:color="auto" w:fill="auto"/>
            <w:vAlign w:val="center"/>
            <w:hideMark/>
          </w:tcPr>
          <w:p w14:paraId="556685FF" w14:textId="77777777" w:rsidR="00B5678E" w:rsidRPr="00907495" w:rsidRDefault="00B5678E" w:rsidP="00907495">
            <w:pPr>
              <w:pStyle w:val="DHHStabletext"/>
              <w:jc w:val="right"/>
            </w:pPr>
            <w:r w:rsidRPr="00907495">
              <w:t>37</w:t>
            </w:r>
          </w:p>
        </w:tc>
        <w:tc>
          <w:tcPr>
            <w:tcW w:w="1560" w:type="dxa"/>
            <w:shd w:val="clear" w:color="auto" w:fill="auto"/>
            <w:vAlign w:val="center"/>
            <w:hideMark/>
          </w:tcPr>
          <w:p w14:paraId="592F7601" w14:textId="77777777" w:rsidR="00B5678E" w:rsidRPr="00907495" w:rsidRDefault="00B5678E" w:rsidP="00907495">
            <w:pPr>
              <w:pStyle w:val="DHHStabletext"/>
              <w:jc w:val="right"/>
            </w:pPr>
            <w:r w:rsidRPr="00907495">
              <w:t>13</w:t>
            </w:r>
          </w:p>
        </w:tc>
        <w:tc>
          <w:tcPr>
            <w:tcW w:w="1701" w:type="dxa"/>
            <w:shd w:val="clear" w:color="auto" w:fill="auto"/>
            <w:vAlign w:val="center"/>
            <w:hideMark/>
          </w:tcPr>
          <w:p w14:paraId="0CCEF38F" w14:textId="77777777" w:rsidR="00B5678E" w:rsidRPr="00907495" w:rsidRDefault="00B5678E" w:rsidP="00907495">
            <w:pPr>
              <w:pStyle w:val="DHHStabletext"/>
              <w:jc w:val="right"/>
            </w:pPr>
            <w:r w:rsidRPr="00907495">
              <w:t>11</w:t>
            </w:r>
          </w:p>
        </w:tc>
        <w:tc>
          <w:tcPr>
            <w:tcW w:w="1814" w:type="dxa"/>
          </w:tcPr>
          <w:p w14:paraId="7A627DB4" w14:textId="77777777" w:rsidR="00B5678E" w:rsidRPr="00907495" w:rsidRDefault="00B5678E" w:rsidP="00907495">
            <w:pPr>
              <w:pStyle w:val="DHHStabletext"/>
              <w:jc w:val="right"/>
            </w:pPr>
            <w:r w:rsidRPr="00907495">
              <w:t>2 (5%)</w:t>
            </w:r>
          </w:p>
        </w:tc>
      </w:tr>
      <w:tr w:rsidR="00B5678E" w:rsidRPr="00343635" w14:paraId="38CBC7C5" w14:textId="77777777" w:rsidTr="00B5678E">
        <w:trPr>
          <w:trHeight w:val="294"/>
        </w:trPr>
        <w:tc>
          <w:tcPr>
            <w:tcW w:w="1565" w:type="dxa"/>
            <w:shd w:val="clear" w:color="auto" w:fill="auto"/>
            <w:vAlign w:val="center"/>
            <w:hideMark/>
          </w:tcPr>
          <w:p w14:paraId="74A17C8D" w14:textId="3F17F19E" w:rsidR="00B5678E" w:rsidRPr="00907495" w:rsidRDefault="00B5678E" w:rsidP="00907495">
            <w:pPr>
              <w:pStyle w:val="DHHStabletext"/>
            </w:pPr>
            <w:r w:rsidRPr="00907495">
              <w:t xml:space="preserve">IBCT </w:t>
            </w:r>
            <w:r w:rsidRPr="00907495">
              <w:br/>
              <w:t>(n</w:t>
            </w:r>
            <w:r w:rsidR="009D1F2F">
              <w:t> </w:t>
            </w:r>
            <w:r w:rsidRPr="00907495">
              <w:t>=</w:t>
            </w:r>
            <w:r w:rsidR="009D1F2F">
              <w:t> </w:t>
            </w:r>
            <w:r w:rsidRPr="00907495">
              <w:t>11)</w:t>
            </w:r>
          </w:p>
        </w:tc>
        <w:tc>
          <w:tcPr>
            <w:tcW w:w="1842" w:type="dxa"/>
            <w:shd w:val="clear" w:color="auto" w:fill="auto"/>
            <w:vAlign w:val="center"/>
            <w:hideMark/>
          </w:tcPr>
          <w:p w14:paraId="7234270E" w14:textId="77777777" w:rsidR="00B5678E" w:rsidRPr="00907495" w:rsidRDefault="00B5678E" w:rsidP="00907495">
            <w:pPr>
              <w:pStyle w:val="DHHStabletext"/>
              <w:jc w:val="right"/>
            </w:pPr>
            <w:r w:rsidRPr="00907495">
              <w:t>7</w:t>
            </w:r>
          </w:p>
        </w:tc>
        <w:tc>
          <w:tcPr>
            <w:tcW w:w="1560" w:type="dxa"/>
            <w:shd w:val="clear" w:color="auto" w:fill="auto"/>
            <w:vAlign w:val="center"/>
            <w:hideMark/>
          </w:tcPr>
          <w:p w14:paraId="55CB2B69" w14:textId="77777777" w:rsidR="00B5678E" w:rsidRPr="00907495" w:rsidRDefault="00B5678E" w:rsidP="00907495">
            <w:pPr>
              <w:pStyle w:val="DHHStabletext"/>
              <w:jc w:val="right"/>
            </w:pPr>
            <w:r w:rsidRPr="00907495">
              <w:t>6</w:t>
            </w:r>
          </w:p>
        </w:tc>
        <w:tc>
          <w:tcPr>
            <w:tcW w:w="1701" w:type="dxa"/>
            <w:shd w:val="clear" w:color="auto" w:fill="auto"/>
            <w:vAlign w:val="center"/>
            <w:hideMark/>
          </w:tcPr>
          <w:p w14:paraId="6E4D4790" w14:textId="77777777" w:rsidR="00B5678E" w:rsidRPr="00907495" w:rsidRDefault="00B5678E" w:rsidP="00907495">
            <w:pPr>
              <w:pStyle w:val="DHHStabletext"/>
              <w:jc w:val="right"/>
            </w:pPr>
            <w:r w:rsidRPr="00907495">
              <w:t>6</w:t>
            </w:r>
          </w:p>
        </w:tc>
        <w:tc>
          <w:tcPr>
            <w:tcW w:w="1814" w:type="dxa"/>
          </w:tcPr>
          <w:p w14:paraId="25BF5926" w14:textId="77777777" w:rsidR="00B5678E" w:rsidRPr="00907495" w:rsidRDefault="00B5678E" w:rsidP="00907495">
            <w:pPr>
              <w:pStyle w:val="DHHStabletext"/>
              <w:jc w:val="right"/>
            </w:pPr>
            <w:r w:rsidRPr="00907495">
              <w:t>3 (27%)</w:t>
            </w:r>
          </w:p>
        </w:tc>
      </w:tr>
      <w:tr w:rsidR="00B5678E" w:rsidRPr="00343635" w14:paraId="745E2547" w14:textId="77777777" w:rsidTr="00B5678E">
        <w:trPr>
          <w:trHeight w:val="294"/>
        </w:trPr>
        <w:tc>
          <w:tcPr>
            <w:tcW w:w="1565" w:type="dxa"/>
            <w:shd w:val="clear" w:color="auto" w:fill="auto"/>
            <w:vAlign w:val="center"/>
            <w:hideMark/>
          </w:tcPr>
          <w:p w14:paraId="7CBB968C" w14:textId="467524C8" w:rsidR="00B5678E" w:rsidRPr="00907495" w:rsidRDefault="00B5678E" w:rsidP="00907495">
            <w:pPr>
              <w:pStyle w:val="DHHStabletext"/>
            </w:pPr>
            <w:r w:rsidRPr="00907495">
              <w:t xml:space="preserve">Near miss </w:t>
            </w:r>
            <w:r w:rsidRPr="00907495">
              <w:br/>
              <w:t>(n</w:t>
            </w:r>
            <w:r w:rsidR="009D1F2F">
              <w:t> </w:t>
            </w:r>
            <w:r w:rsidRPr="00907495">
              <w:t>=</w:t>
            </w:r>
            <w:r w:rsidR="009D1F2F">
              <w:t> </w:t>
            </w:r>
            <w:r w:rsidRPr="00907495">
              <w:t>25)</w:t>
            </w:r>
          </w:p>
        </w:tc>
        <w:tc>
          <w:tcPr>
            <w:tcW w:w="1842" w:type="dxa"/>
            <w:shd w:val="clear" w:color="auto" w:fill="auto"/>
            <w:vAlign w:val="center"/>
            <w:hideMark/>
          </w:tcPr>
          <w:p w14:paraId="438B6BB9" w14:textId="77777777" w:rsidR="00B5678E" w:rsidRPr="00907495" w:rsidRDefault="00B5678E" w:rsidP="00907495">
            <w:pPr>
              <w:pStyle w:val="DHHStabletext"/>
              <w:jc w:val="right"/>
            </w:pPr>
            <w:r w:rsidRPr="00907495">
              <w:t>25</w:t>
            </w:r>
          </w:p>
        </w:tc>
        <w:tc>
          <w:tcPr>
            <w:tcW w:w="1560" w:type="dxa"/>
            <w:shd w:val="clear" w:color="auto" w:fill="auto"/>
            <w:vAlign w:val="center"/>
            <w:hideMark/>
          </w:tcPr>
          <w:p w14:paraId="56B08394" w14:textId="77777777" w:rsidR="00B5678E" w:rsidRPr="00907495" w:rsidRDefault="00B5678E" w:rsidP="00907495">
            <w:pPr>
              <w:pStyle w:val="DHHStabletext"/>
              <w:jc w:val="right"/>
            </w:pPr>
            <w:r w:rsidRPr="00907495">
              <w:t>3</w:t>
            </w:r>
          </w:p>
        </w:tc>
        <w:tc>
          <w:tcPr>
            <w:tcW w:w="1701" w:type="dxa"/>
            <w:shd w:val="clear" w:color="auto" w:fill="auto"/>
            <w:vAlign w:val="center"/>
            <w:hideMark/>
          </w:tcPr>
          <w:p w14:paraId="4CB4A9C5" w14:textId="77777777" w:rsidR="00B5678E" w:rsidRPr="00907495" w:rsidRDefault="00B5678E" w:rsidP="00907495">
            <w:pPr>
              <w:pStyle w:val="DHHStabletext"/>
              <w:jc w:val="right"/>
            </w:pPr>
            <w:r w:rsidRPr="00907495">
              <w:t>13</w:t>
            </w:r>
          </w:p>
        </w:tc>
        <w:tc>
          <w:tcPr>
            <w:tcW w:w="1814" w:type="dxa"/>
          </w:tcPr>
          <w:p w14:paraId="49E1BEB6" w14:textId="77777777" w:rsidR="00B5678E" w:rsidRPr="00907495" w:rsidRDefault="00B5678E" w:rsidP="00907495">
            <w:pPr>
              <w:pStyle w:val="DHHStabletext"/>
              <w:jc w:val="right"/>
            </w:pPr>
            <w:r w:rsidRPr="00907495">
              <w:t>8 (32%)</w:t>
            </w:r>
          </w:p>
        </w:tc>
      </w:tr>
      <w:tr w:rsidR="00B5678E" w:rsidRPr="00343635" w14:paraId="2F0AE327" w14:textId="77777777" w:rsidTr="00B5678E">
        <w:trPr>
          <w:trHeight w:val="294"/>
        </w:trPr>
        <w:tc>
          <w:tcPr>
            <w:tcW w:w="1565" w:type="dxa"/>
            <w:shd w:val="clear" w:color="auto" w:fill="auto"/>
            <w:vAlign w:val="center"/>
            <w:hideMark/>
          </w:tcPr>
          <w:p w14:paraId="5AC91AD7" w14:textId="3939C599" w:rsidR="00B5678E" w:rsidRPr="00907495" w:rsidRDefault="00B5678E" w:rsidP="00907495">
            <w:pPr>
              <w:pStyle w:val="DHHStabletext"/>
            </w:pPr>
            <w:proofErr w:type="spellStart"/>
            <w:r w:rsidRPr="00907495">
              <w:t>RhD</w:t>
            </w:r>
            <w:proofErr w:type="spellEnd"/>
            <w:r w:rsidRPr="00907495">
              <w:t xml:space="preserve"> Ig admin </w:t>
            </w:r>
            <w:r w:rsidRPr="00907495">
              <w:br/>
              <w:t>(n</w:t>
            </w:r>
            <w:r w:rsidR="009D1F2F">
              <w:t> </w:t>
            </w:r>
            <w:r w:rsidRPr="00907495">
              <w:t>=</w:t>
            </w:r>
            <w:r w:rsidR="009D1F2F">
              <w:t> </w:t>
            </w:r>
            <w:r w:rsidRPr="00907495">
              <w:t>10)</w:t>
            </w:r>
          </w:p>
        </w:tc>
        <w:tc>
          <w:tcPr>
            <w:tcW w:w="1842" w:type="dxa"/>
            <w:shd w:val="clear" w:color="auto" w:fill="auto"/>
            <w:vAlign w:val="center"/>
            <w:hideMark/>
          </w:tcPr>
          <w:p w14:paraId="7017824B" w14:textId="77777777" w:rsidR="00B5678E" w:rsidRPr="00907495" w:rsidRDefault="00B5678E" w:rsidP="00907495">
            <w:pPr>
              <w:pStyle w:val="DHHStabletext"/>
              <w:jc w:val="right"/>
            </w:pPr>
            <w:r w:rsidRPr="00907495">
              <w:t>10</w:t>
            </w:r>
          </w:p>
        </w:tc>
        <w:tc>
          <w:tcPr>
            <w:tcW w:w="1560" w:type="dxa"/>
            <w:shd w:val="clear" w:color="auto" w:fill="auto"/>
            <w:vAlign w:val="center"/>
            <w:hideMark/>
          </w:tcPr>
          <w:p w14:paraId="50EE6F6E" w14:textId="77777777" w:rsidR="00B5678E" w:rsidRPr="00907495" w:rsidRDefault="00B5678E" w:rsidP="00907495">
            <w:pPr>
              <w:pStyle w:val="DHHStabletext"/>
              <w:jc w:val="right"/>
            </w:pPr>
            <w:r w:rsidRPr="00907495">
              <w:t>6</w:t>
            </w:r>
          </w:p>
        </w:tc>
        <w:tc>
          <w:tcPr>
            <w:tcW w:w="1701" w:type="dxa"/>
            <w:shd w:val="clear" w:color="auto" w:fill="auto"/>
            <w:vAlign w:val="center"/>
            <w:hideMark/>
          </w:tcPr>
          <w:p w14:paraId="6635B649" w14:textId="77777777" w:rsidR="00B5678E" w:rsidRPr="00907495" w:rsidRDefault="00B5678E" w:rsidP="00907495">
            <w:pPr>
              <w:pStyle w:val="DHHStabletext"/>
              <w:jc w:val="right"/>
            </w:pPr>
            <w:r w:rsidRPr="00907495">
              <w:t>6</w:t>
            </w:r>
          </w:p>
        </w:tc>
        <w:tc>
          <w:tcPr>
            <w:tcW w:w="1814" w:type="dxa"/>
          </w:tcPr>
          <w:p w14:paraId="359EFADE" w14:textId="77777777" w:rsidR="00B5678E" w:rsidRPr="00907495" w:rsidRDefault="00B5678E" w:rsidP="00907495">
            <w:pPr>
              <w:pStyle w:val="DHHStabletext"/>
              <w:jc w:val="right"/>
            </w:pPr>
            <w:r w:rsidRPr="00907495">
              <w:t>5 (50%)</w:t>
            </w:r>
          </w:p>
        </w:tc>
      </w:tr>
      <w:tr w:rsidR="00B5678E" w:rsidRPr="00343635" w14:paraId="1FCD78F6" w14:textId="77777777" w:rsidTr="00B5678E">
        <w:trPr>
          <w:trHeight w:val="294"/>
        </w:trPr>
        <w:tc>
          <w:tcPr>
            <w:tcW w:w="1565" w:type="dxa"/>
            <w:shd w:val="clear" w:color="auto" w:fill="auto"/>
            <w:vAlign w:val="center"/>
            <w:hideMark/>
          </w:tcPr>
          <w:p w14:paraId="4FB9141A" w14:textId="2CB7AF22" w:rsidR="00B5678E" w:rsidRPr="00907495" w:rsidRDefault="00B5678E" w:rsidP="00907495">
            <w:pPr>
              <w:pStyle w:val="DHHStabletext"/>
            </w:pPr>
            <w:r w:rsidRPr="00907495">
              <w:t xml:space="preserve">TACO </w:t>
            </w:r>
            <w:r w:rsidRPr="00907495">
              <w:br/>
              <w:t>(n</w:t>
            </w:r>
            <w:r w:rsidR="009D1F2F">
              <w:t> </w:t>
            </w:r>
            <w:r w:rsidRPr="00907495">
              <w:t>=</w:t>
            </w:r>
            <w:r w:rsidR="009D1F2F">
              <w:t> </w:t>
            </w:r>
            <w:r w:rsidRPr="00907495">
              <w:t>19)</w:t>
            </w:r>
          </w:p>
        </w:tc>
        <w:tc>
          <w:tcPr>
            <w:tcW w:w="1842" w:type="dxa"/>
            <w:shd w:val="clear" w:color="auto" w:fill="auto"/>
            <w:vAlign w:val="center"/>
            <w:hideMark/>
          </w:tcPr>
          <w:p w14:paraId="0A45077C" w14:textId="77777777" w:rsidR="00B5678E" w:rsidRPr="00907495" w:rsidRDefault="00B5678E" w:rsidP="00907495">
            <w:pPr>
              <w:pStyle w:val="DHHStabletext"/>
              <w:jc w:val="right"/>
            </w:pPr>
            <w:r w:rsidRPr="00907495">
              <w:t>16</w:t>
            </w:r>
          </w:p>
        </w:tc>
        <w:tc>
          <w:tcPr>
            <w:tcW w:w="1560" w:type="dxa"/>
            <w:shd w:val="clear" w:color="auto" w:fill="auto"/>
            <w:vAlign w:val="center"/>
            <w:hideMark/>
          </w:tcPr>
          <w:p w14:paraId="153CD1F4" w14:textId="77777777" w:rsidR="00B5678E" w:rsidRPr="00907495" w:rsidRDefault="00B5678E" w:rsidP="00907495">
            <w:pPr>
              <w:pStyle w:val="DHHStabletext"/>
              <w:jc w:val="right"/>
            </w:pPr>
            <w:r w:rsidRPr="00907495">
              <w:t>8</w:t>
            </w:r>
          </w:p>
        </w:tc>
        <w:tc>
          <w:tcPr>
            <w:tcW w:w="1701" w:type="dxa"/>
            <w:shd w:val="clear" w:color="auto" w:fill="auto"/>
            <w:vAlign w:val="center"/>
            <w:hideMark/>
          </w:tcPr>
          <w:p w14:paraId="594F3011" w14:textId="77777777" w:rsidR="00B5678E" w:rsidRPr="00907495" w:rsidRDefault="00B5678E" w:rsidP="00907495">
            <w:pPr>
              <w:pStyle w:val="DHHStabletext"/>
              <w:jc w:val="right"/>
            </w:pPr>
            <w:r w:rsidRPr="00907495">
              <w:t>7</w:t>
            </w:r>
          </w:p>
        </w:tc>
        <w:tc>
          <w:tcPr>
            <w:tcW w:w="1814" w:type="dxa"/>
          </w:tcPr>
          <w:p w14:paraId="4DF3DF61" w14:textId="77777777" w:rsidR="00B5678E" w:rsidRPr="00907495" w:rsidRDefault="00B5678E" w:rsidP="00907495">
            <w:pPr>
              <w:pStyle w:val="DHHStabletext"/>
              <w:jc w:val="right"/>
            </w:pPr>
            <w:r w:rsidRPr="00907495">
              <w:t>1 (5%)</w:t>
            </w:r>
          </w:p>
        </w:tc>
      </w:tr>
      <w:tr w:rsidR="00B5678E" w:rsidRPr="00343635" w14:paraId="4AA36745" w14:textId="77777777" w:rsidTr="00B5678E">
        <w:trPr>
          <w:trHeight w:val="294"/>
        </w:trPr>
        <w:tc>
          <w:tcPr>
            <w:tcW w:w="1565" w:type="dxa"/>
            <w:shd w:val="clear" w:color="auto" w:fill="auto"/>
            <w:vAlign w:val="center"/>
          </w:tcPr>
          <w:p w14:paraId="28A63E59" w14:textId="2EBE2D10" w:rsidR="00B5678E" w:rsidRPr="00907495" w:rsidRDefault="00B5678E" w:rsidP="00907495">
            <w:pPr>
              <w:pStyle w:val="DHHStabletext"/>
            </w:pPr>
            <w:r w:rsidRPr="00907495">
              <w:t xml:space="preserve">WBIT </w:t>
            </w:r>
            <w:r w:rsidRPr="00907495">
              <w:br/>
              <w:t>(n</w:t>
            </w:r>
            <w:r w:rsidR="009D1F2F">
              <w:t> </w:t>
            </w:r>
            <w:r w:rsidRPr="00907495">
              <w:t>=</w:t>
            </w:r>
            <w:r w:rsidR="009D1F2F">
              <w:t> </w:t>
            </w:r>
            <w:r w:rsidRPr="00907495">
              <w:t>18)</w:t>
            </w:r>
          </w:p>
        </w:tc>
        <w:tc>
          <w:tcPr>
            <w:tcW w:w="1842" w:type="dxa"/>
            <w:shd w:val="clear" w:color="auto" w:fill="auto"/>
            <w:vAlign w:val="center"/>
          </w:tcPr>
          <w:p w14:paraId="0CB2B307" w14:textId="77777777" w:rsidR="00B5678E" w:rsidRPr="00907495" w:rsidRDefault="00B5678E" w:rsidP="00907495">
            <w:pPr>
              <w:pStyle w:val="DHHStabletext"/>
              <w:jc w:val="right"/>
            </w:pPr>
            <w:r w:rsidRPr="00907495">
              <w:t>16</w:t>
            </w:r>
          </w:p>
        </w:tc>
        <w:tc>
          <w:tcPr>
            <w:tcW w:w="1560" w:type="dxa"/>
            <w:shd w:val="clear" w:color="auto" w:fill="auto"/>
            <w:vAlign w:val="center"/>
          </w:tcPr>
          <w:p w14:paraId="3E8ACD17" w14:textId="77777777" w:rsidR="00B5678E" w:rsidRPr="00907495" w:rsidRDefault="00B5678E" w:rsidP="00907495">
            <w:pPr>
              <w:pStyle w:val="DHHStabletext"/>
              <w:jc w:val="right"/>
            </w:pPr>
            <w:r w:rsidRPr="00907495">
              <w:t>6</w:t>
            </w:r>
          </w:p>
        </w:tc>
        <w:tc>
          <w:tcPr>
            <w:tcW w:w="1701" w:type="dxa"/>
            <w:shd w:val="clear" w:color="auto" w:fill="auto"/>
            <w:vAlign w:val="center"/>
          </w:tcPr>
          <w:p w14:paraId="6DEAB203" w14:textId="77777777" w:rsidR="00B5678E" w:rsidRPr="00907495" w:rsidRDefault="00B5678E" w:rsidP="00907495">
            <w:pPr>
              <w:pStyle w:val="DHHStabletext"/>
              <w:jc w:val="right"/>
            </w:pPr>
            <w:r w:rsidRPr="00907495">
              <w:t>9</w:t>
            </w:r>
          </w:p>
        </w:tc>
        <w:tc>
          <w:tcPr>
            <w:tcW w:w="1814" w:type="dxa"/>
          </w:tcPr>
          <w:p w14:paraId="5FBC01F1" w14:textId="77777777" w:rsidR="00B5678E" w:rsidRPr="00907495" w:rsidRDefault="00B5678E" w:rsidP="00907495">
            <w:pPr>
              <w:pStyle w:val="DHHStabletext"/>
              <w:jc w:val="right"/>
            </w:pPr>
            <w:r w:rsidRPr="00907495">
              <w:t>3 (17%)</w:t>
            </w:r>
          </w:p>
        </w:tc>
      </w:tr>
      <w:tr w:rsidR="00B5678E" w:rsidRPr="00343635" w14:paraId="4C4B6707" w14:textId="77777777" w:rsidTr="00B5678E">
        <w:trPr>
          <w:trHeight w:val="294"/>
        </w:trPr>
        <w:tc>
          <w:tcPr>
            <w:tcW w:w="1565" w:type="dxa"/>
            <w:shd w:val="clear" w:color="auto" w:fill="auto"/>
            <w:vAlign w:val="center"/>
          </w:tcPr>
          <w:p w14:paraId="79BDB168" w14:textId="487F1FD5" w:rsidR="00B5678E" w:rsidRPr="00907495" w:rsidRDefault="00B5678E" w:rsidP="00907495">
            <w:pPr>
              <w:pStyle w:val="DHHStabletext"/>
            </w:pPr>
            <w:r w:rsidRPr="00907495">
              <w:t xml:space="preserve">Delayed </w:t>
            </w:r>
            <w:r w:rsidRPr="00907495">
              <w:br/>
              <w:t>(n</w:t>
            </w:r>
            <w:r w:rsidR="009D1F2F">
              <w:t> </w:t>
            </w:r>
            <w:r w:rsidRPr="00907495">
              <w:t>=</w:t>
            </w:r>
            <w:r w:rsidR="009D1F2F">
              <w:t> </w:t>
            </w:r>
            <w:r w:rsidRPr="00907495">
              <w:t>7)</w:t>
            </w:r>
          </w:p>
        </w:tc>
        <w:tc>
          <w:tcPr>
            <w:tcW w:w="1842" w:type="dxa"/>
            <w:shd w:val="clear" w:color="auto" w:fill="auto"/>
            <w:vAlign w:val="center"/>
          </w:tcPr>
          <w:p w14:paraId="7D4BDFD5" w14:textId="77777777" w:rsidR="00B5678E" w:rsidRPr="00907495" w:rsidRDefault="00B5678E" w:rsidP="00907495">
            <w:pPr>
              <w:pStyle w:val="DHHStabletext"/>
              <w:jc w:val="right"/>
            </w:pPr>
            <w:r w:rsidRPr="00907495">
              <w:t>7</w:t>
            </w:r>
          </w:p>
        </w:tc>
        <w:tc>
          <w:tcPr>
            <w:tcW w:w="1560" w:type="dxa"/>
            <w:shd w:val="clear" w:color="auto" w:fill="auto"/>
            <w:vAlign w:val="center"/>
          </w:tcPr>
          <w:p w14:paraId="62D6F4B9" w14:textId="77777777" w:rsidR="00B5678E" w:rsidRPr="00907495" w:rsidRDefault="00B5678E" w:rsidP="00907495">
            <w:pPr>
              <w:pStyle w:val="DHHStabletext"/>
              <w:jc w:val="right"/>
            </w:pPr>
            <w:r w:rsidRPr="00907495">
              <w:t>2</w:t>
            </w:r>
          </w:p>
        </w:tc>
        <w:tc>
          <w:tcPr>
            <w:tcW w:w="1701" w:type="dxa"/>
            <w:shd w:val="clear" w:color="auto" w:fill="auto"/>
            <w:vAlign w:val="center"/>
          </w:tcPr>
          <w:p w14:paraId="6B775145" w14:textId="77777777" w:rsidR="00B5678E" w:rsidRPr="00907495" w:rsidRDefault="00B5678E" w:rsidP="00907495">
            <w:pPr>
              <w:pStyle w:val="DHHStabletext"/>
              <w:jc w:val="right"/>
            </w:pPr>
            <w:r w:rsidRPr="00907495">
              <w:t>3</w:t>
            </w:r>
          </w:p>
        </w:tc>
        <w:tc>
          <w:tcPr>
            <w:tcW w:w="1814" w:type="dxa"/>
          </w:tcPr>
          <w:p w14:paraId="5B75ABC4" w14:textId="77777777" w:rsidR="00B5678E" w:rsidRPr="00907495" w:rsidRDefault="00B5678E" w:rsidP="00907495">
            <w:pPr>
              <w:pStyle w:val="DHHStabletext"/>
              <w:jc w:val="right"/>
            </w:pPr>
            <w:r w:rsidRPr="00907495">
              <w:t>0</w:t>
            </w:r>
          </w:p>
        </w:tc>
      </w:tr>
    </w:tbl>
    <w:p w14:paraId="03BC55CF" w14:textId="77777777" w:rsidR="00B5678E" w:rsidRPr="00343635" w:rsidRDefault="00B5678E" w:rsidP="00907495">
      <w:pPr>
        <w:pStyle w:val="DHHStablefigurenote"/>
      </w:pPr>
      <w:r w:rsidRPr="00343635">
        <w:t>Note: multiple answers may be given</w:t>
      </w:r>
    </w:p>
    <w:p w14:paraId="4C98D2F1" w14:textId="3727D1DF" w:rsidR="00B5678E" w:rsidRPr="00343635" w:rsidRDefault="00B5678E" w:rsidP="00907495">
      <w:pPr>
        <w:pStyle w:val="Heading1"/>
      </w:pPr>
      <w:bookmarkStart w:id="15" w:name="_Toc24287416"/>
      <w:r w:rsidRPr="00907495">
        <w:lastRenderedPageBreak/>
        <w:t>Clinical</w:t>
      </w:r>
      <w:r w:rsidRPr="00343635">
        <w:t xml:space="preserve"> </w:t>
      </w:r>
      <w:r w:rsidR="00E539DD">
        <w:t>r</w:t>
      </w:r>
      <w:r w:rsidR="00E539DD" w:rsidRPr="00343635">
        <w:t>eports</w:t>
      </w:r>
      <w:bookmarkEnd w:id="15"/>
    </w:p>
    <w:p w14:paraId="65ECA71E" w14:textId="669D2965" w:rsidR="00B5678E" w:rsidRDefault="00B5678E" w:rsidP="00907495">
      <w:pPr>
        <w:pStyle w:val="DHHSbody"/>
      </w:pPr>
      <w:r w:rsidRPr="00343635">
        <w:t>In this year’s report, 71 clinical events were validated from an initial 75 reports, with FNHTR reactions representing the largest proportion</w:t>
      </w:r>
      <w:r w:rsidR="004140C9">
        <w:t xml:space="preserve"> (Figure 4)</w:t>
      </w:r>
      <w:r w:rsidRPr="00343635">
        <w:t xml:space="preserve">. </w:t>
      </w:r>
    </w:p>
    <w:p w14:paraId="629CA99F" w14:textId="4F83B2F4" w:rsidR="004140C9" w:rsidRDefault="004140C9" w:rsidP="00907495">
      <w:pPr>
        <w:pStyle w:val="DHHSbody"/>
        <w:rPr>
          <w:b/>
        </w:rPr>
      </w:pPr>
      <w:r w:rsidRPr="004140C9">
        <w:rPr>
          <w:b/>
        </w:rPr>
        <w:t>Figure 4: Validated clinical events</w:t>
      </w:r>
    </w:p>
    <w:p w14:paraId="1B2EDBC6" w14:textId="1A897B29" w:rsidR="004140C9" w:rsidRPr="003F0A1B" w:rsidRDefault="003F0A1B" w:rsidP="00907495">
      <w:pPr>
        <w:pStyle w:val="DHHSbody"/>
        <w:rPr>
          <w:b/>
        </w:rPr>
      </w:pPr>
      <w:r>
        <w:rPr>
          <w:b/>
          <w:noProof/>
        </w:rPr>
        <w:drawing>
          <wp:inline distT="0" distB="0" distL="0" distR="0" wp14:anchorId="3C6D0BCA" wp14:editId="23F6599A">
            <wp:extent cx="5903988" cy="2560325"/>
            <wp:effectExtent l="0" t="0" r="0" b="0"/>
            <wp:docPr id="15" name="Picture 15" descr="Figure 4&#10;This figure describes that there were 43 acute transfusion reactions made up of 24 febrile non haemolytic, 16 allergic/anaphylactic, 1 acute haemolytic and 2 other. Other clinical events include 1 viral, 1 TRALI, 19 TACO, 4 DSTR and 3 DHT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e 4.png"/>
                    <pic:cNvPicPr/>
                  </pic:nvPicPr>
                  <pic:blipFill>
                    <a:blip r:embed="rId19"/>
                    <a:stretch>
                      <a:fillRect/>
                    </a:stretch>
                  </pic:blipFill>
                  <pic:spPr>
                    <a:xfrm>
                      <a:off x="0" y="0"/>
                      <a:ext cx="5903988" cy="2560325"/>
                    </a:xfrm>
                    <a:prstGeom prst="rect">
                      <a:avLst/>
                    </a:prstGeom>
                  </pic:spPr>
                </pic:pic>
              </a:graphicData>
            </a:graphic>
          </wp:inline>
        </w:drawing>
      </w:r>
    </w:p>
    <w:p w14:paraId="44DEC5C7" w14:textId="1E95E3F4" w:rsidR="00B5678E" w:rsidRPr="00907495" w:rsidRDefault="00B5678E" w:rsidP="00907495">
      <w:pPr>
        <w:pStyle w:val="Heading2"/>
      </w:pPr>
      <w:bookmarkStart w:id="16" w:name="_Toc24287417"/>
      <w:r w:rsidRPr="00343635">
        <w:t>FNHTR</w:t>
      </w:r>
      <w:bookmarkEnd w:id="16"/>
    </w:p>
    <w:p w14:paraId="31562FA5" w14:textId="0DAB2C4F" w:rsidR="00B5678E" w:rsidRPr="00343635" w:rsidRDefault="00B5678E" w:rsidP="00907495">
      <w:pPr>
        <w:pStyle w:val="DHHSbody"/>
      </w:pPr>
      <w:r w:rsidRPr="00343635">
        <w:t>Febrile non-haemolytic transfusion reactions involve patients presenting with an unexpected temperature rise (≥</w:t>
      </w:r>
      <w:r w:rsidR="00E539DD">
        <w:t> </w:t>
      </w:r>
      <w:r w:rsidRPr="00343635">
        <w:t>38.5ºC or ≥</w:t>
      </w:r>
      <w:r w:rsidR="00E539DD">
        <w:t> </w:t>
      </w:r>
      <w:r w:rsidRPr="00343635">
        <w:t>1.5ºC above baseline) during or within four hours of the transfusion, which cannot be attributed to any other reason (</w:t>
      </w:r>
      <w:r w:rsidRPr="00080269">
        <w:rPr>
          <w:i/>
          <w:iCs/>
        </w:rPr>
        <w:t xml:space="preserve">STIR </w:t>
      </w:r>
      <w:r w:rsidR="008A1B3C">
        <w:rPr>
          <w:i/>
          <w:iCs/>
        </w:rPr>
        <w:t xml:space="preserve">reporting </w:t>
      </w:r>
      <w:r w:rsidR="00E539DD">
        <w:rPr>
          <w:i/>
          <w:iCs/>
        </w:rPr>
        <w:t>g</w:t>
      </w:r>
      <w:r w:rsidRPr="00080269">
        <w:rPr>
          <w:i/>
          <w:iCs/>
        </w:rPr>
        <w:t>uide</w:t>
      </w:r>
      <w:r w:rsidRPr="00343635">
        <w:t xml:space="preserve"> 2017).</w:t>
      </w:r>
    </w:p>
    <w:p w14:paraId="526EAA4D" w14:textId="57EB563D" w:rsidR="00B5678E" w:rsidRPr="00343635" w:rsidRDefault="00B5678E" w:rsidP="00907495">
      <w:pPr>
        <w:pStyle w:val="DHHStablecaption"/>
      </w:pPr>
      <w:r w:rsidRPr="00343635">
        <w:t>Table 11</w:t>
      </w:r>
      <w:r w:rsidR="00E539DD">
        <w:t>:</w:t>
      </w:r>
      <w:r w:rsidRPr="00343635">
        <w:t xml:space="preserve"> Data summary</w:t>
      </w:r>
      <w:r w:rsidR="00E539DD">
        <w:t xml:space="preserve"> –</w:t>
      </w:r>
      <w:r w:rsidRPr="00343635">
        <w:t xml:space="preserve"> </w:t>
      </w:r>
      <w:r w:rsidR="00E6689D">
        <w:t>f</w:t>
      </w:r>
      <w:r w:rsidR="00E6689D" w:rsidRPr="00343635">
        <w:t xml:space="preserve">ebrile </w:t>
      </w:r>
      <w:r w:rsidRPr="00343635">
        <w:t>non-</w:t>
      </w:r>
      <w:r w:rsidRPr="00907495">
        <w:t>haemolytic</w:t>
      </w:r>
      <w:r w:rsidRPr="00343635">
        <w:t xml:space="preserve"> transfusion reaction, n</w:t>
      </w:r>
      <w:r w:rsidR="00E539DD">
        <w:t> </w:t>
      </w:r>
      <w:r w:rsidRPr="00343635">
        <w:t>=</w:t>
      </w:r>
      <w:r w:rsidR="00E539DD">
        <w:t> </w:t>
      </w:r>
      <w:r w:rsidRPr="00343635">
        <w:t>24</w:t>
      </w:r>
    </w:p>
    <w:tbl>
      <w:tblPr>
        <w:tblStyle w:val="TableGrid"/>
        <w:tblW w:w="0" w:type="auto"/>
        <w:tblLook w:val="04A0" w:firstRow="1" w:lastRow="0" w:firstColumn="1" w:lastColumn="0" w:noHBand="0" w:noVBand="1"/>
      </w:tblPr>
      <w:tblGrid>
        <w:gridCol w:w="1895"/>
        <w:gridCol w:w="1066"/>
        <w:gridCol w:w="1342"/>
      </w:tblGrid>
      <w:tr w:rsidR="00E539DD" w:rsidRPr="00343635" w14:paraId="5EFD84C3" w14:textId="77777777" w:rsidTr="00E56E6D">
        <w:trPr>
          <w:tblHeader/>
        </w:trPr>
        <w:tc>
          <w:tcPr>
            <w:tcW w:w="1895" w:type="dxa"/>
          </w:tcPr>
          <w:p w14:paraId="55FC98C4" w14:textId="57E5E70E" w:rsidR="00E539DD" w:rsidRPr="00907495" w:rsidRDefault="00023E90" w:rsidP="00907495">
            <w:pPr>
              <w:pStyle w:val="DHHStablecolhead"/>
            </w:pPr>
            <w:r>
              <w:t>Characteristic</w:t>
            </w:r>
          </w:p>
        </w:tc>
        <w:tc>
          <w:tcPr>
            <w:tcW w:w="1066" w:type="dxa"/>
          </w:tcPr>
          <w:p w14:paraId="567D7709" w14:textId="77777777" w:rsidR="00E539DD" w:rsidRPr="00907495" w:rsidRDefault="00E539DD" w:rsidP="00907495">
            <w:pPr>
              <w:pStyle w:val="DHHStablecolhead"/>
            </w:pPr>
            <w:r w:rsidRPr="00907495">
              <w:t>Number</w:t>
            </w:r>
          </w:p>
        </w:tc>
        <w:tc>
          <w:tcPr>
            <w:tcW w:w="1342" w:type="dxa"/>
          </w:tcPr>
          <w:p w14:paraId="264C7A53" w14:textId="77777777" w:rsidR="00E539DD" w:rsidRPr="00907495" w:rsidRDefault="00E539DD" w:rsidP="00907495">
            <w:pPr>
              <w:pStyle w:val="DHHStablecolhead"/>
            </w:pPr>
            <w:r w:rsidRPr="00907495">
              <w:t>Percentage</w:t>
            </w:r>
          </w:p>
        </w:tc>
      </w:tr>
      <w:tr w:rsidR="00E539DD" w:rsidRPr="00343635" w14:paraId="6588A1E5" w14:textId="77777777" w:rsidTr="00E56E6D">
        <w:tc>
          <w:tcPr>
            <w:tcW w:w="1895" w:type="dxa"/>
          </w:tcPr>
          <w:p w14:paraId="765C5332" w14:textId="6475E94C" w:rsidR="00E539DD" w:rsidRPr="00907495" w:rsidRDefault="00E539DD" w:rsidP="00907495">
            <w:pPr>
              <w:pStyle w:val="DHHStabletext"/>
            </w:pPr>
            <w:r>
              <w:t xml:space="preserve">Age: </w:t>
            </w:r>
            <w:r w:rsidRPr="00907495">
              <w:t>&lt; 1 year</w:t>
            </w:r>
          </w:p>
        </w:tc>
        <w:tc>
          <w:tcPr>
            <w:tcW w:w="1066" w:type="dxa"/>
          </w:tcPr>
          <w:p w14:paraId="4EF098B4" w14:textId="7A5846A3" w:rsidR="00E539DD" w:rsidRPr="00907495" w:rsidRDefault="00FC2B57" w:rsidP="00881FA7">
            <w:pPr>
              <w:pStyle w:val="DHHStabletext"/>
              <w:jc w:val="right"/>
            </w:pPr>
            <w:r>
              <w:t>-</w:t>
            </w:r>
          </w:p>
        </w:tc>
        <w:tc>
          <w:tcPr>
            <w:tcW w:w="1342" w:type="dxa"/>
          </w:tcPr>
          <w:p w14:paraId="7F1F0ED3" w14:textId="279ACB4F" w:rsidR="00E539DD" w:rsidRPr="00907495" w:rsidRDefault="00FC2B57" w:rsidP="00881FA7">
            <w:pPr>
              <w:pStyle w:val="DHHStabletext"/>
              <w:jc w:val="right"/>
            </w:pPr>
            <w:r>
              <w:t>-</w:t>
            </w:r>
          </w:p>
        </w:tc>
      </w:tr>
      <w:tr w:rsidR="00E539DD" w:rsidRPr="00343635" w14:paraId="49C7C729" w14:textId="77777777" w:rsidTr="00E56E6D">
        <w:tc>
          <w:tcPr>
            <w:tcW w:w="1895" w:type="dxa"/>
          </w:tcPr>
          <w:p w14:paraId="3684553A" w14:textId="058E17B4" w:rsidR="00E539DD" w:rsidRPr="00907495" w:rsidRDefault="00E539DD" w:rsidP="00907495">
            <w:pPr>
              <w:pStyle w:val="DHHStabletext"/>
            </w:pPr>
            <w:r>
              <w:t xml:space="preserve">Age: </w:t>
            </w:r>
            <w:r w:rsidRPr="00907495">
              <w:t>1–18 years</w:t>
            </w:r>
          </w:p>
        </w:tc>
        <w:tc>
          <w:tcPr>
            <w:tcW w:w="1066" w:type="dxa"/>
          </w:tcPr>
          <w:p w14:paraId="0DC66C5D" w14:textId="77777777" w:rsidR="00E539DD" w:rsidRPr="00907495" w:rsidRDefault="00E539DD" w:rsidP="00881FA7">
            <w:pPr>
              <w:pStyle w:val="DHHStabletext"/>
              <w:jc w:val="right"/>
            </w:pPr>
            <w:r w:rsidRPr="00907495">
              <w:t>1</w:t>
            </w:r>
          </w:p>
        </w:tc>
        <w:tc>
          <w:tcPr>
            <w:tcW w:w="1342" w:type="dxa"/>
          </w:tcPr>
          <w:p w14:paraId="1037DA8B" w14:textId="77777777" w:rsidR="00E539DD" w:rsidRPr="00907495" w:rsidRDefault="00E539DD" w:rsidP="00881FA7">
            <w:pPr>
              <w:pStyle w:val="DHHStabletext"/>
              <w:jc w:val="right"/>
            </w:pPr>
            <w:r w:rsidRPr="00907495">
              <w:t>4%</w:t>
            </w:r>
          </w:p>
        </w:tc>
      </w:tr>
      <w:tr w:rsidR="00E539DD" w:rsidRPr="00343635" w14:paraId="3E61FC0F" w14:textId="77777777" w:rsidTr="00E56E6D">
        <w:tc>
          <w:tcPr>
            <w:tcW w:w="1895" w:type="dxa"/>
          </w:tcPr>
          <w:p w14:paraId="26223323" w14:textId="51DD9828" w:rsidR="00E539DD" w:rsidRPr="00907495" w:rsidRDefault="00E539DD" w:rsidP="00907495">
            <w:pPr>
              <w:pStyle w:val="DHHStabletext"/>
            </w:pPr>
            <w:r>
              <w:t xml:space="preserve">Age: </w:t>
            </w:r>
            <w:r w:rsidRPr="00907495">
              <w:t>19–29 years</w:t>
            </w:r>
          </w:p>
        </w:tc>
        <w:tc>
          <w:tcPr>
            <w:tcW w:w="1066" w:type="dxa"/>
          </w:tcPr>
          <w:p w14:paraId="09108927" w14:textId="77777777" w:rsidR="00E539DD" w:rsidRPr="00907495" w:rsidRDefault="00E539DD" w:rsidP="00881FA7">
            <w:pPr>
              <w:pStyle w:val="DHHStabletext"/>
              <w:jc w:val="right"/>
            </w:pPr>
            <w:r w:rsidRPr="00907495">
              <w:t>2</w:t>
            </w:r>
          </w:p>
        </w:tc>
        <w:tc>
          <w:tcPr>
            <w:tcW w:w="1342" w:type="dxa"/>
          </w:tcPr>
          <w:p w14:paraId="5A6A62ED" w14:textId="77777777" w:rsidR="00E539DD" w:rsidRPr="00907495" w:rsidRDefault="00E539DD" w:rsidP="00881FA7">
            <w:pPr>
              <w:pStyle w:val="DHHStabletext"/>
              <w:jc w:val="right"/>
            </w:pPr>
            <w:r w:rsidRPr="00907495">
              <w:t>8%</w:t>
            </w:r>
          </w:p>
        </w:tc>
      </w:tr>
      <w:tr w:rsidR="00E539DD" w:rsidRPr="00343635" w14:paraId="133B350D" w14:textId="77777777" w:rsidTr="00E56E6D">
        <w:tc>
          <w:tcPr>
            <w:tcW w:w="1895" w:type="dxa"/>
          </w:tcPr>
          <w:p w14:paraId="01FD284D" w14:textId="6C424D9D" w:rsidR="00E539DD" w:rsidRPr="00907495" w:rsidRDefault="00E539DD" w:rsidP="00907495">
            <w:pPr>
              <w:pStyle w:val="DHHStabletext"/>
            </w:pPr>
            <w:r>
              <w:t xml:space="preserve">Age: </w:t>
            </w:r>
            <w:r w:rsidRPr="00907495">
              <w:t>30–49 years</w:t>
            </w:r>
          </w:p>
        </w:tc>
        <w:tc>
          <w:tcPr>
            <w:tcW w:w="1066" w:type="dxa"/>
          </w:tcPr>
          <w:p w14:paraId="67FFCE70" w14:textId="77777777" w:rsidR="00E539DD" w:rsidRPr="00907495" w:rsidRDefault="00E539DD" w:rsidP="00881FA7">
            <w:pPr>
              <w:pStyle w:val="DHHStabletext"/>
              <w:jc w:val="right"/>
            </w:pPr>
            <w:r w:rsidRPr="00907495">
              <w:t>2</w:t>
            </w:r>
          </w:p>
        </w:tc>
        <w:tc>
          <w:tcPr>
            <w:tcW w:w="1342" w:type="dxa"/>
          </w:tcPr>
          <w:p w14:paraId="5B9F8EEE" w14:textId="77777777" w:rsidR="00E539DD" w:rsidRPr="00907495" w:rsidRDefault="00E539DD" w:rsidP="00881FA7">
            <w:pPr>
              <w:pStyle w:val="DHHStabletext"/>
              <w:jc w:val="right"/>
            </w:pPr>
            <w:r w:rsidRPr="00907495">
              <w:t>8%</w:t>
            </w:r>
          </w:p>
        </w:tc>
      </w:tr>
      <w:tr w:rsidR="00E539DD" w:rsidRPr="00343635" w14:paraId="765807C2" w14:textId="77777777" w:rsidTr="00E56E6D">
        <w:tc>
          <w:tcPr>
            <w:tcW w:w="1895" w:type="dxa"/>
          </w:tcPr>
          <w:p w14:paraId="7A4BB74B" w14:textId="59DBE8FE" w:rsidR="00E539DD" w:rsidRPr="00907495" w:rsidRDefault="00E539DD" w:rsidP="00907495">
            <w:pPr>
              <w:pStyle w:val="DHHStabletext"/>
            </w:pPr>
            <w:r>
              <w:t xml:space="preserve">Age: </w:t>
            </w:r>
            <w:r w:rsidRPr="00907495">
              <w:t>50–69 years</w:t>
            </w:r>
          </w:p>
        </w:tc>
        <w:tc>
          <w:tcPr>
            <w:tcW w:w="1066" w:type="dxa"/>
          </w:tcPr>
          <w:p w14:paraId="45C3BF7E" w14:textId="77777777" w:rsidR="00E539DD" w:rsidRPr="00907495" w:rsidRDefault="00E539DD" w:rsidP="00881FA7">
            <w:pPr>
              <w:pStyle w:val="DHHStabletext"/>
              <w:jc w:val="right"/>
            </w:pPr>
            <w:r w:rsidRPr="00907495">
              <w:t>10</w:t>
            </w:r>
          </w:p>
        </w:tc>
        <w:tc>
          <w:tcPr>
            <w:tcW w:w="1342" w:type="dxa"/>
          </w:tcPr>
          <w:p w14:paraId="0196195F" w14:textId="77777777" w:rsidR="00E539DD" w:rsidRPr="00907495" w:rsidRDefault="00E539DD" w:rsidP="00881FA7">
            <w:pPr>
              <w:pStyle w:val="DHHStabletext"/>
              <w:jc w:val="right"/>
            </w:pPr>
            <w:r w:rsidRPr="00907495">
              <w:t>42%</w:t>
            </w:r>
          </w:p>
        </w:tc>
      </w:tr>
      <w:tr w:rsidR="00E539DD" w:rsidRPr="00343635" w14:paraId="27749A32" w14:textId="77777777" w:rsidTr="00E56E6D">
        <w:tc>
          <w:tcPr>
            <w:tcW w:w="1895" w:type="dxa"/>
          </w:tcPr>
          <w:p w14:paraId="568F9A16" w14:textId="65D34EA2" w:rsidR="00E539DD" w:rsidRPr="00907495" w:rsidRDefault="00E539DD" w:rsidP="00907495">
            <w:pPr>
              <w:pStyle w:val="DHHStabletext"/>
            </w:pPr>
            <w:r>
              <w:t xml:space="preserve">Age: </w:t>
            </w:r>
            <w:r w:rsidRPr="00907495">
              <w:t>70–79 years</w:t>
            </w:r>
          </w:p>
        </w:tc>
        <w:tc>
          <w:tcPr>
            <w:tcW w:w="1066" w:type="dxa"/>
          </w:tcPr>
          <w:p w14:paraId="5E171FFF" w14:textId="77777777" w:rsidR="00E539DD" w:rsidRPr="00907495" w:rsidRDefault="00E539DD" w:rsidP="00881FA7">
            <w:pPr>
              <w:pStyle w:val="DHHStabletext"/>
              <w:jc w:val="right"/>
            </w:pPr>
            <w:r w:rsidRPr="00907495">
              <w:t>5</w:t>
            </w:r>
          </w:p>
        </w:tc>
        <w:tc>
          <w:tcPr>
            <w:tcW w:w="1342" w:type="dxa"/>
          </w:tcPr>
          <w:p w14:paraId="383369F4" w14:textId="77777777" w:rsidR="00E539DD" w:rsidRPr="00907495" w:rsidRDefault="00E539DD" w:rsidP="00881FA7">
            <w:pPr>
              <w:pStyle w:val="DHHStabletext"/>
              <w:jc w:val="right"/>
            </w:pPr>
            <w:r w:rsidRPr="00907495">
              <w:t>21%</w:t>
            </w:r>
          </w:p>
        </w:tc>
      </w:tr>
      <w:tr w:rsidR="00E539DD" w:rsidRPr="00343635" w14:paraId="2F5F5D5E" w14:textId="77777777" w:rsidTr="00E56E6D">
        <w:tc>
          <w:tcPr>
            <w:tcW w:w="1895" w:type="dxa"/>
          </w:tcPr>
          <w:p w14:paraId="6B6129D0" w14:textId="02E24FCE" w:rsidR="00E539DD" w:rsidRPr="00907495" w:rsidRDefault="00E539DD" w:rsidP="00907495">
            <w:pPr>
              <w:pStyle w:val="DHHStabletext"/>
            </w:pPr>
            <w:r>
              <w:t xml:space="preserve">Age: </w:t>
            </w:r>
            <w:r w:rsidRPr="00907495">
              <w:t>80+ years</w:t>
            </w:r>
          </w:p>
        </w:tc>
        <w:tc>
          <w:tcPr>
            <w:tcW w:w="1066" w:type="dxa"/>
          </w:tcPr>
          <w:p w14:paraId="098DEE00" w14:textId="77777777" w:rsidR="00E539DD" w:rsidRPr="00907495" w:rsidRDefault="00E539DD" w:rsidP="00881FA7">
            <w:pPr>
              <w:pStyle w:val="DHHStabletext"/>
              <w:jc w:val="right"/>
            </w:pPr>
            <w:r w:rsidRPr="00907495">
              <w:t>4</w:t>
            </w:r>
          </w:p>
        </w:tc>
        <w:tc>
          <w:tcPr>
            <w:tcW w:w="1342" w:type="dxa"/>
          </w:tcPr>
          <w:p w14:paraId="24F03CF6" w14:textId="77777777" w:rsidR="00E539DD" w:rsidRPr="00907495" w:rsidRDefault="00E539DD" w:rsidP="00881FA7">
            <w:pPr>
              <w:pStyle w:val="DHHStabletext"/>
              <w:jc w:val="right"/>
            </w:pPr>
            <w:r w:rsidRPr="00907495">
              <w:t>17%</w:t>
            </w:r>
          </w:p>
        </w:tc>
      </w:tr>
      <w:tr w:rsidR="00E539DD" w:rsidRPr="00343635" w14:paraId="2E723D31" w14:textId="77777777" w:rsidTr="00E56E6D">
        <w:tc>
          <w:tcPr>
            <w:tcW w:w="1895" w:type="dxa"/>
          </w:tcPr>
          <w:p w14:paraId="7054CFB3" w14:textId="442B90CD" w:rsidR="00E539DD" w:rsidRPr="00907495" w:rsidRDefault="00E539DD" w:rsidP="00907495">
            <w:pPr>
              <w:pStyle w:val="DHHStabletext"/>
            </w:pPr>
            <w:r>
              <w:t xml:space="preserve">Gender: </w:t>
            </w:r>
            <w:r w:rsidRPr="00907495">
              <w:t>Male</w:t>
            </w:r>
          </w:p>
        </w:tc>
        <w:tc>
          <w:tcPr>
            <w:tcW w:w="1066" w:type="dxa"/>
          </w:tcPr>
          <w:p w14:paraId="00B0FD3E" w14:textId="77777777" w:rsidR="00E539DD" w:rsidRPr="00907495" w:rsidRDefault="00E539DD" w:rsidP="00881FA7">
            <w:pPr>
              <w:pStyle w:val="DHHStabletext"/>
              <w:jc w:val="right"/>
            </w:pPr>
            <w:r w:rsidRPr="00907495">
              <w:t>12</w:t>
            </w:r>
          </w:p>
        </w:tc>
        <w:tc>
          <w:tcPr>
            <w:tcW w:w="1342" w:type="dxa"/>
          </w:tcPr>
          <w:p w14:paraId="20EFE6B4" w14:textId="77777777" w:rsidR="00E539DD" w:rsidRPr="00907495" w:rsidRDefault="00E539DD" w:rsidP="00881FA7">
            <w:pPr>
              <w:pStyle w:val="DHHStabletext"/>
              <w:jc w:val="right"/>
            </w:pPr>
            <w:r w:rsidRPr="00907495">
              <w:t>50%</w:t>
            </w:r>
          </w:p>
        </w:tc>
      </w:tr>
      <w:tr w:rsidR="00E539DD" w:rsidRPr="00343635" w14:paraId="1631EEB7" w14:textId="77777777" w:rsidTr="00E56E6D">
        <w:tc>
          <w:tcPr>
            <w:tcW w:w="1895" w:type="dxa"/>
          </w:tcPr>
          <w:p w14:paraId="40DCB9F0" w14:textId="20568A8A" w:rsidR="00E539DD" w:rsidRPr="00907495" w:rsidRDefault="00E539DD" w:rsidP="00907495">
            <w:pPr>
              <w:pStyle w:val="DHHStabletext"/>
            </w:pPr>
            <w:r>
              <w:t xml:space="preserve">Gender: </w:t>
            </w:r>
            <w:r w:rsidRPr="00907495">
              <w:t>Female</w:t>
            </w:r>
          </w:p>
        </w:tc>
        <w:tc>
          <w:tcPr>
            <w:tcW w:w="1066" w:type="dxa"/>
          </w:tcPr>
          <w:p w14:paraId="6ED60679" w14:textId="77777777" w:rsidR="00E539DD" w:rsidRPr="00907495" w:rsidRDefault="00E539DD" w:rsidP="00881FA7">
            <w:pPr>
              <w:pStyle w:val="DHHStabletext"/>
              <w:jc w:val="right"/>
            </w:pPr>
            <w:r w:rsidRPr="00907495">
              <w:t>12</w:t>
            </w:r>
          </w:p>
        </w:tc>
        <w:tc>
          <w:tcPr>
            <w:tcW w:w="1342" w:type="dxa"/>
          </w:tcPr>
          <w:p w14:paraId="23C34B71" w14:textId="77777777" w:rsidR="00E539DD" w:rsidRPr="00907495" w:rsidRDefault="00E539DD" w:rsidP="00881FA7">
            <w:pPr>
              <w:pStyle w:val="DHHStabletext"/>
              <w:jc w:val="right"/>
            </w:pPr>
            <w:r w:rsidRPr="00907495">
              <w:t>50%</w:t>
            </w:r>
          </w:p>
        </w:tc>
      </w:tr>
      <w:tr w:rsidR="00E539DD" w:rsidRPr="00343635" w14:paraId="6238E284" w14:textId="77777777" w:rsidTr="00E56E6D">
        <w:tc>
          <w:tcPr>
            <w:tcW w:w="1895" w:type="dxa"/>
          </w:tcPr>
          <w:p w14:paraId="4DA117A0" w14:textId="78766558" w:rsidR="00E539DD" w:rsidRPr="00907495" w:rsidRDefault="00E539DD" w:rsidP="00907495">
            <w:pPr>
              <w:pStyle w:val="DHHStabletext"/>
            </w:pPr>
            <w:r>
              <w:t>Implicated blood product: r</w:t>
            </w:r>
            <w:r w:rsidRPr="00907495">
              <w:t>ed cells</w:t>
            </w:r>
          </w:p>
        </w:tc>
        <w:tc>
          <w:tcPr>
            <w:tcW w:w="1066" w:type="dxa"/>
          </w:tcPr>
          <w:p w14:paraId="38143EED" w14:textId="77777777" w:rsidR="00E539DD" w:rsidRPr="00907495" w:rsidRDefault="00E539DD" w:rsidP="00881FA7">
            <w:pPr>
              <w:pStyle w:val="DHHStabletext"/>
              <w:jc w:val="right"/>
            </w:pPr>
            <w:r w:rsidRPr="00907495">
              <w:t>20</w:t>
            </w:r>
          </w:p>
        </w:tc>
        <w:tc>
          <w:tcPr>
            <w:tcW w:w="1342" w:type="dxa"/>
          </w:tcPr>
          <w:p w14:paraId="7BBECFDA" w14:textId="77777777" w:rsidR="00E539DD" w:rsidRPr="00907495" w:rsidRDefault="00E539DD" w:rsidP="00881FA7">
            <w:pPr>
              <w:pStyle w:val="DHHStabletext"/>
              <w:jc w:val="right"/>
            </w:pPr>
            <w:r w:rsidRPr="00907495">
              <w:t>83%</w:t>
            </w:r>
          </w:p>
        </w:tc>
      </w:tr>
      <w:tr w:rsidR="00E539DD" w:rsidRPr="00343635" w14:paraId="39E2D007" w14:textId="77777777" w:rsidTr="00E56E6D">
        <w:tc>
          <w:tcPr>
            <w:tcW w:w="1895" w:type="dxa"/>
          </w:tcPr>
          <w:p w14:paraId="0DECF8B1" w14:textId="711AE464" w:rsidR="00E539DD" w:rsidRPr="00907495" w:rsidRDefault="00E539DD" w:rsidP="00907495">
            <w:pPr>
              <w:pStyle w:val="DHHStabletext"/>
            </w:pPr>
            <w:r>
              <w:t>Implicated blood product: p</w:t>
            </w:r>
            <w:r w:rsidRPr="00907495">
              <w:t>latelets</w:t>
            </w:r>
          </w:p>
        </w:tc>
        <w:tc>
          <w:tcPr>
            <w:tcW w:w="1066" w:type="dxa"/>
          </w:tcPr>
          <w:p w14:paraId="570D5286" w14:textId="77777777" w:rsidR="00E539DD" w:rsidRPr="00907495" w:rsidRDefault="00E539DD" w:rsidP="00881FA7">
            <w:pPr>
              <w:pStyle w:val="DHHStabletext"/>
              <w:jc w:val="right"/>
            </w:pPr>
            <w:r w:rsidRPr="00907495">
              <w:t>4</w:t>
            </w:r>
          </w:p>
        </w:tc>
        <w:tc>
          <w:tcPr>
            <w:tcW w:w="1342" w:type="dxa"/>
          </w:tcPr>
          <w:p w14:paraId="3523CFAC" w14:textId="77777777" w:rsidR="00E539DD" w:rsidRPr="00907495" w:rsidRDefault="00E539DD" w:rsidP="00881FA7">
            <w:pPr>
              <w:pStyle w:val="DHHStabletext"/>
              <w:jc w:val="right"/>
            </w:pPr>
            <w:r w:rsidRPr="00907495">
              <w:t>17%</w:t>
            </w:r>
          </w:p>
        </w:tc>
      </w:tr>
    </w:tbl>
    <w:p w14:paraId="4D536E84" w14:textId="28C597E4" w:rsidR="00B5678E" w:rsidRPr="00E6689D" w:rsidRDefault="00E6689D" w:rsidP="00080269">
      <w:pPr>
        <w:pStyle w:val="DHHStablecaption"/>
      </w:pPr>
      <w:r w:rsidRPr="00E6689D">
        <w:lastRenderedPageBreak/>
        <w:t xml:space="preserve">Table 12: Severity rating and </w:t>
      </w:r>
      <w:proofErr w:type="spellStart"/>
      <w:r w:rsidRPr="00E6689D">
        <w:t>imputability</w:t>
      </w:r>
      <w:proofErr w:type="spellEnd"/>
      <w:r w:rsidRPr="00E6689D">
        <w:t xml:space="preserve"> – febrile non-haemolytic transfusion reaction</w:t>
      </w:r>
    </w:p>
    <w:tbl>
      <w:tblPr>
        <w:tblStyle w:val="TableGrid"/>
        <w:tblW w:w="0" w:type="auto"/>
        <w:tblLook w:val="04A0" w:firstRow="1" w:lastRow="0" w:firstColumn="1" w:lastColumn="0" w:noHBand="0" w:noVBand="1"/>
      </w:tblPr>
      <w:tblGrid>
        <w:gridCol w:w="1803"/>
        <w:gridCol w:w="1803"/>
        <w:gridCol w:w="1917"/>
        <w:gridCol w:w="1850"/>
        <w:gridCol w:w="1804"/>
      </w:tblGrid>
      <w:tr w:rsidR="00E539DD" w:rsidRPr="00343635" w14:paraId="115E5D64" w14:textId="77777777" w:rsidTr="00E56E6D">
        <w:trPr>
          <w:tblHeader/>
        </w:trPr>
        <w:tc>
          <w:tcPr>
            <w:tcW w:w="1803" w:type="dxa"/>
          </w:tcPr>
          <w:p w14:paraId="653B148E" w14:textId="29728FDE" w:rsidR="00B5678E" w:rsidRPr="00343635" w:rsidRDefault="00E539DD" w:rsidP="00080269">
            <w:pPr>
              <w:pStyle w:val="DHHStablecolhead"/>
            </w:pPr>
            <w:r>
              <w:t xml:space="preserve">Severity </w:t>
            </w:r>
            <w:r w:rsidRPr="00E539DD">
              <w:t>rating</w:t>
            </w:r>
          </w:p>
        </w:tc>
        <w:tc>
          <w:tcPr>
            <w:tcW w:w="1803" w:type="dxa"/>
          </w:tcPr>
          <w:p w14:paraId="2690679A" w14:textId="2FB8C13F" w:rsidR="00B5678E" w:rsidRPr="00907495" w:rsidRDefault="00E539DD" w:rsidP="00907495">
            <w:pPr>
              <w:pStyle w:val="DHHStablecolhead"/>
            </w:pPr>
            <w:proofErr w:type="spellStart"/>
            <w:r>
              <w:t>Imputab</w:t>
            </w:r>
            <w:r w:rsidR="00172E8C">
              <w:t>i</w:t>
            </w:r>
            <w:r>
              <w:t>lity</w:t>
            </w:r>
            <w:proofErr w:type="spellEnd"/>
            <w:r>
              <w:t>:</w:t>
            </w:r>
            <w:r>
              <w:br/>
              <w:t>c</w:t>
            </w:r>
            <w:r w:rsidRPr="00907495">
              <w:t>ertain</w:t>
            </w:r>
            <w:r w:rsidR="008C412F">
              <w:t>ly</w:t>
            </w:r>
          </w:p>
        </w:tc>
        <w:tc>
          <w:tcPr>
            <w:tcW w:w="1917" w:type="dxa"/>
          </w:tcPr>
          <w:p w14:paraId="0CE33486" w14:textId="5DDA5D89" w:rsidR="00B5678E" w:rsidRPr="00907495" w:rsidRDefault="00E539DD" w:rsidP="00907495">
            <w:pPr>
              <w:pStyle w:val="DHHStablecolhead"/>
            </w:pPr>
            <w:proofErr w:type="spellStart"/>
            <w:r>
              <w:t>Imputability</w:t>
            </w:r>
            <w:proofErr w:type="spellEnd"/>
            <w:r>
              <w:t>:</w:t>
            </w:r>
            <w:r>
              <w:br/>
              <w:t>p</w:t>
            </w:r>
            <w:r w:rsidRPr="00907495">
              <w:t>robabl</w:t>
            </w:r>
            <w:r w:rsidR="008C412F">
              <w:t>y</w:t>
            </w:r>
          </w:p>
        </w:tc>
        <w:tc>
          <w:tcPr>
            <w:tcW w:w="1850" w:type="dxa"/>
          </w:tcPr>
          <w:p w14:paraId="0362A74A" w14:textId="1D432DD5" w:rsidR="00B5678E" w:rsidRPr="00907495" w:rsidRDefault="00E539DD" w:rsidP="00907495">
            <w:pPr>
              <w:pStyle w:val="DHHStablecolhead"/>
            </w:pPr>
            <w:proofErr w:type="spellStart"/>
            <w:r>
              <w:t>Imputab</w:t>
            </w:r>
            <w:r w:rsidR="00172E8C">
              <w:t>i</w:t>
            </w:r>
            <w:r>
              <w:t>lity</w:t>
            </w:r>
            <w:proofErr w:type="spellEnd"/>
            <w:r>
              <w:t>:</w:t>
            </w:r>
            <w:r>
              <w:br/>
              <w:t>p</w:t>
            </w:r>
            <w:r w:rsidRPr="00907495">
              <w:t>ossibl</w:t>
            </w:r>
            <w:r w:rsidR="008C412F">
              <w:t>y</w:t>
            </w:r>
          </w:p>
        </w:tc>
        <w:tc>
          <w:tcPr>
            <w:tcW w:w="1804" w:type="dxa"/>
          </w:tcPr>
          <w:p w14:paraId="7AB8749B" w14:textId="77777777" w:rsidR="00B5678E" w:rsidRPr="00907495" w:rsidRDefault="00B5678E" w:rsidP="00907495">
            <w:pPr>
              <w:pStyle w:val="DHHStablecolhead"/>
            </w:pPr>
            <w:r w:rsidRPr="00907495">
              <w:t>Total</w:t>
            </w:r>
          </w:p>
        </w:tc>
      </w:tr>
      <w:tr w:rsidR="00E539DD" w:rsidRPr="00343635" w14:paraId="59451120" w14:textId="77777777" w:rsidTr="00E56E6D">
        <w:tc>
          <w:tcPr>
            <w:tcW w:w="1803" w:type="dxa"/>
          </w:tcPr>
          <w:p w14:paraId="6C317B33" w14:textId="5DD3BED2" w:rsidR="00B5678E" w:rsidRPr="00907495" w:rsidRDefault="00B5678E" w:rsidP="00907495">
            <w:pPr>
              <w:pStyle w:val="DHHStabletext"/>
            </w:pPr>
            <w:r w:rsidRPr="00907495">
              <w:t>SR</w:t>
            </w:r>
            <w:r w:rsidR="00E539DD">
              <w:t> </w:t>
            </w:r>
            <w:r w:rsidRPr="00907495">
              <w:t>1</w:t>
            </w:r>
          </w:p>
        </w:tc>
        <w:tc>
          <w:tcPr>
            <w:tcW w:w="1803" w:type="dxa"/>
          </w:tcPr>
          <w:p w14:paraId="4150445F" w14:textId="77777777" w:rsidR="00B5678E" w:rsidRPr="00907495" w:rsidRDefault="00B5678E" w:rsidP="00881FA7">
            <w:pPr>
              <w:pStyle w:val="DHHStabletext"/>
              <w:jc w:val="right"/>
            </w:pPr>
            <w:r w:rsidRPr="00907495">
              <w:t>-</w:t>
            </w:r>
          </w:p>
        </w:tc>
        <w:tc>
          <w:tcPr>
            <w:tcW w:w="1917" w:type="dxa"/>
          </w:tcPr>
          <w:p w14:paraId="3F5BB944" w14:textId="77777777" w:rsidR="00B5678E" w:rsidRPr="00907495" w:rsidRDefault="00B5678E" w:rsidP="00881FA7">
            <w:pPr>
              <w:pStyle w:val="DHHStabletext"/>
              <w:jc w:val="right"/>
            </w:pPr>
            <w:r w:rsidRPr="00907495">
              <w:t>-</w:t>
            </w:r>
          </w:p>
        </w:tc>
        <w:tc>
          <w:tcPr>
            <w:tcW w:w="1850" w:type="dxa"/>
          </w:tcPr>
          <w:p w14:paraId="3CDF4DDB" w14:textId="77777777" w:rsidR="00B5678E" w:rsidRPr="00907495" w:rsidRDefault="00B5678E" w:rsidP="00881FA7">
            <w:pPr>
              <w:pStyle w:val="DHHStabletext"/>
              <w:jc w:val="right"/>
            </w:pPr>
            <w:r w:rsidRPr="00907495">
              <w:t>-</w:t>
            </w:r>
          </w:p>
        </w:tc>
        <w:tc>
          <w:tcPr>
            <w:tcW w:w="1804" w:type="dxa"/>
          </w:tcPr>
          <w:p w14:paraId="5DBA9077" w14:textId="77777777" w:rsidR="00B5678E" w:rsidRPr="00907495" w:rsidRDefault="00B5678E" w:rsidP="00881FA7">
            <w:pPr>
              <w:pStyle w:val="DHHStabletext"/>
              <w:jc w:val="right"/>
            </w:pPr>
            <w:r w:rsidRPr="00907495">
              <w:t>-</w:t>
            </w:r>
          </w:p>
        </w:tc>
      </w:tr>
      <w:tr w:rsidR="00E539DD" w:rsidRPr="00343635" w14:paraId="2DB1763B" w14:textId="77777777" w:rsidTr="00E56E6D">
        <w:tc>
          <w:tcPr>
            <w:tcW w:w="1803" w:type="dxa"/>
          </w:tcPr>
          <w:p w14:paraId="49AEE80B" w14:textId="3679AF9A" w:rsidR="00B5678E" w:rsidRPr="00907495" w:rsidRDefault="00B5678E" w:rsidP="00907495">
            <w:pPr>
              <w:pStyle w:val="DHHStabletext"/>
            </w:pPr>
            <w:r w:rsidRPr="00907495">
              <w:t>SR</w:t>
            </w:r>
            <w:r w:rsidR="00E539DD">
              <w:t> </w:t>
            </w:r>
            <w:r w:rsidRPr="00907495">
              <w:t>2</w:t>
            </w:r>
          </w:p>
        </w:tc>
        <w:tc>
          <w:tcPr>
            <w:tcW w:w="1803" w:type="dxa"/>
          </w:tcPr>
          <w:p w14:paraId="5608CBA8" w14:textId="77777777" w:rsidR="00B5678E" w:rsidRPr="00907495" w:rsidRDefault="00B5678E" w:rsidP="00881FA7">
            <w:pPr>
              <w:pStyle w:val="DHHStabletext"/>
              <w:jc w:val="right"/>
            </w:pPr>
            <w:r w:rsidRPr="00907495">
              <w:t>-</w:t>
            </w:r>
          </w:p>
        </w:tc>
        <w:tc>
          <w:tcPr>
            <w:tcW w:w="1917" w:type="dxa"/>
          </w:tcPr>
          <w:p w14:paraId="2A79C7D2" w14:textId="77777777" w:rsidR="00B5678E" w:rsidRPr="00907495" w:rsidRDefault="00B5678E" w:rsidP="00881FA7">
            <w:pPr>
              <w:pStyle w:val="DHHStabletext"/>
              <w:jc w:val="right"/>
            </w:pPr>
            <w:r w:rsidRPr="00907495">
              <w:t>2</w:t>
            </w:r>
          </w:p>
        </w:tc>
        <w:tc>
          <w:tcPr>
            <w:tcW w:w="1850" w:type="dxa"/>
          </w:tcPr>
          <w:p w14:paraId="1CF38A53" w14:textId="77777777" w:rsidR="00B5678E" w:rsidRPr="00907495" w:rsidRDefault="00B5678E" w:rsidP="00881FA7">
            <w:pPr>
              <w:pStyle w:val="DHHStabletext"/>
              <w:jc w:val="right"/>
            </w:pPr>
            <w:r w:rsidRPr="00907495">
              <w:t>2</w:t>
            </w:r>
          </w:p>
        </w:tc>
        <w:tc>
          <w:tcPr>
            <w:tcW w:w="1804" w:type="dxa"/>
          </w:tcPr>
          <w:p w14:paraId="460E4D1F" w14:textId="77777777" w:rsidR="00B5678E" w:rsidRPr="00907495" w:rsidRDefault="00B5678E" w:rsidP="00881FA7">
            <w:pPr>
              <w:pStyle w:val="DHHStabletext"/>
              <w:jc w:val="right"/>
            </w:pPr>
            <w:r w:rsidRPr="00907495">
              <w:t>4</w:t>
            </w:r>
          </w:p>
        </w:tc>
      </w:tr>
      <w:tr w:rsidR="00E539DD" w:rsidRPr="00343635" w14:paraId="6C381EEC" w14:textId="77777777" w:rsidTr="00E56E6D">
        <w:tc>
          <w:tcPr>
            <w:tcW w:w="1803" w:type="dxa"/>
          </w:tcPr>
          <w:p w14:paraId="0C11725B" w14:textId="40F11A54" w:rsidR="00B5678E" w:rsidRPr="00907495" w:rsidRDefault="00B5678E" w:rsidP="00907495">
            <w:pPr>
              <w:pStyle w:val="DHHStabletext"/>
            </w:pPr>
            <w:r w:rsidRPr="00907495">
              <w:t>SR</w:t>
            </w:r>
            <w:r w:rsidR="00E539DD">
              <w:t> </w:t>
            </w:r>
            <w:r w:rsidRPr="00907495">
              <w:t>3</w:t>
            </w:r>
          </w:p>
        </w:tc>
        <w:tc>
          <w:tcPr>
            <w:tcW w:w="1803" w:type="dxa"/>
          </w:tcPr>
          <w:p w14:paraId="145CB406" w14:textId="77777777" w:rsidR="00B5678E" w:rsidRPr="00907495" w:rsidRDefault="00B5678E" w:rsidP="00881FA7">
            <w:pPr>
              <w:pStyle w:val="DHHStabletext"/>
              <w:jc w:val="right"/>
            </w:pPr>
            <w:r w:rsidRPr="00907495">
              <w:t>-</w:t>
            </w:r>
          </w:p>
        </w:tc>
        <w:tc>
          <w:tcPr>
            <w:tcW w:w="1917" w:type="dxa"/>
          </w:tcPr>
          <w:p w14:paraId="43730F0A" w14:textId="77777777" w:rsidR="00B5678E" w:rsidRPr="00907495" w:rsidRDefault="00B5678E" w:rsidP="00881FA7">
            <w:pPr>
              <w:pStyle w:val="DHHStabletext"/>
              <w:jc w:val="right"/>
            </w:pPr>
            <w:r w:rsidRPr="00907495">
              <w:t>1</w:t>
            </w:r>
          </w:p>
        </w:tc>
        <w:tc>
          <w:tcPr>
            <w:tcW w:w="1850" w:type="dxa"/>
          </w:tcPr>
          <w:p w14:paraId="3014C9B3" w14:textId="77777777" w:rsidR="00B5678E" w:rsidRPr="00907495" w:rsidRDefault="00B5678E" w:rsidP="00881FA7">
            <w:pPr>
              <w:pStyle w:val="DHHStabletext"/>
              <w:jc w:val="right"/>
            </w:pPr>
            <w:r w:rsidRPr="00907495">
              <w:t>12</w:t>
            </w:r>
          </w:p>
        </w:tc>
        <w:tc>
          <w:tcPr>
            <w:tcW w:w="1804" w:type="dxa"/>
          </w:tcPr>
          <w:p w14:paraId="288AB46A" w14:textId="77777777" w:rsidR="00B5678E" w:rsidRPr="00907495" w:rsidRDefault="00B5678E" w:rsidP="00881FA7">
            <w:pPr>
              <w:pStyle w:val="DHHStabletext"/>
              <w:jc w:val="right"/>
            </w:pPr>
            <w:r w:rsidRPr="00907495">
              <w:t>13</w:t>
            </w:r>
          </w:p>
        </w:tc>
      </w:tr>
      <w:tr w:rsidR="00E539DD" w:rsidRPr="00343635" w14:paraId="5276E927" w14:textId="77777777" w:rsidTr="00E56E6D">
        <w:tc>
          <w:tcPr>
            <w:tcW w:w="1803" w:type="dxa"/>
          </w:tcPr>
          <w:p w14:paraId="40072A76" w14:textId="460A4F31" w:rsidR="00B5678E" w:rsidRPr="00907495" w:rsidRDefault="00B5678E" w:rsidP="00907495">
            <w:pPr>
              <w:pStyle w:val="DHHStabletext"/>
            </w:pPr>
            <w:r w:rsidRPr="00907495">
              <w:t>SR</w:t>
            </w:r>
            <w:r w:rsidR="00E539DD">
              <w:t> </w:t>
            </w:r>
            <w:r w:rsidRPr="00907495">
              <w:t>4</w:t>
            </w:r>
          </w:p>
        </w:tc>
        <w:tc>
          <w:tcPr>
            <w:tcW w:w="1803" w:type="dxa"/>
          </w:tcPr>
          <w:p w14:paraId="6DF4CBE7" w14:textId="77777777" w:rsidR="00B5678E" w:rsidRPr="00907495" w:rsidRDefault="00B5678E" w:rsidP="00881FA7">
            <w:pPr>
              <w:pStyle w:val="DHHStabletext"/>
              <w:jc w:val="right"/>
            </w:pPr>
            <w:r w:rsidRPr="00907495">
              <w:t>-</w:t>
            </w:r>
          </w:p>
        </w:tc>
        <w:tc>
          <w:tcPr>
            <w:tcW w:w="1917" w:type="dxa"/>
          </w:tcPr>
          <w:p w14:paraId="633F515B" w14:textId="77777777" w:rsidR="00B5678E" w:rsidRPr="00907495" w:rsidRDefault="00B5678E" w:rsidP="00881FA7">
            <w:pPr>
              <w:pStyle w:val="DHHStabletext"/>
              <w:jc w:val="right"/>
            </w:pPr>
            <w:r w:rsidRPr="00907495">
              <w:t>1</w:t>
            </w:r>
          </w:p>
        </w:tc>
        <w:tc>
          <w:tcPr>
            <w:tcW w:w="1850" w:type="dxa"/>
          </w:tcPr>
          <w:p w14:paraId="0F20F464" w14:textId="77777777" w:rsidR="00B5678E" w:rsidRPr="00907495" w:rsidRDefault="00B5678E" w:rsidP="00881FA7">
            <w:pPr>
              <w:pStyle w:val="DHHStabletext"/>
              <w:jc w:val="right"/>
            </w:pPr>
            <w:r w:rsidRPr="00907495">
              <w:t>6</w:t>
            </w:r>
          </w:p>
        </w:tc>
        <w:tc>
          <w:tcPr>
            <w:tcW w:w="1804" w:type="dxa"/>
          </w:tcPr>
          <w:p w14:paraId="7E4C5C1E" w14:textId="77777777" w:rsidR="00B5678E" w:rsidRPr="00907495" w:rsidRDefault="00B5678E" w:rsidP="00881FA7">
            <w:pPr>
              <w:pStyle w:val="DHHStabletext"/>
              <w:jc w:val="right"/>
            </w:pPr>
            <w:r w:rsidRPr="00907495">
              <w:t>7</w:t>
            </w:r>
          </w:p>
        </w:tc>
      </w:tr>
      <w:tr w:rsidR="00E539DD" w:rsidRPr="00343635" w14:paraId="7D479C6A" w14:textId="77777777" w:rsidTr="00E56E6D">
        <w:tc>
          <w:tcPr>
            <w:tcW w:w="1803" w:type="dxa"/>
          </w:tcPr>
          <w:p w14:paraId="36DB598E" w14:textId="77777777" w:rsidR="00B5678E" w:rsidRPr="00907495" w:rsidRDefault="00B5678E" w:rsidP="00907495">
            <w:pPr>
              <w:pStyle w:val="DHHStabletext"/>
            </w:pPr>
            <w:r w:rsidRPr="00907495">
              <w:t>Total</w:t>
            </w:r>
          </w:p>
        </w:tc>
        <w:tc>
          <w:tcPr>
            <w:tcW w:w="1803" w:type="dxa"/>
          </w:tcPr>
          <w:p w14:paraId="18077501" w14:textId="77777777" w:rsidR="00B5678E" w:rsidRPr="00907495" w:rsidRDefault="00B5678E" w:rsidP="00881FA7">
            <w:pPr>
              <w:pStyle w:val="DHHStabletext"/>
              <w:jc w:val="right"/>
            </w:pPr>
            <w:r w:rsidRPr="00907495">
              <w:t>-</w:t>
            </w:r>
          </w:p>
        </w:tc>
        <w:tc>
          <w:tcPr>
            <w:tcW w:w="1917" w:type="dxa"/>
          </w:tcPr>
          <w:p w14:paraId="712067B9" w14:textId="77777777" w:rsidR="00B5678E" w:rsidRPr="00907495" w:rsidRDefault="00B5678E" w:rsidP="00881FA7">
            <w:pPr>
              <w:pStyle w:val="DHHStabletext"/>
              <w:jc w:val="right"/>
            </w:pPr>
            <w:r w:rsidRPr="00907495">
              <w:t>4</w:t>
            </w:r>
          </w:p>
        </w:tc>
        <w:tc>
          <w:tcPr>
            <w:tcW w:w="1850" w:type="dxa"/>
          </w:tcPr>
          <w:p w14:paraId="0338258A" w14:textId="77777777" w:rsidR="00B5678E" w:rsidRPr="00907495" w:rsidRDefault="00B5678E" w:rsidP="00881FA7">
            <w:pPr>
              <w:pStyle w:val="DHHStabletext"/>
              <w:jc w:val="right"/>
            </w:pPr>
            <w:r w:rsidRPr="00907495">
              <w:t>20</w:t>
            </w:r>
          </w:p>
        </w:tc>
        <w:tc>
          <w:tcPr>
            <w:tcW w:w="1804" w:type="dxa"/>
          </w:tcPr>
          <w:p w14:paraId="1C04C007" w14:textId="77777777" w:rsidR="00B5678E" w:rsidRPr="00907495" w:rsidRDefault="00B5678E" w:rsidP="00881FA7">
            <w:pPr>
              <w:pStyle w:val="DHHStabletext"/>
              <w:jc w:val="right"/>
            </w:pPr>
            <w:r w:rsidRPr="00907495">
              <w:t>24</w:t>
            </w:r>
          </w:p>
        </w:tc>
      </w:tr>
    </w:tbl>
    <w:p w14:paraId="5EE7FEA8" w14:textId="603ADBE6" w:rsidR="00B5678E" w:rsidRPr="00343635" w:rsidRDefault="00B5678E" w:rsidP="00907495">
      <w:pPr>
        <w:pStyle w:val="DHHSbodyaftertablefigure"/>
      </w:pPr>
      <w:r w:rsidRPr="00343635">
        <w:t>Pre-medication is used for a number of patients who experience reactions. Table 1</w:t>
      </w:r>
      <w:r w:rsidR="000A6E9B">
        <w:t>3</w:t>
      </w:r>
      <w:r w:rsidRPr="00343635">
        <w:t xml:space="preserve"> shows the types of </w:t>
      </w:r>
      <w:r w:rsidRPr="00907495">
        <w:t>medications</w:t>
      </w:r>
      <w:r w:rsidRPr="00343635">
        <w:t xml:space="preserve"> used in patients who have then gone on to experience FNHTR. The majority of reactions occur in patients who have not received premedication. Those </w:t>
      </w:r>
      <w:r w:rsidR="00E539DD">
        <w:t>who</w:t>
      </w:r>
      <w:r w:rsidR="00E539DD" w:rsidRPr="00343635">
        <w:t xml:space="preserve"> </w:t>
      </w:r>
      <w:r w:rsidRPr="00343635">
        <w:t xml:space="preserve">do have premedication most commonly have a combination of paracetamol and/or antihistamine. See further comments in </w:t>
      </w:r>
      <w:r w:rsidR="00E539DD">
        <w:t>‘C</w:t>
      </w:r>
      <w:r w:rsidR="00E539DD" w:rsidRPr="00343635">
        <w:t xml:space="preserve">ase </w:t>
      </w:r>
      <w:r w:rsidRPr="00343635">
        <w:t>study 1</w:t>
      </w:r>
      <w:r w:rsidR="00E539DD">
        <w:t>’</w:t>
      </w:r>
      <w:r w:rsidRPr="00343635">
        <w:t>.</w:t>
      </w:r>
    </w:p>
    <w:p w14:paraId="05215CFC" w14:textId="68489396" w:rsidR="00B5678E" w:rsidRPr="00343635" w:rsidRDefault="00B5678E" w:rsidP="00907495">
      <w:pPr>
        <w:pStyle w:val="DHHStablecaption"/>
      </w:pPr>
      <w:r w:rsidRPr="00343635">
        <w:t xml:space="preserve">Table </w:t>
      </w:r>
      <w:r w:rsidR="00E6689D" w:rsidRPr="00343635">
        <w:t>1</w:t>
      </w:r>
      <w:r w:rsidR="000A6E9B">
        <w:t>3</w:t>
      </w:r>
      <w:r w:rsidRPr="00343635">
        <w:t>: Type of premedication given to patients prior to transfusion, where recorded in cases reported to STIR</w:t>
      </w:r>
    </w:p>
    <w:tbl>
      <w:tblPr>
        <w:tblStyle w:val="TableGrid"/>
        <w:tblW w:w="0" w:type="auto"/>
        <w:tblLook w:val="04A0" w:firstRow="1" w:lastRow="0" w:firstColumn="1" w:lastColumn="0" w:noHBand="0" w:noVBand="1"/>
      </w:tblPr>
      <w:tblGrid>
        <w:gridCol w:w="2263"/>
        <w:gridCol w:w="1928"/>
      </w:tblGrid>
      <w:tr w:rsidR="00B5678E" w:rsidRPr="00343635" w14:paraId="08C64F8E" w14:textId="77777777" w:rsidTr="00E56E6D">
        <w:trPr>
          <w:tblHeader/>
        </w:trPr>
        <w:tc>
          <w:tcPr>
            <w:tcW w:w="2263" w:type="dxa"/>
          </w:tcPr>
          <w:p w14:paraId="6BF8DCE0" w14:textId="6DAB31AA" w:rsidR="00B5678E" w:rsidRPr="00343635" w:rsidRDefault="00E539DD" w:rsidP="00080269">
            <w:pPr>
              <w:pStyle w:val="DHHStablecolhead"/>
            </w:pPr>
            <w:r w:rsidRPr="00E539DD">
              <w:t>Premedication</w:t>
            </w:r>
          </w:p>
        </w:tc>
        <w:tc>
          <w:tcPr>
            <w:tcW w:w="1928" w:type="dxa"/>
          </w:tcPr>
          <w:p w14:paraId="453E7975" w14:textId="626159B1" w:rsidR="00B5678E" w:rsidRPr="00907495" w:rsidRDefault="00B5678E" w:rsidP="00907495">
            <w:pPr>
              <w:pStyle w:val="DHHStablecolhead"/>
            </w:pPr>
            <w:r w:rsidRPr="00343635">
              <w:t>FNHTR</w:t>
            </w:r>
            <w:r w:rsidR="00E539DD">
              <w:t xml:space="preserve"> incidents</w:t>
            </w:r>
          </w:p>
        </w:tc>
      </w:tr>
      <w:tr w:rsidR="00B5678E" w:rsidRPr="00343635" w14:paraId="3CD11B3B" w14:textId="77777777" w:rsidTr="00E56E6D">
        <w:tc>
          <w:tcPr>
            <w:tcW w:w="2263" w:type="dxa"/>
          </w:tcPr>
          <w:p w14:paraId="3AE6AA17" w14:textId="77777777" w:rsidR="00B5678E" w:rsidRPr="00907495" w:rsidRDefault="00B5678E" w:rsidP="00907495">
            <w:pPr>
              <w:pStyle w:val="DHHStabletext"/>
            </w:pPr>
            <w:r w:rsidRPr="00907495">
              <w:t>Steroids</w:t>
            </w:r>
          </w:p>
        </w:tc>
        <w:tc>
          <w:tcPr>
            <w:tcW w:w="1928" w:type="dxa"/>
          </w:tcPr>
          <w:p w14:paraId="3E181457" w14:textId="77777777" w:rsidR="00B5678E" w:rsidRPr="00907495" w:rsidRDefault="00B5678E" w:rsidP="00881FA7">
            <w:pPr>
              <w:pStyle w:val="DHHStabletext"/>
              <w:jc w:val="right"/>
            </w:pPr>
            <w:r w:rsidRPr="00907495">
              <w:t>1 (4%)</w:t>
            </w:r>
          </w:p>
        </w:tc>
      </w:tr>
      <w:tr w:rsidR="00B5678E" w:rsidRPr="00343635" w14:paraId="2E72FFC7" w14:textId="77777777" w:rsidTr="00E56E6D">
        <w:tc>
          <w:tcPr>
            <w:tcW w:w="2263" w:type="dxa"/>
          </w:tcPr>
          <w:p w14:paraId="3D0E872B" w14:textId="77777777" w:rsidR="00B5678E" w:rsidRPr="00907495" w:rsidRDefault="00B5678E" w:rsidP="00907495">
            <w:pPr>
              <w:pStyle w:val="DHHStabletext"/>
            </w:pPr>
            <w:r w:rsidRPr="00907495">
              <w:t>Antihistamine</w:t>
            </w:r>
          </w:p>
        </w:tc>
        <w:tc>
          <w:tcPr>
            <w:tcW w:w="1928" w:type="dxa"/>
          </w:tcPr>
          <w:p w14:paraId="71644333" w14:textId="77777777" w:rsidR="00B5678E" w:rsidRPr="00907495" w:rsidRDefault="00B5678E" w:rsidP="00881FA7">
            <w:pPr>
              <w:pStyle w:val="DHHStabletext"/>
              <w:jc w:val="right"/>
            </w:pPr>
            <w:r w:rsidRPr="00907495">
              <w:t>4 (17%)</w:t>
            </w:r>
          </w:p>
        </w:tc>
      </w:tr>
      <w:tr w:rsidR="00B5678E" w:rsidRPr="00343635" w14:paraId="72969317" w14:textId="77777777" w:rsidTr="00E56E6D">
        <w:tc>
          <w:tcPr>
            <w:tcW w:w="2263" w:type="dxa"/>
          </w:tcPr>
          <w:p w14:paraId="0CCB3FB3" w14:textId="77777777" w:rsidR="00B5678E" w:rsidRPr="00907495" w:rsidRDefault="00B5678E" w:rsidP="00907495">
            <w:pPr>
              <w:pStyle w:val="DHHStabletext"/>
            </w:pPr>
            <w:r w:rsidRPr="00907495">
              <w:t>Paracetamol</w:t>
            </w:r>
          </w:p>
        </w:tc>
        <w:tc>
          <w:tcPr>
            <w:tcW w:w="1928" w:type="dxa"/>
          </w:tcPr>
          <w:p w14:paraId="6C5777AA" w14:textId="77777777" w:rsidR="00B5678E" w:rsidRPr="00907495" w:rsidRDefault="00B5678E" w:rsidP="00881FA7">
            <w:pPr>
              <w:pStyle w:val="DHHStabletext"/>
              <w:jc w:val="right"/>
            </w:pPr>
            <w:r w:rsidRPr="00907495">
              <w:t>3 (12%)</w:t>
            </w:r>
          </w:p>
        </w:tc>
      </w:tr>
      <w:tr w:rsidR="00B5678E" w:rsidRPr="00343635" w14:paraId="1ACCA285" w14:textId="77777777" w:rsidTr="00E56E6D">
        <w:tc>
          <w:tcPr>
            <w:tcW w:w="2263" w:type="dxa"/>
          </w:tcPr>
          <w:p w14:paraId="1595CD92" w14:textId="77777777" w:rsidR="00B5678E" w:rsidRPr="00907495" w:rsidRDefault="00B5678E" w:rsidP="00907495">
            <w:pPr>
              <w:pStyle w:val="DHHStabletext"/>
            </w:pPr>
            <w:r w:rsidRPr="00907495">
              <w:t>Pethidine</w:t>
            </w:r>
          </w:p>
        </w:tc>
        <w:tc>
          <w:tcPr>
            <w:tcW w:w="1928" w:type="dxa"/>
          </w:tcPr>
          <w:p w14:paraId="2EFC2964" w14:textId="77777777" w:rsidR="00B5678E" w:rsidRPr="00907495" w:rsidRDefault="00B5678E" w:rsidP="00881FA7">
            <w:pPr>
              <w:pStyle w:val="DHHStabletext"/>
              <w:jc w:val="right"/>
            </w:pPr>
            <w:r w:rsidRPr="00907495">
              <w:t>-</w:t>
            </w:r>
          </w:p>
        </w:tc>
      </w:tr>
      <w:tr w:rsidR="00B5678E" w:rsidRPr="00343635" w14:paraId="59C468BB" w14:textId="77777777" w:rsidTr="00E56E6D">
        <w:tc>
          <w:tcPr>
            <w:tcW w:w="2263" w:type="dxa"/>
          </w:tcPr>
          <w:p w14:paraId="37837CD8" w14:textId="4352C885" w:rsidR="00B5678E" w:rsidRPr="00907495" w:rsidRDefault="00B5678E" w:rsidP="00907495">
            <w:pPr>
              <w:pStyle w:val="DHHStabletext"/>
            </w:pPr>
            <w:r w:rsidRPr="00907495">
              <w:t xml:space="preserve">No </w:t>
            </w:r>
            <w:proofErr w:type="spellStart"/>
            <w:r w:rsidRPr="00907495">
              <w:t>premed</w:t>
            </w:r>
            <w:proofErr w:type="spellEnd"/>
          </w:p>
        </w:tc>
        <w:tc>
          <w:tcPr>
            <w:tcW w:w="1928" w:type="dxa"/>
          </w:tcPr>
          <w:p w14:paraId="4A592A9B" w14:textId="77777777" w:rsidR="00B5678E" w:rsidRPr="00907495" w:rsidRDefault="00B5678E" w:rsidP="00881FA7">
            <w:pPr>
              <w:pStyle w:val="DHHStabletext"/>
              <w:jc w:val="right"/>
            </w:pPr>
            <w:r w:rsidRPr="00907495">
              <w:t>19 (79%)</w:t>
            </w:r>
          </w:p>
        </w:tc>
      </w:tr>
    </w:tbl>
    <w:p w14:paraId="5EF2A167" w14:textId="5069A907" w:rsidR="00B5678E" w:rsidRPr="00343635" w:rsidRDefault="00907495" w:rsidP="00907495">
      <w:pPr>
        <w:pStyle w:val="DHHStablefigurenote"/>
      </w:pPr>
      <w:r>
        <w:t xml:space="preserve">Note: </w:t>
      </w:r>
      <w:r w:rsidR="00B5678E" w:rsidRPr="00343635">
        <w:t xml:space="preserve">multiple responses </w:t>
      </w:r>
      <w:r w:rsidR="00B5678E" w:rsidRPr="00907495">
        <w:t>per</w:t>
      </w:r>
      <w:r w:rsidR="00B5678E" w:rsidRPr="00343635">
        <w:t xml:space="preserve"> patient reaction</w:t>
      </w:r>
    </w:p>
    <w:p w14:paraId="3BD8913C" w14:textId="59E366CA" w:rsidR="00B5678E" w:rsidRPr="00907495" w:rsidRDefault="00B5678E" w:rsidP="00080269">
      <w:pPr>
        <w:pStyle w:val="Heading3"/>
      </w:pPr>
      <w:bookmarkStart w:id="17" w:name="_Toc24287418"/>
      <w:r w:rsidRPr="00343635">
        <w:t xml:space="preserve">Case </w:t>
      </w:r>
      <w:r w:rsidRPr="00907495">
        <w:t>study</w:t>
      </w:r>
      <w:r w:rsidRPr="00343635">
        <w:t xml:space="preserve"> </w:t>
      </w:r>
      <w:r w:rsidR="008C412F">
        <w:rPr>
          <w:b w:val="0"/>
          <w:bCs w:val="0"/>
        </w:rPr>
        <w:fldChar w:fldCharType="begin"/>
      </w:r>
      <w:r w:rsidR="008C412F">
        <w:rPr>
          <w:b w:val="0"/>
          <w:bCs w:val="0"/>
        </w:rPr>
        <w:instrText xml:space="preserve"> seq Case </w:instrText>
      </w:r>
      <w:r w:rsidR="008C412F">
        <w:rPr>
          <w:b w:val="0"/>
          <w:bCs w:val="0"/>
        </w:rPr>
        <w:fldChar w:fldCharType="separate"/>
      </w:r>
      <w:r w:rsidR="00821C3C">
        <w:rPr>
          <w:noProof/>
        </w:rPr>
        <w:t>1</w:t>
      </w:r>
      <w:r w:rsidR="008C412F">
        <w:rPr>
          <w:b w:val="0"/>
          <w:bCs w:val="0"/>
          <w:noProof/>
        </w:rPr>
        <w:fldChar w:fldCharType="end"/>
      </w:r>
      <w:r w:rsidR="00821C3C">
        <w:t xml:space="preserve">: </w:t>
      </w:r>
      <w:r w:rsidRPr="00343635">
        <w:t>ATR</w:t>
      </w:r>
      <w:r w:rsidR="008A1B3C">
        <w:t xml:space="preserve"> </w:t>
      </w:r>
      <w:r w:rsidRPr="00343635">
        <w:t>–</w:t>
      </w:r>
      <w:r w:rsidR="008A1B3C">
        <w:t xml:space="preserve"> </w:t>
      </w:r>
      <w:r w:rsidRPr="00343635">
        <w:t>FNHTR in patient with history of reactions</w:t>
      </w:r>
      <w:bookmarkEnd w:id="17"/>
    </w:p>
    <w:p w14:paraId="7E486F0E" w14:textId="77777777" w:rsidR="00B5678E" w:rsidRPr="00907495" w:rsidRDefault="00B5678E" w:rsidP="00907495">
      <w:pPr>
        <w:pStyle w:val="DHHSbody"/>
      </w:pPr>
      <w:r w:rsidRPr="00907495">
        <w:t xml:space="preserve">A female patient with myelodysplastic syndrome (MDS) requiring ongoing transfusion support was receiving a transfusion in a day clinic area. She received two units of red cells for anaemia, followed by a bag of platelets for a low platelet count. A premedication of oral cetirizine and paracetamol had been given approximately four hours prior to the reaction, due to a history of previous reactions. The patient had an extensive transfusion history and had at least one pregnancy. </w:t>
      </w:r>
    </w:p>
    <w:p w14:paraId="3BD95822" w14:textId="31717BEB" w:rsidR="00B5678E" w:rsidRPr="00907495" w:rsidRDefault="00B5678E" w:rsidP="00907495">
      <w:pPr>
        <w:pStyle w:val="DHHSbody"/>
      </w:pPr>
      <w:r w:rsidRPr="00907495">
        <w:t>Twenty minutes after completing the platelet transfusion</w:t>
      </w:r>
      <w:r w:rsidR="008A1B3C">
        <w:t>,</w:t>
      </w:r>
      <w:r w:rsidRPr="00907495">
        <w:t xml:space="preserve"> she developed chills, rigors and dyspnoea (without alteration in oxygen saturation), a rise in blood pressure and minor temperature rise. She was treated with an antipyretic and an antihistamine. A post-platelet transfusion increment (within one hour) showed no increment. Human leucocyte antibody (HLA) testing showed HLA class 1 antibodies with a frequency of greater than 99 per cent panel reactive antibody. It was recommended that further platelet support be HLA matched platelets. The patient recovered quickly and was able to go home the same day.</w:t>
      </w:r>
    </w:p>
    <w:p w14:paraId="1C16E77F" w14:textId="7BF28308" w:rsidR="00B5678E" w:rsidRPr="00907495" w:rsidRDefault="00B5678E" w:rsidP="00907495">
      <w:pPr>
        <w:pStyle w:val="DHHSbody"/>
      </w:pPr>
      <w:r w:rsidRPr="00907495">
        <w:t xml:space="preserve">The final determination by the STIR Expert </w:t>
      </w:r>
      <w:r w:rsidR="008A1B3C">
        <w:t>G</w:t>
      </w:r>
      <w:r w:rsidRPr="00907495">
        <w:t>roup was possible FNHTR with SR 4.</w:t>
      </w:r>
    </w:p>
    <w:p w14:paraId="35BBB021" w14:textId="2A634301" w:rsidR="00B5678E" w:rsidRPr="00907495" w:rsidRDefault="00B5678E" w:rsidP="00907495">
      <w:pPr>
        <w:pStyle w:val="Heading4"/>
      </w:pPr>
      <w:r w:rsidRPr="00907495">
        <w:t>Comments</w:t>
      </w:r>
    </w:p>
    <w:p w14:paraId="7C60B647" w14:textId="572F006C" w:rsidR="00B5678E" w:rsidRPr="00907495" w:rsidRDefault="00B5678E" w:rsidP="00907495">
      <w:pPr>
        <w:pStyle w:val="DHHSbody"/>
      </w:pPr>
      <w:r w:rsidRPr="00907495">
        <w:t>While FNHTR is typically not life threatening, it can be uncomfortable and distressing to patients, particularly if they experience a severe rigor. When a patient initially develops a fever during a transfusion</w:t>
      </w:r>
      <w:r w:rsidR="008A1B3C">
        <w:t>,</w:t>
      </w:r>
      <w:r w:rsidRPr="00907495">
        <w:t xml:space="preserve"> it is not usually immediately clear what the cause is. Patient review by the medical officer </w:t>
      </w:r>
      <w:r w:rsidRPr="00907495">
        <w:lastRenderedPageBreak/>
        <w:t>and investigations are required to rule out</w:t>
      </w:r>
      <w:r w:rsidR="008A1B3C">
        <w:t xml:space="preserve"> a</w:t>
      </w:r>
      <w:r w:rsidRPr="00907495">
        <w:t xml:space="preserve"> more serious cause for the fever</w:t>
      </w:r>
      <w:r w:rsidR="008A1B3C">
        <w:t xml:space="preserve"> </w:t>
      </w:r>
      <w:r w:rsidR="008A1B3C" w:rsidRPr="00907495">
        <w:t>(</w:t>
      </w:r>
      <w:r w:rsidR="008A1B3C">
        <w:t>for example,</w:t>
      </w:r>
      <w:r w:rsidR="008A1B3C" w:rsidRPr="00907495">
        <w:t xml:space="preserve"> acute haemolytic, bacterial contamination or TRALI)</w:t>
      </w:r>
      <w:r w:rsidRPr="00907495">
        <w:t>. The fever may also be caused by the patient’s underlying disease or other complications. There are no specific tests that confirm or exclude a diagnosis of FNHTR, so a process of excluding other potential causes is required. Patients attending day centres for treatment may require an inpatient stay to allow for investigation of a fever. Severity ratings increase when this occurs, as this is an unexpected admission related to the transfusion. While FNHTR may be seen as a mild reaction, there is still a burden to the health service as investigation and exclusion of other causes (sepsis, haemolytic reactions) is required. Judicious use of blood products, avoiding unnecessary transfusion may help to reduce the number of FNHTR seen (Cohen et al</w:t>
      </w:r>
      <w:r w:rsidR="008A1B3C">
        <w:t>.</w:t>
      </w:r>
      <w:r w:rsidRPr="00907495">
        <w:t xml:space="preserve"> 2017).</w:t>
      </w:r>
    </w:p>
    <w:p w14:paraId="4F44EE6B" w14:textId="498D7E88" w:rsidR="00B5678E" w:rsidRPr="00343635" w:rsidRDefault="00B5678E" w:rsidP="00080269">
      <w:pPr>
        <w:pStyle w:val="DHHSbody"/>
      </w:pPr>
      <w:r w:rsidRPr="00907495">
        <w:t xml:space="preserve">Premedication may be helpful in reducing transfusion reactions in patients with recurrent reactions. However, consideration </w:t>
      </w:r>
      <w:r w:rsidR="008A1B3C">
        <w:t>of</w:t>
      </w:r>
      <w:r w:rsidRPr="00907495">
        <w:t xml:space="preserve"> the timing and type of medication used is necessary. In this instance</w:t>
      </w:r>
      <w:r w:rsidR="008A1B3C">
        <w:t>,</w:t>
      </w:r>
      <w:r w:rsidRPr="00907495">
        <w:t xml:space="preserve"> the effects may have worn off as it was </w:t>
      </w:r>
      <w:r w:rsidR="008A1B3C">
        <w:t>more than</w:t>
      </w:r>
      <w:r w:rsidR="008A1B3C" w:rsidRPr="00907495">
        <w:t xml:space="preserve"> </w:t>
      </w:r>
      <w:r w:rsidRPr="00907495">
        <w:t xml:space="preserve">four hours since administration. </w:t>
      </w:r>
      <w:r w:rsidR="008A1B3C">
        <w:t>Considering the</w:t>
      </w:r>
      <w:r w:rsidRPr="00907495">
        <w:t xml:space="preserve"> timing of premedications is important to ensure they cover the period of transfusion. It is unclear the type of previous reactions the patient had</w:t>
      </w:r>
      <w:r w:rsidR="008A1B3C">
        <w:t>,</w:t>
      </w:r>
      <w:r w:rsidRPr="00907495">
        <w:t xml:space="preserve"> but an antihistamine for FNHTR will not be useful. </w:t>
      </w:r>
      <w:r w:rsidR="008A1B3C">
        <w:t xml:space="preserve">The </w:t>
      </w:r>
      <w:r w:rsidRPr="00080269">
        <w:rPr>
          <w:i/>
          <w:iCs/>
        </w:rPr>
        <w:t xml:space="preserve">SHOT </w:t>
      </w:r>
      <w:r w:rsidR="008A1B3C" w:rsidRPr="00080269">
        <w:rPr>
          <w:i/>
          <w:iCs/>
        </w:rPr>
        <w:t xml:space="preserve">report </w:t>
      </w:r>
      <w:r w:rsidRPr="00080269">
        <w:rPr>
          <w:i/>
          <w:iCs/>
        </w:rPr>
        <w:t>2018</w:t>
      </w:r>
      <w:r w:rsidRPr="00907495">
        <w:t xml:space="preserve"> suggest</w:t>
      </w:r>
      <w:r w:rsidR="008A1B3C">
        <w:t>s</w:t>
      </w:r>
      <w:r w:rsidRPr="00907495">
        <w:t xml:space="preserve"> </w:t>
      </w:r>
      <w:r w:rsidR="008A1B3C">
        <w:t xml:space="preserve">using only </w:t>
      </w:r>
      <w:r w:rsidRPr="00907495">
        <w:t>paracetamol to treat fever in a febrile reaction.</w:t>
      </w:r>
    </w:p>
    <w:p w14:paraId="227B57BD" w14:textId="3D0E3C61" w:rsidR="00B5678E" w:rsidRPr="00343635" w:rsidRDefault="00B5678E" w:rsidP="00907495">
      <w:pPr>
        <w:pStyle w:val="Heading2"/>
      </w:pPr>
      <w:bookmarkStart w:id="18" w:name="_Toc24287419"/>
      <w:r w:rsidRPr="00343635">
        <w:t xml:space="preserve">Allergic, including </w:t>
      </w:r>
      <w:r w:rsidRPr="00907495">
        <w:t>anaphylaxis</w:t>
      </w:r>
      <w:bookmarkEnd w:id="18"/>
    </w:p>
    <w:p w14:paraId="70E1B178" w14:textId="77777777" w:rsidR="00B5678E" w:rsidRPr="00907495" w:rsidRDefault="00B5678E" w:rsidP="00907495">
      <w:pPr>
        <w:pStyle w:val="DHHSbody"/>
      </w:pPr>
      <w:r w:rsidRPr="00907495">
        <w:t>Allergic reactions involve patients presenting with one or more of the following during or within four hours of the transfusion (and where there is no evidence of hypotension):</w:t>
      </w:r>
    </w:p>
    <w:p w14:paraId="1D623132" w14:textId="39CC53D8" w:rsidR="00B5678E" w:rsidRPr="00343635" w:rsidRDefault="00B5678E" w:rsidP="00907495">
      <w:pPr>
        <w:pStyle w:val="DHHSbullet1"/>
      </w:pPr>
      <w:r w:rsidRPr="00343635">
        <w:t xml:space="preserve">rash </w:t>
      </w:r>
    </w:p>
    <w:p w14:paraId="5B061484" w14:textId="59B23E0D" w:rsidR="00B5678E" w:rsidRPr="00343635" w:rsidRDefault="00B5678E" w:rsidP="00907495">
      <w:pPr>
        <w:pStyle w:val="DHHSbullet1"/>
      </w:pPr>
      <w:r w:rsidRPr="00343635">
        <w:t xml:space="preserve">allergic dyspnoea (stridor, cyanosis, wheezing) </w:t>
      </w:r>
    </w:p>
    <w:p w14:paraId="134E057D" w14:textId="6815F4E6" w:rsidR="00B5678E" w:rsidRPr="00343635" w:rsidRDefault="00B5678E" w:rsidP="00907495">
      <w:pPr>
        <w:pStyle w:val="DHHSbullet1"/>
      </w:pPr>
      <w:r w:rsidRPr="00343635">
        <w:t xml:space="preserve">angioedema </w:t>
      </w:r>
    </w:p>
    <w:p w14:paraId="333557B7" w14:textId="7C1A70B4" w:rsidR="00B5678E" w:rsidRPr="00343635" w:rsidRDefault="00B5678E" w:rsidP="00907495">
      <w:pPr>
        <w:pStyle w:val="DHHSbullet1lastline"/>
      </w:pPr>
      <w:r w:rsidRPr="00343635">
        <w:t xml:space="preserve">urticaria. </w:t>
      </w:r>
    </w:p>
    <w:p w14:paraId="6FA2D655" w14:textId="77777777" w:rsidR="00B5678E" w:rsidRPr="00343635" w:rsidRDefault="00B5678E" w:rsidP="00907495">
      <w:pPr>
        <w:pStyle w:val="DHHSbody"/>
      </w:pPr>
      <w:r w:rsidRPr="00343635">
        <w:t xml:space="preserve">When </w:t>
      </w:r>
      <w:r w:rsidRPr="00907495">
        <w:t>attributing</w:t>
      </w:r>
      <w:r w:rsidRPr="00343635">
        <w:t xml:space="preserve"> the reaction to the transfusion, also consider other possible causes for the allergic reaction, for example drug reactions.</w:t>
      </w:r>
    </w:p>
    <w:p w14:paraId="55057383" w14:textId="2549A70C" w:rsidR="00B5678E" w:rsidRPr="00343635" w:rsidRDefault="00B5678E" w:rsidP="00907495">
      <w:pPr>
        <w:pStyle w:val="DHHSbody"/>
      </w:pPr>
      <w:r w:rsidRPr="00343635">
        <w:t xml:space="preserve">Patients with a severe or anaphylactic reaction </w:t>
      </w:r>
      <w:r w:rsidR="00FA107E">
        <w:t>may</w:t>
      </w:r>
      <w:r w:rsidRPr="00343635">
        <w:t xml:space="preserve"> present as above, </w:t>
      </w:r>
      <w:r w:rsidR="00FA107E">
        <w:t>with additional signs and symptoms such as</w:t>
      </w:r>
      <w:r w:rsidRPr="00343635">
        <w:t xml:space="preserve"> hypotension, cough, respiratory distress </w:t>
      </w:r>
      <w:r w:rsidR="00FA107E">
        <w:t>or</w:t>
      </w:r>
      <w:r w:rsidRPr="00343635">
        <w:t xml:space="preserve"> wheezing, laryngospasm, hypoxemia, shock and/or loss of consciousness (</w:t>
      </w:r>
      <w:r w:rsidRPr="00080269">
        <w:rPr>
          <w:i/>
          <w:iCs/>
        </w:rPr>
        <w:t xml:space="preserve">STIR </w:t>
      </w:r>
      <w:r w:rsidR="008A1B3C">
        <w:rPr>
          <w:i/>
          <w:iCs/>
        </w:rPr>
        <w:t xml:space="preserve">reporting </w:t>
      </w:r>
      <w:r w:rsidR="008A1B3C" w:rsidRPr="00080269">
        <w:rPr>
          <w:i/>
          <w:iCs/>
        </w:rPr>
        <w:t xml:space="preserve">guide </w:t>
      </w:r>
      <w:r w:rsidRPr="00080269">
        <w:rPr>
          <w:i/>
          <w:iCs/>
        </w:rPr>
        <w:t>2017</w:t>
      </w:r>
      <w:r w:rsidRPr="00343635">
        <w:t>).</w:t>
      </w:r>
    </w:p>
    <w:p w14:paraId="4D2D5383" w14:textId="2210B4ED" w:rsidR="00B5678E" w:rsidRPr="00343635" w:rsidRDefault="00B5678E" w:rsidP="00907495">
      <w:pPr>
        <w:pStyle w:val="DHHStablecaption"/>
      </w:pPr>
      <w:r w:rsidRPr="00343635">
        <w:t xml:space="preserve">Table </w:t>
      </w:r>
      <w:r w:rsidR="00E6689D" w:rsidRPr="00343635">
        <w:t>1</w:t>
      </w:r>
      <w:r w:rsidR="000A6E9B">
        <w:t>4</w:t>
      </w:r>
      <w:r w:rsidRPr="00343635">
        <w:t>: Data summary</w:t>
      </w:r>
      <w:r w:rsidR="008A1B3C">
        <w:t xml:space="preserve"> –</w:t>
      </w:r>
      <w:r w:rsidRPr="00343635">
        <w:t xml:space="preserve"> </w:t>
      </w:r>
      <w:r w:rsidR="00E6689D">
        <w:t>a</w:t>
      </w:r>
      <w:r w:rsidRPr="00343635">
        <w:t xml:space="preserve">llergic and </w:t>
      </w:r>
      <w:r w:rsidRPr="00907495">
        <w:t>anaphylactic</w:t>
      </w:r>
      <w:r w:rsidRPr="00343635">
        <w:t xml:space="preserve"> reactions, n</w:t>
      </w:r>
      <w:r w:rsidR="008A1B3C">
        <w:t> </w:t>
      </w:r>
      <w:r w:rsidRPr="00343635">
        <w:t>= 16</w:t>
      </w:r>
    </w:p>
    <w:tbl>
      <w:tblPr>
        <w:tblStyle w:val="TableGrid"/>
        <w:tblW w:w="0" w:type="auto"/>
        <w:tblLook w:val="04A0" w:firstRow="1" w:lastRow="0" w:firstColumn="1" w:lastColumn="0" w:noHBand="0" w:noVBand="1"/>
      </w:tblPr>
      <w:tblGrid>
        <w:gridCol w:w="1600"/>
        <w:gridCol w:w="1066"/>
        <w:gridCol w:w="1464"/>
      </w:tblGrid>
      <w:tr w:rsidR="008A1B3C" w:rsidRPr="00343635" w14:paraId="1CE2D383" w14:textId="77777777" w:rsidTr="00E56E6D">
        <w:trPr>
          <w:tblHeader/>
        </w:trPr>
        <w:tc>
          <w:tcPr>
            <w:tcW w:w="1600" w:type="dxa"/>
          </w:tcPr>
          <w:p w14:paraId="45313A50" w14:textId="3590C131" w:rsidR="008A1B3C" w:rsidRPr="00343635" w:rsidRDefault="00023E90" w:rsidP="00080269">
            <w:pPr>
              <w:pStyle w:val="DHHStablecolhead"/>
            </w:pPr>
            <w:r>
              <w:t>Characteristic</w:t>
            </w:r>
          </w:p>
        </w:tc>
        <w:tc>
          <w:tcPr>
            <w:tcW w:w="1066" w:type="dxa"/>
          </w:tcPr>
          <w:p w14:paraId="0C96E5FC" w14:textId="77777777" w:rsidR="008A1B3C" w:rsidRPr="00907495" w:rsidRDefault="008A1B3C" w:rsidP="00907495">
            <w:pPr>
              <w:pStyle w:val="DHHStablecolhead"/>
            </w:pPr>
            <w:r w:rsidRPr="00907495">
              <w:t>Allergic</w:t>
            </w:r>
            <w:r w:rsidRPr="00907495">
              <w:br/>
              <w:t>n = 10</w:t>
            </w:r>
          </w:p>
        </w:tc>
        <w:tc>
          <w:tcPr>
            <w:tcW w:w="1464" w:type="dxa"/>
          </w:tcPr>
          <w:p w14:paraId="14019CA3" w14:textId="77777777" w:rsidR="008A1B3C" w:rsidRPr="00907495" w:rsidRDefault="008A1B3C" w:rsidP="00907495">
            <w:pPr>
              <w:pStyle w:val="DHHStablecolhead"/>
            </w:pPr>
            <w:r w:rsidRPr="00907495">
              <w:t>Anaphylactic</w:t>
            </w:r>
            <w:r w:rsidRPr="00907495">
              <w:br/>
              <w:t>n = 6</w:t>
            </w:r>
          </w:p>
        </w:tc>
      </w:tr>
      <w:tr w:rsidR="008A1B3C" w:rsidRPr="00343635" w14:paraId="774D395A" w14:textId="77777777" w:rsidTr="00E56E6D">
        <w:tc>
          <w:tcPr>
            <w:tcW w:w="1600" w:type="dxa"/>
          </w:tcPr>
          <w:p w14:paraId="551C94E5" w14:textId="54ACA394" w:rsidR="008A1B3C" w:rsidRPr="00907495" w:rsidRDefault="008A1B3C" w:rsidP="00907495">
            <w:pPr>
              <w:pStyle w:val="DHHStabletext"/>
            </w:pPr>
            <w:r>
              <w:t xml:space="preserve">Age: </w:t>
            </w:r>
            <w:r w:rsidRPr="00907495">
              <w:t>&lt; 1 year</w:t>
            </w:r>
          </w:p>
        </w:tc>
        <w:tc>
          <w:tcPr>
            <w:tcW w:w="1066" w:type="dxa"/>
          </w:tcPr>
          <w:p w14:paraId="44890582" w14:textId="77777777" w:rsidR="008A1B3C" w:rsidRPr="00907495" w:rsidRDefault="008A1B3C" w:rsidP="00881FA7">
            <w:pPr>
              <w:pStyle w:val="DHHStabletext"/>
              <w:jc w:val="right"/>
            </w:pPr>
            <w:r w:rsidRPr="00907495">
              <w:t>-</w:t>
            </w:r>
          </w:p>
        </w:tc>
        <w:tc>
          <w:tcPr>
            <w:tcW w:w="1464" w:type="dxa"/>
          </w:tcPr>
          <w:p w14:paraId="57A530C7" w14:textId="77777777" w:rsidR="008A1B3C" w:rsidRPr="00907495" w:rsidRDefault="008A1B3C" w:rsidP="00881FA7">
            <w:pPr>
              <w:pStyle w:val="DHHStabletext"/>
              <w:jc w:val="right"/>
            </w:pPr>
            <w:r w:rsidRPr="00907495">
              <w:t>-</w:t>
            </w:r>
          </w:p>
        </w:tc>
      </w:tr>
      <w:tr w:rsidR="008A1B3C" w:rsidRPr="00343635" w14:paraId="7D4DE5FD" w14:textId="77777777" w:rsidTr="00E56E6D">
        <w:tc>
          <w:tcPr>
            <w:tcW w:w="1600" w:type="dxa"/>
          </w:tcPr>
          <w:p w14:paraId="15C80EEE" w14:textId="4284A7A9" w:rsidR="008A1B3C" w:rsidRPr="00907495" w:rsidRDefault="008A1B3C" w:rsidP="00907495">
            <w:pPr>
              <w:pStyle w:val="DHHStabletext"/>
            </w:pPr>
            <w:r>
              <w:t xml:space="preserve">Age: </w:t>
            </w:r>
            <w:r w:rsidRPr="00907495">
              <w:t>1–18 years</w:t>
            </w:r>
          </w:p>
        </w:tc>
        <w:tc>
          <w:tcPr>
            <w:tcW w:w="1066" w:type="dxa"/>
          </w:tcPr>
          <w:p w14:paraId="36F18758" w14:textId="77777777" w:rsidR="008A1B3C" w:rsidRPr="00907495" w:rsidRDefault="008A1B3C" w:rsidP="00881FA7">
            <w:pPr>
              <w:pStyle w:val="DHHStabletext"/>
              <w:jc w:val="right"/>
            </w:pPr>
            <w:r w:rsidRPr="00907495">
              <w:t>2 (20%)</w:t>
            </w:r>
          </w:p>
        </w:tc>
        <w:tc>
          <w:tcPr>
            <w:tcW w:w="1464" w:type="dxa"/>
          </w:tcPr>
          <w:p w14:paraId="6AE20E5D" w14:textId="77777777" w:rsidR="008A1B3C" w:rsidRPr="00907495" w:rsidRDefault="008A1B3C" w:rsidP="00881FA7">
            <w:pPr>
              <w:pStyle w:val="DHHStabletext"/>
              <w:jc w:val="right"/>
            </w:pPr>
            <w:r w:rsidRPr="00907495">
              <w:t>1 (17%)</w:t>
            </w:r>
          </w:p>
        </w:tc>
      </w:tr>
      <w:tr w:rsidR="008A1B3C" w:rsidRPr="00343635" w14:paraId="3AAE0361" w14:textId="77777777" w:rsidTr="00E56E6D">
        <w:tc>
          <w:tcPr>
            <w:tcW w:w="1600" w:type="dxa"/>
          </w:tcPr>
          <w:p w14:paraId="4BD36A48" w14:textId="4444B412" w:rsidR="008A1B3C" w:rsidRPr="00907495" w:rsidRDefault="008A1B3C" w:rsidP="00907495">
            <w:pPr>
              <w:pStyle w:val="DHHStabletext"/>
            </w:pPr>
            <w:r>
              <w:t xml:space="preserve">Age: </w:t>
            </w:r>
            <w:r w:rsidRPr="00907495">
              <w:t>19–29 years</w:t>
            </w:r>
          </w:p>
        </w:tc>
        <w:tc>
          <w:tcPr>
            <w:tcW w:w="1066" w:type="dxa"/>
          </w:tcPr>
          <w:p w14:paraId="08A11AD6" w14:textId="77777777" w:rsidR="008A1B3C" w:rsidRPr="00907495" w:rsidRDefault="008A1B3C" w:rsidP="00881FA7">
            <w:pPr>
              <w:pStyle w:val="DHHStabletext"/>
              <w:jc w:val="right"/>
            </w:pPr>
            <w:r w:rsidRPr="00907495">
              <w:t>-</w:t>
            </w:r>
          </w:p>
        </w:tc>
        <w:tc>
          <w:tcPr>
            <w:tcW w:w="1464" w:type="dxa"/>
          </w:tcPr>
          <w:p w14:paraId="278F2C94" w14:textId="77777777" w:rsidR="008A1B3C" w:rsidRPr="00907495" w:rsidRDefault="008A1B3C" w:rsidP="00881FA7">
            <w:pPr>
              <w:pStyle w:val="DHHStabletext"/>
              <w:jc w:val="right"/>
            </w:pPr>
            <w:r w:rsidRPr="00907495">
              <w:t>3 (50%)</w:t>
            </w:r>
          </w:p>
        </w:tc>
      </w:tr>
      <w:tr w:rsidR="008A1B3C" w:rsidRPr="00343635" w14:paraId="704256C7" w14:textId="77777777" w:rsidTr="00E56E6D">
        <w:tc>
          <w:tcPr>
            <w:tcW w:w="1600" w:type="dxa"/>
          </w:tcPr>
          <w:p w14:paraId="4DF092E7" w14:textId="2AA1F575" w:rsidR="008A1B3C" w:rsidRPr="00907495" w:rsidRDefault="008A1B3C" w:rsidP="00907495">
            <w:pPr>
              <w:pStyle w:val="DHHStabletext"/>
            </w:pPr>
            <w:r>
              <w:t xml:space="preserve">Age: </w:t>
            </w:r>
            <w:r w:rsidRPr="00907495">
              <w:t>30–49 years</w:t>
            </w:r>
          </w:p>
        </w:tc>
        <w:tc>
          <w:tcPr>
            <w:tcW w:w="1066" w:type="dxa"/>
          </w:tcPr>
          <w:p w14:paraId="21407505" w14:textId="77777777" w:rsidR="008A1B3C" w:rsidRPr="00907495" w:rsidRDefault="008A1B3C" w:rsidP="00881FA7">
            <w:pPr>
              <w:pStyle w:val="DHHStabletext"/>
              <w:jc w:val="right"/>
            </w:pPr>
            <w:r w:rsidRPr="00907495">
              <w:t>2 (20%)</w:t>
            </w:r>
          </w:p>
        </w:tc>
        <w:tc>
          <w:tcPr>
            <w:tcW w:w="1464" w:type="dxa"/>
          </w:tcPr>
          <w:p w14:paraId="40D61722" w14:textId="77777777" w:rsidR="008A1B3C" w:rsidRPr="00907495" w:rsidRDefault="008A1B3C" w:rsidP="00881FA7">
            <w:pPr>
              <w:pStyle w:val="DHHStabletext"/>
              <w:jc w:val="right"/>
            </w:pPr>
            <w:r w:rsidRPr="00907495">
              <w:t>1 (17%)</w:t>
            </w:r>
          </w:p>
        </w:tc>
      </w:tr>
      <w:tr w:rsidR="008A1B3C" w:rsidRPr="00343635" w14:paraId="1D757BCD" w14:textId="77777777" w:rsidTr="00E56E6D">
        <w:tc>
          <w:tcPr>
            <w:tcW w:w="1600" w:type="dxa"/>
          </w:tcPr>
          <w:p w14:paraId="1CA44781" w14:textId="5D0AB2C1" w:rsidR="008A1B3C" w:rsidRPr="00907495" w:rsidRDefault="008A1B3C" w:rsidP="00907495">
            <w:pPr>
              <w:pStyle w:val="DHHStabletext"/>
            </w:pPr>
            <w:r>
              <w:t xml:space="preserve">Age: </w:t>
            </w:r>
            <w:r w:rsidRPr="00907495">
              <w:t>50–69 years</w:t>
            </w:r>
          </w:p>
        </w:tc>
        <w:tc>
          <w:tcPr>
            <w:tcW w:w="1066" w:type="dxa"/>
          </w:tcPr>
          <w:p w14:paraId="6557DF40" w14:textId="77777777" w:rsidR="008A1B3C" w:rsidRPr="00907495" w:rsidRDefault="008A1B3C" w:rsidP="00881FA7">
            <w:pPr>
              <w:pStyle w:val="DHHStabletext"/>
              <w:jc w:val="right"/>
            </w:pPr>
            <w:r w:rsidRPr="00907495">
              <w:t>1 (10%)</w:t>
            </w:r>
          </w:p>
        </w:tc>
        <w:tc>
          <w:tcPr>
            <w:tcW w:w="1464" w:type="dxa"/>
          </w:tcPr>
          <w:p w14:paraId="771C8DB6" w14:textId="77777777" w:rsidR="008A1B3C" w:rsidRPr="00907495" w:rsidRDefault="008A1B3C" w:rsidP="00881FA7">
            <w:pPr>
              <w:pStyle w:val="DHHStabletext"/>
              <w:jc w:val="right"/>
            </w:pPr>
            <w:r w:rsidRPr="00907495">
              <w:t>1 (17%)</w:t>
            </w:r>
          </w:p>
        </w:tc>
      </w:tr>
      <w:tr w:rsidR="008A1B3C" w:rsidRPr="00343635" w14:paraId="7D98C350" w14:textId="77777777" w:rsidTr="00E56E6D">
        <w:tc>
          <w:tcPr>
            <w:tcW w:w="1600" w:type="dxa"/>
          </w:tcPr>
          <w:p w14:paraId="0F559D66" w14:textId="0C59EF1C" w:rsidR="008A1B3C" w:rsidRPr="00907495" w:rsidRDefault="008A1B3C" w:rsidP="00907495">
            <w:pPr>
              <w:pStyle w:val="DHHStabletext"/>
            </w:pPr>
            <w:r>
              <w:t xml:space="preserve">Age: </w:t>
            </w:r>
            <w:r w:rsidRPr="00907495">
              <w:t>70–79 years</w:t>
            </w:r>
          </w:p>
        </w:tc>
        <w:tc>
          <w:tcPr>
            <w:tcW w:w="1066" w:type="dxa"/>
          </w:tcPr>
          <w:p w14:paraId="62840EAB" w14:textId="77777777" w:rsidR="008A1B3C" w:rsidRPr="00907495" w:rsidRDefault="008A1B3C" w:rsidP="00881FA7">
            <w:pPr>
              <w:pStyle w:val="DHHStabletext"/>
              <w:jc w:val="right"/>
            </w:pPr>
            <w:r w:rsidRPr="00907495">
              <w:t>5 (50%)</w:t>
            </w:r>
          </w:p>
        </w:tc>
        <w:tc>
          <w:tcPr>
            <w:tcW w:w="1464" w:type="dxa"/>
          </w:tcPr>
          <w:p w14:paraId="7F33B44C" w14:textId="77777777" w:rsidR="008A1B3C" w:rsidRPr="00907495" w:rsidRDefault="008A1B3C" w:rsidP="00881FA7">
            <w:pPr>
              <w:pStyle w:val="DHHStabletext"/>
              <w:jc w:val="right"/>
            </w:pPr>
            <w:r w:rsidRPr="00907495">
              <w:t>-</w:t>
            </w:r>
          </w:p>
        </w:tc>
      </w:tr>
      <w:tr w:rsidR="008A1B3C" w:rsidRPr="00343635" w14:paraId="07DF29C2" w14:textId="77777777" w:rsidTr="00E56E6D">
        <w:tc>
          <w:tcPr>
            <w:tcW w:w="1600" w:type="dxa"/>
          </w:tcPr>
          <w:p w14:paraId="0A000DB2" w14:textId="69CA34BA" w:rsidR="008A1B3C" w:rsidRPr="00907495" w:rsidRDefault="008A1B3C" w:rsidP="00907495">
            <w:pPr>
              <w:pStyle w:val="DHHStabletext"/>
            </w:pPr>
            <w:r>
              <w:t xml:space="preserve">Age: </w:t>
            </w:r>
            <w:r w:rsidRPr="00907495">
              <w:t>80+ years</w:t>
            </w:r>
          </w:p>
        </w:tc>
        <w:tc>
          <w:tcPr>
            <w:tcW w:w="1066" w:type="dxa"/>
          </w:tcPr>
          <w:p w14:paraId="3F1A2042" w14:textId="77777777" w:rsidR="008A1B3C" w:rsidRPr="00907495" w:rsidRDefault="008A1B3C" w:rsidP="00881FA7">
            <w:pPr>
              <w:pStyle w:val="DHHStabletext"/>
              <w:jc w:val="right"/>
            </w:pPr>
            <w:r w:rsidRPr="00907495">
              <w:t>-</w:t>
            </w:r>
          </w:p>
        </w:tc>
        <w:tc>
          <w:tcPr>
            <w:tcW w:w="1464" w:type="dxa"/>
          </w:tcPr>
          <w:p w14:paraId="68545F76" w14:textId="77777777" w:rsidR="008A1B3C" w:rsidRPr="00907495" w:rsidRDefault="008A1B3C" w:rsidP="00881FA7">
            <w:pPr>
              <w:pStyle w:val="DHHStabletext"/>
              <w:jc w:val="right"/>
            </w:pPr>
            <w:r w:rsidRPr="00907495">
              <w:t>-</w:t>
            </w:r>
          </w:p>
        </w:tc>
      </w:tr>
      <w:tr w:rsidR="008A1B3C" w:rsidRPr="00343635" w14:paraId="45A7850E" w14:textId="77777777" w:rsidTr="00E56E6D">
        <w:tc>
          <w:tcPr>
            <w:tcW w:w="1600" w:type="dxa"/>
          </w:tcPr>
          <w:p w14:paraId="30F03D25" w14:textId="75F9B712" w:rsidR="008A1B3C" w:rsidRPr="00907495" w:rsidRDefault="008A1B3C" w:rsidP="00907495">
            <w:pPr>
              <w:pStyle w:val="DHHStabletext"/>
            </w:pPr>
            <w:r w:rsidRPr="00907495">
              <w:t>Gender</w:t>
            </w:r>
            <w:r>
              <w:t>: m</w:t>
            </w:r>
            <w:r w:rsidRPr="00907495">
              <w:t>ale</w:t>
            </w:r>
          </w:p>
        </w:tc>
        <w:tc>
          <w:tcPr>
            <w:tcW w:w="1066" w:type="dxa"/>
          </w:tcPr>
          <w:p w14:paraId="0B667F73" w14:textId="77777777" w:rsidR="008A1B3C" w:rsidRPr="00907495" w:rsidRDefault="008A1B3C" w:rsidP="00881FA7">
            <w:pPr>
              <w:pStyle w:val="DHHStabletext"/>
              <w:jc w:val="right"/>
            </w:pPr>
            <w:r w:rsidRPr="00907495">
              <w:t>6 (60%)</w:t>
            </w:r>
          </w:p>
        </w:tc>
        <w:tc>
          <w:tcPr>
            <w:tcW w:w="1464" w:type="dxa"/>
          </w:tcPr>
          <w:p w14:paraId="76340B6E" w14:textId="77777777" w:rsidR="008A1B3C" w:rsidRPr="00907495" w:rsidRDefault="008A1B3C" w:rsidP="00881FA7">
            <w:pPr>
              <w:pStyle w:val="DHHStabletext"/>
              <w:jc w:val="right"/>
            </w:pPr>
            <w:r w:rsidRPr="00907495">
              <w:t>3 (50%)</w:t>
            </w:r>
          </w:p>
        </w:tc>
      </w:tr>
      <w:tr w:rsidR="008A1B3C" w:rsidRPr="00343635" w14:paraId="13C329E9" w14:textId="77777777" w:rsidTr="00E56E6D">
        <w:tc>
          <w:tcPr>
            <w:tcW w:w="1600" w:type="dxa"/>
          </w:tcPr>
          <w:p w14:paraId="3EE9BC4A" w14:textId="07F1189E" w:rsidR="008A1B3C" w:rsidRPr="00907495" w:rsidRDefault="008A1B3C" w:rsidP="00907495">
            <w:pPr>
              <w:pStyle w:val="DHHStabletext"/>
            </w:pPr>
            <w:r w:rsidRPr="00907495">
              <w:lastRenderedPageBreak/>
              <w:t>Gender</w:t>
            </w:r>
            <w:r>
              <w:t>:</w:t>
            </w:r>
            <w:r w:rsidRPr="00907495">
              <w:t xml:space="preserve"> </w:t>
            </w:r>
            <w:r>
              <w:t>f</w:t>
            </w:r>
            <w:r w:rsidRPr="00907495">
              <w:t>emale</w:t>
            </w:r>
          </w:p>
        </w:tc>
        <w:tc>
          <w:tcPr>
            <w:tcW w:w="1066" w:type="dxa"/>
          </w:tcPr>
          <w:p w14:paraId="27E93814" w14:textId="77777777" w:rsidR="008A1B3C" w:rsidRPr="00907495" w:rsidRDefault="008A1B3C" w:rsidP="00881FA7">
            <w:pPr>
              <w:pStyle w:val="DHHStabletext"/>
              <w:jc w:val="right"/>
            </w:pPr>
            <w:r w:rsidRPr="00907495">
              <w:t>4 (40%)</w:t>
            </w:r>
          </w:p>
        </w:tc>
        <w:tc>
          <w:tcPr>
            <w:tcW w:w="1464" w:type="dxa"/>
          </w:tcPr>
          <w:p w14:paraId="39191EE6" w14:textId="77777777" w:rsidR="008A1B3C" w:rsidRPr="00907495" w:rsidRDefault="008A1B3C" w:rsidP="00881FA7">
            <w:pPr>
              <w:pStyle w:val="DHHStabletext"/>
              <w:jc w:val="right"/>
            </w:pPr>
            <w:r w:rsidRPr="00907495">
              <w:t>3 (50%)</w:t>
            </w:r>
          </w:p>
        </w:tc>
      </w:tr>
      <w:tr w:rsidR="008A1B3C" w:rsidRPr="00343635" w14:paraId="69835E59" w14:textId="77777777" w:rsidTr="00E56E6D">
        <w:tc>
          <w:tcPr>
            <w:tcW w:w="1600" w:type="dxa"/>
          </w:tcPr>
          <w:p w14:paraId="3DD927DB" w14:textId="474A083D" w:rsidR="008A1B3C" w:rsidRPr="00907495" w:rsidRDefault="008A1B3C" w:rsidP="00907495">
            <w:pPr>
              <w:pStyle w:val="DHHStabletext"/>
            </w:pPr>
            <w:r w:rsidRPr="00907495">
              <w:t>Implicated blood product</w:t>
            </w:r>
            <w:r>
              <w:t>:</w:t>
            </w:r>
            <w:r w:rsidRPr="00907495">
              <w:t xml:space="preserve"> </w:t>
            </w:r>
            <w:r>
              <w:t>r</w:t>
            </w:r>
            <w:r w:rsidRPr="00907495">
              <w:t>ed cells</w:t>
            </w:r>
          </w:p>
        </w:tc>
        <w:tc>
          <w:tcPr>
            <w:tcW w:w="1066" w:type="dxa"/>
          </w:tcPr>
          <w:p w14:paraId="4EDAD413" w14:textId="77777777" w:rsidR="008A1B3C" w:rsidRPr="00907495" w:rsidRDefault="008A1B3C" w:rsidP="00881FA7">
            <w:pPr>
              <w:pStyle w:val="DHHStabletext"/>
              <w:jc w:val="right"/>
            </w:pPr>
            <w:r w:rsidRPr="00907495">
              <w:t>2 (20%)</w:t>
            </w:r>
          </w:p>
        </w:tc>
        <w:tc>
          <w:tcPr>
            <w:tcW w:w="1464" w:type="dxa"/>
          </w:tcPr>
          <w:p w14:paraId="3C06BCBC" w14:textId="77777777" w:rsidR="008A1B3C" w:rsidRPr="00907495" w:rsidRDefault="008A1B3C" w:rsidP="00881FA7">
            <w:pPr>
              <w:pStyle w:val="DHHStabletext"/>
              <w:jc w:val="right"/>
            </w:pPr>
            <w:r w:rsidRPr="00907495">
              <w:t>-</w:t>
            </w:r>
          </w:p>
        </w:tc>
      </w:tr>
      <w:tr w:rsidR="008A1B3C" w:rsidRPr="00343635" w14:paraId="4C274D4E" w14:textId="77777777" w:rsidTr="00E56E6D">
        <w:tc>
          <w:tcPr>
            <w:tcW w:w="1600" w:type="dxa"/>
          </w:tcPr>
          <w:p w14:paraId="4F864D88" w14:textId="772FD6D3" w:rsidR="008A1B3C" w:rsidRPr="00907495" w:rsidRDefault="008A1B3C" w:rsidP="00907495">
            <w:pPr>
              <w:pStyle w:val="DHHStabletext"/>
            </w:pPr>
            <w:r w:rsidRPr="00907495">
              <w:t>Implicated blood product</w:t>
            </w:r>
            <w:r>
              <w:t>:</w:t>
            </w:r>
            <w:r w:rsidRPr="00907495">
              <w:t xml:space="preserve"> FFP</w:t>
            </w:r>
          </w:p>
        </w:tc>
        <w:tc>
          <w:tcPr>
            <w:tcW w:w="1066" w:type="dxa"/>
          </w:tcPr>
          <w:p w14:paraId="6E593F55" w14:textId="77777777" w:rsidR="008A1B3C" w:rsidRPr="00907495" w:rsidRDefault="008A1B3C" w:rsidP="00881FA7">
            <w:pPr>
              <w:pStyle w:val="DHHStabletext"/>
              <w:jc w:val="right"/>
            </w:pPr>
            <w:r w:rsidRPr="00907495">
              <w:t>2 (20%)</w:t>
            </w:r>
          </w:p>
        </w:tc>
        <w:tc>
          <w:tcPr>
            <w:tcW w:w="1464" w:type="dxa"/>
          </w:tcPr>
          <w:p w14:paraId="70DF936A" w14:textId="77777777" w:rsidR="008A1B3C" w:rsidRPr="00907495" w:rsidRDefault="008A1B3C" w:rsidP="00881FA7">
            <w:pPr>
              <w:pStyle w:val="DHHStabletext"/>
              <w:jc w:val="right"/>
            </w:pPr>
            <w:r w:rsidRPr="00907495">
              <w:t>4 (67%)</w:t>
            </w:r>
          </w:p>
        </w:tc>
      </w:tr>
      <w:tr w:rsidR="008A1B3C" w:rsidRPr="00343635" w14:paraId="215E3D61" w14:textId="77777777" w:rsidTr="00E56E6D">
        <w:tc>
          <w:tcPr>
            <w:tcW w:w="1600" w:type="dxa"/>
          </w:tcPr>
          <w:p w14:paraId="5C198565" w14:textId="7E2AF7C1" w:rsidR="008A1B3C" w:rsidRPr="00907495" w:rsidRDefault="008A1B3C" w:rsidP="00907495">
            <w:pPr>
              <w:pStyle w:val="DHHStabletext"/>
            </w:pPr>
            <w:r w:rsidRPr="00907495">
              <w:t>Implicated blood product</w:t>
            </w:r>
            <w:r>
              <w:t>:</w:t>
            </w:r>
            <w:r w:rsidRPr="00907495">
              <w:t xml:space="preserve"> </w:t>
            </w:r>
            <w:r>
              <w:t>p</w:t>
            </w:r>
            <w:r w:rsidRPr="00907495">
              <w:t>latelets</w:t>
            </w:r>
          </w:p>
        </w:tc>
        <w:tc>
          <w:tcPr>
            <w:tcW w:w="1066" w:type="dxa"/>
          </w:tcPr>
          <w:p w14:paraId="5A1F4FC7" w14:textId="77777777" w:rsidR="008A1B3C" w:rsidRPr="00907495" w:rsidRDefault="008A1B3C" w:rsidP="00881FA7">
            <w:pPr>
              <w:pStyle w:val="DHHStabletext"/>
              <w:jc w:val="right"/>
            </w:pPr>
            <w:r w:rsidRPr="00907495">
              <w:t>6 (60%)</w:t>
            </w:r>
          </w:p>
        </w:tc>
        <w:tc>
          <w:tcPr>
            <w:tcW w:w="1464" w:type="dxa"/>
          </w:tcPr>
          <w:p w14:paraId="7E446832" w14:textId="77777777" w:rsidR="008A1B3C" w:rsidRPr="00907495" w:rsidRDefault="008A1B3C" w:rsidP="00881FA7">
            <w:pPr>
              <w:pStyle w:val="DHHStabletext"/>
              <w:jc w:val="right"/>
            </w:pPr>
            <w:r w:rsidRPr="00907495">
              <w:t>2 (33%)</w:t>
            </w:r>
          </w:p>
        </w:tc>
      </w:tr>
    </w:tbl>
    <w:p w14:paraId="3765656A" w14:textId="516FA105" w:rsidR="00B5678E" w:rsidRPr="00343635" w:rsidRDefault="00E6689D" w:rsidP="00080269">
      <w:pPr>
        <w:pStyle w:val="DHHStablecaption"/>
      </w:pPr>
      <w:r>
        <w:t>Table 1</w:t>
      </w:r>
      <w:r w:rsidR="000A6E9B">
        <w:t>5</w:t>
      </w:r>
      <w:r>
        <w:t xml:space="preserve">: Severity rating and </w:t>
      </w:r>
      <w:proofErr w:type="spellStart"/>
      <w:r>
        <w:t>imputability</w:t>
      </w:r>
      <w:proofErr w:type="spellEnd"/>
      <w:r>
        <w:t xml:space="preserve"> – a</w:t>
      </w:r>
      <w:r w:rsidRPr="00343635">
        <w:t xml:space="preserve">llergic and </w:t>
      </w:r>
      <w:r w:rsidRPr="00907495">
        <w:t>anaphylactic</w:t>
      </w:r>
      <w:r w:rsidRPr="00343635">
        <w:t xml:space="preserve"> </w:t>
      </w:r>
      <w:r w:rsidRPr="00E6689D">
        <w:t>reactions</w:t>
      </w:r>
    </w:p>
    <w:tbl>
      <w:tblPr>
        <w:tblStyle w:val="TableGrid"/>
        <w:tblW w:w="0" w:type="auto"/>
        <w:tblLook w:val="04A0" w:firstRow="1" w:lastRow="0" w:firstColumn="1" w:lastColumn="0" w:noHBand="0" w:noVBand="1"/>
      </w:tblPr>
      <w:tblGrid>
        <w:gridCol w:w="1803"/>
        <w:gridCol w:w="1803"/>
        <w:gridCol w:w="1917"/>
        <w:gridCol w:w="1850"/>
        <w:gridCol w:w="1804"/>
      </w:tblGrid>
      <w:tr w:rsidR="00862211" w:rsidRPr="00343635" w14:paraId="360796DA" w14:textId="77777777" w:rsidTr="00E56E6D">
        <w:trPr>
          <w:tblHeader/>
        </w:trPr>
        <w:tc>
          <w:tcPr>
            <w:tcW w:w="1803" w:type="dxa"/>
          </w:tcPr>
          <w:p w14:paraId="14B677E0" w14:textId="447C9B96" w:rsidR="00862211" w:rsidRPr="00907495" w:rsidRDefault="00862211" w:rsidP="00862211">
            <w:pPr>
              <w:pStyle w:val="DHHStablecolhead"/>
            </w:pPr>
            <w:r>
              <w:t xml:space="preserve">Severity </w:t>
            </w:r>
            <w:r w:rsidRPr="00E539DD">
              <w:t>rating</w:t>
            </w:r>
          </w:p>
        </w:tc>
        <w:tc>
          <w:tcPr>
            <w:tcW w:w="1803" w:type="dxa"/>
          </w:tcPr>
          <w:p w14:paraId="3721865F" w14:textId="42812B09" w:rsidR="00862211" w:rsidRPr="00907495" w:rsidRDefault="00172E8C" w:rsidP="00862211">
            <w:pPr>
              <w:pStyle w:val="DHHStablecolhead"/>
            </w:pPr>
            <w:proofErr w:type="spellStart"/>
            <w:r>
              <w:t>Imputability</w:t>
            </w:r>
            <w:proofErr w:type="spellEnd"/>
            <w:r w:rsidR="00862211">
              <w:t>:</w:t>
            </w:r>
            <w:r w:rsidR="00862211">
              <w:br/>
              <w:t>c</w:t>
            </w:r>
            <w:r w:rsidR="00862211" w:rsidRPr="00907495">
              <w:t>ertain</w:t>
            </w:r>
            <w:r w:rsidR="008C412F">
              <w:t>ly</w:t>
            </w:r>
          </w:p>
        </w:tc>
        <w:tc>
          <w:tcPr>
            <w:tcW w:w="1917" w:type="dxa"/>
          </w:tcPr>
          <w:p w14:paraId="1C2CB49E" w14:textId="705CD986" w:rsidR="00862211" w:rsidRPr="00907495" w:rsidRDefault="00862211" w:rsidP="00862211">
            <w:pPr>
              <w:pStyle w:val="DHHStablecolhead"/>
            </w:pPr>
            <w:proofErr w:type="spellStart"/>
            <w:r>
              <w:t>Imputability</w:t>
            </w:r>
            <w:proofErr w:type="spellEnd"/>
            <w:r>
              <w:t>:</w:t>
            </w:r>
            <w:r>
              <w:br/>
              <w:t>p</w:t>
            </w:r>
            <w:r w:rsidRPr="00907495">
              <w:t>robabl</w:t>
            </w:r>
            <w:r w:rsidR="008C412F">
              <w:t>y</w:t>
            </w:r>
          </w:p>
        </w:tc>
        <w:tc>
          <w:tcPr>
            <w:tcW w:w="1850" w:type="dxa"/>
          </w:tcPr>
          <w:p w14:paraId="7A19DD86" w14:textId="3511E10B" w:rsidR="00862211" w:rsidRPr="00907495" w:rsidRDefault="00172E8C" w:rsidP="00862211">
            <w:pPr>
              <w:pStyle w:val="DHHStablecolhead"/>
            </w:pPr>
            <w:proofErr w:type="spellStart"/>
            <w:r>
              <w:t>Imputability</w:t>
            </w:r>
            <w:proofErr w:type="spellEnd"/>
            <w:r w:rsidR="00862211">
              <w:t>:</w:t>
            </w:r>
            <w:r w:rsidR="00862211">
              <w:br/>
              <w:t>p</w:t>
            </w:r>
            <w:r w:rsidR="00862211" w:rsidRPr="00907495">
              <w:t>ossibl</w:t>
            </w:r>
            <w:r w:rsidR="008C412F">
              <w:t>y</w:t>
            </w:r>
          </w:p>
        </w:tc>
        <w:tc>
          <w:tcPr>
            <w:tcW w:w="1804" w:type="dxa"/>
          </w:tcPr>
          <w:p w14:paraId="4D544C80" w14:textId="09F3241D" w:rsidR="00862211" w:rsidRPr="00907495" w:rsidRDefault="00862211" w:rsidP="00862211">
            <w:pPr>
              <w:pStyle w:val="DHHStablecolhead"/>
            </w:pPr>
            <w:r w:rsidRPr="00907495">
              <w:t>Total</w:t>
            </w:r>
          </w:p>
        </w:tc>
      </w:tr>
      <w:tr w:rsidR="00881FA7" w:rsidRPr="00343635" w14:paraId="52B4A8F0" w14:textId="77777777" w:rsidTr="00E56E6D">
        <w:tc>
          <w:tcPr>
            <w:tcW w:w="1803" w:type="dxa"/>
          </w:tcPr>
          <w:p w14:paraId="5C33068E" w14:textId="72A14072" w:rsidR="00B5678E" w:rsidRPr="00907495" w:rsidRDefault="00B5678E" w:rsidP="00907495">
            <w:pPr>
              <w:pStyle w:val="DHHStabletext"/>
            </w:pPr>
            <w:r w:rsidRPr="00907495">
              <w:t>SR</w:t>
            </w:r>
            <w:r w:rsidR="00862211">
              <w:t> </w:t>
            </w:r>
            <w:r w:rsidRPr="00907495">
              <w:t>1</w:t>
            </w:r>
          </w:p>
        </w:tc>
        <w:tc>
          <w:tcPr>
            <w:tcW w:w="1803" w:type="dxa"/>
          </w:tcPr>
          <w:p w14:paraId="2C8F5BDD" w14:textId="77777777" w:rsidR="00B5678E" w:rsidRPr="00907495" w:rsidRDefault="00B5678E" w:rsidP="00080269">
            <w:pPr>
              <w:pStyle w:val="DHHStabletext"/>
              <w:jc w:val="right"/>
            </w:pPr>
            <w:r w:rsidRPr="00907495">
              <w:t>-</w:t>
            </w:r>
          </w:p>
        </w:tc>
        <w:tc>
          <w:tcPr>
            <w:tcW w:w="1917" w:type="dxa"/>
          </w:tcPr>
          <w:p w14:paraId="12C404CE" w14:textId="77777777" w:rsidR="00B5678E" w:rsidRPr="00907495" w:rsidRDefault="00B5678E" w:rsidP="00080269">
            <w:pPr>
              <w:pStyle w:val="DHHStabletext"/>
              <w:jc w:val="right"/>
            </w:pPr>
            <w:r w:rsidRPr="00907495">
              <w:t>-</w:t>
            </w:r>
          </w:p>
        </w:tc>
        <w:tc>
          <w:tcPr>
            <w:tcW w:w="1850" w:type="dxa"/>
          </w:tcPr>
          <w:p w14:paraId="04F90C4F" w14:textId="77777777" w:rsidR="00B5678E" w:rsidRPr="00907495" w:rsidRDefault="00B5678E" w:rsidP="00080269">
            <w:pPr>
              <w:pStyle w:val="DHHStabletext"/>
              <w:jc w:val="right"/>
            </w:pPr>
            <w:r w:rsidRPr="00907495">
              <w:t>-</w:t>
            </w:r>
          </w:p>
        </w:tc>
        <w:tc>
          <w:tcPr>
            <w:tcW w:w="1804" w:type="dxa"/>
          </w:tcPr>
          <w:p w14:paraId="6159F263" w14:textId="77777777" w:rsidR="00B5678E" w:rsidRPr="00907495" w:rsidRDefault="00B5678E" w:rsidP="00080269">
            <w:pPr>
              <w:pStyle w:val="DHHStabletext"/>
              <w:jc w:val="right"/>
            </w:pPr>
            <w:r w:rsidRPr="00907495">
              <w:t>-</w:t>
            </w:r>
          </w:p>
        </w:tc>
      </w:tr>
      <w:tr w:rsidR="00881FA7" w:rsidRPr="00343635" w14:paraId="2E1F5CD8" w14:textId="77777777" w:rsidTr="00E56E6D">
        <w:tc>
          <w:tcPr>
            <w:tcW w:w="1803" w:type="dxa"/>
          </w:tcPr>
          <w:p w14:paraId="77C1EB62" w14:textId="1EC675A6" w:rsidR="00B5678E" w:rsidRPr="00907495" w:rsidRDefault="00B5678E" w:rsidP="00907495">
            <w:pPr>
              <w:pStyle w:val="DHHStabletext"/>
            </w:pPr>
            <w:r w:rsidRPr="00907495">
              <w:t>SR</w:t>
            </w:r>
            <w:r w:rsidR="00862211">
              <w:t> </w:t>
            </w:r>
            <w:r w:rsidRPr="00907495">
              <w:t>2</w:t>
            </w:r>
          </w:p>
        </w:tc>
        <w:tc>
          <w:tcPr>
            <w:tcW w:w="1803" w:type="dxa"/>
          </w:tcPr>
          <w:p w14:paraId="656FF387" w14:textId="77777777" w:rsidR="00B5678E" w:rsidRPr="00907495" w:rsidRDefault="00B5678E" w:rsidP="00080269">
            <w:pPr>
              <w:pStyle w:val="DHHStabletext"/>
              <w:jc w:val="right"/>
            </w:pPr>
            <w:r w:rsidRPr="00907495">
              <w:t>-</w:t>
            </w:r>
          </w:p>
        </w:tc>
        <w:tc>
          <w:tcPr>
            <w:tcW w:w="1917" w:type="dxa"/>
          </w:tcPr>
          <w:p w14:paraId="12DE75A9" w14:textId="77777777" w:rsidR="00B5678E" w:rsidRPr="00907495" w:rsidRDefault="00B5678E" w:rsidP="00080269">
            <w:pPr>
              <w:pStyle w:val="DHHStabletext"/>
              <w:jc w:val="right"/>
            </w:pPr>
            <w:r w:rsidRPr="00907495">
              <w:t>9</w:t>
            </w:r>
          </w:p>
        </w:tc>
        <w:tc>
          <w:tcPr>
            <w:tcW w:w="1850" w:type="dxa"/>
          </w:tcPr>
          <w:p w14:paraId="7B549248" w14:textId="77777777" w:rsidR="00B5678E" w:rsidRPr="00907495" w:rsidRDefault="00B5678E" w:rsidP="00080269">
            <w:pPr>
              <w:pStyle w:val="DHHStabletext"/>
              <w:jc w:val="right"/>
            </w:pPr>
            <w:r w:rsidRPr="00907495">
              <w:t>2</w:t>
            </w:r>
          </w:p>
        </w:tc>
        <w:tc>
          <w:tcPr>
            <w:tcW w:w="1804" w:type="dxa"/>
          </w:tcPr>
          <w:p w14:paraId="767CD5B4" w14:textId="77777777" w:rsidR="00B5678E" w:rsidRPr="00907495" w:rsidRDefault="00B5678E" w:rsidP="00080269">
            <w:pPr>
              <w:pStyle w:val="DHHStabletext"/>
              <w:jc w:val="right"/>
            </w:pPr>
            <w:r w:rsidRPr="00907495">
              <w:t>11</w:t>
            </w:r>
          </w:p>
        </w:tc>
      </w:tr>
      <w:tr w:rsidR="00881FA7" w:rsidRPr="00343635" w14:paraId="0C4B28A2" w14:textId="77777777" w:rsidTr="00E56E6D">
        <w:tc>
          <w:tcPr>
            <w:tcW w:w="1803" w:type="dxa"/>
          </w:tcPr>
          <w:p w14:paraId="04398717" w14:textId="005173AC" w:rsidR="00B5678E" w:rsidRPr="00907495" w:rsidRDefault="00B5678E" w:rsidP="00907495">
            <w:pPr>
              <w:pStyle w:val="DHHStabletext"/>
            </w:pPr>
            <w:r w:rsidRPr="00907495">
              <w:t>SR</w:t>
            </w:r>
            <w:r w:rsidR="00862211">
              <w:t> </w:t>
            </w:r>
            <w:r w:rsidRPr="00907495">
              <w:t>3</w:t>
            </w:r>
          </w:p>
        </w:tc>
        <w:tc>
          <w:tcPr>
            <w:tcW w:w="1803" w:type="dxa"/>
          </w:tcPr>
          <w:p w14:paraId="2E002ECF" w14:textId="77777777" w:rsidR="00B5678E" w:rsidRPr="00907495" w:rsidRDefault="00B5678E" w:rsidP="00080269">
            <w:pPr>
              <w:pStyle w:val="DHHStabletext"/>
              <w:jc w:val="right"/>
            </w:pPr>
            <w:r w:rsidRPr="00907495">
              <w:t>-</w:t>
            </w:r>
          </w:p>
        </w:tc>
        <w:tc>
          <w:tcPr>
            <w:tcW w:w="1917" w:type="dxa"/>
          </w:tcPr>
          <w:p w14:paraId="5810908B" w14:textId="77777777" w:rsidR="00B5678E" w:rsidRPr="00907495" w:rsidRDefault="00B5678E" w:rsidP="00080269">
            <w:pPr>
              <w:pStyle w:val="DHHStabletext"/>
              <w:jc w:val="right"/>
            </w:pPr>
            <w:r w:rsidRPr="00907495">
              <w:t>3</w:t>
            </w:r>
          </w:p>
        </w:tc>
        <w:tc>
          <w:tcPr>
            <w:tcW w:w="1850" w:type="dxa"/>
          </w:tcPr>
          <w:p w14:paraId="0E85FA11" w14:textId="77777777" w:rsidR="00B5678E" w:rsidRPr="00907495" w:rsidRDefault="00B5678E" w:rsidP="00080269">
            <w:pPr>
              <w:pStyle w:val="DHHStabletext"/>
              <w:jc w:val="right"/>
            </w:pPr>
            <w:r w:rsidRPr="00907495">
              <w:t>1</w:t>
            </w:r>
          </w:p>
        </w:tc>
        <w:tc>
          <w:tcPr>
            <w:tcW w:w="1804" w:type="dxa"/>
          </w:tcPr>
          <w:p w14:paraId="44D72249" w14:textId="77777777" w:rsidR="00B5678E" w:rsidRPr="00907495" w:rsidRDefault="00B5678E" w:rsidP="00080269">
            <w:pPr>
              <w:pStyle w:val="DHHStabletext"/>
              <w:jc w:val="right"/>
            </w:pPr>
            <w:r w:rsidRPr="00907495">
              <w:t>4</w:t>
            </w:r>
          </w:p>
        </w:tc>
      </w:tr>
      <w:tr w:rsidR="00881FA7" w:rsidRPr="00343635" w14:paraId="766587EC" w14:textId="77777777" w:rsidTr="00E56E6D">
        <w:tc>
          <w:tcPr>
            <w:tcW w:w="1803" w:type="dxa"/>
          </w:tcPr>
          <w:p w14:paraId="3A6287B9" w14:textId="35BF6BC3" w:rsidR="00B5678E" w:rsidRPr="00907495" w:rsidRDefault="00B5678E" w:rsidP="00907495">
            <w:pPr>
              <w:pStyle w:val="DHHStabletext"/>
            </w:pPr>
            <w:r w:rsidRPr="00907495">
              <w:t>SR</w:t>
            </w:r>
            <w:r w:rsidR="00862211">
              <w:t> </w:t>
            </w:r>
            <w:r w:rsidRPr="00907495">
              <w:t>4</w:t>
            </w:r>
          </w:p>
        </w:tc>
        <w:tc>
          <w:tcPr>
            <w:tcW w:w="1803" w:type="dxa"/>
          </w:tcPr>
          <w:p w14:paraId="70FD98E0" w14:textId="77777777" w:rsidR="00B5678E" w:rsidRPr="00907495" w:rsidRDefault="00B5678E" w:rsidP="00080269">
            <w:pPr>
              <w:pStyle w:val="DHHStabletext"/>
              <w:jc w:val="right"/>
            </w:pPr>
            <w:r w:rsidRPr="00907495">
              <w:t>-</w:t>
            </w:r>
          </w:p>
        </w:tc>
        <w:tc>
          <w:tcPr>
            <w:tcW w:w="1917" w:type="dxa"/>
          </w:tcPr>
          <w:p w14:paraId="4BDEACF4" w14:textId="77777777" w:rsidR="00B5678E" w:rsidRPr="00907495" w:rsidRDefault="00B5678E" w:rsidP="00080269">
            <w:pPr>
              <w:pStyle w:val="DHHStabletext"/>
              <w:jc w:val="right"/>
            </w:pPr>
            <w:r w:rsidRPr="00907495">
              <w:t>-</w:t>
            </w:r>
          </w:p>
        </w:tc>
        <w:tc>
          <w:tcPr>
            <w:tcW w:w="1850" w:type="dxa"/>
          </w:tcPr>
          <w:p w14:paraId="389DF5EA" w14:textId="77777777" w:rsidR="00B5678E" w:rsidRPr="00907495" w:rsidRDefault="00B5678E" w:rsidP="00080269">
            <w:pPr>
              <w:pStyle w:val="DHHStabletext"/>
              <w:jc w:val="right"/>
            </w:pPr>
            <w:r w:rsidRPr="00907495">
              <w:t>1</w:t>
            </w:r>
          </w:p>
        </w:tc>
        <w:tc>
          <w:tcPr>
            <w:tcW w:w="1804" w:type="dxa"/>
          </w:tcPr>
          <w:p w14:paraId="1EEFF3B7" w14:textId="77777777" w:rsidR="00B5678E" w:rsidRPr="00907495" w:rsidRDefault="00B5678E" w:rsidP="00080269">
            <w:pPr>
              <w:pStyle w:val="DHHStabletext"/>
              <w:jc w:val="right"/>
            </w:pPr>
            <w:r w:rsidRPr="00907495">
              <w:t>1</w:t>
            </w:r>
          </w:p>
        </w:tc>
      </w:tr>
      <w:tr w:rsidR="00881FA7" w:rsidRPr="00343635" w14:paraId="719618DE" w14:textId="77777777" w:rsidTr="00E56E6D">
        <w:tc>
          <w:tcPr>
            <w:tcW w:w="1803" w:type="dxa"/>
          </w:tcPr>
          <w:p w14:paraId="301C5DC6" w14:textId="77777777" w:rsidR="00B5678E" w:rsidRPr="00907495" w:rsidRDefault="00B5678E" w:rsidP="00907495">
            <w:pPr>
              <w:pStyle w:val="DHHStabletext"/>
            </w:pPr>
            <w:r w:rsidRPr="00907495">
              <w:t>Total</w:t>
            </w:r>
          </w:p>
        </w:tc>
        <w:tc>
          <w:tcPr>
            <w:tcW w:w="1803" w:type="dxa"/>
          </w:tcPr>
          <w:p w14:paraId="4B464447" w14:textId="77777777" w:rsidR="00B5678E" w:rsidRPr="00907495" w:rsidRDefault="00B5678E" w:rsidP="00080269">
            <w:pPr>
              <w:pStyle w:val="DHHStabletext"/>
              <w:jc w:val="right"/>
            </w:pPr>
            <w:r w:rsidRPr="00907495">
              <w:t>-</w:t>
            </w:r>
          </w:p>
        </w:tc>
        <w:tc>
          <w:tcPr>
            <w:tcW w:w="1917" w:type="dxa"/>
          </w:tcPr>
          <w:p w14:paraId="61B63F58" w14:textId="77777777" w:rsidR="00B5678E" w:rsidRPr="00907495" w:rsidRDefault="00B5678E" w:rsidP="00080269">
            <w:pPr>
              <w:pStyle w:val="DHHStabletext"/>
              <w:jc w:val="right"/>
            </w:pPr>
            <w:r w:rsidRPr="00907495">
              <w:t>12</w:t>
            </w:r>
          </w:p>
        </w:tc>
        <w:tc>
          <w:tcPr>
            <w:tcW w:w="1850" w:type="dxa"/>
          </w:tcPr>
          <w:p w14:paraId="27A8EDDC" w14:textId="77777777" w:rsidR="00B5678E" w:rsidRPr="00907495" w:rsidRDefault="00B5678E" w:rsidP="00080269">
            <w:pPr>
              <w:pStyle w:val="DHHStabletext"/>
              <w:jc w:val="right"/>
            </w:pPr>
            <w:r w:rsidRPr="00907495">
              <w:t>4</w:t>
            </w:r>
          </w:p>
        </w:tc>
        <w:tc>
          <w:tcPr>
            <w:tcW w:w="1804" w:type="dxa"/>
          </w:tcPr>
          <w:p w14:paraId="16B9D110" w14:textId="77777777" w:rsidR="00B5678E" w:rsidRPr="00907495" w:rsidRDefault="00B5678E" w:rsidP="00080269">
            <w:pPr>
              <w:pStyle w:val="DHHStabletext"/>
              <w:jc w:val="right"/>
            </w:pPr>
            <w:r w:rsidRPr="00907495">
              <w:t>16</w:t>
            </w:r>
          </w:p>
        </w:tc>
      </w:tr>
    </w:tbl>
    <w:p w14:paraId="3EB0B403" w14:textId="4073060B" w:rsidR="00B5678E" w:rsidRPr="00343635" w:rsidRDefault="00B5678E" w:rsidP="00862211">
      <w:pPr>
        <w:pStyle w:val="DHHSbodyaftertablefigure"/>
      </w:pPr>
      <w:r w:rsidRPr="00343635">
        <w:t xml:space="preserve">To prevent or </w:t>
      </w:r>
      <w:r w:rsidRPr="00862211">
        <w:t>reduce</w:t>
      </w:r>
      <w:r w:rsidRPr="00343635">
        <w:t xml:space="preserve"> the severit</w:t>
      </w:r>
      <w:r w:rsidR="00862211">
        <w:t>y</w:t>
      </w:r>
      <w:r w:rsidRPr="00343635">
        <w:t xml:space="preserve"> of recurrent allergic reactions</w:t>
      </w:r>
      <w:r w:rsidR="00862211">
        <w:t>,</w:t>
      </w:r>
      <w:r w:rsidRPr="00343635">
        <w:t xml:space="preserve"> a patient may be given premedication such as </w:t>
      </w:r>
      <w:r w:rsidRPr="00907495">
        <w:t>antihistamines</w:t>
      </w:r>
      <w:r w:rsidRPr="00343635">
        <w:t xml:space="preserve"> prior to future transfusions, even though there is little evidence these are effective. For patients </w:t>
      </w:r>
      <w:r w:rsidR="00862211">
        <w:t>who experience only m</w:t>
      </w:r>
      <w:r w:rsidRPr="00343635">
        <w:t>ild reactions of rash and/or urticarial</w:t>
      </w:r>
      <w:r w:rsidR="00862211">
        <w:t>,</w:t>
      </w:r>
      <w:r w:rsidRPr="00343635">
        <w:t xml:space="preserve"> premedication for future transfusions may not be necessary.</w:t>
      </w:r>
    </w:p>
    <w:p w14:paraId="1BF69D13" w14:textId="17BBB63B" w:rsidR="00B5678E" w:rsidRPr="00343635" w:rsidRDefault="00B5678E" w:rsidP="00907495">
      <w:pPr>
        <w:pStyle w:val="DHHSbody"/>
      </w:pPr>
      <w:r w:rsidRPr="00343635">
        <w:t>In the reports received by STIR, 56 per cent had not received premedication. Patients given premedication may still go on to have a reaction (Table 1</w:t>
      </w:r>
      <w:r w:rsidR="000A6E9B">
        <w:t>6</w:t>
      </w:r>
      <w:r w:rsidRPr="00343635">
        <w:t>).</w:t>
      </w:r>
    </w:p>
    <w:p w14:paraId="5EF4AE67" w14:textId="26FF5BA7" w:rsidR="00B5678E" w:rsidRPr="00343635" w:rsidRDefault="00B5678E" w:rsidP="00907495">
      <w:pPr>
        <w:pStyle w:val="DHHStablecaption"/>
      </w:pPr>
      <w:r w:rsidRPr="00343635">
        <w:t xml:space="preserve">Table </w:t>
      </w:r>
      <w:r w:rsidR="00E6689D" w:rsidRPr="00343635">
        <w:t>1</w:t>
      </w:r>
      <w:r w:rsidR="000A6E9B">
        <w:t>6</w:t>
      </w:r>
      <w:r w:rsidRPr="00343635">
        <w:t>: Type of premedication given to patients prior to transfusion</w:t>
      </w:r>
    </w:p>
    <w:tbl>
      <w:tblPr>
        <w:tblStyle w:val="TableGrid"/>
        <w:tblW w:w="0" w:type="auto"/>
        <w:tblLook w:val="04A0" w:firstRow="1" w:lastRow="0" w:firstColumn="1" w:lastColumn="0" w:noHBand="0" w:noVBand="1"/>
      </w:tblPr>
      <w:tblGrid>
        <w:gridCol w:w="2263"/>
        <w:gridCol w:w="1560"/>
        <w:gridCol w:w="1559"/>
      </w:tblGrid>
      <w:tr w:rsidR="00B5678E" w:rsidRPr="00343635" w14:paraId="28982702" w14:textId="77777777" w:rsidTr="00E56E6D">
        <w:trPr>
          <w:tblHeader/>
        </w:trPr>
        <w:tc>
          <w:tcPr>
            <w:tcW w:w="2263" w:type="dxa"/>
          </w:tcPr>
          <w:p w14:paraId="6BD390B7" w14:textId="1D32FE02" w:rsidR="00B5678E" w:rsidRPr="00862211" w:rsidRDefault="00862211" w:rsidP="00080269">
            <w:pPr>
              <w:pStyle w:val="DHHStablecolhead"/>
            </w:pPr>
            <w:r w:rsidRPr="00862211">
              <w:t>Premedication</w:t>
            </w:r>
          </w:p>
        </w:tc>
        <w:tc>
          <w:tcPr>
            <w:tcW w:w="1560" w:type="dxa"/>
          </w:tcPr>
          <w:p w14:paraId="2E639A84" w14:textId="77777777" w:rsidR="00B5678E" w:rsidRPr="00907495" w:rsidRDefault="00B5678E" w:rsidP="00907495">
            <w:pPr>
              <w:pStyle w:val="DHHStablecolhead"/>
            </w:pPr>
            <w:r w:rsidRPr="00907495">
              <w:t xml:space="preserve">Allergic </w:t>
            </w:r>
            <w:r w:rsidRPr="00907495">
              <w:br/>
              <w:t>(n = 10)</w:t>
            </w:r>
          </w:p>
        </w:tc>
        <w:tc>
          <w:tcPr>
            <w:tcW w:w="1559" w:type="dxa"/>
          </w:tcPr>
          <w:p w14:paraId="3E2B924B" w14:textId="77777777" w:rsidR="00B5678E" w:rsidRPr="00907495" w:rsidRDefault="00B5678E" w:rsidP="00907495">
            <w:pPr>
              <w:pStyle w:val="DHHStablecolhead"/>
            </w:pPr>
            <w:r w:rsidRPr="00907495">
              <w:t>Anaphylactic</w:t>
            </w:r>
            <w:r w:rsidRPr="00907495">
              <w:br/>
              <w:t>(n = 6)</w:t>
            </w:r>
          </w:p>
        </w:tc>
      </w:tr>
      <w:tr w:rsidR="00B5678E" w:rsidRPr="00343635" w14:paraId="4339A1CF" w14:textId="77777777" w:rsidTr="00E56E6D">
        <w:tc>
          <w:tcPr>
            <w:tcW w:w="2263" w:type="dxa"/>
          </w:tcPr>
          <w:p w14:paraId="701D3072" w14:textId="77777777" w:rsidR="00B5678E" w:rsidRPr="00907495" w:rsidRDefault="00B5678E" w:rsidP="00907495">
            <w:pPr>
              <w:pStyle w:val="DHHStabletext"/>
            </w:pPr>
            <w:r w:rsidRPr="00907495">
              <w:t>Steroids</w:t>
            </w:r>
          </w:p>
        </w:tc>
        <w:tc>
          <w:tcPr>
            <w:tcW w:w="1560" w:type="dxa"/>
          </w:tcPr>
          <w:p w14:paraId="2AD87283" w14:textId="77777777" w:rsidR="00B5678E" w:rsidRPr="00907495" w:rsidRDefault="00B5678E" w:rsidP="00881FA7">
            <w:pPr>
              <w:pStyle w:val="DHHStabletext"/>
              <w:jc w:val="right"/>
            </w:pPr>
            <w:r w:rsidRPr="00907495">
              <w:t>-</w:t>
            </w:r>
          </w:p>
        </w:tc>
        <w:tc>
          <w:tcPr>
            <w:tcW w:w="1559" w:type="dxa"/>
          </w:tcPr>
          <w:p w14:paraId="4CADD10C" w14:textId="77777777" w:rsidR="00B5678E" w:rsidRPr="00907495" w:rsidRDefault="00B5678E" w:rsidP="00881FA7">
            <w:pPr>
              <w:pStyle w:val="DHHStabletext"/>
              <w:jc w:val="right"/>
            </w:pPr>
            <w:r w:rsidRPr="00907495">
              <w:t>3 (50%)</w:t>
            </w:r>
          </w:p>
        </w:tc>
      </w:tr>
      <w:tr w:rsidR="00B5678E" w:rsidRPr="00343635" w14:paraId="00F30D5E" w14:textId="77777777" w:rsidTr="00E56E6D">
        <w:tc>
          <w:tcPr>
            <w:tcW w:w="2263" w:type="dxa"/>
          </w:tcPr>
          <w:p w14:paraId="150163FC" w14:textId="77777777" w:rsidR="00B5678E" w:rsidRPr="00907495" w:rsidRDefault="00B5678E" w:rsidP="00907495">
            <w:pPr>
              <w:pStyle w:val="DHHStabletext"/>
            </w:pPr>
            <w:r w:rsidRPr="00907495">
              <w:t>Antihistamine</w:t>
            </w:r>
          </w:p>
        </w:tc>
        <w:tc>
          <w:tcPr>
            <w:tcW w:w="1560" w:type="dxa"/>
          </w:tcPr>
          <w:p w14:paraId="71656F98" w14:textId="77777777" w:rsidR="00B5678E" w:rsidRPr="00907495" w:rsidRDefault="00B5678E" w:rsidP="00881FA7">
            <w:pPr>
              <w:pStyle w:val="DHHStabletext"/>
              <w:jc w:val="right"/>
            </w:pPr>
            <w:r w:rsidRPr="00907495">
              <w:t>2 (15%)</w:t>
            </w:r>
          </w:p>
        </w:tc>
        <w:tc>
          <w:tcPr>
            <w:tcW w:w="1559" w:type="dxa"/>
          </w:tcPr>
          <w:p w14:paraId="5B770B22" w14:textId="77777777" w:rsidR="00B5678E" w:rsidRPr="00907495" w:rsidRDefault="00B5678E" w:rsidP="00881FA7">
            <w:pPr>
              <w:pStyle w:val="DHHStabletext"/>
              <w:jc w:val="right"/>
            </w:pPr>
            <w:r w:rsidRPr="00907495">
              <w:t>3 (50%)</w:t>
            </w:r>
          </w:p>
        </w:tc>
      </w:tr>
      <w:tr w:rsidR="00B5678E" w:rsidRPr="00343635" w14:paraId="3A4B7D8E" w14:textId="77777777" w:rsidTr="00E56E6D">
        <w:tc>
          <w:tcPr>
            <w:tcW w:w="2263" w:type="dxa"/>
          </w:tcPr>
          <w:p w14:paraId="075485DA" w14:textId="77777777" w:rsidR="00B5678E" w:rsidRPr="00907495" w:rsidRDefault="00B5678E" w:rsidP="00907495">
            <w:pPr>
              <w:pStyle w:val="DHHStabletext"/>
            </w:pPr>
            <w:r w:rsidRPr="00907495">
              <w:t>Paracetamol</w:t>
            </w:r>
          </w:p>
        </w:tc>
        <w:tc>
          <w:tcPr>
            <w:tcW w:w="1560" w:type="dxa"/>
          </w:tcPr>
          <w:p w14:paraId="509FA03C" w14:textId="77777777" w:rsidR="00B5678E" w:rsidRPr="00907495" w:rsidRDefault="00B5678E" w:rsidP="00881FA7">
            <w:pPr>
              <w:pStyle w:val="DHHStabletext"/>
              <w:jc w:val="right"/>
            </w:pPr>
            <w:r w:rsidRPr="00907495">
              <w:t>1 (10%)</w:t>
            </w:r>
          </w:p>
        </w:tc>
        <w:tc>
          <w:tcPr>
            <w:tcW w:w="1559" w:type="dxa"/>
          </w:tcPr>
          <w:p w14:paraId="16D3114D" w14:textId="15C1CE73" w:rsidR="00B5678E" w:rsidRPr="00907495" w:rsidRDefault="00FC2B57" w:rsidP="00881FA7">
            <w:pPr>
              <w:pStyle w:val="DHHStabletext"/>
              <w:jc w:val="right"/>
            </w:pPr>
            <w:r>
              <w:t>-</w:t>
            </w:r>
          </w:p>
        </w:tc>
      </w:tr>
      <w:tr w:rsidR="00B5678E" w:rsidRPr="00343635" w14:paraId="79D102AD" w14:textId="77777777" w:rsidTr="00E56E6D">
        <w:tc>
          <w:tcPr>
            <w:tcW w:w="2263" w:type="dxa"/>
          </w:tcPr>
          <w:p w14:paraId="7D1C8E78" w14:textId="77777777" w:rsidR="00B5678E" w:rsidRPr="00907495" w:rsidRDefault="00B5678E" w:rsidP="00907495">
            <w:pPr>
              <w:pStyle w:val="DHHStabletext"/>
            </w:pPr>
            <w:r w:rsidRPr="00907495">
              <w:t>Pethidine</w:t>
            </w:r>
          </w:p>
        </w:tc>
        <w:tc>
          <w:tcPr>
            <w:tcW w:w="1560" w:type="dxa"/>
          </w:tcPr>
          <w:p w14:paraId="4B928249" w14:textId="77777777" w:rsidR="00B5678E" w:rsidRPr="00907495" w:rsidRDefault="00B5678E" w:rsidP="00881FA7">
            <w:pPr>
              <w:pStyle w:val="DHHStabletext"/>
              <w:jc w:val="right"/>
            </w:pPr>
            <w:r w:rsidRPr="00907495">
              <w:t>-</w:t>
            </w:r>
          </w:p>
        </w:tc>
        <w:tc>
          <w:tcPr>
            <w:tcW w:w="1559" w:type="dxa"/>
          </w:tcPr>
          <w:p w14:paraId="4E9D0B8D" w14:textId="77777777" w:rsidR="00B5678E" w:rsidRPr="00907495" w:rsidRDefault="00B5678E" w:rsidP="00881FA7">
            <w:pPr>
              <w:pStyle w:val="DHHStabletext"/>
              <w:jc w:val="right"/>
            </w:pPr>
            <w:r w:rsidRPr="00907495">
              <w:t>-</w:t>
            </w:r>
          </w:p>
        </w:tc>
      </w:tr>
      <w:tr w:rsidR="00B5678E" w:rsidRPr="00343635" w14:paraId="5B140F16" w14:textId="77777777" w:rsidTr="00E56E6D">
        <w:tc>
          <w:tcPr>
            <w:tcW w:w="2263" w:type="dxa"/>
          </w:tcPr>
          <w:p w14:paraId="62609A9C" w14:textId="2D6BE77E" w:rsidR="00B5678E" w:rsidRPr="00907495" w:rsidRDefault="00B5678E" w:rsidP="00907495">
            <w:pPr>
              <w:pStyle w:val="DHHStabletext"/>
            </w:pPr>
            <w:r w:rsidRPr="00907495">
              <w:t xml:space="preserve">No </w:t>
            </w:r>
            <w:proofErr w:type="spellStart"/>
            <w:r w:rsidRPr="00907495">
              <w:t>premed</w:t>
            </w:r>
            <w:proofErr w:type="spellEnd"/>
          </w:p>
        </w:tc>
        <w:tc>
          <w:tcPr>
            <w:tcW w:w="1560" w:type="dxa"/>
          </w:tcPr>
          <w:p w14:paraId="2F1844F0" w14:textId="77777777" w:rsidR="00B5678E" w:rsidRPr="00907495" w:rsidRDefault="00B5678E" w:rsidP="00881FA7">
            <w:pPr>
              <w:pStyle w:val="DHHStabletext"/>
              <w:jc w:val="right"/>
            </w:pPr>
            <w:r w:rsidRPr="00907495">
              <w:t>7 (70%)</w:t>
            </w:r>
          </w:p>
        </w:tc>
        <w:tc>
          <w:tcPr>
            <w:tcW w:w="1559" w:type="dxa"/>
          </w:tcPr>
          <w:p w14:paraId="5119851A" w14:textId="77777777" w:rsidR="00B5678E" w:rsidRPr="00907495" w:rsidRDefault="00B5678E" w:rsidP="00881FA7">
            <w:pPr>
              <w:pStyle w:val="DHHStabletext"/>
              <w:jc w:val="right"/>
            </w:pPr>
            <w:r w:rsidRPr="00907495">
              <w:t>2 (33%)</w:t>
            </w:r>
          </w:p>
        </w:tc>
      </w:tr>
    </w:tbl>
    <w:p w14:paraId="2B939443" w14:textId="77777777" w:rsidR="00B5678E" w:rsidRPr="00343635" w:rsidRDefault="00B5678E" w:rsidP="00907495">
      <w:pPr>
        <w:pStyle w:val="DHHStablefigurenote"/>
      </w:pPr>
      <w:r w:rsidRPr="00343635">
        <w:t>Note: multiple responses per patient reaction</w:t>
      </w:r>
    </w:p>
    <w:p w14:paraId="57AB9CF0" w14:textId="77777777" w:rsidR="00B5678E" w:rsidRPr="00343635" w:rsidRDefault="00B5678E" w:rsidP="00907495">
      <w:pPr>
        <w:pStyle w:val="DHHSbodyaftertablefigure"/>
      </w:pPr>
      <w:r w:rsidRPr="00343635">
        <w:t xml:space="preserve">Where an allergic reaction has occurred, close monitoring of the </w:t>
      </w:r>
      <w:r w:rsidRPr="00907495">
        <w:t>patient</w:t>
      </w:r>
      <w:r w:rsidRPr="00343635">
        <w:t xml:space="preserve"> during future transfusions may assist in early detection and treatment of further reactions, if they occur.</w:t>
      </w:r>
    </w:p>
    <w:p w14:paraId="6DB091C7" w14:textId="77777777" w:rsidR="00B5678E" w:rsidRPr="00343635" w:rsidRDefault="00B5678E" w:rsidP="00907495">
      <w:pPr>
        <w:pStyle w:val="DHHSbody"/>
      </w:pPr>
      <w:r w:rsidRPr="00343635">
        <w:t>Treatment of allergic reactions, as recommended in the SHOT 2017 report:</w:t>
      </w:r>
    </w:p>
    <w:p w14:paraId="29D58365" w14:textId="28F859E6" w:rsidR="00B5678E" w:rsidRPr="00862211" w:rsidRDefault="00B5678E" w:rsidP="00080269">
      <w:pPr>
        <w:pStyle w:val="DHHSbullet1"/>
      </w:pPr>
      <w:r w:rsidRPr="00862211">
        <w:t>For allergic reactions</w:t>
      </w:r>
      <w:r w:rsidR="00862211">
        <w:t>,</w:t>
      </w:r>
      <w:r w:rsidRPr="00862211">
        <w:t xml:space="preserve"> give an antihistamine as first line; give adrenaline if anaphylaxis is suspected.</w:t>
      </w:r>
    </w:p>
    <w:p w14:paraId="7F1E7628" w14:textId="77777777" w:rsidR="00B5678E" w:rsidRPr="00862211" w:rsidRDefault="00B5678E" w:rsidP="00080269">
      <w:pPr>
        <w:pStyle w:val="DHHSbullet1"/>
      </w:pPr>
      <w:r w:rsidRPr="00862211">
        <w:lastRenderedPageBreak/>
        <w:t xml:space="preserve">The effect of steroids is delayed by several hours, will have no immediate effect, and should only be used to prevent a late recurrence. </w:t>
      </w:r>
    </w:p>
    <w:p w14:paraId="4EA7CCC6" w14:textId="6973377B" w:rsidR="00B5678E" w:rsidRPr="00862211" w:rsidRDefault="00B5678E" w:rsidP="00080269">
      <w:pPr>
        <w:pStyle w:val="DHHSbullet1"/>
      </w:pPr>
      <w:r w:rsidRPr="00862211">
        <w:t>The use of steroids may further immunosuppress already immunocompromised patients and increase the risk of side effects such as infection</w:t>
      </w:r>
      <w:r w:rsidR="00DE6BDE">
        <w:t>.</w:t>
      </w:r>
    </w:p>
    <w:p w14:paraId="1667A5AB" w14:textId="7A49F6F8" w:rsidR="00B5678E" w:rsidRPr="00343635" w:rsidRDefault="00B5678E" w:rsidP="00907495">
      <w:pPr>
        <w:pStyle w:val="DHHSbody"/>
      </w:pPr>
      <w:r w:rsidRPr="00343635">
        <w:t>Immediate treatment at the time of the reaction, as reported to STIR, included antihistamine and steroids (44 and 50 per c</w:t>
      </w:r>
      <w:r w:rsidR="00F92D72">
        <w:t>ent, respectively), inotropes w</w:t>
      </w:r>
      <w:r w:rsidRPr="00343635">
        <w:t>ere used in 69 per cent of reactions (Table 1</w:t>
      </w:r>
      <w:r w:rsidR="000A6E9B">
        <w:t>7</w:t>
      </w:r>
      <w:r w:rsidRPr="00343635">
        <w:t>).</w:t>
      </w:r>
    </w:p>
    <w:p w14:paraId="214B4D84" w14:textId="2BA6F372" w:rsidR="00B5678E" w:rsidRPr="00343635" w:rsidRDefault="00B5678E" w:rsidP="00907495">
      <w:pPr>
        <w:pStyle w:val="DHHStablecaption"/>
      </w:pPr>
      <w:r w:rsidRPr="00343635">
        <w:t xml:space="preserve">Table </w:t>
      </w:r>
      <w:r w:rsidR="00E6689D" w:rsidRPr="00343635">
        <w:t>1</w:t>
      </w:r>
      <w:r w:rsidR="000A6E9B">
        <w:t>7</w:t>
      </w:r>
      <w:r w:rsidRPr="00343635">
        <w:t xml:space="preserve">: Type of </w:t>
      </w:r>
      <w:r w:rsidRPr="00907495">
        <w:t>treatment</w:t>
      </w:r>
      <w:r w:rsidRPr="00343635">
        <w:t xml:space="preserve"> administered at time of reaction</w:t>
      </w:r>
    </w:p>
    <w:tbl>
      <w:tblPr>
        <w:tblStyle w:val="TableGrid"/>
        <w:tblW w:w="0" w:type="auto"/>
        <w:tblLook w:val="04A0" w:firstRow="1" w:lastRow="0" w:firstColumn="1" w:lastColumn="0" w:noHBand="0" w:noVBand="1"/>
      </w:tblPr>
      <w:tblGrid>
        <w:gridCol w:w="2981"/>
        <w:gridCol w:w="1560"/>
        <w:gridCol w:w="1559"/>
      </w:tblGrid>
      <w:tr w:rsidR="00B5678E" w:rsidRPr="00343635" w14:paraId="63C4FB97" w14:textId="77777777" w:rsidTr="00E56E6D">
        <w:trPr>
          <w:tblHeader/>
        </w:trPr>
        <w:tc>
          <w:tcPr>
            <w:tcW w:w="2981" w:type="dxa"/>
          </w:tcPr>
          <w:p w14:paraId="60E983DD" w14:textId="7E334F75" w:rsidR="00B5678E" w:rsidRPr="00DE6BDE" w:rsidRDefault="00DE6BDE" w:rsidP="00080269">
            <w:pPr>
              <w:pStyle w:val="DHHStablecolhead"/>
            </w:pPr>
            <w:r>
              <w:t>Reaction</w:t>
            </w:r>
          </w:p>
        </w:tc>
        <w:tc>
          <w:tcPr>
            <w:tcW w:w="1560" w:type="dxa"/>
          </w:tcPr>
          <w:p w14:paraId="797496FD" w14:textId="18355B87" w:rsidR="00B5678E" w:rsidRPr="00343635" w:rsidRDefault="00B5678E" w:rsidP="00907495">
            <w:pPr>
              <w:pStyle w:val="DHHStablecolhead"/>
            </w:pPr>
            <w:r w:rsidRPr="00343635">
              <w:t>Allergic (n</w:t>
            </w:r>
            <w:r w:rsidR="00DE6BDE">
              <w:t> </w:t>
            </w:r>
            <w:r w:rsidRPr="00343635">
              <w:t>=</w:t>
            </w:r>
            <w:r w:rsidR="00DE6BDE">
              <w:t> </w:t>
            </w:r>
            <w:r w:rsidRPr="00343635">
              <w:t>10)</w:t>
            </w:r>
          </w:p>
        </w:tc>
        <w:tc>
          <w:tcPr>
            <w:tcW w:w="1559" w:type="dxa"/>
          </w:tcPr>
          <w:p w14:paraId="08D162B9" w14:textId="674A17DF" w:rsidR="00B5678E" w:rsidRPr="00343635" w:rsidRDefault="00B5678E" w:rsidP="00907495">
            <w:pPr>
              <w:pStyle w:val="DHHStablecolhead"/>
            </w:pPr>
            <w:r w:rsidRPr="00343635">
              <w:t>Anaphylactic (n</w:t>
            </w:r>
            <w:r w:rsidR="00DE6BDE">
              <w:t> </w:t>
            </w:r>
            <w:r w:rsidRPr="00343635">
              <w:t>=</w:t>
            </w:r>
            <w:r w:rsidR="00DE6BDE">
              <w:t> </w:t>
            </w:r>
            <w:r w:rsidRPr="00343635">
              <w:t>6)</w:t>
            </w:r>
          </w:p>
        </w:tc>
      </w:tr>
      <w:tr w:rsidR="00B5678E" w:rsidRPr="00343635" w14:paraId="1A42A9F6" w14:textId="77777777" w:rsidTr="00E56E6D">
        <w:tc>
          <w:tcPr>
            <w:tcW w:w="2981" w:type="dxa"/>
          </w:tcPr>
          <w:p w14:paraId="16F4CC64" w14:textId="77777777" w:rsidR="00B5678E" w:rsidRPr="00343635" w:rsidRDefault="00B5678E" w:rsidP="00907495">
            <w:pPr>
              <w:pStyle w:val="DHHStabletext"/>
            </w:pPr>
            <w:r w:rsidRPr="00343635">
              <w:t>Antipyretic</w:t>
            </w:r>
          </w:p>
        </w:tc>
        <w:tc>
          <w:tcPr>
            <w:tcW w:w="1560" w:type="dxa"/>
          </w:tcPr>
          <w:p w14:paraId="4851C775" w14:textId="77777777" w:rsidR="00B5678E" w:rsidRPr="00343635" w:rsidRDefault="00B5678E" w:rsidP="00881FA7">
            <w:pPr>
              <w:pStyle w:val="DHHStabletext"/>
              <w:jc w:val="right"/>
            </w:pPr>
            <w:r w:rsidRPr="00343635">
              <w:t>-</w:t>
            </w:r>
          </w:p>
        </w:tc>
        <w:tc>
          <w:tcPr>
            <w:tcW w:w="1559" w:type="dxa"/>
          </w:tcPr>
          <w:p w14:paraId="045DB703" w14:textId="77777777" w:rsidR="00B5678E" w:rsidRPr="00343635" w:rsidRDefault="00B5678E" w:rsidP="00881FA7">
            <w:pPr>
              <w:pStyle w:val="DHHStabletext"/>
              <w:jc w:val="right"/>
            </w:pPr>
            <w:r w:rsidRPr="00343635">
              <w:t>1 (16%)</w:t>
            </w:r>
          </w:p>
        </w:tc>
      </w:tr>
      <w:tr w:rsidR="00B5678E" w:rsidRPr="00343635" w14:paraId="58B9C667" w14:textId="77777777" w:rsidTr="00E56E6D">
        <w:tc>
          <w:tcPr>
            <w:tcW w:w="2981" w:type="dxa"/>
          </w:tcPr>
          <w:p w14:paraId="0A7EFADE" w14:textId="77777777" w:rsidR="00B5678E" w:rsidRPr="00343635" w:rsidRDefault="00B5678E" w:rsidP="00907495">
            <w:pPr>
              <w:pStyle w:val="DHHStabletext"/>
            </w:pPr>
            <w:r w:rsidRPr="00343635">
              <w:t>Antihistamine</w:t>
            </w:r>
          </w:p>
        </w:tc>
        <w:tc>
          <w:tcPr>
            <w:tcW w:w="1560" w:type="dxa"/>
          </w:tcPr>
          <w:p w14:paraId="446AC87A" w14:textId="77777777" w:rsidR="00B5678E" w:rsidRPr="00343635" w:rsidRDefault="00B5678E" w:rsidP="00881FA7">
            <w:pPr>
              <w:pStyle w:val="DHHStabletext"/>
              <w:jc w:val="right"/>
            </w:pPr>
            <w:r w:rsidRPr="00343635">
              <w:t>4 (40%)</w:t>
            </w:r>
          </w:p>
        </w:tc>
        <w:tc>
          <w:tcPr>
            <w:tcW w:w="1559" w:type="dxa"/>
          </w:tcPr>
          <w:p w14:paraId="4F99C224" w14:textId="77777777" w:rsidR="00B5678E" w:rsidRPr="00343635" w:rsidRDefault="00B5678E" w:rsidP="00881FA7">
            <w:pPr>
              <w:pStyle w:val="DHHStabletext"/>
              <w:jc w:val="right"/>
            </w:pPr>
            <w:r w:rsidRPr="00343635">
              <w:t>3 (50%)</w:t>
            </w:r>
          </w:p>
        </w:tc>
      </w:tr>
      <w:tr w:rsidR="00B5678E" w:rsidRPr="00343635" w14:paraId="0D5241FA" w14:textId="77777777" w:rsidTr="00E56E6D">
        <w:tc>
          <w:tcPr>
            <w:tcW w:w="2981" w:type="dxa"/>
          </w:tcPr>
          <w:p w14:paraId="69FD49C3" w14:textId="77777777" w:rsidR="00B5678E" w:rsidRPr="00343635" w:rsidRDefault="00B5678E" w:rsidP="00907495">
            <w:pPr>
              <w:pStyle w:val="DHHStabletext"/>
            </w:pPr>
            <w:r w:rsidRPr="00343635">
              <w:t>Steroid</w:t>
            </w:r>
          </w:p>
        </w:tc>
        <w:tc>
          <w:tcPr>
            <w:tcW w:w="1560" w:type="dxa"/>
          </w:tcPr>
          <w:p w14:paraId="3503B0B5" w14:textId="77777777" w:rsidR="00B5678E" w:rsidRPr="00343635" w:rsidRDefault="00B5678E" w:rsidP="00881FA7">
            <w:pPr>
              <w:pStyle w:val="DHHStabletext"/>
              <w:jc w:val="right"/>
            </w:pPr>
            <w:r w:rsidRPr="00343635">
              <w:t>6 (60%)</w:t>
            </w:r>
          </w:p>
        </w:tc>
        <w:tc>
          <w:tcPr>
            <w:tcW w:w="1559" w:type="dxa"/>
          </w:tcPr>
          <w:p w14:paraId="699ED4B0" w14:textId="77777777" w:rsidR="00B5678E" w:rsidRPr="00343635" w:rsidRDefault="00B5678E" w:rsidP="00881FA7">
            <w:pPr>
              <w:pStyle w:val="DHHStabletext"/>
              <w:jc w:val="right"/>
            </w:pPr>
            <w:r w:rsidRPr="00343635">
              <w:t>2 (33%)</w:t>
            </w:r>
          </w:p>
        </w:tc>
      </w:tr>
      <w:tr w:rsidR="00B5678E" w:rsidRPr="00343635" w14:paraId="4EE2EBD3" w14:textId="77777777" w:rsidTr="00E56E6D">
        <w:tc>
          <w:tcPr>
            <w:tcW w:w="2981" w:type="dxa"/>
          </w:tcPr>
          <w:p w14:paraId="27B9C5B9" w14:textId="77777777" w:rsidR="00B5678E" w:rsidRPr="00343635" w:rsidRDefault="00B5678E" w:rsidP="00907495">
            <w:pPr>
              <w:pStyle w:val="DHHStabletext"/>
            </w:pPr>
            <w:r w:rsidRPr="00343635">
              <w:t>Oxygen</w:t>
            </w:r>
          </w:p>
        </w:tc>
        <w:tc>
          <w:tcPr>
            <w:tcW w:w="1560" w:type="dxa"/>
          </w:tcPr>
          <w:p w14:paraId="1CE32300" w14:textId="77777777" w:rsidR="00B5678E" w:rsidRPr="00343635" w:rsidRDefault="00B5678E" w:rsidP="00881FA7">
            <w:pPr>
              <w:pStyle w:val="DHHStabletext"/>
              <w:jc w:val="right"/>
            </w:pPr>
            <w:r w:rsidRPr="00343635">
              <w:t>2 (20%)</w:t>
            </w:r>
          </w:p>
        </w:tc>
        <w:tc>
          <w:tcPr>
            <w:tcW w:w="1559" w:type="dxa"/>
          </w:tcPr>
          <w:p w14:paraId="50C273D7" w14:textId="77777777" w:rsidR="00B5678E" w:rsidRPr="00343635" w:rsidRDefault="00B5678E" w:rsidP="00881FA7">
            <w:pPr>
              <w:pStyle w:val="DHHStabletext"/>
              <w:jc w:val="right"/>
            </w:pPr>
            <w:r w:rsidRPr="00343635">
              <w:t>4 (67%)</w:t>
            </w:r>
          </w:p>
        </w:tc>
      </w:tr>
      <w:tr w:rsidR="00B5678E" w:rsidRPr="00343635" w14:paraId="1A67AB21" w14:textId="77777777" w:rsidTr="00E56E6D">
        <w:tc>
          <w:tcPr>
            <w:tcW w:w="2981" w:type="dxa"/>
          </w:tcPr>
          <w:p w14:paraId="727DECFE" w14:textId="77777777" w:rsidR="00B5678E" w:rsidRPr="00343635" w:rsidRDefault="00B5678E" w:rsidP="00907495">
            <w:pPr>
              <w:pStyle w:val="DHHStabletext"/>
            </w:pPr>
            <w:r w:rsidRPr="00343635">
              <w:t>Assisted ventilation</w:t>
            </w:r>
          </w:p>
        </w:tc>
        <w:tc>
          <w:tcPr>
            <w:tcW w:w="1560" w:type="dxa"/>
          </w:tcPr>
          <w:p w14:paraId="63F9C954" w14:textId="77777777" w:rsidR="00B5678E" w:rsidRPr="00343635" w:rsidRDefault="00B5678E" w:rsidP="00881FA7">
            <w:pPr>
              <w:pStyle w:val="DHHStabletext"/>
              <w:jc w:val="right"/>
            </w:pPr>
            <w:r w:rsidRPr="00343635">
              <w:t>1 (10%)</w:t>
            </w:r>
          </w:p>
        </w:tc>
        <w:tc>
          <w:tcPr>
            <w:tcW w:w="1559" w:type="dxa"/>
          </w:tcPr>
          <w:p w14:paraId="00AD7B81" w14:textId="77777777" w:rsidR="00B5678E" w:rsidRPr="00343635" w:rsidRDefault="00B5678E" w:rsidP="00881FA7">
            <w:pPr>
              <w:pStyle w:val="DHHStabletext"/>
              <w:jc w:val="right"/>
            </w:pPr>
            <w:r w:rsidRPr="00343635">
              <w:t>1 (16%)</w:t>
            </w:r>
          </w:p>
        </w:tc>
      </w:tr>
      <w:tr w:rsidR="00B5678E" w:rsidRPr="00343635" w14:paraId="0EF45AD6" w14:textId="77777777" w:rsidTr="00E56E6D">
        <w:tc>
          <w:tcPr>
            <w:tcW w:w="2981" w:type="dxa"/>
          </w:tcPr>
          <w:p w14:paraId="161CCB5D" w14:textId="77777777" w:rsidR="00B5678E" w:rsidRPr="00343635" w:rsidRDefault="00B5678E" w:rsidP="00907495">
            <w:pPr>
              <w:pStyle w:val="DHHStabletext"/>
            </w:pPr>
            <w:r w:rsidRPr="00343635">
              <w:t>Intubation</w:t>
            </w:r>
          </w:p>
        </w:tc>
        <w:tc>
          <w:tcPr>
            <w:tcW w:w="1560" w:type="dxa"/>
          </w:tcPr>
          <w:p w14:paraId="69B25A81" w14:textId="77777777" w:rsidR="00B5678E" w:rsidRPr="00343635" w:rsidRDefault="00B5678E" w:rsidP="00881FA7">
            <w:pPr>
              <w:pStyle w:val="DHHStabletext"/>
              <w:jc w:val="right"/>
            </w:pPr>
            <w:r w:rsidRPr="00343635">
              <w:t>1 (10%)</w:t>
            </w:r>
          </w:p>
        </w:tc>
        <w:tc>
          <w:tcPr>
            <w:tcW w:w="1559" w:type="dxa"/>
          </w:tcPr>
          <w:p w14:paraId="7A46F365" w14:textId="77777777" w:rsidR="00B5678E" w:rsidRPr="00343635" w:rsidRDefault="00B5678E" w:rsidP="00881FA7">
            <w:pPr>
              <w:pStyle w:val="DHHStabletext"/>
              <w:jc w:val="right"/>
            </w:pPr>
            <w:r w:rsidRPr="00343635">
              <w:t>-</w:t>
            </w:r>
          </w:p>
        </w:tc>
      </w:tr>
      <w:tr w:rsidR="00B5678E" w:rsidRPr="00343635" w14:paraId="25E96CF8" w14:textId="77777777" w:rsidTr="00E56E6D">
        <w:tc>
          <w:tcPr>
            <w:tcW w:w="2981" w:type="dxa"/>
          </w:tcPr>
          <w:p w14:paraId="4F4D8202" w14:textId="77777777" w:rsidR="00B5678E" w:rsidRPr="00343635" w:rsidRDefault="00B5678E" w:rsidP="00907495">
            <w:pPr>
              <w:pStyle w:val="DHHStabletext"/>
            </w:pPr>
            <w:r w:rsidRPr="00343635">
              <w:t>Inotropes</w:t>
            </w:r>
          </w:p>
        </w:tc>
        <w:tc>
          <w:tcPr>
            <w:tcW w:w="1560" w:type="dxa"/>
          </w:tcPr>
          <w:p w14:paraId="6B815E64" w14:textId="77777777" w:rsidR="00B5678E" w:rsidRPr="00343635" w:rsidRDefault="00B5678E" w:rsidP="00881FA7">
            <w:pPr>
              <w:pStyle w:val="DHHStabletext"/>
              <w:jc w:val="right"/>
            </w:pPr>
            <w:r w:rsidRPr="00343635">
              <w:t>5 (50%)</w:t>
            </w:r>
          </w:p>
        </w:tc>
        <w:tc>
          <w:tcPr>
            <w:tcW w:w="1559" w:type="dxa"/>
          </w:tcPr>
          <w:p w14:paraId="5D0F1019" w14:textId="77777777" w:rsidR="00B5678E" w:rsidRPr="00343635" w:rsidRDefault="00B5678E" w:rsidP="00881FA7">
            <w:pPr>
              <w:pStyle w:val="DHHStabletext"/>
              <w:jc w:val="right"/>
            </w:pPr>
            <w:r w:rsidRPr="00343635">
              <w:t>6 (100%)</w:t>
            </w:r>
          </w:p>
        </w:tc>
      </w:tr>
      <w:tr w:rsidR="00B5678E" w:rsidRPr="00343635" w14:paraId="1687594C" w14:textId="77777777" w:rsidTr="00E56E6D">
        <w:tc>
          <w:tcPr>
            <w:tcW w:w="2981" w:type="dxa"/>
          </w:tcPr>
          <w:p w14:paraId="0706306D" w14:textId="77777777" w:rsidR="00B5678E" w:rsidRPr="00343635" w:rsidRDefault="00B5678E" w:rsidP="00907495">
            <w:pPr>
              <w:pStyle w:val="DHHStabletext"/>
            </w:pPr>
            <w:r w:rsidRPr="00343635">
              <w:t xml:space="preserve">Volume support </w:t>
            </w:r>
          </w:p>
        </w:tc>
        <w:tc>
          <w:tcPr>
            <w:tcW w:w="1560" w:type="dxa"/>
          </w:tcPr>
          <w:p w14:paraId="137C8045" w14:textId="77777777" w:rsidR="00B5678E" w:rsidRPr="00343635" w:rsidRDefault="00B5678E" w:rsidP="00881FA7">
            <w:pPr>
              <w:pStyle w:val="DHHStabletext"/>
              <w:jc w:val="right"/>
            </w:pPr>
            <w:r w:rsidRPr="00343635">
              <w:t>1 (10%)</w:t>
            </w:r>
          </w:p>
        </w:tc>
        <w:tc>
          <w:tcPr>
            <w:tcW w:w="1559" w:type="dxa"/>
          </w:tcPr>
          <w:p w14:paraId="2A519329" w14:textId="77777777" w:rsidR="00B5678E" w:rsidRPr="00343635" w:rsidRDefault="00B5678E" w:rsidP="00881FA7">
            <w:pPr>
              <w:pStyle w:val="DHHStabletext"/>
              <w:jc w:val="right"/>
            </w:pPr>
            <w:r w:rsidRPr="00343635">
              <w:t>3 (50%)</w:t>
            </w:r>
          </w:p>
        </w:tc>
      </w:tr>
    </w:tbl>
    <w:p w14:paraId="6179846F" w14:textId="77777777" w:rsidR="00B5678E" w:rsidRPr="00343635" w:rsidRDefault="00B5678E" w:rsidP="00907495">
      <w:pPr>
        <w:pStyle w:val="DHHStablefigurenote"/>
      </w:pPr>
      <w:r w:rsidRPr="00343635">
        <w:t xml:space="preserve">Note: multiple </w:t>
      </w:r>
      <w:r w:rsidRPr="00907495">
        <w:t>responses</w:t>
      </w:r>
      <w:r w:rsidRPr="00343635">
        <w:t xml:space="preserve"> per patient reaction</w:t>
      </w:r>
    </w:p>
    <w:p w14:paraId="14C5169E" w14:textId="62D4BB6A" w:rsidR="00B5678E" w:rsidRPr="00343635" w:rsidRDefault="00B5678E" w:rsidP="00907495">
      <w:pPr>
        <w:pStyle w:val="DHHSbodyaftertablefigure"/>
      </w:pPr>
      <w:r w:rsidRPr="00343635">
        <w:t xml:space="preserve">Reported investigations following a </w:t>
      </w:r>
      <w:r w:rsidRPr="00907495">
        <w:t>reaction</w:t>
      </w:r>
      <w:r w:rsidRPr="00343635">
        <w:t xml:space="preserve"> varied</w:t>
      </w:r>
      <w:r w:rsidR="00DE6BDE">
        <w:t>.</w:t>
      </w:r>
      <w:r w:rsidRPr="00343635">
        <w:t xml:space="preserve"> </w:t>
      </w:r>
      <w:r w:rsidR="00DE6BDE">
        <w:t>S</w:t>
      </w:r>
      <w:r w:rsidR="00DE6BDE" w:rsidRPr="00343635">
        <w:t>ome</w:t>
      </w:r>
      <w:r w:rsidR="00DE6BDE">
        <w:t>,</w:t>
      </w:r>
      <w:r w:rsidR="00DE6BDE" w:rsidRPr="00343635">
        <w:t xml:space="preserve"> </w:t>
      </w:r>
      <w:r w:rsidRPr="00343635">
        <w:t xml:space="preserve">such as </w:t>
      </w:r>
      <w:r w:rsidR="00DE6BDE">
        <w:t xml:space="preserve">a </w:t>
      </w:r>
      <w:r w:rsidRPr="00343635">
        <w:t>chest X</w:t>
      </w:r>
      <w:r w:rsidR="00DE6BDE">
        <w:t>-</w:t>
      </w:r>
      <w:r w:rsidRPr="00343635">
        <w:t>ray or serologic compatibility check</w:t>
      </w:r>
      <w:r w:rsidR="00DE6BDE">
        <w:t>,</w:t>
      </w:r>
      <w:r w:rsidRPr="00343635">
        <w:t xml:space="preserve"> may be performed to eliminate other possible causes where the type of reaction is not clear. More specific testing, such as </w:t>
      </w:r>
      <w:proofErr w:type="spellStart"/>
      <w:r w:rsidRPr="00343635">
        <w:t>tryptase</w:t>
      </w:r>
      <w:proofErr w:type="spellEnd"/>
      <w:r w:rsidRPr="00343635">
        <w:t xml:space="preserve"> or IgA levels/antibodies may not be appropriate in all cases, but should be considered for more severe reactions to assist in </w:t>
      </w:r>
      <w:r w:rsidR="00DE6BDE">
        <w:t xml:space="preserve">the </w:t>
      </w:r>
      <w:r w:rsidRPr="00343635">
        <w:t>determination of the reaction type and to assess if there is a need for change in blood product requirements (IgA antibodies). Table 1</w:t>
      </w:r>
      <w:r w:rsidR="000A6E9B">
        <w:t>8</w:t>
      </w:r>
      <w:r w:rsidRPr="00343635">
        <w:t xml:space="preserve"> shows the tests undertaken for these reactions.</w:t>
      </w:r>
    </w:p>
    <w:p w14:paraId="680159ED" w14:textId="646008D0" w:rsidR="00B5678E" w:rsidRPr="00343635" w:rsidRDefault="00B5678E" w:rsidP="00907495">
      <w:pPr>
        <w:pStyle w:val="DHHStablecaption"/>
      </w:pPr>
      <w:r w:rsidRPr="00343635">
        <w:t xml:space="preserve">Table </w:t>
      </w:r>
      <w:r w:rsidR="00E6689D" w:rsidRPr="00343635">
        <w:t>1</w:t>
      </w:r>
      <w:r w:rsidR="000A6E9B">
        <w:t>8</w:t>
      </w:r>
      <w:r w:rsidRPr="00343635">
        <w:t xml:space="preserve">: Type of investigations performed </w:t>
      </w:r>
      <w:r w:rsidRPr="00907495">
        <w:t>at</w:t>
      </w:r>
      <w:r w:rsidRPr="00343635">
        <w:t xml:space="preserve"> time of reaction</w:t>
      </w:r>
    </w:p>
    <w:tbl>
      <w:tblPr>
        <w:tblStyle w:val="TableGrid"/>
        <w:tblW w:w="0" w:type="auto"/>
        <w:tblLook w:val="04A0" w:firstRow="1" w:lastRow="0" w:firstColumn="1" w:lastColumn="0" w:noHBand="0" w:noVBand="1"/>
      </w:tblPr>
      <w:tblGrid>
        <w:gridCol w:w="2981"/>
        <w:gridCol w:w="1560"/>
        <w:gridCol w:w="1559"/>
      </w:tblGrid>
      <w:tr w:rsidR="00B5678E" w:rsidRPr="00343635" w14:paraId="2D275D38" w14:textId="77777777" w:rsidTr="00E56E6D">
        <w:trPr>
          <w:tblHeader/>
        </w:trPr>
        <w:tc>
          <w:tcPr>
            <w:tcW w:w="2981" w:type="dxa"/>
          </w:tcPr>
          <w:p w14:paraId="16E3D196" w14:textId="1E30CF81" w:rsidR="00B5678E" w:rsidRPr="00DE6BDE" w:rsidRDefault="00DE6BDE" w:rsidP="00080269">
            <w:pPr>
              <w:pStyle w:val="DHHStablecolhead"/>
            </w:pPr>
            <w:r>
              <w:t>Investigation</w:t>
            </w:r>
          </w:p>
        </w:tc>
        <w:tc>
          <w:tcPr>
            <w:tcW w:w="1560" w:type="dxa"/>
          </w:tcPr>
          <w:p w14:paraId="3CEC1DF7" w14:textId="77777777" w:rsidR="00B5678E" w:rsidRPr="00907495" w:rsidRDefault="00B5678E" w:rsidP="00907495">
            <w:pPr>
              <w:pStyle w:val="DHHStablecolhead"/>
            </w:pPr>
            <w:r w:rsidRPr="00907495">
              <w:t>Allergic</w:t>
            </w:r>
            <w:r w:rsidRPr="00907495">
              <w:br/>
              <w:t>n = 10</w:t>
            </w:r>
          </w:p>
        </w:tc>
        <w:tc>
          <w:tcPr>
            <w:tcW w:w="1559" w:type="dxa"/>
          </w:tcPr>
          <w:p w14:paraId="49466898" w14:textId="77777777" w:rsidR="00B5678E" w:rsidRPr="00907495" w:rsidRDefault="00B5678E" w:rsidP="00907495">
            <w:pPr>
              <w:pStyle w:val="DHHStablecolhead"/>
            </w:pPr>
            <w:r w:rsidRPr="00907495">
              <w:t>Anaphylactic</w:t>
            </w:r>
            <w:r w:rsidRPr="00907495">
              <w:br/>
              <w:t>n = 6</w:t>
            </w:r>
          </w:p>
        </w:tc>
      </w:tr>
      <w:tr w:rsidR="00B5678E" w:rsidRPr="00343635" w14:paraId="52E130A5" w14:textId="77777777" w:rsidTr="00E56E6D">
        <w:tc>
          <w:tcPr>
            <w:tcW w:w="2981" w:type="dxa"/>
          </w:tcPr>
          <w:p w14:paraId="5A300A8E" w14:textId="77777777" w:rsidR="00B5678E" w:rsidRPr="00907495" w:rsidRDefault="00B5678E" w:rsidP="00907495">
            <w:pPr>
              <w:pStyle w:val="DHHStabletext"/>
            </w:pPr>
            <w:r w:rsidRPr="00907495">
              <w:t>Serological compatibility check</w:t>
            </w:r>
          </w:p>
        </w:tc>
        <w:tc>
          <w:tcPr>
            <w:tcW w:w="1560" w:type="dxa"/>
          </w:tcPr>
          <w:p w14:paraId="0011C1EE" w14:textId="77777777" w:rsidR="00B5678E" w:rsidRPr="00907495" w:rsidRDefault="00B5678E" w:rsidP="00881FA7">
            <w:pPr>
              <w:pStyle w:val="DHHStabletext"/>
              <w:jc w:val="right"/>
            </w:pPr>
            <w:r w:rsidRPr="00907495">
              <w:t>4 (40%)</w:t>
            </w:r>
          </w:p>
        </w:tc>
        <w:tc>
          <w:tcPr>
            <w:tcW w:w="1559" w:type="dxa"/>
          </w:tcPr>
          <w:p w14:paraId="444980DB" w14:textId="77777777" w:rsidR="00B5678E" w:rsidRPr="00907495" w:rsidRDefault="00B5678E" w:rsidP="00881FA7">
            <w:pPr>
              <w:pStyle w:val="DHHStabletext"/>
              <w:jc w:val="right"/>
            </w:pPr>
            <w:r w:rsidRPr="00907495">
              <w:t>-</w:t>
            </w:r>
          </w:p>
        </w:tc>
      </w:tr>
      <w:tr w:rsidR="00B5678E" w:rsidRPr="00343635" w14:paraId="3A9AAFB5" w14:textId="77777777" w:rsidTr="00E56E6D">
        <w:tc>
          <w:tcPr>
            <w:tcW w:w="2981" w:type="dxa"/>
          </w:tcPr>
          <w:p w14:paraId="2413FE50" w14:textId="38C4CB93" w:rsidR="00B5678E" w:rsidRPr="00907495" w:rsidRDefault="00B5678E" w:rsidP="00907495">
            <w:pPr>
              <w:pStyle w:val="DHHStabletext"/>
            </w:pPr>
            <w:r w:rsidRPr="00907495">
              <w:t>Chest X</w:t>
            </w:r>
            <w:r w:rsidR="00DE6BDE">
              <w:t>-</w:t>
            </w:r>
            <w:r w:rsidRPr="00907495">
              <w:t>ray</w:t>
            </w:r>
          </w:p>
        </w:tc>
        <w:tc>
          <w:tcPr>
            <w:tcW w:w="1560" w:type="dxa"/>
          </w:tcPr>
          <w:p w14:paraId="2E100AC5" w14:textId="77777777" w:rsidR="00B5678E" w:rsidRPr="00907495" w:rsidRDefault="00B5678E" w:rsidP="00881FA7">
            <w:pPr>
              <w:pStyle w:val="DHHStabletext"/>
              <w:jc w:val="right"/>
            </w:pPr>
            <w:r w:rsidRPr="00907495">
              <w:t>1 (10%)</w:t>
            </w:r>
          </w:p>
        </w:tc>
        <w:tc>
          <w:tcPr>
            <w:tcW w:w="1559" w:type="dxa"/>
          </w:tcPr>
          <w:p w14:paraId="3879FAE3" w14:textId="77777777" w:rsidR="00B5678E" w:rsidRPr="00907495" w:rsidRDefault="00B5678E" w:rsidP="00881FA7">
            <w:pPr>
              <w:pStyle w:val="DHHStabletext"/>
              <w:jc w:val="right"/>
            </w:pPr>
            <w:r w:rsidRPr="00907495">
              <w:t>2 (33%)</w:t>
            </w:r>
          </w:p>
        </w:tc>
      </w:tr>
      <w:tr w:rsidR="00B5678E" w:rsidRPr="00343635" w14:paraId="0146E56E" w14:textId="77777777" w:rsidTr="00E56E6D">
        <w:tc>
          <w:tcPr>
            <w:tcW w:w="2981" w:type="dxa"/>
          </w:tcPr>
          <w:p w14:paraId="5B53730B" w14:textId="77777777" w:rsidR="00B5678E" w:rsidRPr="00907495" w:rsidRDefault="00B5678E" w:rsidP="00907495">
            <w:pPr>
              <w:pStyle w:val="DHHStabletext"/>
            </w:pPr>
            <w:r w:rsidRPr="00907495">
              <w:t>Product culture</w:t>
            </w:r>
          </w:p>
        </w:tc>
        <w:tc>
          <w:tcPr>
            <w:tcW w:w="1560" w:type="dxa"/>
          </w:tcPr>
          <w:p w14:paraId="2B7140FE" w14:textId="77777777" w:rsidR="00B5678E" w:rsidRPr="00907495" w:rsidRDefault="00B5678E" w:rsidP="00881FA7">
            <w:pPr>
              <w:pStyle w:val="DHHStabletext"/>
              <w:jc w:val="right"/>
            </w:pPr>
            <w:r w:rsidRPr="00907495">
              <w:t>4 (40%)</w:t>
            </w:r>
          </w:p>
        </w:tc>
        <w:tc>
          <w:tcPr>
            <w:tcW w:w="1559" w:type="dxa"/>
          </w:tcPr>
          <w:p w14:paraId="32D71B81" w14:textId="77777777" w:rsidR="00B5678E" w:rsidRPr="00907495" w:rsidRDefault="00B5678E" w:rsidP="00881FA7">
            <w:pPr>
              <w:pStyle w:val="DHHStabletext"/>
              <w:jc w:val="right"/>
            </w:pPr>
            <w:r w:rsidRPr="00907495">
              <w:t>3 (50%)</w:t>
            </w:r>
          </w:p>
        </w:tc>
      </w:tr>
      <w:tr w:rsidR="00B5678E" w:rsidRPr="00343635" w14:paraId="4A058348" w14:textId="77777777" w:rsidTr="00E56E6D">
        <w:tc>
          <w:tcPr>
            <w:tcW w:w="2981" w:type="dxa"/>
          </w:tcPr>
          <w:p w14:paraId="17DC5DF8" w14:textId="77777777" w:rsidR="00B5678E" w:rsidRPr="00907495" w:rsidRDefault="00B5678E" w:rsidP="00907495">
            <w:pPr>
              <w:pStyle w:val="DHHStabletext"/>
            </w:pPr>
            <w:r w:rsidRPr="00907495">
              <w:t>Patient culture</w:t>
            </w:r>
          </w:p>
        </w:tc>
        <w:tc>
          <w:tcPr>
            <w:tcW w:w="1560" w:type="dxa"/>
          </w:tcPr>
          <w:p w14:paraId="7C0D9EA0" w14:textId="77777777" w:rsidR="00B5678E" w:rsidRPr="00907495" w:rsidRDefault="00B5678E" w:rsidP="00881FA7">
            <w:pPr>
              <w:pStyle w:val="DHHStabletext"/>
              <w:jc w:val="right"/>
            </w:pPr>
            <w:r w:rsidRPr="00907495">
              <w:t>2 (20%)</w:t>
            </w:r>
          </w:p>
        </w:tc>
        <w:tc>
          <w:tcPr>
            <w:tcW w:w="1559" w:type="dxa"/>
          </w:tcPr>
          <w:p w14:paraId="318B59EC" w14:textId="77777777" w:rsidR="00B5678E" w:rsidRPr="00907495" w:rsidRDefault="00B5678E" w:rsidP="00881FA7">
            <w:pPr>
              <w:pStyle w:val="DHHStabletext"/>
              <w:jc w:val="right"/>
            </w:pPr>
            <w:r w:rsidRPr="00907495">
              <w:t>1 (17%)</w:t>
            </w:r>
          </w:p>
        </w:tc>
      </w:tr>
      <w:tr w:rsidR="00B5678E" w:rsidRPr="00343635" w14:paraId="3862E5F4" w14:textId="77777777" w:rsidTr="00E56E6D">
        <w:tc>
          <w:tcPr>
            <w:tcW w:w="2981" w:type="dxa"/>
          </w:tcPr>
          <w:p w14:paraId="508A451C" w14:textId="77777777" w:rsidR="00B5678E" w:rsidRPr="00907495" w:rsidRDefault="00B5678E" w:rsidP="00907495">
            <w:pPr>
              <w:pStyle w:val="DHHStabletext"/>
            </w:pPr>
            <w:r w:rsidRPr="00907495">
              <w:t>IgA antibodies</w:t>
            </w:r>
          </w:p>
        </w:tc>
        <w:tc>
          <w:tcPr>
            <w:tcW w:w="1560" w:type="dxa"/>
          </w:tcPr>
          <w:p w14:paraId="638A28D9" w14:textId="77777777" w:rsidR="00B5678E" w:rsidRPr="00907495" w:rsidRDefault="00B5678E" w:rsidP="00881FA7">
            <w:pPr>
              <w:pStyle w:val="DHHStabletext"/>
              <w:jc w:val="right"/>
            </w:pPr>
            <w:r w:rsidRPr="00907495">
              <w:t>1 (10%)</w:t>
            </w:r>
          </w:p>
        </w:tc>
        <w:tc>
          <w:tcPr>
            <w:tcW w:w="1559" w:type="dxa"/>
          </w:tcPr>
          <w:p w14:paraId="464DF954" w14:textId="77777777" w:rsidR="00B5678E" w:rsidRPr="00907495" w:rsidRDefault="00B5678E" w:rsidP="00881FA7">
            <w:pPr>
              <w:pStyle w:val="DHHStabletext"/>
              <w:jc w:val="right"/>
            </w:pPr>
            <w:r w:rsidRPr="00907495">
              <w:t>4 (67%)</w:t>
            </w:r>
          </w:p>
        </w:tc>
      </w:tr>
      <w:tr w:rsidR="00B5678E" w:rsidRPr="00343635" w14:paraId="093FE5F2" w14:textId="77777777" w:rsidTr="00E56E6D">
        <w:tc>
          <w:tcPr>
            <w:tcW w:w="2981" w:type="dxa"/>
          </w:tcPr>
          <w:p w14:paraId="451CA4B2" w14:textId="77777777" w:rsidR="00B5678E" w:rsidRPr="00907495" w:rsidRDefault="00B5678E" w:rsidP="00907495">
            <w:pPr>
              <w:pStyle w:val="DHHStabletext"/>
            </w:pPr>
            <w:r w:rsidRPr="00907495">
              <w:t>IgA level</w:t>
            </w:r>
          </w:p>
        </w:tc>
        <w:tc>
          <w:tcPr>
            <w:tcW w:w="1560" w:type="dxa"/>
          </w:tcPr>
          <w:p w14:paraId="76E71F72" w14:textId="77777777" w:rsidR="00B5678E" w:rsidRPr="00907495" w:rsidRDefault="00B5678E" w:rsidP="00881FA7">
            <w:pPr>
              <w:pStyle w:val="DHHStabletext"/>
              <w:jc w:val="right"/>
            </w:pPr>
            <w:r w:rsidRPr="00907495">
              <w:t>3 (30%)</w:t>
            </w:r>
          </w:p>
        </w:tc>
        <w:tc>
          <w:tcPr>
            <w:tcW w:w="1559" w:type="dxa"/>
          </w:tcPr>
          <w:p w14:paraId="1BAE5001" w14:textId="77777777" w:rsidR="00B5678E" w:rsidRPr="00907495" w:rsidRDefault="00B5678E" w:rsidP="00881FA7">
            <w:pPr>
              <w:pStyle w:val="DHHStabletext"/>
              <w:jc w:val="right"/>
            </w:pPr>
            <w:r w:rsidRPr="00907495">
              <w:t>2 (33%)</w:t>
            </w:r>
          </w:p>
        </w:tc>
      </w:tr>
      <w:tr w:rsidR="00B5678E" w:rsidRPr="00343635" w14:paraId="5A4ED8E8" w14:textId="77777777" w:rsidTr="00E56E6D">
        <w:tc>
          <w:tcPr>
            <w:tcW w:w="2981" w:type="dxa"/>
          </w:tcPr>
          <w:p w14:paraId="73653580" w14:textId="77777777" w:rsidR="00B5678E" w:rsidRPr="00907495" w:rsidRDefault="00B5678E" w:rsidP="00907495">
            <w:pPr>
              <w:pStyle w:val="DHHStabletext"/>
            </w:pPr>
            <w:proofErr w:type="spellStart"/>
            <w:r w:rsidRPr="00907495">
              <w:t>Tryptase</w:t>
            </w:r>
            <w:proofErr w:type="spellEnd"/>
            <w:r w:rsidRPr="00907495">
              <w:t xml:space="preserve"> level</w:t>
            </w:r>
          </w:p>
        </w:tc>
        <w:tc>
          <w:tcPr>
            <w:tcW w:w="1560" w:type="dxa"/>
          </w:tcPr>
          <w:p w14:paraId="0CC25F5F" w14:textId="77777777" w:rsidR="00B5678E" w:rsidRPr="00907495" w:rsidRDefault="00B5678E" w:rsidP="00881FA7">
            <w:pPr>
              <w:pStyle w:val="DHHStabletext"/>
              <w:jc w:val="right"/>
            </w:pPr>
            <w:r w:rsidRPr="00907495">
              <w:t>4 (40%)</w:t>
            </w:r>
          </w:p>
        </w:tc>
        <w:tc>
          <w:tcPr>
            <w:tcW w:w="1559" w:type="dxa"/>
          </w:tcPr>
          <w:p w14:paraId="17D17A55" w14:textId="77777777" w:rsidR="00B5678E" w:rsidRPr="00907495" w:rsidRDefault="00B5678E" w:rsidP="00881FA7">
            <w:pPr>
              <w:pStyle w:val="DHHStabletext"/>
              <w:jc w:val="right"/>
            </w:pPr>
            <w:r w:rsidRPr="00907495">
              <w:t>3 (50%)</w:t>
            </w:r>
          </w:p>
        </w:tc>
      </w:tr>
      <w:tr w:rsidR="00B5678E" w:rsidRPr="00343635" w14:paraId="56D0D20F" w14:textId="77777777" w:rsidTr="00E56E6D">
        <w:tc>
          <w:tcPr>
            <w:tcW w:w="2981" w:type="dxa"/>
          </w:tcPr>
          <w:p w14:paraId="1DE427CE" w14:textId="77777777" w:rsidR="00B5678E" w:rsidRPr="00907495" w:rsidRDefault="00B5678E" w:rsidP="00907495">
            <w:pPr>
              <w:pStyle w:val="DHHStabletext"/>
            </w:pPr>
            <w:r w:rsidRPr="00907495">
              <w:t>Renal function</w:t>
            </w:r>
          </w:p>
        </w:tc>
        <w:tc>
          <w:tcPr>
            <w:tcW w:w="1560" w:type="dxa"/>
          </w:tcPr>
          <w:p w14:paraId="54D7D669" w14:textId="77777777" w:rsidR="00B5678E" w:rsidRPr="00907495" w:rsidRDefault="00B5678E" w:rsidP="00881FA7">
            <w:pPr>
              <w:pStyle w:val="DHHStabletext"/>
              <w:jc w:val="right"/>
            </w:pPr>
            <w:r w:rsidRPr="00907495">
              <w:t>3 (30%)</w:t>
            </w:r>
          </w:p>
        </w:tc>
        <w:tc>
          <w:tcPr>
            <w:tcW w:w="1559" w:type="dxa"/>
          </w:tcPr>
          <w:p w14:paraId="77496C68" w14:textId="77777777" w:rsidR="00B5678E" w:rsidRPr="00907495" w:rsidRDefault="00B5678E" w:rsidP="00881FA7">
            <w:pPr>
              <w:pStyle w:val="DHHStabletext"/>
              <w:jc w:val="right"/>
            </w:pPr>
            <w:r w:rsidRPr="00907495">
              <w:t>1 (17%)</w:t>
            </w:r>
          </w:p>
        </w:tc>
      </w:tr>
      <w:tr w:rsidR="00B5678E" w:rsidRPr="00343635" w14:paraId="696CF8CD" w14:textId="77777777" w:rsidTr="00E56E6D">
        <w:tc>
          <w:tcPr>
            <w:tcW w:w="2981" w:type="dxa"/>
          </w:tcPr>
          <w:p w14:paraId="24176217" w14:textId="77777777" w:rsidR="00B5678E" w:rsidRPr="00907495" w:rsidRDefault="00B5678E" w:rsidP="00907495">
            <w:pPr>
              <w:pStyle w:val="DHHStabletext"/>
            </w:pPr>
            <w:proofErr w:type="spellStart"/>
            <w:r w:rsidRPr="00907495">
              <w:t>Hb</w:t>
            </w:r>
            <w:proofErr w:type="spellEnd"/>
            <w:r w:rsidRPr="00907495">
              <w:t xml:space="preserve"> (post transfusion)</w:t>
            </w:r>
          </w:p>
        </w:tc>
        <w:tc>
          <w:tcPr>
            <w:tcW w:w="1560" w:type="dxa"/>
          </w:tcPr>
          <w:p w14:paraId="301AE1A0" w14:textId="77777777" w:rsidR="00B5678E" w:rsidRPr="00907495" w:rsidRDefault="00B5678E" w:rsidP="00881FA7">
            <w:pPr>
              <w:pStyle w:val="DHHStabletext"/>
              <w:jc w:val="right"/>
            </w:pPr>
            <w:r w:rsidRPr="00907495">
              <w:t>1 (10%)</w:t>
            </w:r>
          </w:p>
        </w:tc>
        <w:tc>
          <w:tcPr>
            <w:tcW w:w="1559" w:type="dxa"/>
          </w:tcPr>
          <w:p w14:paraId="124E85BA" w14:textId="77777777" w:rsidR="00B5678E" w:rsidRPr="00907495" w:rsidRDefault="00B5678E" w:rsidP="00881FA7">
            <w:pPr>
              <w:pStyle w:val="DHHStabletext"/>
              <w:jc w:val="right"/>
            </w:pPr>
            <w:r w:rsidRPr="00907495">
              <w:t>2 (33%)</w:t>
            </w:r>
          </w:p>
        </w:tc>
      </w:tr>
    </w:tbl>
    <w:p w14:paraId="1491AE36" w14:textId="77777777" w:rsidR="00B5678E" w:rsidRPr="00343635" w:rsidRDefault="00B5678E" w:rsidP="00907495">
      <w:pPr>
        <w:pStyle w:val="DHHStablefigurenote"/>
      </w:pPr>
      <w:r w:rsidRPr="00343635">
        <w:t xml:space="preserve">Note: multiple </w:t>
      </w:r>
      <w:r w:rsidRPr="00907495">
        <w:t>responses</w:t>
      </w:r>
      <w:r w:rsidRPr="00343635">
        <w:t xml:space="preserve"> per patient reaction</w:t>
      </w:r>
    </w:p>
    <w:p w14:paraId="558459B5" w14:textId="76EC91C6" w:rsidR="00B5678E" w:rsidRPr="00907495" w:rsidRDefault="00B5678E" w:rsidP="00080269">
      <w:pPr>
        <w:pStyle w:val="Heading3"/>
      </w:pPr>
      <w:bookmarkStart w:id="19" w:name="_Toc24287420"/>
      <w:r w:rsidRPr="00343635">
        <w:lastRenderedPageBreak/>
        <w:t>Case stud</w:t>
      </w:r>
      <w:r w:rsidR="00DE6BDE">
        <w:t xml:space="preserve">y 2: </w:t>
      </w:r>
      <w:r w:rsidRPr="00343635">
        <w:t xml:space="preserve">ATR </w:t>
      </w:r>
      <w:r w:rsidR="00DE6BDE">
        <w:t>–</w:t>
      </w:r>
      <w:r w:rsidR="00DE6BDE" w:rsidRPr="00343635">
        <w:t xml:space="preserve"> </w:t>
      </w:r>
      <w:r w:rsidR="00DE6BDE">
        <w:t>a</w:t>
      </w:r>
      <w:r w:rsidRPr="00343635">
        <w:t>llergic reaction in outpatient area</w:t>
      </w:r>
      <w:bookmarkEnd w:id="19"/>
    </w:p>
    <w:p w14:paraId="51724933" w14:textId="778154D3" w:rsidR="00B5678E" w:rsidRPr="00343635" w:rsidRDefault="00B5678E" w:rsidP="00907495">
      <w:pPr>
        <w:pStyle w:val="DHHSbody"/>
      </w:pPr>
      <w:r w:rsidRPr="00343635">
        <w:t xml:space="preserve">A 45-year-old woman who had received an allogeneic transplant for </w:t>
      </w:r>
      <w:r w:rsidR="00FA107E">
        <w:t>myelodysplasia</w:t>
      </w:r>
      <w:r w:rsidRPr="00343635">
        <w:t xml:space="preserve"> was attending a day unit for blood product support. She received a bag of pooled platelets, run over 30 minutes, when she developed itching rash and throat tightness following completion of the transfusion. Observations as reported were stable. She was administered steroids and adrenaline. Post-reaction </w:t>
      </w:r>
      <w:proofErr w:type="spellStart"/>
      <w:r w:rsidRPr="00343635">
        <w:t>tryptase</w:t>
      </w:r>
      <w:proofErr w:type="spellEnd"/>
      <w:r w:rsidRPr="00343635">
        <w:t xml:space="preserve"> and IgA level were normal.</w:t>
      </w:r>
    </w:p>
    <w:p w14:paraId="286EF834" w14:textId="2F50684B" w:rsidR="00B5678E" w:rsidRPr="00343635" w:rsidRDefault="00B5678E" w:rsidP="00907495">
      <w:pPr>
        <w:pStyle w:val="DHHSbody"/>
      </w:pPr>
      <w:r w:rsidRPr="00343635">
        <w:t>The patient required an increased length of stay and increased care, with no long</w:t>
      </w:r>
      <w:r w:rsidR="00DE6BDE">
        <w:t>-</w:t>
      </w:r>
      <w:r w:rsidRPr="00343635">
        <w:t>term ill effects.</w:t>
      </w:r>
    </w:p>
    <w:p w14:paraId="4434B217" w14:textId="3ABDE2E9" w:rsidR="00B5678E" w:rsidRPr="00343635" w:rsidRDefault="00B5678E" w:rsidP="00907495">
      <w:pPr>
        <w:pStyle w:val="DHHSbody"/>
      </w:pPr>
      <w:r w:rsidRPr="00343635">
        <w:t xml:space="preserve">The final determination by </w:t>
      </w:r>
      <w:r w:rsidR="00DE6BDE">
        <w:t xml:space="preserve">the </w:t>
      </w:r>
      <w:r w:rsidRPr="00343635">
        <w:t xml:space="preserve">STIR Expert </w:t>
      </w:r>
      <w:r w:rsidR="00DE6BDE">
        <w:t>G</w:t>
      </w:r>
      <w:r w:rsidR="00DE6BDE" w:rsidRPr="00343635">
        <w:t xml:space="preserve">roup </w:t>
      </w:r>
      <w:r w:rsidRPr="00343635">
        <w:t>was probable severe allergic reaction, SR</w:t>
      </w:r>
      <w:r w:rsidR="00DE6BDE">
        <w:t> </w:t>
      </w:r>
      <w:r w:rsidRPr="00343635">
        <w:t>2, due to the need for admission from the day ward.</w:t>
      </w:r>
    </w:p>
    <w:p w14:paraId="34A0F5F9" w14:textId="21B6C592" w:rsidR="00B5678E" w:rsidRPr="00907495" w:rsidRDefault="00B5678E" w:rsidP="00907495">
      <w:pPr>
        <w:pStyle w:val="Heading4"/>
      </w:pPr>
      <w:r w:rsidRPr="00343635">
        <w:t>Comments</w:t>
      </w:r>
    </w:p>
    <w:p w14:paraId="1E090E3A" w14:textId="3B497DA0" w:rsidR="00B5678E" w:rsidRPr="00343635" w:rsidRDefault="00B5678E" w:rsidP="00907495">
      <w:pPr>
        <w:pStyle w:val="DHHSbody"/>
      </w:pPr>
      <w:proofErr w:type="spellStart"/>
      <w:r w:rsidRPr="00343635">
        <w:t>Tryptase</w:t>
      </w:r>
      <w:proofErr w:type="spellEnd"/>
      <w:r w:rsidRPr="00343635">
        <w:t xml:space="preserve"> and IgA levels may help with the </w:t>
      </w:r>
      <w:r w:rsidRPr="00907495">
        <w:t>assessment</w:t>
      </w:r>
      <w:r w:rsidRPr="00343635">
        <w:t xml:space="preserve"> of suspected allergic reactions, but are not always done</w:t>
      </w:r>
      <w:r w:rsidR="00DE6BDE">
        <w:t xml:space="preserve"> (</w:t>
      </w:r>
      <w:r w:rsidRPr="00343635">
        <w:t>see Table 1</w:t>
      </w:r>
      <w:r w:rsidR="000A6E9B">
        <w:t>8</w:t>
      </w:r>
      <w:r w:rsidR="00DE6BDE">
        <w:t>)</w:t>
      </w:r>
      <w:r w:rsidRPr="00343635">
        <w:t>.</w:t>
      </w:r>
    </w:p>
    <w:p w14:paraId="5C738675" w14:textId="14FD1971" w:rsidR="00B5678E" w:rsidRPr="00343635" w:rsidRDefault="00821C3C" w:rsidP="00907495">
      <w:pPr>
        <w:pStyle w:val="Heading3"/>
        <w:rPr>
          <w:noProof/>
        </w:rPr>
      </w:pPr>
      <w:bookmarkStart w:id="20" w:name="_Toc24287421"/>
      <w:r>
        <w:t xml:space="preserve">Case study </w:t>
      </w:r>
      <w:r>
        <w:rPr>
          <w:noProof/>
        </w:rPr>
        <w:t>3</w:t>
      </w:r>
      <w:r>
        <w:t>:</w:t>
      </w:r>
      <w:r w:rsidR="00B5678E" w:rsidRPr="00343635">
        <w:t xml:space="preserve"> ATR</w:t>
      </w:r>
      <w:r w:rsidR="00DE6BDE">
        <w:t xml:space="preserve"> – a</w:t>
      </w:r>
      <w:r w:rsidR="00B5678E" w:rsidRPr="00343635">
        <w:t xml:space="preserve">llergic reaction </w:t>
      </w:r>
      <w:r w:rsidR="00B5678E" w:rsidRPr="00907495">
        <w:t>made</w:t>
      </w:r>
      <w:r w:rsidR="00B5678E" w:rsidRPr="00343635">
        <w:t xml:space="preserve"> worse by continuing the transfusion</w:t>
      </w:r>
      <w:bookmarkEnd w:id="20"/>
    </w:p>
    <w:p w14:paraId="56FA29F8" w14:textId="4CC5C0E4" w:rsidR="00B5678E" w:rsidRPr="00343635" w:rsidRDefault="00B5678E" w:rsidP="00907495">
      <w:pPr>
        <w:pStyle w:val="DHHSbody"/>
      </w:pPr>
      <w:r w:rsidRPr="00343635">
        <w:t>A young boy was receiving FFP for coagulopathy (INR 2.1) and bleeding post-surgery in intensive care unit (ICU). The patient became hypotensive with a decrease in oxygen saturation during the transfusion. The clinical judgement attributed the change in condition to postoperative instability, and the FFP rate was increased to provide fluid resuscitation. It was only after this that a rash became apparent and wheeze and stridor were observed.</w:t>
      </w:r>
    </w:p>
    <w:p w14:paraId="5628E569" w14:textId="77777777" w:rsidR="00B5678E" w:rsidRPr="00343635" w:rsidRDefault="00B5678E" w:rsidP="00907495">
      <w:pPr>
        <w:pStyle w:val="DHHSbody"/>
      </w:pPr>
      <w:r w:rsidRPr="00343635">
        <w:t>The transfusion was stopped and noradrenaline, already in use, was increased. The patient required a temporary increase in care.</w:t>
      </w:r>
    </w:p>
    <w:p w14:paraId="79F5D092" w14:textId="31D42651" w:rsidR="00B5678E" w:rsidRPr="00343635" w:rsidRDefault="00B5678E" w:rsidP="00907495">
      <w:pPr>
        <w:pStyle w:val="DHHSbody"/>
      </w:pPr>
      <w:r w:rsidRPr="00343635">
        <w:t xml:space="preserve">The final determination by the </w:t>
      </w:r>
      <w:r w:rsidR="00765130">
        <w:t xml:space="preserve">STIR </w:t>
      </w:r>
      <w:r w:rsidRPr="00343635">
        <w:t>Expert Group was probable anaphylaxis, SR</w:t>
      </w:r>
      <w:r w:rsidR="00765130">
        <w:t> </w:t>
      </w:r>
      <w:r w:rsidRPr="00343635">
        <w:t>2.</w:t>
      </w:r>
    </w:p>
    <w:p w14:paraId="664F72AA" w14:textId="5985D78C" w:rsidR="00B5678E" w:rsidRPr="00907495" w:rsidRDefault="00B5678E" w:rsidP="00907495">
      <w:pPr>
        <w:pStyle w:val="Heading4"/>
      </w:pPr>
      <w:r w:rsidRPr="00343635">
        <w:t>Comment</w:t>
      </w:r>
    </w:p>
    <w:p w14:paraId="10EEC6E4" w14:textId="01F37296" w:rsidR="00B5678E" w:rsidRPr="00343635" w:rsidRDefault="00B5678E" w:rsidP="00907495">
      <w:pPr>
        <w:pStyle w:val="DHHSbody"/>
      </w:pPr>
      <w:r w:rsidRPr="00343635">
        <w:t xml:space="preserve">It is important </w:t>
      </w:r>
      <w:r w:rsidR="00476F48">
        <w:t xml:space="preserve">to consider </w:t>
      </w:r>
      <w:r w:rsidRPr="00343635">
        <w:t xml:space="preserve">that a transfusion reaction </w:t>
      </w:r>
      <w:r w:rsidR="00476F48">
        <w:t>may have occurred</w:t>
      </w:r>
      <w:r w:rsidRPr="00343635">
        <w:t xml:space="preserve"> in any patient </w:t>
      </w:r>
      <w:r w:rsidR="00476F48">
        <w:t>who</w:t>
      </w:r>
      <w:r w:rsidR="00476F48" w:rsidRPr="00343635">
        <w:t xml:space="preserve"> </w:t>
      </w:r>
      <w:r w:rsidRPr="00343635">
        <w:t xml:space="preserve">experiences a change in condition and is receiving a blood product. Until shown otherwise, the transfusion is stopped and IV access is maintained. Rapid rates of infusion may be associated with more severe reactions, as the signs and symptoms may not be </w:t>
      </w:r>
      <w:r w:rsidRPr="00907495">
        <w:t>apparent</w:t>
      </w:r>
      <w:r w:rsidRPr="00343635">
        <w:t xml:space="preserve"> for some time, by which time the patient has received a large amount of the product and any allergen.</w:t>
      </w:r>
    </w:p>
    <w:p w14:paraId="3350D838" w14:textId="01E18C2B" w:rsidR="00B5678E" w:rsidRPr="00343635" w:rsidRDefault="00476F48" w:rsidP="00080269">
      <w:pPr>
        <w:pStyle w:val="Heading3"/>
      </w:pPr>
      <w:bookmarkStart w:id="21" w:name="_Toc24287422"/>
      <w:r>
        <w:t xml:space="preserve">Case study </w:t>
      </w:r>
      <w:r w:rsidR="00B5678E" w:rsidRPr="00343635">
        <w:t>4</w:t>
      </w:r>
      <w:r>
        <w:t>:</w:t>
      </w:r>
      <w:r w:rsidRPr="00343635">
        <w:t xml:space="preserve"> </w:t>
      </w:r>
      <w:r w:rsidR="00B5678E" w:rsidRPr="00343635">
        <w:t xml:space="preserve">ATR – </w:t>
      </w:r>
      <w:r>
        <w:t>a</w:t>
      </w:r>
      <w:r w:rsidR="00B5678E" w:rsidRPr="00343635">
        <w:t xml:space="preserve">llergic </w:t>
      </w:r>
      <w:r w:rsidR="00B5678E" w:rsidRPr="00907495">
        <w:t>reaction</w:t>
      </w:r>
      <w:r w:rsidR="00B5678E" w:rsidRPr="00343635">
        <w:t xml:space="preserve"> to FFP in plasma exchange</w:t>
      </w:r>
      <w:bookmarkEnd w:id="21"/>
    </w:p>
    <w:p w14:paraId="3F83A972" w14:textId="44CAF8B4" w:rsidR="00B5678E" w:rsidRPr="00907495" w:rsidRDefault="00B5678E" w:rsidP="00907495">
      <w:pPr>
        <w:pStyle w:val="DHHSbody"/>
      </w:pPr>
      <w:r w:rsidRPr="00907495">
        <w:t>A young male was undergoing therapeutic plasma exchange (TPE) for nephritis with FFP replacement. On day one, at the start of the procedure (after 150</w:t>
      </w:r>
      <w:r w:rsidR="00476F48">
        <w:t> </w:t>
      </w:r>
      <w:r w:rsidRPr="00907495">
        <w:t>mL given), he developed chest pain/discomfort, headache, nausea and vomiting, hypotension (152/96 to 94/55), dyspnoea and swollen lips and tongue. He required intramuscular (IM) adrenaline, oxygen and IV fluid support.</w:t>
      </w:r>
    </w:p>
    <w:p w14:paraId="390850BB" w14:textId="77777777" w:rsidR="00B5678E" w:rsidRPr="00907495" w:rsidRDefault="00B5678E" w:rsidP="00907495">
      <w:pPr>
        <w:pStyle w:val="DHHSbody"/>
      </w:pPr>
      <w:r w:rsidRPr="00907495">
        <w:t>On the second day, despite premedication with steroids and antihistamines, he again developed similar signs and symptoms, this time during the third unit of FFP. In addition, he developed wheeze, itching rash and periorbital oedema. This time he required two doses of adrenaline and nebulised salbutamol, in addition to oxygen and IV fluid support.</w:t>
      </w:r>
    </w:p>
    <w:p w14:paraId="0F0DF95E" w14:textId="77777777" w:rsidR="00B5678E" w:rsidRPr="00907495" w:rsidRDefault="00B5678E" w:rsidP="00907495">
      <w:pPr>
        <w:pStyle w:val="DHHSbody"/>
      </w:pPr>
      <w:r w:rsidRPr="00907495">
        <w:t>The patient had a history of anaphylactic nut allergy.</w:t>
      </w:r>
    </w:p>
    <w:p w14:paraId="2624400D" w14:textId="18CB3674" w:rsidR="00B5678E" w:rsidRPr="00907495" w:rsidRDefault="00B5678E" w:rsidP="00907495">
      <w:pPr>
        <w:pStyle w:val="DHHSbody"/>
      </w:pPr>
      <w:r w:rsidRPr="00907495">
        <w:t xml:space="preserve">The final determination by the </w:t>
      </w:r>
      <w:r w:rsidR="00476F48">
        <w:t xml:space="preserve">STIR </w:t>
      </w:r>
      <w:r w:rsidRPr="00907495">
        <w:t>Expert Group was probable anaphylaxis, SR</w:t>
      </w:r>
      <w:r w:rsidR="00476F48">
        <w:t> </w:t>
      </w:r>
      <w:r w:rsidRPr="00907495">
        <w:t>2.</w:t>
      </w:r>
    </w:p>
    <w:p w14:paraId="57B9EF57" w14:textId="39B3FC3E" w:rsidR="00B5678E" w:rsidRPr="00343635" w:rsidRDefault="00B5678E" w:rsidP="00EB32E5">
      <w:pPr>
        <w:pStyle w:val="Heading4"/>
      </w:pPr>
      <w:r w:rsidRPr="00EB32E5">
        <w:t>Comments</w:t>
      </w:r>
    </w:p>
    <w:p w14:paraId="131FB46D" w14:textId="77777777" w:rsidR="00B5678E" w:rsidRPr="00EB32E5" w:rsidRDefault="00B5678E" w:rsidP="00EB32E5">
      <w:pPr>
        <w:pStyle w:val="DHHSbody"/>
      </w:pPr>
      <w:r w:rsidRPr="00EB32E5">
        <w:t xml:space="preserve">TPE is used for the treatment of a number of conditions. It involves the removal of large amounts of patient plasma to remove a pathogenic protein or solute, and requires replacement with a suitable fluid. </w:t>
      </w:r>
    </w:p>
    <w:p w14:paraId="42596894" w14:textId="77777777" w:rsidR="00B5678E" w:rsidRPr="00EB32E5" w:rsidRDefault="00B5678E" w:rsidP="00EB32E5">
      <w:pPr>
        <w:pStyle w:val="DHHSbody"/>
      </w:pPr>
      <w:r w:rsidRPr="00EB32E5">
        <w:lastRenderedPageBreak/>
        <w:t>In recent years, STIR has received a number of reports of allergic reactions to FFP used for replacement during TPE procedures. The large volume and rapid infusion of FFP during these procedures may result in more severe reactions. Rash is seen in almost all, dyspnoea or difficulty breathing is common, circumoral or periorbital oedema can also commonly occur.</w:t>
      </w:r>
    </w:p>
    <w:p w14:paraId="7B0DCB55" w14:textId="77777777" w:rsidR="00B5678E" w:rsidRPr="00EB32E5" w:rsidRDefault="00B5678E" w:rsidP="00EB32E5">
      <w:pPr>
        <w:pStyle w:val="DHHSbody"/>
      </w:pPr>
      <w:r w:rsidRPr="00EB32E5">
        <w:t xml:space="preserve">Treatment often includes an antihistamine and/or adrenaline. Oxygen therapy and the use of a bronchodilator is common. </w:t>
      </w:r>
    </w:p>
    <w:p w14:paraId="5B3E665A" w14:textId="46F62B31" w:rsidR="00B5678E" w:rsidRPr="00EB32E5" w:rsidRDefault="00B5678E" w:rsidP="00EB32E5">
      <w:pPr>
        <w:pStyle w:val="DHHSbody"/>
      </w:pPr>
      <w:r w:rsidRPr="00EB32E5">
        <w:t>Usually there is only a temporary increase in care, however one patient required ICU admission.</w:t>
      </w:r>
    </w:p>
    <w:p w14:paraId="408B7723" w14:textId="6CAA2AAC" w:rsidR="00476F48" w:rsidRDefault="00B5678E" w:rsidP="00EB32E5">
      <w:pPr>
        <w:pStyle w:val="DHHSbody"/>
      </w:pPr>
      <w:r w:rsidRPr="00EB32E5">
        <w:t>TPE is nonselective</w:t>
      </w:r>
      <w:r w:rsidR="00476F48">
        <w:t>.</w:t>
      </w:r>
      <w:r w:rsidRPr="00EB32E5">
        <w:t xml:space="preserve"> </w:t>
      </w:r>
      <w:r w:rsidR="00476F48">
        <w:t>I</w:t>
      </w:r>
      <w:r w:rsidR="00476F48" w:rsidRPr="00EB32E5">
        <w:t xml:space="preserve">t </w:t>
      </w:r>
      <w:r w:rsidRPr="00EB32E5">
        <w:t xml:space="preserve">removes both normal and pathologic plasma components. For example, during a one plasma volume exchange using albumin as the replacement fluid, coagulation factor activity decreases and coagulation tests may become abnormal. </w:t>
      </w:r>
    </w:p>
    <w:p w14:paraId="03E968E2" w14:textId="6C5B6869" w:rsidR="00B5678E" w:rsidRPr="00EB32E5" w:rsidRDefault="00B5678E" w:rsidP="00EB32E5">
      <w:pPr>
        <w:pStyle w:val="DHHSbody"/>
      </w:pPr>
      <w:r w:rsidRPr="00EB32E5">
        <w:t xml:space="preserve">Significant declines in factor V (FV), FVII, FVIII, FIX, FX, and VWF activity occurs, however FVIII, FIX, and VWF return to normal within </w:t>
      </w:r>
      <w:r w:rsidR="00476F48">
        <w:t>four</w:t>
      </w:r>
      <w:r w:rsidR="00476F48" w:rsidRPr="00EB32E5">
        <w:t xml:space="preserve"> </w:t>
      </w:r>
      <w:r w:rsidRPr="00EB32E5">
        <w:t>hours after TPE, the remaining coagulation factors achieve pre-TPE activity levels by 24 hours. The exception to this is fibrinogen, which reaches 66</w:t>
      </w:r>
      <w:r w:rsidR="00476F48">
        <w:t xml:space="preserve"> per cent</w:t>
      </w:r>
      <w:r w:rsidRPr="00EB32E5">
        <w:t xml:space="preserve"> of pre-apheresis levels by 72 hours (Winters JL 2012).</w:t>
      </w:r>
    </w:p>
    <w:p w14:paraId="62789F19" w14:textId="329CCB6F" w:rsidR="00B5678E" w:rsidRPr="00343635" w:rsidRDefault="00B5678E" w:rsidP="00EB32E5">
      <w:pPr>
        <w:pStyle w:val="DHHSbody"/>
      </w:pPr>
      <w:r w:rsidRPr="00EB32E5">
        <w:t>The use of FFP for TPE is not routinely recommended, according to the American Society for Apheresis (ASFA) guidelines. However, in the treatment of thrombotic thrombocytopenic purpura (TTP), FFP is the replacement fluid of choice to replace ADAMTS13. In other procedures, FFP is only recommended where coagulation is depleted and invasive procedures will follow the plasma exchange. Even then it is not necessary to complete the entire procedure using FFP replacement. Albumin may be used for the initial part of the procedure with a smaller number of FFP units given at the end of the procedure to replace clotting factors.</w:t>
      </w:r>
    </w:p>
    <w:p w14:paraId="487C6609" w14:textId="09C16422" w:rsidR="00B5678E" w:rsidRPr="00343635" w:rsidRDefault="00B5678E" w:rsidP="00EB32E5">
      <w:pPr>
        <w:pStyle w:val="Heading2"/>
      </w:pPr>
      <w:bookmarkStart w:id="22" w:name="_Toc24287423"/>
      <w:r w:rsidRPr="00343635">
        <w:t xml:space="preserve">Acute </w:t>
      </w:r>
      <w:r w:rsidR="00087563">
        <w:t>h</w:t>
      </w:r>
      <w:r w:rsidRPr="00EB32E5">
        <w:t>aemolytic</w:t>
      </w:r>
      <w:bookmarkEnd w:id="22"/>
    </w:p>
    <w:p w14:paraId="67634CF2" w14:textId="77777777" w:rsidR="00B5678E" w:rsidRPr="00EB32E5" w:rsidRDefault="00B5678E" w:rsidP="00EB32E5">
      <w:pPr>
        <w:pStyle w:val="DHHSbody"/>
      </w:pPr>
      <w:r w:rsidRPr="00EB32E5">
        <w:t>Acute haemolytic reaction is suspected if the patient has fever and other signs/symptoms of haemolysis (including dyspnoea, hypotension, tachycardia, back pain, dark urine) within 24 hours of transfusion and one or more of the following:</w:t>
      </w:r>
    </w:p>
    <w:p w14:paraId="678BCC68" w14:textId="27D0C93D" w:rsidR="00B5678E" w:rsidRPr="00343635" w:rsidRDefault="00B5678E" w:rsidP="00EB32E5">
      <w:pPr>
        <w:pStyle w:val="DHHSbullet1"/>
      </w:pPr>
      <w:r w:rsidRPr="00343635">
        <w:t xml:space="preserve">failure to achieve expected rise of the </w:t>
      </w:r>
      <w:proofErr w:type="spellStart"/>
      <w:r w:rsidRPr="00343635">
        <w:t>Hb</w:t>
      </w:r>
      <w:proofErr w:type="spellEnd"/>
      <w:r w:rsidRPr="00343635">
        <w:t xml:space="preserve"> post-transfusion or a drop in </w:t>
      </w:r>
      <w:proofErr w:type="spellStart"/>
      <w:r w:rsidRPr="00343635">
        <w:t>Hb</w:t>
      </w:r>
      <w:proofErr w:type="spellEnd"/>
      <w:r w:rsidRPr="00343635">
        <w:t xml:space="preserve"> &gt; 20</w:t>
      </w:r>
      <w:r w:rsidR="00087563">
        <w:t> </w:t>
      </w:r>
      <w:r w:rsidRPr="00343635">
        <w:t>g/L within 24 hours (excluding all causes for ongoing bleeding)</w:t>
      </w:r>
    </w:p>
    <w:p w14:paraId="792DB294" w14:textId="699AC387" w:rsidR="00B5678E" w:rsidRPr="00343635" w:rsidRDefault="00B5678E" w:rsidP="00EB32E5">
      <w:pPr>
        <w:pStyle w:val="DHHSbullet1"/>
      </w:pPr>
      <w:r w:rsidRPr="00343635">
        <w:t>rise in LDH &gt; 50 per cent within 24 hours</w:t>
      </w:r>
    </w:p>
    <w:p w14:paraId="6928E12F" w14:textId="5B2B2A9E" w:rsidR="00B5678E" w:rsidRPr="00343635" w:rsidRDefault="00B5678E" w:rsidP="00EB32E5">
      <w:pPr>
        <w:pStyle w:val="DHHSbullet1lastline"/>
      </w:pPr>
      <w:r w:rsidRPr="00343635">
        <w:t>rise in bilirubin, free haemoglobin (plasma or urine) (</w:t>
      </w:r>
      <w:r w:rsidRPr="00080269">
        <w:rPr>
          <w:i/>
          <w:iCs/>
        </w:rPr>
        <w:t xml:space="preserve">STIR </w:t>
      </w:r>
      <w:r w:rsidR="00087563" w:rsidRPr="00080269">
        <w:rPr>
          <w:i/>
          <w:iCs/>
        </w:rPr>
        <w:t>reporting g</w:t>
      </w:r>
      <w:r w:rsidRPr="00080269">
        <w:rPr>
          <w:i/>
          <w:iCs/>
        </w:rPr>
        <w:t>uide 2017</w:t>
      </w:r>
      <w:r w:rsidRPr="00343635">
        <w:t>)</w:t>
      </w:r>
      <w:r w:rsidR="00087563">
        <w:t>.</w:t>
      </w:r>
    </w:p>
    <w:p w14:paraId="6053A702" w14:textId="220EC711" w:rsidR="00B5678E" w:rsidRPr="00EB32E5" w:rsidRDefault="00B5678E" w:rsidP="00EB32E5">
      <w:pPr>
        <w:pStyle w:val="DHHSbody"/>
      </w:pPr>
      <w:r w:rsidRPr="00EB32E5">
        <w:t>These may be caused by immune (</w:t>
      </w:r>
      <w:r w:rsidR="00087563">
        <w:t>for example,</w:t>
      </w:r>
      <w:r w:rsidRPr="00EB32E5">
        <w:t xml:space="preserve"> blood group or red cell antigen incompatibility) or non-immune factors.</w:t>
      </w:r>
    </w:p>
    <w:p w14:paraId="043AD6E4" w14:textId="29418519" w:rsidR="00B5678E" w:rsidRPr="00EB32E5" w:rsidRDefault="00B5678E" w:rsidP="00EB32E5">
      <w:pPr>
        <w:pStyle w:val="DHHSbody"/>
      </w:pPr>
      <w:r w:rsidRPr="00EB32E5">
        <w:t xml:space="preserve">During FY18, one acute haemolytic reaction was reported due to an ABO incompatible blood component. See </w:t>
      </w:r>
      <w:r w:rsidR="00087563">
        <w:t>‘</w:t>
      </w:r>
      <w:r w:rsidR="001047AC">
        <w:rPr>
          <w:rFonts w:ascii="Helvetica" w:hAnsi="Helvetica" w:cs="Helvetica"/>
          <w:color w:val="000000"/>
          <w:lang w:val="en-US"/>
        </w:rPr>
        <w:t>Case study 10: IBCT – ABO incompatible transfusion’</w:t>
      </w:r>
      <w:r w:rsidRPr="00EB32E5">
        <w:t>.</w:t>
      </w:r>
    </w:p>
    <w:p w14:paraId="5A7182F5" w14:textId="6750BBE9" w:rsidR="00B5678E" w:rsidRPr="00EB32E5" w:rsidRDefault="00B5678E" w:rsidP="00EB32E5">
      <w:pPr>
        <w:pStyle w:val="Heading2"/>
      </w:pPr>
      <w:bookmarkStart w:id="23" w:name="_Toc24287424"/>
      <w:r w:rsidRPr="00343635">
        <w:t xml:space="preserve">Delayed </w:t>
      </w:r>
      <w:r w:rsidR="00087563">
        <w:t>h</w:t>
      </w:r>
      <w:r w:rsidRPr="00343635">
        <w:t>aemolytic</w:t>
      </w:r>
      <w:bookmarkEnd w:id="23"/>
    </w:p>
    <w:p w14:paraId="4FB9D9D4" w14:textId="519BD863" w:rsidR="00B5678E" w:rsidRPr="00343635" w:rsidRDefault="00087563" w:rsidP="00EB32E5">
      <w:pPr>
        <w:pStyle w:val="DHHSbody"/>
      </w:pPr>
      <w:r w:rsidRPr="00343635">
        <w:t>Delayed haemolytic transfusion reactions</w:t>
      </w:r>
      <w:r w:rsidRPr="00343635" w:rsidDel="00087563">
        <w:t xml:space="preserve"> </w:t>
      </w:r>
      <w:r w:rsidR="00B5678E" w:rsidRPr="00343635">
        <w:t xml:space="preserve">occur more than 24 hours following a transfusion of blood or blood components in which haemolysis occurs due to the development of red cell antibody. </w:t>
      </w:r>
      <w:r>
        <w:t>They</w:t>
      </w:r>
      <w:r w:rsidR="00B5678E" w:rsidRPr="00343635">
        <w:t xml:space="preserve"> may present </w:t>
      </w:r>
      <w:r w:rsidR="001047AC">
        <w:t xml:space="preserve">with </w:t>
      </w:r>
      <w:r w:rsidR="00B5678E" w:rsidRPr="00343635">
        <w:t>one or more of the following, usually two to 14 days after transfusion of a red blood cell component:</w:t>
      </w:r>
    </w:p>
    <w:p w14:paraId="27E67847" w14:textId="77777777" w:rsidR="00B5678E" w:rsidRPr="00EB32E5" w:rsidRDefault="00B5678E" w:rsidP="00EB32E5">
      <w:pPr>
        <w:pStyle w:val="DHHSbullet1"/>
      </w:pPr>
      <w:r w:rsidRPr="00EB32E5">
        <w:t xml:space="preserve">a fall in </w:t>
      </w:r>
      <w:proofErr w:type="spellStart"/>
      <w:r w:rsidRPr="00EB32E5">
        <w:t>Hb</w:t>
      </w:r>
      <w:proofErr w:type="spellEnd"/>
      <w:r w:rsidRPr="00EB32E5">
        <w:t xml:space="preserve"> or failure of increment </w:t>
      </w:r>
    </w:p>
    <w:p w14:paraId="4FA10299" w14:textId="77777777" w:rsidR="00B5678E" w:rsidRPr="00EB32E5" w:rsidRDefault="00B5678E" w:rsidP="00EB32E5">
      <w:pPr>
        <w:pStyle w:val="DHHSbullet1"/>
      </w:pPr>
      <w:r w:rsidRPr="00EB32E5">
        <w:t xml:space="preserve">rise in bilirubin </w:t>
      </w:r>
    </w:p>
    <w:p w14:paraId="6EED9A5F" w14:textId="17F9EBA4" w:rsidR="00B5678E" w:rsidRPr="00EB32E5" w:rsidRDefault="00B5678E" w:rsidP="00EB32E5">
      <w:pPr>
        <w:pStyle w:val="DHHSbullet1lastline"/>
      </w:pPr>
      <w:r w:rsidRPr="00EB32E5">
        <w:t>incompatible cross match not detectable pre-transfusion (</w:t>
      </w:r>
      <w:r w:rsidRPr="00080269">
        <w:rPr>
          <w:i/>
          <w:iCs/>
        </w:rPr>
        <w:t>STIR</w:t>
      </w:r>
      <w:r w:rsidR="00087563" w:rsidRPr="00080269">
        <w:rPr>
          <w:i/>
          <w:iCs/>
        </w:rPr>
        <w:t xml:space="preserve"> reporting</w:t>
      </w:r>
      <w:r w:rsidRPr="00080269">
        <w:rPr>
          <w:i/>
          <w:iCs/>
        </w:rPr>
        <w:t xml:space="preserve"> </w:t>
      </w:r>
      <w:r w:rsidR="00087563" w:rsidRPr="00080269">
        <w:rPr>
          <w:i/>
          <w:iCs/>
        </w:rPr>
        <w:t xml:space="preserve">guide </w:t>
      </w:r>
      <w:r w:rsidRPr="00080269">
        <w:rPr>
          <w:i/>
          <w:iCs/>
        </w:rPr>
        <w:t>2017</w:t>
      </w:r>
      <w:r w:rsidRPr="00EB32E5">
        <w:t>)</w:t>
      </w:r>
      <w:r w:rsidR="00087563">
        <w:t>.</w:t>
      </w:r>
    </w:p>
    <w:p w14:paraId="2C4812D8" w14:textId="3A3F1B5C" w:rsidR="00B5678E" w:rsidRDefault="00B5678E" w:rsidP="00EB32E5">
      <w:pPr>
        <w:pStyle w:val="DHHSbody"/>
      </w:pPr>
      <w:r w:rsidRPr="00343635">
        <w:t>For FY18, there were three validated reports.</w:t>
      </w:r>
    </w:p>
    <w:p w14:paraId="220963E0" w14:textId="69D1C3A6" w:rsidR="00E6689D" w:rsidRPr="00E6689D" w:rsidRDefault="00E6689D" w:rsidP="00080269">
      <w:pPr>
        <w:pStyle w:val="DHHStablecaption"/>
      </w:pPr>
      <w:r>
        <w:lastRenderedPageBreak/>
        <w:t xml:space="preserve">Table </w:t>
      </w:r>
      <w:r w:rsidR="000A6E9B">
        <w:t>19</w:t>
      </w:r>
      <w:r>
        <w:t xml:space="preserve">: Severity rating and </w:t>
      </w:r>
      <w:proofErr w:type="spellStart"/>
      <w:r w:rsidR="00172E8C">
        <w:t>Imputability</w:t>
      </w:r>
      <w:proofErr w:type="spellEnd"/>
      <w:r>
        <w:t xml:space="preserve"> – delayed haemolytic </w:t>
      </w:r>
      <w:r w:rsidR="00172E8C">
        <w:t>reaction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03"/>
        <w:gridCol w:w="1803"/>
        <w:gridCol w:w="1803"/>
        <w:gridCol w:w="1804"/>
      </w:tblGrid>
      <w:tr w:rsidR="00881FA7" w:rsidRPr="00343635" w14:paraId="457C9F29" w14:textId="77777777" w:rsidTr="00E56E6D">
        <w:trPr>
          <w:tblHeader/>
        </w:trPr>
        <w:tc>
          <w:tcPr>
            <w:tcW w:w="1803" w:type="dxa"/>
            <w:shd w:val="clear" w:color="auto" w:fill="auto"/>
          </w:tcPr>
          <w:p w14:paraId="67E73698" w14:textId="6077E37E" w:rsidR="00B5678E" w:rsidRPr="00343635" w:rsidRDefault="00023E90" w:rsidP="00EB32E5">
            <w:pPr>
              <w:pStyle w:val="DHHStablecolhead"/>
            </w:pPr>
            <w:r w:rsidRPr="00343635">
              <w:t xml:space="preserve">Severity </w:t>
            </w:r>
            <w:r>
              <w:t>r</w:t>
            </w:r>
            <w:r w:rsidRPr="00343635">
              <w:t>ating</w:t>
            </w:r>
          </w:p>
        </w:tc>
        <w:tc>
          <w:tcPr>
            <w:tcW w:w="1803" w:type="dxa"/>
            <w:shd w:val="clear" w:color="auto" w:fill="auto"/>
          </w:tcPr>
          <w:p w14:paraId="2C265191" w14:textId="2F4BA5AD" w:rsidR="00B5678E" w:rsidRPr="00343635" w:rsidRDefault="00023E90" w:rsidP="00EB32E5">
            <w:pPr>
              <w:pStyle w:val="DHHStablecolhead"/>
            </w:pPr>
            <w:proofErr w:type="spellStart"/>
            <w:r w:rsidRPr="00343635">
              <w:t>Imputability</w:t>
            </w:r>
            <w:proofErr w:type="spellEnd"/>
            <w:r>
              <w:t>:</w:t>
            </w:r>
            <w:r w:rsidRPr="00343635">
              <w:t xml:space="preserve"> </w:t>
            </w:r>
            <w:r w:rsidR="00FC2B57">
              <w:t>c</w:t>
            </w:r>
            <w:r w:rsidR="00FC2B57" w:rsidRPr="00343635">
              <w:t>ertainly</w:t>
            </w:r>
          </w:p>
        </w:tc>
        <w:tc>
          <w:tcPr>
            <w:tcW w:w="1803" w:type="dxa"/>
            <w:shd w:val="clear" w:color="auto" w:fill="auto"/>
          </w:tcPr>
          <w:p w14:paraId="5513F42D" w14:textId="041FA6AF" w:rsidR="00B5678E" w:rsidRPr="00343635" w:rsidRDefault="00023E90" w:rsidP="00EB32E5">
            <w:pPr>
              <w:pStyle w:val="DHHStablecolhead"/>
            </w:pPr>
            <w:proofErr w:type="spellStart"/>
            <w:r w:rsidRPr="00343635">
              <w:t>Imputability</w:t>
            </w:r>
            <w:proofErr w:type="spellEnd"/>
            <w:r>
              <w:t xml:space="preserve">: </w:t>
            </w:r>
            <w:r w:rsidR="00FC2B57">
              <w:t>p</w:t>
            </w:r>
            <w:r w:rsidR="00FC2B57" w:rsidRPr="00343635">
              <w:t>robably</w:t>
            </w:r>
          </w:p>
        </w:tc>
        <w:tc>
          <w:tcPr>
            <w:tcW w:w="1803" w:type="dxa"/>
            <w:shd w:val="clear" w:color="auto" w:fill="auto"/>
          </w:tcPr>
          <w:p w14:paraId="798B4DA4" w14:textId="4D4A29F7" w:rsidR="00B5678E" w:rsidRPr="00343635" w:rsidRDefault="00023E90" w:rsidP="00EB32E5">
            <w:pPr>
              <w:pStyle w:val="DHHStablecolhead"/>
            </w:pPr>
            <w:proofErr w:type="spellStart"/>
            <w:r w:rsidRPr="00343635">
              <w:t>Imputability</w:t>
            </w:r>
            <w:proofErr w:type="spellEnd"/>
            <w:r>
              <w:t xml:space="preserve">: </w:t>
            </w:r>
            <w:r w:rsidR="00FC2B57">
              <w:t>p</w:t>
            </w:r>
            <w:r w:rsidR="00FC2B57" w:rsidRPr="00343635">
              <w:t>ossibly</w:t>
            </w:r>
          </w:p>
        </w:tc>
        <w:tc>
          <w:tcPr>
            <w:tcW w:w="1804" w:type="dxa"/>
            <w:shd w:val="clear" w:color="auto" w:fill="auto"/>
          </w:tcPr>
          <w:p w14:paraId="702E90F9" w14:textId="77777777" w:rsidR="00B5678E" w:rsidRPr="00343635" w:rsidRDefault="00B5678E" w:rsidP="00EB32E5">
            <w:pPr>
              <w:pStyle w:val="DHHStablecolhead"/>
            </w:pPr>
            <w:r w:rsidRPr="00343635">
              <w:t>Total</w:t>
            </w:r>
          </w:p>
        </w:tc>
      </w:tr>
      <w:tr w:rsidR="00881FA7" w:rsidRPr="00343635" w14:paraId="7462B274" w14:textId="77777777" w:rsidTr="00E56E6D">
        <w:tc>
          <w:tcPr>
            <w:tcW w:w="1803" w:type="dxa"/>
            <w:shd w:val="clear" w:color="auto" w:fill="auto"/>
          </w:tcPr>
          <w:p w14:paraId="58F2C7BA" w14:textId="5BFFC598" w:rsidR="00B5678E" w:rsidRPr="00EB32E5" w:rsidRDefault="00B5678E" w:rsidP="00EB32E5">
            <w:pPr>
              <w:pStyle w:val="DHHStabletext"/>
            </w:pPr>
            <w:r w:rsidRPr="00EB32E5">
              <w:t>SR</w:t>
            </w:r>
            <w:r w:rsidR="00023E90">
              <w:t> </w:t>
            </w:r>
            <w:r w:rsidRPr="00EB32E5">
              <w:t>1</w:t>
            </w:r>
          </w:p>
        </w:tc>
        <w:tc>
          <w:tcPr>
            <w:tcW w:w="1803" w:type="dxa"/>
            <w:shd w:val="clear" w:color="auto" w:fill="auto"/>
          </w:tcPr>
          <w:p w14:paraId="74E5109F" w14:textId="77777777" w:rsidR="00B5678E" w:rsidRPr="00EB32E5" w:rsidRDefault="00B5678E" w:rsidP="00881FA7">
            <w:pPr>
              <w:pStyle w:val="DHHStabletext"/>
              <w:jc w:val="right"/>
            </w:pPr>
            <w:r w:rsidRPr="00EB32E5">
              <w:t>-</w:t>
            </w:r>
          </w:p>
        </w:tc>
        <w:tc>
          <w:tcPr>
            <w:tcW w:w="1803" w:type="dxa"/>
            <w:shd w:val="clear" w:color="auto" w:fill="auto"/>
          </w:tcPr>
          <w:p w14:paraId="12BB8CBD" w14:textId="77777777" w:rsidR="00B5678E" w:rsidRPr="00EB32E5" w:rsidRDefault="00B5678E" w:rsidP="00881FA7">
            <w:pPr>
              <w:pStyle w:val="DHHStabletext"/>
              <w:jc w:val="right"/>
            </w:pPr>
            <w:r w:rsidRPr="00EB32E5">
              <w:t>-</w:t>
            </w:r>
          </w:p>
        </w:tc>
        <w:tc>
          <w:tcPr>
            <w:tcW w:w="1803" w:type="dxa"/>
            <w:shd w:val="clear" w:color="auto" w:fill="auto"/>
          </w:tcPr>
          <w:p w14:paraId="4012F492" w14:textId="77777777" w:rsidR="00B5678E" w:rsidRPr="00EB32E5" w:rsidRDefault="00B5678E" w:rsidP="00881FA7">
            <w:pPr>
              <w:pStyle w:val="DHHStabletext"/>
              <w:jc w:val="right"/>
            </w:pPr>
            <w:r w:rsidRPr="00EB32E5">
              <w:t>-</w:t>
            </w:r>
          </w:p>
        </w:tc>
        <w:tc>
          <w:tcPr>
            <w:tcW w:w="1804" w:type="dxa"/>
            <w:shd w:val="clear" w:color="auto" w:fill="auto"/>
          </w:tcPr>
          <w:p w14:paraId="323D4A93" w14:textId="77777777" w:rsidR="00B5678E" w:rsidRPr="00EB32E5" w:rsidRDefault="00B5678E" w:rsidP="00881FA7">
            <w:pPr>
              <w:pStyle w:val="DHHStabletext"/>
              <w:jc w:val="right"/>
            </w:pPr>
            <w:r w:rsidRPr="00EB32E5">
              <w:t>-</w:t>
            </w:r>
          </w:p>
        </w:tc>
      </w:tr>
      <w:tr w:rsidR="00881FA7" w:rsidRPr="00343635" w14:paraId="7A6A0570" w14:textId="77777777" w:rsidTr="00E56E6D">
        <w:tc>
          <w:tcPr>
            <w:tcW w:w="1803" w:type="dxa"/>
            <w:shd w:val="clear" w:color="auto" w:fill="auto"/>
          </w:tcPr>
          <w:p w14:paraId="0965102B" w14:textId="7E4C4862" w:rsidR="00B5678E" w:rsidRPr="00EB32E5" w:rsidRDefault="00B5678E" w:rsidP="00EB32E5">
            <w:pPr>
              <w:pStyle w:val="DHHStabletext"/>
            </w:pPr>
            <w:r w:rsidRPr="00EB32E5">
              <w:t>SR</w:t>
            </w:r>
            <w:r w:rsidR="00023E90">
              <w:t> </w:t>
            </w:r>
            <w:r w:rsidRPr="00EB32E5">
              <w:t>2</w:t>
            </w:r>
          </w:p>
        </w:tc>
        <w:tc>
          <w:tcPr>
            <w:tcW w:w="1803" w:type="dxa"/>
            <w:shd w:val="clear" w:color="auto" w:fill="auto"/>
          </w:tcPr>
          <w:p w14:paraId="0529F733" w14:textId="77777777" w:rsidR="00B5678E" w:rsidRPr="00EB32E5" w:rsidRDefault="00B5678E" w:rsidP="00881FA7">
            <w:pPr>
              <w:pStyle w:val="DHHStabletext"/>
              <w:jc w:val="right"/>
            </w:pPr>
            <w:r w:rsidRPr="00EB32E5">
              <w:t>1</w:t>
            </w:r>
          </w:p>
        </w:tc>
        <w:tc>
          <w:tcPr>
            <w:tcW w:w="1803" w:type="dxa"/>
            <w:shd w:val="clear" w:color="auto" w:fill="auto"/>
          </w:tcPr>
          <w:p w14:paraId="35FD0E22" w14:textId="77777777" w:rsidR="00B5678E" w:rsidRPr="00EB32E5" w:rsidRDefault="00B5678E" w:rsidP="00881FA7">
            <w:pPr>
              <w:pStyle w:val="DHHStabletext"/>
              <w:jc w:val="right"/>
            </w:pPr>
            <w:r w:rsidRPr="00EB32E5">
              <w:t>-</w:t>
            </w:r>
          </w:p>
        </w:tc>
        <w:tc>
          <w:tcPr>
            <w:tcW w:w="1803" w:type="dxa"/>
            <w:shd w:val="clear" w:color="auto" w:fill="auto"/>
          </w:tcPr>
          <w:p w14:paraId="48140771" w14:textId="77777777" w:rsidR="00B5678E" w:rsidRPr="00EB32E5" w:rsidRDefault="00B5678E" w:rsidP="00881FA7">
            <w:pPr>
              <w:pStyle w:val="DHHStabletext"/>
              <w:jc w:val="right"/>
            </w:pPr>
            <w:r w:rsidRPr="00EB32E5">
              <w:t>-</w:t>
            </w:r>
          </w:p>
        </w:tc>
        <w:tc>
          <w:tcPr>
            <w:tcW w:w="1804" w:type="dxa"/>
            <w:shd w:val="clear" w:color="auto" w:fill="auto"/>
          </w:tcPr>
          <w:p w14:paraId="436E52C4" w14:textId="77777777" w:rsidR="00B5678E" w:rsidRPr="00EB32E5" w:rsidRDefault="00B5678E" w:rsidP="00881FA7">
            <w:pPr>
              <w:pStyle w:val="DHHStabletext"/>
              <w:jc w:val="right"/>
            </w:pPr>
            <w:r w:rsidRPr="00EB32E5">
              <w:t>1</w:t>
            </w:r>
          </w:p>
        </w:tc>
      </w:tr>
      <w:tr w:rsidR="00881FA7" w:rsidRPr="00343635" w14:paraId="67C6ABA6" w14:textId="77777777" w:rsidTr="00E56E6D">
        <w:tc>
          <w:tcPr>
            <w:tcW w:w="1803" w:type="dxa"/>
            <w:shd w:val="clear" w:color="auto" w:fill="auto"/>
          </w:tcPr>
          <w:p w14:paraId="505F8A87" w14:textId="4F81D495" w:rsidR="00B5678E" w:rsidRPr="00EB32E5" w:rsidRDefault="00B5678E" w:rsidP="00EB32E5">
            <w:pPr>
              <w:pStyle w:val="DHHStabletext"/>
            </w:pPr>
            <w:r w:rsidRPr="00EB32E5">
              <w:t>SR</w:t>
            </w:r>
            <w:r w:rsidR="00023E90">
              <w:t> </w:t>
            </w:r>
            <w:r w:rsidRPr="00EB32E5">
              <w:t>3</w:t>
            </w:r>
          </w:p>
        </w:tc>
        <w:tc>
          <w:tcPr>
            <w:tcW w:w="1803" w:type="dxa"/>
            <w:shd w:val="clear" w:color="auto" w:fill="auto"/>
          </w:tcPr>
          <w:p w14:paraId="7C524C29" w14:textId="77777777" w:rsidR="00B5678E" w:rsidRPr="00EB32E5" w:rsidRDefault="00B5678E" w:rsidP="00881FA7">
            <w:pPr>
              <w:pStyle w:val="DHHStabletext"/>
              <w:jc w:val="right"/>
            </w:pPr>
            <w:r w:rsidRPr="00EB32E5">
              <w:t>-</w:t>
            </w:r>
          </w:p>
        </w:tc>
        <w:tc>
          <w:tcPr>
            <w:tcW w:w="1803" w:type="dxa"/>
            <w:shd w:val="clear" w:color="auto" w:fill="auto"/>
          </w:tcPr>
          <w:p w14:paraId="7C40A90B" w14:textId="77777777" w:rsidR="00B5678E" w:rsidRPr="00EB32E5" w:rsidRDefault="00B5678E" w:rsidP="00881FA7">
            <w:pPr>
              <w:pStyle w:val="DHHStabletext"/>
              <w:jc w:val="right"/>
            </w:pPr>
            <w:r w:rsidRPr="00EB32E5">
              <w:t>-</w:t>
            </w:r>
          </w:p>
        </w:tc>
        <w:tc>
          <w:tcPr>
            <w:tcW w:w="1803" w:type="dxa"/>
            <w:shd w:val="clear" w:color="auto" w:fill="auto"/>
          </w:tcPr>
          <w:p w14:paraId="57A1F76B" w14:textId="77777777" w:rsidR="00B5678E" w:rsidRPr="00EB32E5" w:rsidRDefault="00B5678E" w:rsidP="00881FA7">
            <w:pPr>
              <w:pStyle w:val="DHHStabletext"/>
              <w:jc w:val="right"/>
            </w:pPr>
            <w:r w:rsidRPr="00EB32E5">
              <w:t>-</w:t>
            </w:r>
          </w:p>
        </w:tc>
        <w:tc>
          <w:tcPr>
            <w:tcW w:w="1804" w:type="dxa"/>
            <w:shd w:val="clear" w:color="auto" w:fill="auto"/>
          </w:tcPr>
          <w:p w14:paraId="7B9D976A" w14:textId="77777777" w:rsidR="00B5678E" w:rsidRPr="00EB32E5" w:rsidRDefault="00B5678E" w:rsidP="00881FA7">
            <w:pPr>
              <w:pStyle w:val="DHHStabletext"/>
              <w:jc w:val="right"/>
            </w:pPr>
            <w:r w:rsidRPr="00EB32E5">
              <w:t>-</w:t>
            </w:r>
          </w:p>
        </w:tc>
      </w:tr>
      <w:tr w:rsidR="00881FA7" w:rsidRPr="00343635" w14:paraId="12310F9C" w14:textId="77777777" w:rsidTr="00E56E6D">
        <w:tc>
          <w:tcPr>
            <w:tcW w:w="1803" w:type="dxa"/>
            <w:shd w:val="clear" w:color="auto" w:fill="auto"/>
          </w:tcPr>
          <w:p w14:paraId="4BB4001B" w14:textId="42C53112" w:rsidR="00B5678E" w:rsidRPr="00EB32E5" w:rsidRDefault="00B5678E" w:rsidP="00EB32E5">
            <w:pPr>
              <w:pStyle w:val="DHHStabletext"/>
            </w:pPr>
            <w:r w:rsidRPr="00EB32E5">
              <w:t>SR</w:t>
            </w:r>
            <w:r w:rsidR="00023E90">
              <w:t> </w:t>
            </w:r>
            <w:r w:rsidRPr="00EB32E5">
              <w:t>4</w:t>
            </w:r>
          </w:p>
        </w:tc>
        <w:tc>
          <w:tcPr>
            <w:tcW w:w="1803" w:type="dxa"/>
            <w:shd w:val="clear" w:color="auto" w:fill="auto"/>
          </w:tcPr>
          <w:p w14:paraId="5374EEDD" w14:textId="77777777" w:rsidR="00B5678E" w:rsidRPr="00EB32E5" w:rsidRDefault="00B5678E" w:rsidP="00881FA7">
            <w:pPr>
              <w:pStyle w:val="DHHStabletext"/>
              <w:jc w:val="right"/>
            </w:pPr>
            <w:r w:rsidRPr="00EB32E5">
              <w:t>2</w:t>
            </w:r>
          </w:p>
        </w:tc>
        <w:tc>
          <w:tcPr>
            <w:tcW w:w="1803" w:type="dxa"/>
            <w:shd w:val="clear" w:color="auto" w:fill="auto"/>
          </w:tcPr>
          <w:p w14:paraId="47FC7312" w14:textId="77777777" w:rsidR="00B5678E" w:rsidRPr="00EB32E5" w:rsidRDefault="00B5678E" w:rsidP="00881FA7">
            <w:pPr>
              <w:pStyle w:val="DHHStabletext"/>
              <w:jc w:val="right"/>
            </w:pPr>
            <w:r w:rsidRPr="00EB32E5">
              <w:t>-</w:t>
            </w:r>
          </w:p>
        </w:tc>
        <w:tc>
          <w:tcPr>
            <w:tcW w:w="1803" w:type="dxa"/>
            <w:shd w:val="clear" w:color="auto" w:fill="auto"/>
          </w:tcPr>
          <w:p w14:paraId="3AD74AC3" w14:textId="77777777" w:rsidR="00B5678E" w:rsidRPr="00EB32E5" w:rsidRDefault="00B5678E" w:rsidP="00881FA7">
            <w:pPr>
              <w:pStyle w:val="DHHStabletext"/>
              <w:jc w:val="right"/>
            </w:pPr>
            <w:r w:rsidRPr="00EB32E5">
              <w:t>-</w:t>
            </w:r>
          </w:p>
        </w:tc>
        <w:tc>
          <w:tcPr>
            <w:tcW w:w="1804" w:type="dxa"/>
            <w:shd w:val="clear" w:color="auto" w:fill="auto"/>
          </w:tcPr>
          <w:p w14:paraId="705BF0C8" w14:textId="77777777" w:rsidR="00B5678E" w:rsidRPr="00EB32E5" w:rsidRDefault="00B5678E" w:rsidP="00881FA7">
            <w:pPr>
              <w:pStyle w:val="DHHStabletext"/>
              <w:jc w:val="right"/>
            </w:pPr>
            <w:r w:rsidRPr="00EB32E5">
              <w:t>2</w:t>
            </w:r>
          </w:p>
        </w:tc>
      </w:tr>
      <w:tr w:rsidR="00881FA7" w:rsidRPr="00343635" w14:paraId="7F32F7E5" w14:textId="77777777" w:rsidTr="00E56E6D">
        <w:tc>
          <w:tcPr>
            <w:tcW w:w="1803" w:type="dxa"/>
            <w:shd w:val="clear" w:color="auto" w:fill="auto"/>
          </w:tcPr>
          <w:p w14:paraId="7F309D53" w14:textId="77777777" w:rsidR="00B5678E" w:rsidRPr="00EB32E5" w:rsidRDefault="00B5678E" w:rsidP="00EB32E5">
            <w:pPr>
              <w:pStyle w:val="DHHStabletext"/>
            </w:pPr>
            <w:r w:rsidRPr="00EB32E5">
              <w:t>Total</w:t>
            </w:r>
          </w:p>
        </w:tc>
        <w:tc>
          <w:tcPr>
            <w:tcW w:w="1803" w:type="dxa"/>
            <w:shd w:val="clear" w:color="auto" w:fill="auto"/>
          </w:tcPr>
          <w:p w14:paraId="07106833" w14:textId="77777777" w:rsidR="00B5678E" w:rsidRPr="00EB32E5" w:rsidRDefault="00B5678E" w:rsidP="00881FA7">
            <w:pPr>
              <w:pStyle w:val="DHHStabletext"/>
              <w:jc w:val="right"/>
            </w:pPr>
            <w:r w:rsidRPr="00EB32E5">
              <w:t>3</w:t>
            </w:r>
          </w:p>
        </w:tc>
        <w:tc>
          <w:tcPr>
            <w:tcW w:w="1803" w:type="dxa"/>
            <w:shd w:val="clear" w:color="auto" w:fill="auto"/>
          </w:tcPr>
          <w:p w14:paraId="1B7A2780" w14:textId="77777777" w:rsidR="00B5678E" w:rsidRPr="00EB32E5" w:rsidRDefault="00B5678E" w:rsidP="00881FA7">
            <w:pPr>
              <w:pStyle w:val="DHHStabletext"/>
              <w:jc w:val="right"/>
            </w:pPr>
            <w:r w:rsidRPr="00EB32E5">
              <w:t>-</w:t>
            </w:r>
          </w:p>
        </w:tc>
        <w:tc>
          <w:tcPr>
            <w:tcW w:w="1803" w:type="dxa"/>
            <w:shd w:val="clear" w:color="auto" w:fill="auto"/>
          </w:tcPr>
          <w:p w14:paraId="384A0B1A" w14:textId="77777777" w:rsidR="00B5678E" w:rsidRPr="00EB32E5" w:rsidRDefault="00B5678E" w:rsidP="00881FA7">
            <w:pPr>
              <w:pStyle w:val="DHHStabletext"/>
              <w:jc w:val="right"/>
            </w:pPr>
            <w:r w:rsidRPr="00EB32E5">
              <w:t>-</w:t>
            </w:r>
          </w:p>
        </w:tc>
        <w:tc>
          <w:tcPr>
            <w:tcW w:w="1804" w:type="dxa"/>
            <w:shd w:val="clear" w:color="auto" w:fill="auto"/>
          </w:tcPr>
          <w:p w14:paraId="0B98C7BB" w14:textId="77777777" w:rsidR="00B5678E" w:rsidRPr="00EB32E5" w:rsidRDefault="00B5678E" w:rsidP="00881FA7">
            <w:pPr>
              <w:pStyle w:val="DHHStabletext"/>
              <w:jc w:val="right"/>
            </w:pPr>
            <w:r w:rsidRPr="00EB32E5">
              <w:t>3</w:t>
            </w:r>
          </w:p>
        </w:tc>
      </w:tr>
    </w:tbl>
    <w:p w14:paraId="1563E7AA" w14:textId="3138D0E2" w:rsidR="00B5678E" w:rsidRPr="00EB32E5" w:rsidRDefault="00B5678E" w:rsidP="00080269">
      <w:pPr>
        <w:pStyle w:val="Heading3"/>
      </w:pPr>
      <w:bookmarkStart w:id="24" w:name="_Toc24287425"/>
      <w:r w:rsidRPr="00343635">
        <w:t>Case study 5:</w:t>
      </w:r>
      <w:r w:rsidR="00023E90">
        <w:t xml:space="preserve"> </w:t>
      </w:r>
      <w:r w:rsidRPr="00343635">
        <w:t>Delayed Haemolytic – increased length of stay associated with a delayed haemolytic reaction</w:t>
      </w:r>
      <w:bookmarkEnd w:id="24"/>
    </w:p>
    <w:p w14:paraId="34BB12B1" w14:textId="6BB23402" w:rsidR="00B5678E" w:rsidRPr="00EB32E5" w:rsidRDefault="00B5678E" w:rsidP="00EB32E5">
      <w:pPr>
        <w:pStyle w:val="DHHSbody"/>
      </w:pPr>
      <w:r w:rsidRPr="00EB32E5">
        <w:t>A 68-year-old woman with a previous history of transfusion and pregnancy (both risks for the development of red cell antibodies) was transfused a unit of red cells post emergency surgery. Pre</w:t>
      </w:r>
      <w:r w:rsidR="008C412F">
        <w:t>-</w:t>
      </w:r>
      <w:r w:rsidRPr="00EB32E5">
        <w:t>transfusion testing showed no evidence of red cell antibodies, which was supported by historic blood bank testing. However, a week later the patient was found to have signs of anaemia and jaundice and a positive direct agglutination test (DAT). Her lactate dehydrogenase (LDH) was elevated and haptoglobin was very low. Further investigation identified an anti-</w:t>
      </w:r>
      <w:proofErr w:type="spellStart"/>
      <w:r w:rsidRPr="00EB32E5">
        <w:t>Jka</w:t>
      </w:r>
      <w:proofErr w:type="spellEnd"/>
      <w:r w:rsidRPr="00EB32E5">
        <w:t xml:space="preserve"> antibody. The patient required further transfusion, and had an increased length of stay associated with this.</w:t>
      </w:r>
    </w:p>
    <w:p w14:paraId="07C8D10B" w14:textId="2E821CA0" w:rsidR="00B5678E" w:rsidRPr="00EB32E5" w:rsidRDefault="00B5678E" w:rsidP="00EB32E5">
      <w:pPr>
        <w:pStyle w:val="DHHSbody"/>
      </w:pPr>
      <w:r w:rsidRPr="00EB32E5">
        <w:t xml:space="preserve">The final determination by the STIR Expert </w:t>
      </w:r>
      <w:r w:rsidR="008C412F">
        <w:t>G</w:t>
      </w:r>
      <w:r w:rsidR="008C412F" w:rsidRPr="00EB32E5">
        <w:t xml:space="preserve">roup </w:t>
      </w:r>
      <w:r w:rsidRPr="00EB32E5">
        <w:t>was DHTR certainly, SR</w:t>
      </w:r>
      <w:r w:rsidR="008C412F">
        <w:t> </w:t>
      </w:r>
      <w:r w:rsidRPr="00EB32E5">
        <w:t>2.</w:t>
      </w:r>
    </w:p>
    <w:p w14:paraId="3E084413" w14:textId="77777777" w:rsidR="00B5678E" w:rsidRPr="00EB32E5" w:rsidRDefault="00B5678E" w:rsidP="00EB32E5">
      <w:pPr>
        <w:pStyle w:val="Heading4"/>
      </w:pPr>
      <w:r w:rsidRPr="00343635">
        <w:t>Comments:</w:t>
      </w:r>
    </w:p>
    <w:p w14:paraId="5E2865C4" w14:textId="5090EF2E" w:rsidR="00B5678E" w:rsidRPr="00343635" w:rsidRDefault="00B5678E" w:rsidP="00EB32E5">
      <w:pPr>
        <w:pStyle w:val="DHHSbody"/>
      </w:pPr>
      <w:r w:rsidRPr="00343635">
        <w:t>Delayed haemolytic transfusion reactions typically occur in patients who have previously been sensitised to a red cell antigen (other than ABO) through transfusion or pregnancy and have already developed an antibody. Pre-transfusion testing may not identify all antibodies if levels are below the detectable range. When patients are exposed to the antigen again</w:t>
      </w:r>
      <w:r w:rsidR="008C412F">
        <w:t>,</w:t>
      </w:r>
      <w:r w:rsidRPr="00343635">
        <w:t xml:space="preserve"> the level of antibody rises and a reaction occurs over days to weeks (usually </w:t>
      </w:r>
      <w:r w:rsidR="008C412F">
        <w:t xml:space="preserve">two to </w:t>
      </w:r>
      <w:r w:rsidRPr="00343635">
        <w:t>14 days) post transfusion.</w:t>
      </w:r>
    </w:p>
    <w:p w14:paraId="4ED4FA60" w14:textId="77777777" w:rsidR="00B5678E" w:rsidRPr="00343635" w:rsidRDefault="00B5678E" w:rsidP="00EB32E5">
      <w:pPr>
        <w:pStyle w:val="DHHSbody"/>
      </w:pPr>
      <w:r w:rsidRPr="00343635">
        <w:t>A national register of patients with antibodies, accessible to transfusion providers, would assist in assuring the risk of reactions in these patients is minimised, particularly when they move between health care providers. STIR has issued this recommendation in previous reports.</w:t>
      </w:r>
    </w:p>
    <w:p w14:paraId="28F59AAD" w14:textId="68A4A3F8" w:rsidR="00B5678E" w:rsidRPr="00343635" w:rsidRDefault="00B5678E" w:rsidP="00EB32E5">
      <w:pPr>
        <w:pStyle w:val="Heading2"/>
      </w:pPr>
      <w:bookmarkStart w:id="25" w:name="_Toc24287426"/>
      <w:r w:rsidRPr="00343635">
        <w:t xml:space="preserve">Delayed </w:t>
      </w:r>
      <w:r w:rsidRPr="00EB32E5">
        <w:t>serologic</w:t>
      </w:r>
      <w:bookmarkEnd w:id="25"/>
    </w:p>
    <w:p w14:paraId="713BB204" w14:textId="6334955F" w:rsidR="00B5678E" w:rsidRPr="00EB32E5" w:rsidRDefault="00B5678E" w:rsidP="00EB32E5">
      <w:pPr>
        <w:pStyle w:val="DHHSbody"/>
      </w:pPr>
      <w:r w:rsidRPr="00EB32E5">
        <w:t xml:space="preserve">This is the first reporting period to include delayed serologic reactions. Delayed serologic transfusion reaction (DSTR) has been included to meet reporting requirements of the NBA Australian </w:t>
      </w:r>
      <w:proofErr w:type="spellStart"/>
      <w:r w:rsidRPr="00EB32E5">
        <w:t>Haemovigilance</w:t>
      </w:r>
      <w:proofErr w:type="spellEnd"/>
      <w:r w:rsidRPr="00EB32E5">
        <w:t xml:space="preserve"> Minimum Data Set. Previously</w:t>
      </w:r>
      <w:r w:rsidR="008C412F">
        <w:t>,</w:t>
      </w:r>
      <w:r w:rsidRPr="00EB32E5">
        <w:t xml:space="preserve"> the development of a red cell antibody without clinical problems for the patient was not reportable to STIR. Patients who developed jaundice or anaemia with the development of a new antibody were reportable as a delayed haemolytic reaction.</w:t>
      </w:r>
    </w:p>
    <w:p w14:paraId="1A29351F" w14:textId="635AEB52" w:rsidR="00B5678E" w:rsidRPr="00EB32E5" w:rsidRDefault="00B5678E" w:rsidP="00EB32E5">
      <w:pPr>
        <w:pStyle w:val="DHHSbody"/>
      </w:pPr>
      <w:r w:rsidRPr="00EB32E5">
        <w:t xml:space="preserve">A DSTR occurs when, after a transfusion, there is demonstration of clinically significant antibodies against red blood cells (as described in the </w:t>
      </w:r>
      <w:r w:rsidRPr="00080269">
        <w:rPr>
          <w:i/>
          <w:iCs/>
        </w:rPr>
        <w:t xml:space="preserve">ANZSBT </w:t>
      </w:r>
      <w:r w:rsidR="008C412F" w:rsidRPr="008C412F">
        <w:rPr>
          <w:i/>
          <w:iCs/>
        </w:rPr>
        <w:t xml:space="preserve">guidelines for transfusion and </w:t>
      </w:r>
      <w:proofErr w:type="spellStart"/>
      <w:r w:rsidR="008C412F" w:rsidRPr="008C412F">
        <w:rPr>
          <w:i/>
          <w:iCs/>
        </w:rPr>
        <w:t>immunohaematology</w:t>
      </w:r>
      <w:proofErr w:type="spellEnd"/>
      <w:r w:rsidR="008C412F" w:rsidRPr="008C412F">
        <w:rPr>
          <w:i/>
          <w:iCs/>
        </w:rPr>
        <w:t xml:space="preserve"> laboratory pr</w:t>
      </w:r>
      <w:r w:rsidRPr="00080269">
        <w:rPr>
          <w:i/>
          <w:iCs/>
        </w:rPr>
        <w:t>actice</w:t>
      </w:r>
      <w:r w:rsidRPr="00EB32E5">
        <w:t xml:space="preserve">, 1st </w:t>
      </w:r>
      <w:r w:rsidR="008C412F">
        <w:t>e</w:t>
      </w:r>
      <w:r w:rsidRPr="00EB32E5">
        <w:t>d</w:t>
      </w:r>
      <w:r w:rsidR="008C412F">
        <w:t>.</w:t>
      </w:r>
      <w:r w:rsidRPr="00EB32E5">
        <w:t xml:space="preserve">, 2016, </w:t>
      </w:r>
      <w:hyperlink r:id="rId20" w:history="1">
        <w:r w:rsidR="007F0D22" w:rsidRPr="00DB6CF3">
          <w:rPr>
            <w:rStyle w:val="Hyperlink"/>
          </w:rPr>
          <w:t>https://www.anzsbt.org.au/pages/anzsbt-guidelines.html</w:t>
        </w:r>
      </w:hyperlink>
      <w:r w:rsidR="007F0D22">
        <w:t>)</w:t>
      </w:r>
      <w:r w:rsidR="008C412F" w:rsidRPr="00EB32E5">
        <w:t xml:space="preserve"> </w:t>
      </w:r>
      <w:r w:rsidRPr="00EB32E5">
        <w:t>which were previously absent, as far as is known, and when there are no clinical or laboratory features of haemolysis. This term is synonymous with alloimmunisation (</w:t>
      </w:r>
      <w:r w:rsidRPr="00080269">
        <w:rPr>
          <w:i/>
          <w:iCs/>
        </w:rPr>
        <w:t xml:space="preserve">STIR </w:t>
      </w:r>
      <w:r w:rsidR="008C412F" w:rsidRPr="00080269">
        <w:rPr>
          <w:i/>
          <w:iCs/>
        </w:rPr>
        <w:t>reporting g</w:t>
      </w:r>
      <w:r w:rsidRPr="00080269">
        <w:rPr>
          <w:i/>
          <w:iCs/>
        </w:rPr>
        <w:t>uide</w:t>
      </w:r>
      <w:r w:rsidRPr="00EB32E5">
        <w:t xml:space="preserve"> 2017).</w:t>
      </w:r>
    </w:p>
    <w:p w14:paraId="39E7AEDE" w14:textId="4201922E" w:rsidR="00B5678E" w:rsidRDefault="00B5678E" w:rsidP="00EB32E5">
      <w:pPr>
        <w:pStyle w:val="DHHSbody"/>
      </w:pPr>
      <w:r w:rsidRPr="00EB32E5">
        <w:t>Due to the lack of clinical reaction, and often in the absence of post transfusion follow-up testing, a delayed serologic reaction may not be detected for weeks, months or even years from the originating transfusion. The reporting year is based on date of detection rather than date of transfusion.</w:t>
      </w:r>
    </w:p>
    <w:p w14:paraId="5151C3E7" w14:textId="119B16E5" w:rsidR="00E6689D" w:rsidRPr="00E6689D" w:rsidRDefault="00E6689D" w:rsidP="00080269">
      <w:pPr>
        <w:pStyle w:val="DHHStablecaption"/>
      </w:pPr>
      <w:r>
        <w:lastRenderedPageBreak/>
        <w:t>Table 2</w:t>
      </w:r>
      <w:r w:rsidR="000A6E9B">
        <w:t>0</w:t>
      </w:r>
      <w:r>
        <w:t xml:space="preserve">: Severity rating and </w:t>
      </w:r>
      <w:proofErr w:type="spellStart"/>
      <w:r>
        <w:t>imputability</w:t>
      </w:r>
      <w:proofErr w:type="spellEnd"/>
      <w:r>
        <w:t xml:space="preserve"> – delayed serologic reaction</w:t>
      </w:r>
    </w:p>
    <w:tbl>
      <w:tblPr>
        <w:tblStyle w:val="TableGrid"/>
        <w:tblW w:w="0" w:type="auto"/>
        <w:tblLook w:val="04A0" w:firstRow="1" w:lastRow="0" w:firstColumn="1" w:lastColumn="0" w:noHBand="0" w:noVBand="1"/>
      </w:tblPr>
      <w:tblGrid>
        <w:gridCol w:w="1803"/>
        <w:gridCol w:w="1803"/>
        <w:gridCol w:w="1803"/>
        <w:gridCol w:w="1803"/>
        <w:gridCol w:w="1804"/>
      </w:tblGrid>
      <w:tr w:rsidR="00881FA7" w:rsidRPr="00343635" w14:paraId="143D5637" w14:textId="77777777" w:rsidTr="00E56E6D">
        <w:trPr>
          <w:tblHeader/>
        </w:trPr>
        <w:tc>
          <w:tcPr>
            <w:tcW w:w="1803" w:type="dxa"/>
          </w:tcPr>
          <w:p w14:paraId="10674743" w14:textId="7E588DBD" w:rsidR="00B5678E" w:rsidRPr="00343635" w:rsidRDefault="008C412F" w:rsidP="00EB32E5">
            <w:pPr>
              <w:pStyle w:val="DHHStablecolhead"/>
            </w:pPr>
            <w:r w:rsidRPr="00343635">
              <w:t xml:space="preserve">Severity </w:t>
            </w:r>
            <w:r>
              <w:t>r</w:t>
            </w:r>
            <w:r w:rsidRPr="00343635">
              <w:t>ating</w:t>
            </w:r>
          </w:p>
        </w:tc>
        <w:tc>
          <w:tcPr>
            <w:tcW w:w="1803" w:type="dxa"/>
          </w:tcPr>
          <w:p w14:paraId="65259939" w14:textId="05CA140E" w:rsidR="00B5678E" w:rsidRPr="00343635" w:rsidRDefault="008C412F" w:rsidP="00EB32E5">
            <w:pPr>
              <w:pStyle w:val="DHHStablecolhead"/>
            </w:pPr>
            <w:proofErr w:type="spellStart"/>
            <w:r w:rsidRPr="00343635">
              <w:t>Imputability</w:t>
            </w:r>
            <w:proofErr w:type="spellEnd"/>
            <w:r>
              <w:t xml:space="preserve">: </w:t>
            </w:r>
            <w:r w:rsidR="00FC2B57">
              <w:t>c</w:t>
            </w:r>
            <w:r w:rsidR="00FC2B57" w:rsidRPr="00343635">
              <w:t>ertainly</w:t>
            </w:r>
          </w:p>
        </w:tc>
        <w:tc>
          <w:tcPr>
            <w:tcW w:w="1803" w:type="dxa"/>
          </w:tcPr>
          <w:p w14:paraId="6E740F46" w14:textId="34700DCA" w:rsidR="00B5678E" w:rsidRPr="00343635" w:rsidRDefault="008C412F" w:rsidP="00EB32E5">
            <w:pPr>
              <w:pStyle w:val="DHHStablecolhead"/>
            </w:pPr>
            <w:proofErr w:type="spellStart"/>
            <w:r w:rsidRPr="00343635">
              <w:t>Imputability</w:t>
            </w:r>
            <w:proofErr w:type="spellEnd"/>
            <w:r>
              <w:t xml:space="preserve">: </w:t>
            </w:r>
            <w:r w:rsidR="00FC2B57">
              <w:t>p</w:t>
            </w:r>
            <w:r w:rsidR="00FC2B57" w:rsidRPr="00343635">
              <w:t>robably</w:t>
            </w:r>
          </w:p>
        </w:tc>
        <w:tc>
          <w:tcPr>
            <w:tcW w:w="1803" w:type="dxa"/>
          </w:tcPr>
          <w:p w14:paraId="757ADC06" w14:textId="49CDDAC5" w:rsidR="00B5678E" w:rsidRPr="00343635" w:rsidRDefault="008C412F" w:rsidP="00EB32E5">
            <w:pPr>
              <w:pStyle w:val="DHHStablecolhead"/>
            </w:pPr>
            <w:proofErr w:type="spellStart"/>
            <w:r w:rsidRPr="00343635">
              <w:t>Imputability</w:t>
            </w:r>
            <w:proofErr w:type="spellEnd"/>
            <w:r>
              <w:t xml:space="preserve">: </w:t>
            </w:r>
            <w:r w:rsidR="00FC2B57">
              <w:t>p</w:t>
            </w:r>
            <w:r w:rsidR="00FC2B57" w:rsidRPr="00343635">
              <w:t>ossibly</w:t>
            </w:r>
          </w:p>
        </w:tc>
        <w:tc>
          <w:tcPr>
            <w:tcW w:w="1804" w:type="dxa"/>
          </w:tcPr>
          <w:p w14:paraId="0557CC18" w14:textId="77777777" w:rsidR="00B5678E" w:rsidRPr="00343635" w:rsidRDefault="00B5678E" w:rsidP="00EB32E5">
            <w:pPr>
              <w:pStyle w:val="DHHStablecolhead"/>
            </w:pPr>
            <w:r w:rsidRPr="00343635">
              <w:t>Total</w:t>
            </w:r>
          </w:p>
        </w:tc>
      </w:tr>
      <w:tr w:rsidR="00881FA7" w:rsidRPr="00343635" w14:paraId="2100B036" w14:textId="77777777" w:rsidTr="00E56E6D">
        <w:tc>
          <w:tcPr>
            <w:tcW w:w="1803" w:type="dxa"/>
          </w:tcPr>
          <w:p w14:paraId="102136E1" w14:textId="4B192A36" w:rsidR="00B5678E" w:rsidRPr="00EB32E5" w:rsidRDefault="00B5678E" w:rsidP="00EB32E5">
            <w:pPr>
              <w:pStyle w:val="DHHStabletext"/>
            </w:pPr>
            <w:r w:rsidRPr="00EB32E5">
              <w:t>SR</w:t>
            </w:r>
            <w:r w:rsidR="008C412F">
              <w:t> </w:t>
            </w:r>
            <w:r w:rsidRPr="00EB32E5">
              <w:t>1</w:t>
            </w:r>
          </w:p>
        </w:tc>
        <w:tc>
          <w:tcPr>
            <w:tcW w:w="1803" w:type="dxa"/>
          </w:tcPr>
          <w:p w14:paraId="6543005F" w14:textId="77777777" w:rsidR="00B5678E" w:rsidRPr="00EB32E5" w:rsidRDefault="00B5678E" w:rsidP="00881FA7">
            <w:pPr>
              <w:pStyle w:val="DHHStabletext"/>
              <w:jc w:val="right"/>
            </w:pPr>
            <w:r w:rsidRPr="00EB32E5">
              <w:t>-</w:t>
            </w:r>
          </w:p>
        </w:tc>
        <w:tc>
          <w:tcPr>
            <w:tcW w:w="1803" w:type="dxa"/>
          </w:tcPr>
          <w:p w14:paraId="567223E9" w14:textId="77777777" w:rsidR="00B5678E" w:rsidRPr="00EB32E5" w:rsidRDefault="00B5678E" w:rsidP="00881FA7">
            <w:pPr>
              <w:pStyle w:val="DHHStabletext"/>
              <w:jc w:val="right"/>
            </w:pPr>
            <w:r w:rsidRPr="00EB32E5">
              <w:t>-</w:t>
            </w:r>
          </w:p>
        </w:tc>
        <w:tc>
          <w:tcPr>
            <w:tcW w:w="1803" w:type="dxa"/>
          </w:tcPr>
          <w:p w14:paraId="73D894F5" w14:textId="77777777" w:rsidR="00B5678E" w:rsidRPr="00EB32E5" w:rsidRDefault="00B5678E" w:rsidP="00881FA7">
            <w:pPr>
              <w:pStyle w:val="DHHStabletext"/>
              <w:jc w:val="right"/>
            </w:pPr>
            <w:r w:rsidRPr="00EB32E5">
              <w:t>-</w:t>
            </w:r>
          </w:p>
        </w:tc>
        <w:tc>
          <w:tcPr>
            <w:tcW w:w="1804" w:type="dxa"/>
          </w:tcPr>
          <w:p w14:paraId="56D769BF" w14:textId="77777777" w:rsidR="00B5678E" w:rsidRPr="00EB32E5" w:rsidRDefault="00B5678E" w:rsidP="00881FA7">
            <w:pPr>
              <w:pStyle w:val="DHHStabletext"/>
              <w:jc w:val="right"/>
            </w:pPr>
            <w:r w:rsidRPr="00EB32E5">
              <w:t>-</w:t>
            </w:r>
          </w:p>
        </w:tc>
      </w:tr>
      <w:tr w:rsidR="00881FA7" w:rsidRPr="00343635" w14:paraId="3507C0FB" w14:textId="77777777" w:rsidTr="00E56E6D">
        <w:tc>
          <w:tcPr>
            <w:tcW w:w="1803" w:type="dxa"/>
          </w:tcPr>
          <w:p w14:paraId="3274C9B5" w14:textId="6B5D0539" w:rsidR="00B5678E" w:rsidRPr="00EB32E5" w:rsidRDefault="00B5678E" w:rsidP="00EB32E5">
            <w:pPr>
              <w:pStyle w:val="DHHStabletext"/>
            </w:pPr>
            <w:r w:rsidRPr="00EB32E5">
              <w:t>SR</w:t>
            </w:r>
            <w:r w:rsidR="008C412F">
              <w:t> </w:t>
            </w:r>
            <w:r w:rsidRPr="00EB32E5">
              <w:t>2</w:t>
            </w:r>
          </w:p>
        </w:tc>
        <w:tc>
          <w:tcPr>
            <w:tcW w:w="1803" w:type="dxa"/>
          </w:tcPr>
          <w:p w14:paraId="456AE02C" w14:textId="77777777" w:rsidR="00B5678E" w:rsidRPr="00EB32E5" w:rsidRDefault="00B5678E" w:rsidP="00881FA7">
            <w:pPr>
              <w:pStyle w:val="DHHStabletext"/>
              <w:jc w:val="right"/>
            </w:pPr>
            <w:r w:rsidRPr="00EB32E5">
              <w:t>-</w:t>
            </w:r>
          </w:p>
        </w:tc>
        <w:tc>
          <w:tcPr>
            <w:tcW w:w="1803" w:type="dxa"/>
          </w:tcPr>
          <w:p w14:paraId="3026D366" w14:textId="77777777" w:rsidR="00B5678E" w:rsidRPr="00EB32E5" w:rsidRDefault="00B5678E" w:rsidP="00881FA7">
            <w:pPr>
              <w:pStyle w:val="DHHStabletext"/>
              <w:jc w:val="right"/>
            </w:pPr>
            <w:r w:rsidRPr="00EB32E5">
              <w:t>-</w:t>
            </w:r>
          </w:p>
        </w:tc>
        <w:tc>
          <w:tcPr>
            <w:tcW w:w="1803" w:type="dxa"/>
          </w:tcPr>
          <w:p w14:paraId="5C88BA9B" w14:textId="77777777" w:rsidR="00B5678E" w:rsidRPr="00EB32E5" w:rsidRDefault="00B5678E" w:rsidP="00881FA7">
            <w:pPr>
              <w:pStyle w:val="DHHStabletext"/>
              <w:jc w:val="right"/>
            </w:pPr>
            <w:r w:rsidRPr="00EB32E5">
              <w:t>-</w:t>
            </w:r>
          </w:p>
        </w:tc>
        <w:tc>
          <w:tcPr>
            <w:tcW w:w="1804" w:type="dxa"/>
          </w:tcPr>
          <w:p w14:paraId="046BC240" w14:textId="77777777" w:rsidR="00B5678E" w:rsidRPr="00EB32E5" w:rsidRDefault="00B5678E" w:rsidP="00881FA7">
            <w:pPr>
              <w:pStyle w:val="DHHStabletext"/>
              <w:jc w:val="right"/>
            </w:pPr>
            <w:r w:rsidRPr="00EB32E5">
              <w:t>-</w:t>
            </w:r>
          </w:p>
        </w:tc>
      </w:tr>
      <w:tr w:rsidR="00881FA7" w:rsidRPr="00343635" w14:paraId="0C00D6B1" w14:textId="77777777" w:rsidTr="00E56E6D">
        <w:tc>
          <w:tcPr>
            <w:tcW w:w="1803" w:type="dxa"/>
          </w:tcPr>
          <w:p w14:paraId="05832BB6" w14:textId="2EF04AE3" w:rsidR="00B5678E" w:rsidRPr="00EB32E5" w:rsidRDefault="00B5678E" w:rsidP="00EB32E5">
            <w:pPr>
              <w:pStyle w:val="DHHStabletext"/>
            </w:pPr>
            <w:r w:rsidRPr="00EB32E5">
              <w:t>SR</w:t>
            </w:r>
            <w:r w:rsidR="008C412F">
              <w:t> </w:t>
            </w:r>
            <w:r w:rsidRPr="00EB32E5">
              <w:t>3</w:t>
            </w:r>
          </w:p>
        </w:tc>
        <w:tc>
          <w:tcPr>
            <w:tcW w:w="1803" w:type="dxa"/>
          </w:tcPr>
          <w:p w14:paraId="1430A662" w14:textId="77777777" w:rsidR="00B5678E" w:rsidRPr="00EB32E5" w:rsidRDefault="00B5678E" w:rsidP="00881FA7">
            <w:pPr>
              <w:pStyle w:val="DHHStabletext"/>
              <w:jc w:val="right"/>
            </w:pPr>
            <w:r w:rsidRPr="00EB32E5">
              <w:t>1</w:t>
            </w:r>
          </w:p>
        </w:tc>
        <w:tc>
          <w:tcPr>
            <w:tcW w:w="1803" w:type="dxa"/>
          </w:tcPr>
          <w:p w14:paraId="296BB919" w14:textId="77777777" w:rsidR="00B5678E" w:rsidRPr="00EB32E5" w:rsidRDefault="00B5678E" w:rsidP="00881FA7">
            <w:pPr>
              <w:pStyle w:val="DHHStabletext"/>
              <w:jc w:val="right"/>
            </w:pPr>
            <w:r w:rsidRPr="00EB32E5">
              <w:t>1</w:t>
            </w:r>
          </w:p>
        </w:tc>
        <w:tc>
          <w:tcPr>
            <w:tcW w:w="1803" w:type="dxa"/>
          </w:tcPr>
          <w:p w14:paraId="24A8B01A" w14:textId="77777777" w:rsidR="00B5678E" w:rsidRPr="00EB32E5" w:rsidRDefault="00B5678E" w:rsidP="00881FA7">
            <w:pPr>
              <w:pStyle w:val="DHHStabletext"/>
              <w:jc w:val="right"/>
            </w:pPr>
            <w:r w:rsidRPr="00EB32E5">
              <w:t>-</w:t>
            </w:r>
          </w:p>
        </w:tc>
        <w:tc>
          <w:tcPr>
            <w:tcW w:w="1804" w:type="dxa"/>
          </w:tcPr>
          <w:p w14:paraId="76789BE0" w14:textId="77777777" w:rsidR="00B5678E" w:rsidRPr="00EB32E5" w:rsidRDefault="00B5678E" w:rsidP="00881FA7">
            <w:pPr>
              <w:pStyle w:val="DHHStabletext"/>
              <w:jc w:val="right"/>
            </w:pPr>
            <w:r w:rsidRPr="00EB32E5">
              <w:t>2</w:t>
            </w:r>
          </w:p>
        </w:tc>
      </w:tr>
      <w:tr w:rsidR="00881FA7" w:rsidRPr="00343635" w14:paraId="6B3ECF1B" w14:textId="77777777" w:rsidTr="00E56E6D">
        <w:tc>
          <w:tcPr>
            <w:tcW w:w="1803" w:type="dxa"/>
          </w:tcPr>
          <w:p w14:paraId="1738F096" w14:textId="26ACEBAC" w:rsidR="00B5678E" w:rsidRPr="00EB32E5" w:rsidRDefault="00B5678E" w:rsidP="00EB32E5">
            <w:pPr>
              <w:pStyle w:val="DHHStabletext"/>
            </w:pPr>
            <w:r w:rsidRPr="00EB32E5">
              <w:t>SR</w:t>
            </w:r>
            <w:r w:rsidR="008C412F">
              <w:t> </w:t>
            </w:r>
            <w:r w:rsidRPr="00EB32E5">
              <w:t>4</w:t>
            </w:r>
          </w:p>
        </w:tc>
        <w:tc>
          <w:tcPr>
            <w:tcW w:w="1803" w:type="dxa"/>
          </w:tcPr>
          <w:p w14:paraId="7E726B60" w14:textId="77777777" w:rsidR="00B5678E" w:rsidRPr="00EB32E5" w:rsidRDefault="00B5678E" w:rsidP="00881FA7">
            <w:pPr>
              <w:pStyle w:val="DHHStabletext"/>
              <w:jc w:val="right"/>
            </w:pPr>
            <w:r w:rsidRPr="00EB32E5">
              <w:t>1</w:t>
            </w:r>
          </w:p>
        </w:tc>
        <w:tc>
          <w:tcPr>
            <w:tcW w:w="1803" w:type="dxa"/>
          </w:tcPr>
          <w:p w14:paraId="068E4D9F" w14:textId="77777777" w:rsidR="00B5678E" w:rsidRPr="00EB32E5" w:rsidRDefault="00B5678E" w:rsidP="00881FA7">
            <w:pPr>
              <w:pStyle w:val="DHHStabletext"/>
              <w:jc w:val="right"/>
            </w:pPr>
            <w:r w:rsidRPr="00EB32E5">
              <w:t>1</w:t>
            </w:r>
          </w:p>
        </w:tc>
        <w:tc>
          <w:tcPr>
            <w:tcW w:w="1803" w:type="dxa"/>
          </w:tcPr>
          <w:p w14:paraId="1C447719" w14:textId="77777777" w:rsidR="00B5678E" w:rsidRPr="00EB32E5" w:rsidRDefault="00B5678E" w:rsidP="00881FA7">
            <w:pPr>
              <w:pStyle w:val="DHHStabletext"/>
              <w:jc w:val="right"/>
            </w:pPr>
            <w:r w:rsidRPr="00EB32E5">
              <w:t>-</w:t>
            </w:r>
          </w:p>
        </w:tc>
        <w:tc>
          <w:tcPr>
            <w:tcW w:w="1804" w:type="dxa"/>
          </w:tcPr>
          <w:p w14:paraId="0999C59D" w14:textId="77777777" w:rsidR="00B5678E" w:rsidRPr="00EB32E5" w:rsidRDefault="00B5678E" w:rsidP="00881FA7">
            <w:pPr>
              <w:pStyle w:val="DHHStabletext"/>
              <w:jc w:val="right"/>
            </w:pPr>
            <w:r w:rsidRPr="00EB32E5">
              <w:t>2</w:t>
            </w:r>
          </w:p>
        </w:tc>
      </w:tr>
      <w:tr w:rsidR="00881FA7" w:rsidRPr="00343635" w14:paraId="4713C1D8" w14:textId="77777777" w:rsidTr="00E56E6D">
        <w:tc>
          <w:tcPr>
            <w:tcW w:w="1803" w:type="dxa"/>
          </w:tcPr>
          <w:p w14:paraId="639C2C0D" w14:textId="77777777" w:rsidR="00B5678E" w:rsidRPr="00EB32E5" w:rsidRDefault="00B5678E" w:rsidP="00EB32E5">
            <w:pPr>
              <w:pStyle w:val="DHHStabletext"/>
            </w:pPr>
            <w:r w:rsidRPr="00EB32E5">
              <w:t>Total</w:t>
            </w:r>
          </w:p>
        </w:tc>
        <w:tc>
          <w:tcPr>
            <w:tcW w:w="1803" w:type="dxa"/>
          </w:tcPr>
          <w:p w14:paraId="7952E8A1" w14:textId="77777777" w:rsidR="00B5678E" w:rsidRPr="00EB32E5" w:rsidRDefault="00B5678E" w:rsidP="00881FA7">
            <w:pPr>
              <w:pStyle w:val="DHHStabletext"/>
              <w:jc w:val="right"/>
            </w:pPr>
            <w:r w:rsidRPr="00EB32E5">
              <w:t>2</w:t>
            </w:r>
          </w:p>
        </w:tc>
        <w:tc>
          <w:tcPr>
            <w:tcW w:w="1803" w:type="dxa"/>
          </w:tcPr>
          <w:p w14:paraId="7CB356A1" w14:textId="77777777" w:rsidR="00B5678E" w:rsidRPr="00EB32E5" w:rsidRDefault="00B5678E" w:rsidP="00881FA7">
            <w:pPr>
              <w:pStyle w:val="DHHStabletext"/>
              <w:jc w:val="right"/>
            </w:pPr>
            <w:r w:rsidRPr="00EB32E5">
              <w:t>2</w:t>
            </w:r>
          </w:p>
        </w:tc>
        <w:tc>
          <w:tcPr>
            <w:tcW w:w="1803" w:type="dxa"/>
          </w:tcPr>
          <w:p w14:paraId="070F5F4B" w14:textId="77777777" w:rsidR="00B5678E" w:rsidRPr="00EB32E5" w:rsidRDefault="00B5678E" w:rsidP="00881FA7">
            <w:pPr>
              <w:pStyle w:val="DHHStabletext"/>
              <w:jc w:val="right"/>
            </w:pPr>
            <w:r w:rsidRPr="00EB32E5">
              <w:t>-</w:t>
            </w:r>
          </w:p>
        </w:tc>
        <w:tc>
          <w:tcPr>
            <w:tcW w:w="1804" w:type="dxa"/>
          </w:tcPr>
          <w:p w14:paraId="73C77D03" w14:textId="36978920" w:rsidR="00B5678E" w:rsidRPr="00EB32E5" w:rsidRDefault="00BC1134" w:rsidP="00881FA7">
            <w:pPr>
              <w:pStyle w:val="DHHStabletext"/>
              <w:jc w:val="right"/>
            </w:pPr>
            <w:r>
              <w:t>4</w:t>
            </w:r>
          </w:p>
        </w:tc>
      </w:tr>
    </w:tbl>
    <w:p w14:paraId="23CE5D46" w14:textId="6B3CA3AE" w:rsidR="00B5678E" w:rsidRPr="00343635" w:rsidRDefault="00B5678E" w:rsidP="00080269">
      <w:pPr>
        <w:pStyle w:val="Heading3"/>
      </w:pPr>
      <w:bookmarkStart w:id="26" w:name="_Toc24287427"/>
      <w:r w:rsidRPr="00343635">
        <w:t xml:space="preserve">Case </w:t>
      </w:r>
      <w:r w:rsidRPr="00EB32E5">
        <w:t>study</w:t>
      </w:r>
      <w:r w:rsidRPr="00343635">
        <w:t xml:space="preserve"> 6:</w:t>
      </w:r>
      <w:r w:rsidR="008C412F">
        <w:t xml:space="preserve"> </w:t>
      </w:r>
      <w:r w:rsidRPr="00343635">
        <w:t xml:space="preserve">Delayed </w:t>
      </w:r>
      <w:r w:rsidR="008C412F">
        <w:t>s</w:t>
      </w:r>
      <w:r w:rsidRPr="00343635">
        <w:t xml:space="preserve">erologic </w:t>
      </w:r>
      <w:r w:rsidR="008C412F">
        <w:t>–</w:t>
      </w:r>
      <w:r w:rsidR="008C412F" w:rsidRPr="00343635">
        <w:t xml:space="preserve"> </w:t>
      </w:r>
      <w:r w:rsidRPr="00EB32E5">
        <w:t>development</w:t>
      </w:r>
      <w:r w:rsidRPr="00343635">
        <w:t xml:space="preserve"> of anti-K without apparent clinical effect</w:t>
      </w:r>
      <w:bookmarkEnd w:id="26"/>
    </w:p>
    <w:p w14:paraId="3EDCFC14" w14:textId="10603EA7" w:rsidR="00B5678E" w:rsidRPr="00EB32E5" w:rsidRDefault="00B5678E" w:rsidP="00EB32E5">
      <w:pPr>
        <w:pStyle w:val="DHHSbody"/>
      </w:pPr>
      <w:r w:rsidRPr="00EB32E5">
        <w:t xml:space="preserve">A 77-year-old woman received two units of red cells during a surgical procedure with no problem. Her pre-operative screening had found her to be O </w:t>
      </w:r>
      <w:proofErr w:type="spellStart"/>
      <w:r w:rsidRPr="00EB32E5">
        <w:t>RhD</w:t>
      </w:r>
      <w:proofErr w:type="spellEnd"/>
      <w:r w:rsidRPr="00EB32E5">
        <w:t xml:space="preserve"> positive without any unexpected antibodies detected. Historical blood bank screening had also been negative (no antibodies detected). When the woman was at the hospital nearly </w:t>
      </w:r>
      <w:r w:rsidR="00FC2B57">
        <w:t>five</w:t>
      </w:r>
      <w:r w:rsidR="00FC2B57" w:rsidRPr="00EB32E5">
        <w:t xml:space="preserve"> </w:t>
      </w:r>
      <w:r w:rsidRPr="00EB32E5">
        <w:t>months later, she had blood tests including blood group and antibody screen, which now showed a positive DAT. On further investigation, she was found to have an anti-K antibody, not previously seen. There was no indication that the patient had been transfused in the interim period, and so this transfusion is likely to be the initiating event.</w:t>
      </w:r>
    </w:p>
    <w:p w14:paraId="4FE70ADC" w14:textId="3F27AAB8" w:rsidR="00B5678E" w:rsidRPr="00EB32E5" w:rsidRDefault="00B5678E" w:rsidP="00EB32E5">
      <w:pPr>
        <w:pStyle w:val="Heading2"/>
      </w:pPr>
      <w:bookmarkStart w:id="27" w:name="_Toc24287428"/>
      <w:r w:rsidRPr="00343635">
        <w:t>TACO</w:t>
      </w:r>
      <w:bookmarkEnd w:id="27"/>
    </w:p>
    <w:p w14:paraId="6D987302" w14:textId="77777777" w:rsidR="00B5678E" w:rsidRPr="00EB32E5" w:rsidRDefault="00B5678E" w:rsidP="00EB32E5">
      <w:pPr>
        <w:pStyle w:val="DHHSbody"/>
      </w:pPr>
      <w:r w:rsidRPr="00EB32E5">
        <w:t>Transfusion associated circulatory overload (TACO) is caused by heart failure leading to pulmonary oedema as a result of rapid infusion or large volumes (relative to the patient’s blood volume) of blood products. Cases of TACO are confirmed by any four of the following which occur within six hours of transfusion:</w:t>
      </w:r>
    </w:p>
    <w:p w14:paraId="0C8112CF" w14:textId="2C59CEB3" w:rsidR="00B5678E" w:rsidRPr="00EB32E5" w:rsidRDefault="00B5678E" w:rsidP="00EB32E5">
      <w:pPr>
        <w:pStyle w:val="DHHSbullet1"/>
      </w:pPr>
      <w:r w:rsidRPr="00EB32E5">
        <w:t>acute respiratory distress</w:t>
      </w:r>
    </w:p>
    <w:p w14:paraId="4EBB4512" w14:textId="28EA07AC" w:rsidR="00B5678E" w:rsidRPr="00EB32E5" w:rsidRDefault="00B5678E" w:rsidP="00EB32E5">
      <w:pPr>
        <w:pStyle w:val="DHHSbullet1"/>
      </w:pPr>
      <w:r w:rsidRPr="00EB32E5">
        <w:t>tachycardia</w:t>
      </w:r>
    </w:p>
    <w:p w14:paraId="0155B463" w14:textId="53982327" w:rsidR="00B5678E" w:rsidRPr="00EB32E5" w:rsidRDefault="00B5678E" w:rsidP="00EB32E5">
      <w:pPr>
        <w:pStyle w:val="DHHSbullet1"/>
      </w:pPr>
      <w:r w:rsidRPr="00EB32E5">
        <w:t>increased blood pressure</w:t>
      </w:r>
    </w:p>
    <w:p w14:paraId="4FF5DC35" w14:textId="481B4892" w:rsidR="00B5678E" w:rsidRPr="00EB32E5" w:rsidRDefault="00B5678E" w:rsidP="00EB32E5">
      <w:pPr>
        <w:pStyle w:val="DHHSbullet1"/>
      </w:pPr>
      <w:r w:rsidRPr="00EB32E5">
        <w:t>acute or worsening pulmonary oedema evident on chest X-ray</w:t>
      </w:r>
    </w:p>
    <w:p w14:paraId="260DB778" w14:textId="3E4C0B02" w:rsidR="00B5678E" w:rsidRPr="00EB32E5" w:rsidRDefault="00B5678E" w:rsidP="00EB32E5">
      <w:pPr>
        <w:pStyle w:val="DHHSbullet1lastline"/>
      </w:pPr>
      <w:r w:rsidRPr="00EB32E5">
        <w:t>evidence of positive fluid balance (</w:t>
      </w:r>
      <w:r w:rsidRPr="00080269">
        <w:rPr>
          <w:i/>
          <w:iCs/>
        </w:rPr>
        <w:t>STIR</w:t>
      </w:r>
      <w:r w:rsidR="00FC2B57" w:rsidRPr="00080269">
        <w:rPr>
          <w:i/>
          <w:iCs/>
        </w:rPr>
        <w:t xml:space="preserve"> reporting g</w:t>
      </w:r>
      <w:r w:rsidRPr="00080269">
        <w:rPr>
          <w:i/>
          <w:iCs/>
        </w:rPr>
        <w:t>uide</w:t>
      </w:r>
      <w:r w:rsidRPr="00EB32E5">
        <w:t xml:space="preserve"> 2017)</w:t>
      </w:r>
      <w:r w:rsidR="00FC2B57">
        <w:t>.</w:t>
      </w:r>
    </w:p>
    <w:p w14:paraId="77445034" w14:textId="37D51A29" w:rsidR="00B5678E" w:rsidRPr="00EB32E5" w:rsidRDefault="00B5678E" w:rsidP="00EB32E5">
      <w:pPr>
        <w:pStyle w:val="DHHStablecaption"/>
      </w:pPr>
      <w:r w:rsidRPr="00343635">
        <w:t xml:space="preserve">Table </w:t>
      </w:r>
      <w:r w:rsidR="00E6689D">
        <w:t>2</w:t>
      </w:r>
      <w:r w:rsidR="000A6E9B">
        <w:t>1</w:t>
      </w:r>
      <w:r w:rsidR="00FC2B57">
        <w:t>:</w:t>
      </w:r>
      <w:r w:rsidRPr="00343635">
        <w:t xml:space="preserve"> Data summary</w:t>
      </w:r>
      <w:r w:rsidR="00E6689D">
        <w:t xml:space="preserve"> –</w:t>
      </w:r>
      <w:r w:rsidRPr="00343635">
        <w:t xml:space="preserve"> TACO, n</w:t>
      </w:r>
      <w:r w:rsidR="00FC2B57">
        <w:t> </w:t>
      </w:r>
      <w:r w:rsidRPr="00343635">
        <w:t>= 19</w:t>
      </w:r>
    </w:p>
    <w:tbl>
      <w:tblPr>
        <w:tblStyle w:val="TableGrid"/>
        <w:tblW w:w="0" w:type="auto"/>
        <w:tblLook w:val="04A0" w:firstRow="1" w:lastRow="0" w:firstColumn="1" w:lastColumn="0" w:noHBand="0" w:noVBand="1"/>
      </w:tblPr>
      <w:tblGrid>
        <w:gridCol w:w="1729"/>
        <w:gridCol w:w="1066"/>
        <w:gridCol w:w="1464"/>
      </w:tblGrid>
      <w:tr w:rsidR="00FC2B57" w:rsidRPr="00343635" w14:paraId="77377752" w14:textId="77777777" w:rsidTr="00E56E6D">
        <w:trPr>
          <w:tblHeader/>
        </w:trPr>
        <w:tc>
          <w:tcPr>
            <w:tcW w:w="1729" w:type="dxa"/>
          </w:tcPr>
          <w:p w14:paraId="4CD7696E" w14:textId="3F6B586A" w:rsidR="00FC2B57" w:rsidRPr="00EB32E5" w:rsidRDefault="00FC2B57" w:rsidP="00EB32E5">
            <w:pPr>
              <w:pStyle w:val="DHHStablecolhead"/>
            </w:pPr>
            <w:r>
              <w:t>Characteristic</w:t>
            </w:r>
          </w:p>
        </w:tc>
        <w:tc>
          <w:tcPr>
            <w:tcW w:w="1066" w:type="dxa"/>
          </w:tcPr>
          <w:p w14:paraId="7EF47507" w14:textId="77777777" w:rsidR="00FC2B57" w:rsidRPr="00EB32E5" w:rsidRDefault="00FC2B57" w:rsidP="00EB32E5">
            <w:pPr>
              <w:pStyle w:val="DHHStablecolhead"/>
            </w:pPr>
            <w:r w:rsidRPr="00EB32E5">
              <w:t>Number</w:t>
            </w:r>
          </w:p>
        </w:tc>
        <w:tc>
          <w:tcPr>
            <w:tcW w:w="1464" w:type="dxa"/>
          </w:tcPr>
          <w:p w14:paraId="033A861B" w14:textId="77777777" w:rsidR="00FC2B57" w:rsidRPr="00EB32E5" w:rsidRDefault="00FC2B57" w:rsidP="00EB32E5">
            <w:pPr>
              <w:pStyle w:val="DHHStablecolhead"/>
            </w:pPr>
            <w:r w:rsidRPr="00EB32E5">
              <w:t>Percentage</w:t>
            </w:r>
          </w:p>
        </w:tc>
      </w:tr>
      <w:tr w:rsidR="00FC2B57" w:rsidRPr="00343635" w14:paraId="1DE34181" w14:textId="77777777" w:rsidTr="00E56E6D">
        <w:tc>
          <w:tcPr>
            <w:tcW w:w="1729" w:type="dxa"/>
          </w:tcPr>
          <w:p w14:paraId="0B5AC49F" w14:textId="73A57E38" w:rsidR="00FC2B57" w:rsidRPr="00EB32E5" w:rsidRDefault="00FC2B57" w:rsidP="00EB32E5">
            <w:pPr>
              <w:pStyle w:val="DHHStabletext"/>
            </w:pPr>
            <w:r w:rsidRPr="00EB32E5">
              <w:t>Age</w:t>
            </w:r>
            <w:r>
              <w:t>:</w:t>
            </w:r>
            <w:r w:rsidRPr="00EB32E5">
              <w:t xml:space="preserve"> &lt; 1 year</w:t>
            </w:r>
          </w:p>
        </w:tc>
        <w:tc>
          <w:tcPr>
            <w:tcW w:w="1066" w:type="dxa"/>
          </w:tcPr>
          <w:p w14:paraId="3435B95E" w14:textId="0F820F30" w:rsidR="00FC2B57" w:rsidRPr="00EB32E5" w:rsidRDefault="00FC2B57" w:rsidP="00881FA7">
            <w:pPr>
              <w:pStyle w:val="DHHStabletext"/>
              <w:jc w:val="right"/>
            </w:pPr>
            <w:r>
              <w:t>-</w:t>
            </w:r>
          </w:p>
        </w:tc>
        <w:tc>
          <w:tcPr>
            <w:tcW w:w="1464" w:type="dxa"/>
          </w:tcPr>
          <w:p w14:paraId="0C150812" w14:textId="66EB41AA" w:rsidR="00FC2B57" w:rsidRPr="00EB32E5" w:rsidRDefault="00FC2B57" w:rsidP="00881FA7">
            <w:pPr>
              <w:pStyle w:val="DHHStabletext"/>
              <w:jc w:val="right"/>
            </w:pPr>
            <w:r>
              <w:t>-</w:t>
            </w:r>
          </w:p>
        </w:tc>
      </w:tr>
      <w:tr w:rsidR="00FC2B57" w:rsidRPr="00343635" w14:paraId="461B5934" w14:textId="77777777" w:rsidTr="00E56E6D">
        <w:tc>
          <w:tcPr>
            <w:tcW w:w="1729" w:type="dxa"/>
          </w:tcPr>
          <w:p w14:paraId="76F2AE45" w14:textId="49730065" w:rsidR="00FC2B57" w:rsidRPr="00EB32E5" w:rsidRDefault="00FC2B57" w:rsidP="00EB32E5">
            <w:pPr>
              <w:pStyle w:val="DHHStabletext"/>
            </w:pPr>
            <w:r w:rsidRPr="00EB32E5">
              <w:t>Age</w:t>
            </w:r>
            <w:r>
              <w:t>:</w:t>
            </w:r>
            <w:r w:rsidRPr="00EB32E5">
              <w:t xml:space="preserve"> 1–18 years</w:t>
            </w:r>
          </w:p>
        </w:tc>
        <w:tc>
          <w:tcPr>
            <w:tcW w:w="1066" w:type="dxa"/>
          </w:tcPr>
          <w:p w14:paraId="57148FD1" w14:textId="77777777" w:rsidR="00FC2B57" w:rsidRPr="00EB32E5" w:rsidRDefault="00FC2B57" w:rsidP="00881FA7">
            <w:pPr>
              <w:pStyle w:val="DHHStabletext"/>
              <w:jc w:val="right"/>
            </w:pPr>
            <w:r w:rsidRPr="00EB32E5">
              <w:t>1</w:t>
            </w:r>
          </w:p>
        </w:tc>
        <w:tc>
          <w:tcPr>
            <w:tcW w:w="1464" w:type="dxa"/>
          </w:tcPr>
          <w:p w14:paraId="4ADE1D6A" w14:textId="77777777" w:rsidR="00FC2B57" w:rsidRPr="00EB32E5" w:rsidRDefault="00FC2B57" w:rsidP="00881FA7">
            <w:pPr>
              <w:pStyle w:val="DHHStabletext"/>
              <w:jc w:val="right"/>
            </w:pPr>
            <w:r w:rsidRPr="00EB32E5">
              <w:t>5%</w:t>
            </w:r>
          </w:p>
        </w:tc>
      </w:tr>
      <w:tr w:rsidR="00FC2B57" w:rsidRPr="00343635" w14:paraId="78E1C69A" w14:textId="77777777" w:rsidTr="00E56E6D">
        <w:tc>
          <w:tcPr>
            <w:tcW w:w="1729" w:type="dxa"/>
          </w:tcPr>
          <w:p w14:paraId="24BB51C8" w14:textId="46C0BCA6" w:rsidR="00FC2B57" w:rsidRPr="00EB32E5" w:rsidRDefault="00FC2B57" w:rsidP="00EB32E5">
            <w:pPr>
              <w:pStyle w:val="DHHStabletext"/>
            </w:pPr>
            <w:r w:rsidRPr="00EB32E5">
              <w:t>Age</w:t>
            </w:r>
            <w:r>
              <w:t>:</w:t>
            </w:r>
            <w:r w:rsidRPr="00EB32E5">
              <w:t xml:space="preserve"> 19–29 years</w:t>
            </w:r>
          </w:p>
        </w:tc>
        <w:tc>
          <w:tcPr>
            <w:tcW w:w="1066" w:type="dxa"/>
          </w:tcPr>
          <w:p w14:paraId="413D2412" w14:textId="77777777" w:rsidR="00FC2B57" w:rsidRPr="00EB32E5" w:rsidRDefault="00FC2B57" w:rsidP="00881FA7">
            <w:pPr>
              <w:pStyle w:val="DHHStabletext"/>
              <w:jc w:val="right"/>
            </w:pPr>
            <w:r w:rsidRPr="00EB32E5">
              <w:t>1</w:t>
            </w:r>
          </w:p>
        </w:tc>
        <w:tc>
          <w:tcPr>
            <w:tcW w:w="1464" w:type="dxa"/>
          </w:tcPr>
          <w:p w14:paraId="619DAC24" w14:textId="77777777" w:rsidR="00FC2B57" w:rsidRPr="00EB32E5" w:rsidRDefault="00FC2B57" w:rsidP="00881FA7">
            <w:pPr>
              <w:pStyle w:val="DHHStabletext"/>
              <w:jc w:val="right"/>
            </w:pPr>
            <w:r w:rsidRPr="00EB32E5">
              <w:t>5%</w:t>
            </w:r>
          </w:p>
        </w:tc>
      </w:tr>
      <w:tr w:rsidR="00FC2B57" w:rsidRPr="00343635" w14:paraId="673DFA5F" w14:textId="77777777" w:rsidTr="00E56E6D">
        <w:tc>
          <w:tcPr>
            <w:tcW w:w="1729" w:type="dxa"/>
          </w:tcPr>
          <w:p w14:paraId="254D557B" w14:textId="066EEDD9" w:rsidR="00FC2B57" w:rsidRPr="00EB32E5" w:rsidRDefault="00FC2B57" w:rsidP="00EB32E5">
            <w:pPr>
              <w:pStyle w:val="DHHStabletext"/>
            </w:pPr>
            <w:r w:rsidRPr="00EB32E5">
              <w:t>Age</w:t>
            </w:r>
            <w:r>
              <w:t>:</w:t>
            </w:r>
            <w:r w:rsidRPr="00EB32E5">
              <w:t xml:space="preserve"> 30–49 years</w:t>
            </w:r>
          </w:p>
        </w:tc>
        <w:tc>
          <w:tcPr>
            <w:tcW w:w="1066" w:type="dxa"/>
          </w:tcPr>
          <w:p w14:paraId="22D51991" w14:textId="77777777" w:rsidR="00FC2B57" w:rsidRPr="00EB32E5" w:rsidRDefault="00FC2B57" w:rsidP="00881FA7">
            <w:pPr>
              <w:pStyle w:val="DHHStabletext"/>
              <w:jc w:val="right"/>
            </w:pPr>
            <w:r w:rsidRPr="00EB32E5">
              <w:t>1</w:t>
            </w:r>
          </w:p>
        </w:tc>
        <w:tc>
          <w:tcPr>
            <w:tcW w:w="1464" w:type="dxa"/>
          </w:tcPr>
          <w:p w14:paraId="644286E5" w14:textId="77777777" w:rsidR="00FC2B57" w:rsidRPr="00EB32E5" w:rsidRDefault="00FC2B57" w:rsidP="00881FA7">
            <w:pPr>
              <w:pStyle w:val="DHHStabletext"/>
              <w:jc w:val="right"/>
            </w:pPr>
            <w:r w:rsidRPr="00EB32E5">
              <w:t>5%</w:t>
            </w:r>
          </w:p>
        </w:tc>
      </w:tr>
      <w:tr w:rsidR="00FC2B57" w:rsidRPr="00343635" w14:paraId="42320EC7" w14:textId="77777777" w:rsidTr="00E56E6D">
        <w:tc>
          <w:tcPr>
            <w:tcW w:w="1729" w:type="dxa"/>
          </w:tcPr>
          <w:p w14:paraId="53FCED80" w14:textId="0F1BCEE3" w:rsidR="00FC2B57" w:rsidRPr="00EB32E5" w:rsidRDefault="00FC2B57" w:rsidP="00EB32E5">
            <w:pPr>
              <w:pStyle w:val="DHHStabletext"/>
            </w:pPr>
            <w:r w:rsidRPr="00EB32E5">
              <w:t>Age</w:t>
            </w:r>
            <w:r>
              <w:t>:</w:t>
            </w:r>
            <w:r w:rsidRPr="00EB32E5">
              <w:t xml:space="preserve"> 50–69 years</w:t>
            </w:r>
          </w:p>
        </w:tc>
        <w:tc>
          <w:tcPr>
            <w:tcW w:w="1066" w:type="dxa"/>
          </w:tcPr>
          <w:p w14:paraId="293022FD" w14:textId="77777777" w:rsidR="00FC2B57" w:rsidRPr="00EB32E5" w:rsidRDefault="00FC2B57" w:rsidP="00881FA7">
            <w:pPr>
              <w:pStyle w:val="DHHStabletext"/>
              <w:jc w:val="right"/>
            </w:pPr>
            <w:r w:rsidRPr="00EB32E5">
              <w:t>4</w:t>
            </w:r>
          </w:p>
        </w:tc>
        <w:tc>
          <w:tcPr>
            <w:tcW w:w="1464" w:type="dxa"/>
          </w:tcPr>
          <w:p w14:paraId="36BB156F" w14:textId="77777777" w:rsidR="00FC2B57" w:rsidRPr="00EB32E5" w:rsidRDefault="00FC2B57" w:rsidP="00881FA7">
            <w:pPr>
              <w:pStyle w:val="DHHStabletext"/>
              <w:jc w:val="right"/>
            </w:pPr>
            <w:r w:rsidRPr="00EB32E5">
              <w:t>21%</w:t>
            </w:r>
          </w:p>
        </w:tc>
      </w:tr>
      <w:tr w:rsidR="00FC2B57" w:rsidRPr="00343635" w14:paraId="23059EDA" w14:textId="77777777" w:rsidTr="00E56E6D">
        <w:tc>
          <w:tcPr>
            <w:tcW w:w="1729" w:type="dxa"/>
          </w:tcPr>
          <w:p w14:paraId="2E3C09D8" w14:textId="57009186" w:rsidR="00FC2B57" w:rsidRPr="00EB32E5" w:rsidRDefault="00FC2B57" w:rsidP="00EB32E5">
            <w:pPr>
              <w:pStyle w:val="DHHStabletext"/>
            </w:pPr>
            <w:r w:rsidRPr="00EB32E5">
              <w:t>Age</w:t>
            </w:r>
            <w:r>
              <w:t>:</w:t>
            </w:r>
            <w:r w:rsidRPr="00EB32E5">
              <w:t xml:space="preserve"> 70–79 years</w:t>
            </w:r>
          </w:p>
        </w:tc>
        <w:tc>
          <w:tcPr>
            <w:tcW w:w="1066" w:type="dxa"/>
          </w:tcPr>
          <w:p w14:paraId="5052767D" w14:textId="77777777" w:rsidR="00FC2B57" w:rsidRPr="00EB32E5" w:rsidRDefault="00FC2B57" w:rsidP="00881FA7">
            <w:pPr>
              <w:pStyle w:val="DHHStabletext"/>
              <w:jc w:val="right"/>
            </w:pPr>
            <w:r w:rsidRPr="00EB32E5">
              <w:t>7</w:t>
            </w:r>
          </w:p>
        </w:tc>
        <w:tc>
          <w:tcPr>
            <w:tcW w:w="1464" w:type="dxa"/>
          </w:tcPr>
          <w:p w14:paraId="06987D25" w14:textId="77777777" w:rsidR="00FC2B57" w:rsidRPr="00EB32E5" w:rsidRDefault="00FC2B57" w:rsidP="00881FA7">
            <w:pPr>
              <w:pStyle w:val="DHHStabletext"/>
              <w:jc w:val="right"/>
            </w:pPr>
            <w:r w:rsidRPr="00EB32E5">
              <w:t>37%</w:t>
            </w:r>
          </w:p>
        </w:tc>
      </w:tr>
      <w:tr w:rsidR="00FC2B57" w:rsidRPr="00343635" w14:paraId="054D5DE3" w14:textId="77777777" w:rsidTr="00E56E6D">
        <w:tc>
          <w:tcPr>
            <w:tcW w:w="1729" w:type="dxa"/>
          </w:tcPr>
          <w:p w14:paraId="424AD69E" w14:textId="2A92E90A" w:rsidR="00FC2B57" w:rsidRPr="00EB32E5" w:rsidRDefault="00FC2B57" w:rsidP="00EB32E5">
            <w:pPr>
              <w:pStyle w:val="DHHStabletext"/>
            </w:pPr>
            <w:r w:rsidRPr="00EB32E5">
              <w:t>Age</w:t>
            </w:r>
            <w:r>
              <w:t>:</w:t>
            </w:r>
            <w:r w:rsidRPr="00EB32E5">
              <w:t xml:space="preserve"> 80+ years</w:t>
            </w:r>
          </w:p>
        </w:tc>
        <w:tc>
          <w:tcPr>
            <w:tcW w:w="1066" w:type="dxa"/>
          </w:tcPr>
          <w:p w14:paraId="4C1832A8" w14:textId="77777777" w:rsidR="00FC2B57" w:rsidRPr="00EB32E5" w:rsidRDefault="00FC2B57" w:rsidP="00881FA7">
            <w:pPr>
              <w:pStyle w:val="DHHStabletext"/>
              <w:jc w:val="right"/>
            </w:pPr>
            <w:r w:rsidRPr="00EB32E5">
              <w:t>5</w:t>
            </w:r>
          </w:p>
        </w:tc>
        <w:tc>
          <w:tcPr>
            <w:tcW w:w="1464" w:type="dxa"/>
          </w:tcPr>
          <w:p w14:paraId="575C26E7" w14:textId="77777777" w:rsidR="00FC2B57" w:rsidRPr="00EB32E5" w:rsidRDefault="00FC2B57" w:rsidP="00881FA7">
            <w:pPr>
              <w:pStyle w:val="DHHStabletext"/>
              <w:jc w:val="right"/>
            </w:pPr>
            <w:r w:rsidRPr="00EB32E5">
              <w:t>26%</w:t>
            </w:r>
          </w:p>
        </w:tc>
      </w:tr>
      <w:tr w:rsidR="00FC2B57" w:rsidRPr="00343635" w14:paraId="419C297B" w14:textId="77777777" w:rsidTr="00E56E6D">
        <w:tc>
          <w:tcPr>
            <w:tcW w:w="1729" w:type="dxa"/>
          </w:tcPr>
          <w:p w14:paraId="164FBCFE" w14:textId="0559717D" w:rsidR="00FC2B57" w:rsidRPr="00EB32E5" w:rsidRDefault="00FC2B57" w:rsidP="00EB32E5">
            <w:pPr>
              <w:pStyle w:val="DHHStabletext"/>
            </w:pPr>
            <w:r w:rsidRPr="00EB32E5">
              <w:lastRenderedPageBreak/>
              <w:t>Gender</w:t>
            </w:r>
            <w:r>
              <w:t>:</w:t>
            </w:r>
            <w:r w:rsidRPr="00EB32E5">
              <w:t xml:space="preserve"> </w:t>
            </w:r>
            <w:r>
              <w:t>m</w:t>
            </w:r>
            <w:r w:rsidRPr="00EB32E5">
              <w:t>ale</w:t>
            </w:r>
          </w:p>
        </w:tc>
        <w:tc>
          <w:tcPr>
            <w:tcW w:w="1066" w:type="dxa"/>
          </w:tcPr>
          <w:p w14:paraId="0C1209AF" w14:textId="77777777" w:rsidR="00FC2B57" w:rsidRPr="00EB32E5" w:rsidRDefault="00FC2B57" w:rsidP="00881FA7">
            <w:pPr>
              <w:pStyle w:val="DHHStabletext"/>
              <w:jc w:val="right"/>
            </w:pPr>
            <w:r w:rsidRPr="00EB32E5">
              <w:t>10</w:t>
            </w:r>
          </w:p>
        </w:tc>
        <w:tc>
          <w:tcPr>
            <w:tcW w:w="1464" w:type="dxa"/>
          </w:tcPr>
          <w:p w14:paraId="2B0A34E6" w14:textId="77777777" w:rsidR="00FC2B57" w:rsidRPr="00EB32E5" w:rsidRDefault="00FC2B57" w:rsidP="00881FA7">
            <w:pPr>
              <w:pStyle w:val="DHHStabletext"/>
              <w:jc w:val="right"/>
            </w:pPr>
            <w:r w:rsidRPr="00EB32E5">
              <w:t>53%</w:t>
            </w:r>
          </w:p>
        </w:tc>
      </w:tr>
      <w:tr w:rsidR="00FC2B57" w:rsidRPr="00343635" w14:paraId="4A54E141" w14:textId="77777777" w:rsidTr="00E56E6D">
        <w:tc>
          <w:tcPr>
            <w:tcW w:w="1729" w:type="dxa"/>
          </w:tcPr>
          <w:p w14:paraId="7E85458E" w14:textId="53636CAD" w:rsidR="00FC2B57" w:rsidRPr="00EB32E5" w:rsidRDefault="00FC2B57" w:rsidP="00EB32E5">
            <w:pPr>
              <w:pStyle w:val="DHHStabletext"/>
            </w:pPr>
            <w:r w:rsidRPr="00EB32E5">
              <w:t>Gender</w:t>
            </w:r>
            <w:r>
              <w:t>:</w:t>
            </w:r>
            <w:r w:rsidRPr="00EB32E5">
              <w:t xml:space="preserve"> </w:t>
            </w:r>
            <w:r>
              <w:t>f</w:t>
            </w:r>
            <w:r w:rsidRPr="00EB32E5">
              <w:t>emale</w:t>
            </w:r>
          </w:p>
        </w:tc>
        <w:tc>
          <w:tcPr>
            <w:tcW w:w="1066" w:type="dxa"/>
          </w:tcPr>
          <w:p w14:paraId="59CA5E55" w14:textId="77777777" w:rsidR="00FC2B57" w:rsidRPr="00EB32E5" w:rsidRDefault="00FC2B57" w:rsidP="00881FA7">
            <w:pPr>
              <w:pStyle w:val="DHHStabletext"/>
              <w:jc w:val="right"/>
            </w:pPr>
            <w:r w:rsidRPr="00EB32E5">
              <w:t>9</w:t>
            </w:r>
          </w:p>
        </w:tc>
        <w:tc>
          <w:tcPr>
            <w:tcW w:w="1464" w:type="dxa"/>
          </w:tcPr>
          <w:p w14:paraId="4391C58F" w14:textId="77777777" w:rsidR="00FC2B57" w:rsidRPr="00EB32E5" w:rsidRDefault="00FC2B57" w:rsidP="00881FA7">
            <w:pPr>
              <w:pStyle w:val="DHHStabletext"/>
              <w:jc w:val="right"/>
            </w:pPr>
            <w:r w:rsidRPr="00EB32E5">
              <w:t>47%</w:t>
            </w:r>
          </w:p>
        </w:tc>
      </w:tr>
      <w:tr w:rsidR="00FC2B57" w:rsidRPr="00343635" w14:paraId="158C8871" w14:textId="77777777" w:rsidTr="00E56E6D">
        <w:tc>
          <w:tcPr>
            <w:tcW w:w="1729" w:type="dxa"/>
          </w:tcPr>
          <w:p w14:paraId="344AA31F" w14:textId="284CFF64" w:rsidR="00FC2B57" w:rsidRPr="00EB32E5" w:rsidRDefault="00FC2B57" w:rsidP="00EB32E5">
            <w:pPr>
              <w:pStyle w:val="DHHStabletext"/>
            </w:pPr>
            <w:r w:rsidRPr="00EB32E5">
              <w:t>Implicated blood product</w:t>
            </w:r>
            <w:r>
              <w:t>:</w:t>
            </w:r>
            <w:r w:rsidRPr="00EB32E5">
              <w:t xml:space="preserve"> </w:t>
            </w:r>
            <w:r>
              <w:t>r</w:t>
            </w:r>
            <w:r w:rsidRPr="00EB32E5">
              <w:t>ed cells</w:t>
            </w:r>
          </w:p>
        </w:tc>
        <w:tc>
          <w:tcPr>
            <w:tcW w:w="1066" w:type="dxa"/>
          </w:tcPr>
          <w:p w14:paraId="2E60AE76" w14:textId="77777777" w:rsidR="00FC2B57" w:rsidRPr="00EB32E5" w:rsidRDefault="00FC2B57" w:rsidP="00881FA7">
            <w:pPr>
              <w:pStyle w:val="DHHStabletext"/>
              <w:jc w:val="right"/>
            </w:pPr>
            <w:r w:rsidRPr="00EB32E5">
              <w:t>16</w:t>
            </w:r>
          </w:p>
        </w:tc>
        <w:tc>
          <w:tcPr>
            <w:tcW w:w="1464" w:type="dxa"/>
          </w:tcPr>
          <w:p w14:paraId="4E11A24F" w14:textId="77777777" w:rsidR="00FC2B57" w:rsidRPr="00EB32E5" w:rsidRDefault="00FC2B57" w:rsidP="00881FA7">
            <w:pPr>
              <w:pStyle w:val="DHHStabletext"/>
              <w:jc w:val="right"/>
            </w:pPr>
            <w:r w:rsidRPr="00EB32E5">
              <w:t>84%</w:t>
            </w:r>
          </w:p>
        </w:tc>
      </w:tr>
      <w:tr w:rsidR="00FC2B57" w:rsidRPr="00343635" w14:paraId="4ED25462" w14:textId="77777777" w:rsidTr="00E56E6D">
        <w:tc>
          <w:tcPr>
            <w:tcW w:w="1729" w:type="dxa"/>
          </w:tcPr>
          <w:p w14:paraId="02B7A04A" w14:textId="2477588F" w:rsidR="00FC2B57" w:rsidRPr="00EB32E5" w:rsidRDefault="00FC2B57" w:rsidP="00EB32E5">
            <w:pPr>
              <w:pStyle w:val="DHHStabletext"/>
            </w:pPr>
            <w:r w:rsidRPr="00EB32E5">
              <w:t>Implicated blood product</w:t>
            </w:r>
            <w:r>
              <w:t>:</w:t>
            </w:r>
            <w:r w:rsidRPr="00EB32E5">
              <w:t xml:space="preserve"> FFP</w:t>
            </w:r>
          </w:p>
        </w:tc>
        <w:tc>
          <w:tcPr>
            <w:tcW w:w="1066" w:type="dxa"/>
          </w:tcPr>
          <w:p w14:paraId="598CFA9E" w14:textId="77777777" w:rsidR="00FC2B57" w:rsidRPr="00EB32E5" w:rsidRDefault="00FC2B57" w:rsidP="00881FA7">
            <w:pPr>
              <w:pStyle w:val="DHHStabletext"/>
              <w:jc w:val="right"/>
            </w:pPr>
            <w:r w:rsidRPr="00EB32E5">
              <w:t>1</w:t>
            </w:r>
          </w:p>
        </w:tc>
        <w:tc>
          <w:tcPr>
            <w:tcW w:w="1464" w:type="dxa"/>
          </w:tcPr>
          <w:p w14:paraId="10776109" w14:textId="77777777" w:rsidR="00FC2B57" w:rsidRPr="00EB32E5" w:rsidRDefault="00FC2B57" w:rsidP="00881FA7">
            <w:pPr>
              <w:pStyle w:val="DHHStabletext"/>
              <w:jc w:val="right"/>
            </w:pPr>
            <w:r w:rsidRPr="00EB32E5">
              <w:t>5%</w:t>
            </w:r>
          </w:p>
        </w:tc>
      </w:tr>
      <w:tr w:rsidR="00FC2B57" w:rsidRPr="00343635" w14:paraId="7A04056E" w14:textId="77777777" w:rsidTr="00E56E6D">
        <w:tc>
          <w:tcPr>
            <w:tcW w:w="1729" w:type="dxa"/>
          </w:tcPr>
          <w:p w14:paraId="64F23350" w14:textId="2CEE714D" w:rsidR="00FC2B57" w:rsidRPr="00EB32E5" w:rsidRDefault="00FC2B57" w:rsidP="00EB32E5">
            <w:pPr>
              <w:pStyle w:val="DHHStabletext"/>
            </w:pPr>
            <w:r w:rsidRPr="00EB32E5">
              <w:t>Implicated blood product</w:t>
            </w:r>
            <w:r>
              <w:t>:</w:t>
            </w:r>
            <w:r w:rsidRPr="00EB32E5">
              <w:t xml:space="preserve"> </w:t>
            </w:r>
            <w:r>
              <w:t>p</w:t>
            </w:r>
            <w:r w:rsidRPr="00EB32E5">
              <w:t>latelets</w:t>
            </w:r>
          </w:p>
        </w:tc>
        <w:tc>
          <w:tcPr>
            <w:tcW w:w="1066" w:type="dxa"/>
          </w:tcPr>
          <w:p w14:paraId="3AA76133" w14:textId="77777777" w:rsidR="00FC2B57" w:rsidRPr="00EB32E5" w:rsidRDefault="00FC2B57" w:rsidP="00881FA7">
            <w:pPr>
              <w:pStyle w:val="DHHStabletext"/>
              <w:jc w:val="right"/>
            </w:pPr>
            <w:r w:rsidRPr="00EB32E5">
              <w:t>2</w:t>
            </w:r>
          </w:p>
        </w:tc>
        <w:tc>
          <w:tcPr>
            <w:tcW w:w="1464" w:type="dxa"/>
          </w:tcPr>
          <w:p w14:paraId="4248B2E6" w14:textId="77777777" w:rsidR="00FC2B57" w:rsidRPr="00EB32E5" w:rsidRDefault="00FC2B57" w:rsidP="00881FA7">
            <w:pPr>
              <w:pStyle w:val="DHHStabletext"/>
              <w:jc w:val="right"/>
            </w:pPr>
            <w:r w:rsidRPr="00EB32E5">
              <w:t>11%</w:t>
            </w:r>
          </w:p>
        </w:tc>
      </w:tr>
    </w:tbl>
    <w:p w14:paraId="0751520A" w14:textId="527D65DF" w:rsidR="00B5678E" w:rsidRPr="00E6689D" w:rsidRDefault="00E6689D" w:rsidP="00080269">
      <w:pPr>
        <w:pStyle w:val="DHHStablecaption"/>
      </w:pPr>
      <w:r>
        <w:t>Table 2</w:t>
      </w:r>
      <w:r w:rsidR="000A6E9B">
        <w:t>2</w:t>
      </w:r>
      <w:r>
        <w:t xml:space="preserve">: Severity rating and </w:t>
      </w:r>
      <w:proofErr w:type="spellStart"/>
      <w:r>
        <w:t>imputability</w:t>
      </w:r>
      <w:proofErr w:type="spellEnd"/>
      <w:r>
        <w:t xml:space="preserve"> – TACO</w:t>
      </w:r>
    </w:p>
    <w:tbl>
      <w:tblPr>
        <w:tblStyle w:val="TableGrid"/>
        <w:tblW w:w="0" w:type="auto"/>
        <w:tblLook w:val="04A0" w:firstRow="1" w:lastRow="0" w:firstColumn="1" w:lastColumn="0" w:noHBand="0" w:noVBand="1"/>
      </w:tblPr>
      <w:tblGrid>
        <w:gridCol w:w="1803"/>
        <w:gridCol w:w="1803"/>
        <w:gridCol w:w="1917"/>
        <w:gridCol w:w="1803"/>
        <w:gridCol w:w="1804"/>
      </w:tblGrid>
      <w:tr w:rsidR="00881FA7" w:rsidRPr="00343635" w14:paraId="32EE74DC" w14:textId="77777777" w:rsidTr="00E56E6D">
        <w:trPr>
          <w:tblHeader/>
        </w:trPr>
        <w:tc>
          <w:tcPr>
            <w:tcW w:w="1803" w:type="dxa"/>
          </w:tcPr>
          <w:p w14:paraId="2ED2E547" w14:textId="230E1A63" w:rsidR="00B5678E" w:rsidRPr="00343635" w:rsidRDefault="00FC2B57" w:rsidP="00EB32E5">
            <w:pPr>
              <w:pStyle w:val="DHHStablecolhead"/>
            </w:pPr>
            <w:r w:rsidRPr="00343635">
              <w:t xml:space="preserve">Severity </w:t>
            </w:r>
            <w:r>
              <w:t>r</w:t>
            </w:r>
            <w:r w:rsidRPr="00343635">
              <w:t>ating</w:t>
            </w:r>
          </w:p>
        </w:tc>
        <w:tc>
          <w:tcPr>
            <w:tcW w:w="1803" w:type="dxa"/>
          </w:tcPr>
          <w:p w14:paraId="6BB2B00E" w14:textId="2FBA001E" w:rsidR="00B5678E" w:rsidRPr="00343635" w:rsidRDefault="00FC2B57" w:rsidP="00EB32E5">
            <w:pPr>
              <w:pStyle w:val="DHHStablecolhead"/>
            </w:pPr>
            <w:proofErr w:type="spellStart"/>
            <w:r w:rsidRPr="00343635">
              <w:t>Imputability</w:t>
            </w:r>
            <w:proofErr w:type="spellEnd"/>
            <w:r>
              <w:t>: c</w:t>
            </w:r>
            <w:r w:rsidR="00B5678E" w:rsidRPr="00343635">
              <w:t>ertainly</w:t>
            </w:r>
          </w:p>
        </w:tc>
        <w:tc>
          <w:tcPr>
            <w:tcW w:w="1917" w:type="dxa"/>
          </w:tcPr>
          <w:p w14:paraId="4118EC11" w14:textId="0DA34C27" w:rsidR="00B5678E" w:rsidRPr="00343635" w:rsidRDefault="00FC2B57" w:rsidP="00EB32E5">
            <w:pPr>
              <w:pStyle w:val="DHHStablecolhead"/>
            </w:pPr>
            <w:proofErr w:type="spellStart"/>
            <w:r w:rsidRPr="00343635">
              <w:t>Imputability</w:t>
            </w:r>
            <w:proofErr w:type="spellEnd"/>
            <w:r>
              <w:t>: p</w:t>
            </w:r>
            <w:r w:rsidRPr="00343635">
              <w:t>robably</w:t>
            </w:r>
          </w:p>
        </w:tc>
        <w:tc>
          <w:tcPr>
            <w:tcW w:w="1803" w:type="dxa"/>
          </w:tcPr>
          <w:p w14:paraId="74252010" w14:textId="4CAD320F" w:rsidR="00B5678E" w:rsidRPr="00343635" w:rsidRDefault="00FC2B57" w:rsidP="00EB32E5">
            <w:pPr>
              <w:pStyle w:val="DHHStablecolhead"/>
            </w:pPr>
            <w:proofErr w:type="spellStart"/>
            <w:r w:rsidRPr="00343635">
              <w:t>Imputability</w:t>
            </w:r>
            <w:proofErr w:type="spellEnd"/>
            <w:r>
              <w:t>: p</w:t>
            </w:r>
            <w:r w:rsidR="00B5678E" w:rsidRPr="00343635">
              <w:t>ossibly</w:t>
            </w:r>
          </w:p>
        </w:tc>
        <w:tc>
          <w:tcPr>
            <w:tcW w:w="1804" w:type="dxa"/>
          </w:tcPr>
          <w:p w14:paraId="4F4C087D" w14:textId="77777777" w:rsidR="00B5678E" w:rsidRPr="00343635" w:rsidRDefault="00B5678E" w:rsidP="00EB32E5">
            <w:pPr>
              <w:pStyle w:val="DHHStablecolhead"/>
            </w:pPr>
            <w:r w:rsidRPr="00343635">
              <w:t>Total</w:t>
            </w:r>
          </w:p>
        </w:tc>
      </w:tr>
      <w:tr w:rsidR="00881FA7" w:rsidRPr="00343635" w14:paraId="0C227B79" w14:textId="77777777" w:rsidTr="00E56E6D">
        <w:tc>
          <w:tcPr>
            <w:tcW w:w="1803" w:type="dxa"/>
          </w:tcPr>
          <w:p w14:paraId="0105E069" w14:textId="009A07C6" w:rsidR="00B5678E" w:rsidRPr="00EB32E5" w:rsidRDefault="00B5678E" w:rsidP="00EB32E5">
            <w:pPr>
              <w:pStyle w:val="DHHStabletext"/>
            </w:pPr>
            <w:r w:rsidRPr="00EB32E5">
              <w:t>SR</w:t>
            </w:r>
            <w:r w:rsidR="00FC2B57">
              <w:t> </w:t>
            </w:r>
            <w:r w:rsidRPr="00EB32E5">
              <w:t>1</w:t>
            </w:r>
          </w:p>
        </w:tc>
        <w:tc>
          <w:tcPr>
            <w:tcW w:w="1803" w:type="dxa"/>
          </w:tcPr>
          <w:p w14:paraId="597ED05E" w14:textId="77777777" w:rsidR="00B5678E" w:rsidRPr="00EB32E5" w:rsidRDefault="00B5678E" w:rsidP="00881FA7">
            <w:pPr>
              <w:pStyle w:val="DHHStabletext"/>
              <w:jc w:val="right"/>
            </w:pPr>
            <w:r w:rsidRPr="00EB32E5">
              <w:t>-</w:t>
            </w:r>
          </w:p>
        </w:tc>
        <w:tc>
          <w:tcPr>
            <w:tcW w:w="1917" w:type="dxa"/>
          </w:tcPr>
          <w:p w14:paraId="710C9724" w14:textId="77777777" w:rsidR="00B5678E" w:rsidRPr="00EB32E5" w:rsidRDefault="00B5678E" w:rsidP="00881FA7">
            <w:pPr>
              <w:pStyle w:val="DHHStabletext"/>
              <w:jc w:val="right"/>
            </w:pPr>
            <w:r w:rsidRPr="00EB32E5">
              <w:t>-</w:t>
            </w:r>
          </w:p>
        </w:tc>
        <w:tc>
          <w:tcPr>
            <w:tcW w:w="1803" w:type="dxa"/>
          </w:tcPr>
          <w:p w14:paraId="0B0F2216" w14:textId="77777777" w:rsidR="00B5678E" w:rsidRPr="00EB32E5" w:rsidRDefault="00B5678E" w:rsidP="00881FA7">
            <w:pPr>
              <w:pStyle w:val="DHHStabletext"/>
              <w:jc w:val="right"/>
            </w:pPr>
            <w:r w:rsidRPr="00EB32E5">
              <w:t>-</w:t>
            </w:r>
          </w:p>
        </w:tc>
        <w:tc>
          <w:tcPr>
            <w:tcW w:w="1804" w:type="dxa"/>
          </w:tcPr>
          <w:p w14:paraId="5E9B6FF2" w14:textId="77777777" w:rsidR="00B5678E" w:rsidRPr="00EB32E5" w:rsidRDefault="00B5678E" w:rsidP="00881FA7">
            <w:pPr>
              <w:pStyle w:val="DHHStabletext"/>
              <w:jc w:val="right"/>
            </w:pPr>
            <w:r w:rsidRPr="00EB32E5">
              <w:t>-</w:t>
            </w:r>
          </w:p>
        </w:tc>
      </w:tr>
      <w:tr w:rsidR="00881FA7" w:rsidRPr="00343635" w14:paraId="77A9312D" w14:textId="77777777" w:rsidTr="00E56E6D">
        <w:tc>
          <w:tcPr>
            <w:tcW w:w="1803" w:type="dxa"/>
          </w:tcPr>
          <w:p w14:paraId="21E77B4B" w14:textId="54AC212B" w:rsidR="00B5678E" w:rsidRPr="00EB32E5" w:rsidRDefault="00B5678E" w:rsidP="00EB32E5">
            <w:pPr>
              <w:pStyle w:val="DHHStabletext"/>
            </w:pPr>
            <w:r w:rsidRPr="00EB32E5">
              <w:t>SR</w:t>
            </w:r>
            <w:r w:rsidR="00FC2B57">
              <w:t> </w:t>
            </w:r>
            <w:r w:rsidRPr="00EB32E5">
              <w:t>2</w:t>
            </w:r>
          </w:p>
        </w:tc>
        <w:tc>
          <w:tcPr>
            <w:tcW w:w="1803" w:type="dxa"/>
          </w:tcPr>
          <w:p w14:paraId="4871B7C6" w14:textId="77777777" w:rsidR="00B5678E" w:rsidRPr="00EB32E5" w:rsidRDefault="00B5678E" w:rsidP="00881FA7">
            <w:pPr>
              <w:pStyle w:val="DHHStabletext"/>
              <w:jc w:val="right"/>
            </w:pPr>
            <w:r w:rsidRPr="00EB32E5">
              <w:t>1</w:t>
            </w:r>
          </w:p>
        </w:tc>
        <w:tc>
          <w:tcPr>
            <w:tcW w:w="1917" w:type="dxa"/>
          </w:tcPr>
          <w:p w14:paraId="4DA4045D" w14:textId="77777777" w:rsidR="00B5678E" w:rsidRPr="00EB32E5" w:rsidRDefault="00B5678E" w:rsidP="00881FA7">
            <w:pPr>
              <w:pStyle w:val="DHHStabletext"/>
              <w:jc w:val="right"/>
            </w:pPr>
            <w:r w:rsidRPr="00EB32E5">
              <w:t>5</w:t>
            </w:r>
          </w:p>
        </w:tc>
        <w:tc>
          <w:tcPr>
            <w:tcW w:w="1803" w:type="dxa"/>
          </w:tcPr>
          <w:p w14:paraId="28485108" w14:textId="77777777" w:rsidR="00B5678E" w:rsidRPr="00EB32E5" w:rsidRDefault="00B5678E" w:rsidP="00881FA7">
            <w:pPr>
              <w:pStyle w:val="DHHStabletext"/>
              <w:jc w:val="right"/>
            </w:pPr>
            <w:r w:rsidRPr="00EB32E5">
              <w:t>-</w:t>
            </w:r>
          </w:p>
        </w:tc>
        <w:tc>
          <w:tcPr>
            <w:tcW w:w="1804" w:type="dxa"/>
          </w:tcPr>
          <w:p w14:paraId="7959734C" w14:textId="77777777" w:rsidR="00B5678E" w:rsidRPr="00EB32E5" w:rsidRDefault="00B5678E" w:rsidP="00881FA7">
            <w:pPr>
              <w:pStyle w:val="DHHStabletext"/>
              <w:jc w:val="right"/>
            </w:pPr>
            <w:r w:rsidRPr="00EB32E5">
              <w:t>6</w:t>
            </w:r>
          </w:p>
        </w:tc>
      </w:tr>
      <w:tr w:rsidR="00881FA7" w:rsidRPr="00343635" w14:paraId="30B8BAEE" w14:textId="77777777" w:rsidTr="00E56E6D">
        <w:tc>
          <w:tcPr>
            <w:tcW w:w="1803" w:type="dxa"/>
          </w:tcPr>
          <w:p w14:paraId="30D0943E" w14:textId="4129DE50" w:rsidR="00B5678E" w:rsidRPr="00EB32E5" w:rsidRDefault="00B5678E" w:rsidP="00EB32E5">
            <w:pPr>
              <w:pStyle w:val="DHHStabletext"/>
            </w:pPr>
            <w:r w:rsidRPr="00EB32E5">
              <w:t>SR</w:t>
            </w:r>
            <w:r w:rsidR="00FC2B57">
              <w:t> </w:t>
            </w:r>
            <w:r w:rsidRPr="00EB32E5">
              <w:t>3</w:t>
            </w:r>
          </w:p>
        </w:tc>
        <w:tc>
          <w:tcPr>
            <w:tcW w:w="1803" w:type="dxa"/>
          </w:tcPr>
          <w:p w14:paraId="4CD3E2F8" w14:textId="77777777" w:rsidR="00B5678E" w:rsidRPr="00EB32E5" w:rsidRDefault="00B5678E" w:rsidP="00881FA7">
            <w:pPr>
              <w:pStyle w:val="DHHStabletext"/>
              <w:jc w:val="right"/>
            </w:pPr>
            <w:r w:rsidRPr="00EB32E5">
              <w:t>1</w:t>
            </w:r>
          </w:p>
        </w:tc>
        <w:tc>
          <w:tcPr>
            <w:tcW w:w="1917" w:type="dxa"/>
          </w:tcPr>
          <w:p w14:paraId="77B712C4" w14:textId="77777777" w:rsidR="00B5678E" w:rsidRPr="00EB32E5" w:rsidRDefault="00B5678E" w:rsidP="00881FA7">
            <w:pPr>
              <w:pStyle w:val="DHHStabletext"/>
              <w:jc w:val="right"/>
            </w:pPr>
            <w:r w:rsidRPr="00EB32E5">
              <w:t>7</w:t>
            </w:r>
          </w:p>
        </w:tc>
        <w:tc>
          <w:tcPr>
            <w:tcW w:w="1803" w:type="dxa"/>
          </w:tcPr>
          <w:p w14:paraId="4557DEC4" w14:textId="77777777" w:rsidR="00B5678E" w:rsidRPr="00EB32E5" w:rsidRDefault="00B5678E" w:rsidP="00881FA7">
            <w:pPr>
              <w:pStyle w:val="DHHStabletext"/>
              <w:jc w:val="right"/>
            </w:pPr>
            <w:r w:rsidRPr="00EB32E5">
              <w:t>4</w:t>
            </w:r>
          </w:p>
        </w:tc>
        <w:tc>
          <w:tcPr>
            <w:tcW w:w="1804" w:type="dxa"/>
          </w:tcPr>
          <w:p w14:paraId="5709DEE4" w14:textId="77777777" w:rsidR="00B5678E" w:rsidRPr="00EB32E5" w:rsidRDefault="00B5678E" w:rsidP="00881FA7">
            <w:pPr>
              <w:pStyle w:val="DHHStabletext"/>
              <w:jc w:val="right"/>
            </w:pPr>
            <w:r w:rsidRPr="00EB32E5">
              <w:t>12</w:t>
            </w:r>
          </w:p>
        </w:tc>
      </w:tr>
      <w:tr w:rsidR="00881FA7" w:rsidRPr="00343635" w14:paraId="3BF48476" w14:textId="77777777" w:rsidTr="00E56E6D">
        <w:tc>
          <w:tcPr>
            <w:tcW w:w="1803" w:type="dxa"/>
          </w:tcPr>
          <w:p w14:paraId="39E7F7BB" w14:textId="19EF9AE8" w:rsidR="00B5678E" w:rsidRPr="00EB32E5" w:rsidRDefault="00B5678E" w:rsidP="00EB32E5">
            <w:pPr>
              <w:pStyle w:val="DHHStabletext"/>
            </w:pPr>
            <w:r w:rsidRPr="00EB32E5">
              <w:t>SR</w:t>
            </w:r>
            <w:r w:rsidR="00FC2B57">
              <w:t> </w:t>
            </w:r>
            <w:r w:rsidRPr="00EB32E5">
              <w:t>4</w:t>
            </w:r>
          </w:p>
        </w:tc>
        <w:tc>
          <w:tcPr>
            <w:tcW w:w="1803" w:type="dxa"/>
          </w:tcPr>
          <w:p w14:paraId="13178E6A" w14:textId="77777777" w:rsidR="00B5678E" w:rsidRPr="00EB32E5" w:rsidRDefault="00B5678E" w:rsidP="00881FA7">
            <w:pPr>
              <w:pStyle w:val="DHHStabletext"/>
              <w:jc w:val="right"/>
            </w:pPr>
            <w:r w:rsidRPr="00EB32E5">
              <w:t>-</w:t>
            </w:r>
          </w:p>
        </w:tc>
        <w:tc>
          <w:tcPr>
            <w:tcW w:w="1917" w:type="dxa"/>
          </w:tcPr>
          <w:p w14:paraId="09BF24F2" w14:textId="77777777" w:rsidR="00B5678E" w:rsidRPr="00EB32E5" w:rsidRDefault="00B5678E" w:rsidP="00881FA7">
            <w:pPr>
              <w:pStyle w:val="DHHStabletext"/>
              <w:jc w:val="right"/>
            </w:pPr>
            <w:r w:rsidRPr="00EB32E5">
              <w:t>-</w:t>
            </w:r>
          </w:p>
        </w:tc>
        <w:tc>
          <w:tcPr>
            <w:tcW w:w="1803" w:type="dxa"/>
          </w:tcPr>
          <w:p w14:paraId="04F90061" w14:textId="77777777" w:rsidR="00B5678E" w:rsidRPr="00EB32E5" w:rsidRDefault="00B5678E" w:rsidP="00881FA7">
            <w:pPr>
              <w:pStyle w:val="DHHStabletext"/>
              <w:jc w:val="right"/>
            </w:pPr>
            <w:r w:rsidRPr="00EB32E5">
              <w:t>1</w:t>
            </w:r>
          </w:p>
        </w:tc>
        <w:tc>
          <w:tcPr>
            <w:tcW w:w="1804" w:type="dxa"/>
          </w:tcPr>
          <w:p w14:paraId="5F904002" w14:textId="77777777" w:rsidR="00B5678E" w:rsidRPr="00EB32E5" w:rsidRDefault="00B5678E" w:rsidP="00881FA7">
            <w:pPr>
              <w:pStyle w:val="DHHStabletext"/>
              <w:jc w:val="right"/>
            </w:pPr>
            <w:r w:rsidRPr="00EB32E5">
              <w:t>1</w:t>
            </w:r>
          </w:p>
        </w:tc>
      </w:tr>
      <w:tr w:rsidR="00881FA7" w:rsidRPr="00343635" w14:paraId="44B919DA" w14:textId="77777777" w:rsidTr="00E56E6D">
        <w:tc>
          <w:tcPr>
            <w:tcW w:w="1803" w:type="dxa"/>
          </w:tcPr>
          <w:p w14:paraId="2E8A86BF" w14:textId="77777777" w:rsidR="00B5678E" w:rsidRPr="00EB32E5" w:rsidRDefault="00B5678E" w:rsidP="00EB32E5">
            <w:pPr>
              <w:pStyle w:val="DHHStabletext"/>
            </w:pPr>
            <w:r w:rsidRPr="00EB32E5">
              <w:t>Total</w:t>
            </w:r>
          </w:p>
        </w:tc>
        <w:tc>
          <w:tcPr>
            <w:tcW w:w="1803" w:type="dxa"/>
          </w:tcPr>
          <w:p w14:paraId="13602C19" w14:textId="77777777" w:rsidR="00B5678E" w:rsidRPr="00EB32E5" w:rsidRDefault="00B5678E" w:rsidP="00881FA7">
            <w:pPr>
              <w:pStyle w:val="DHHStabletext"/>
              <w:jc w:val="right"/>
            </w:pPr>
            <w:r w:rsidRPr="00EB32E5">
              <w:t>2</w:t>
            </w:r>
          </w:p>
        </w:tc>
        <w:tc>
          <w:tcPr>
            <w:tcW w:w="1917" w:type="dxa"/>
          </w:tcPr>
          <w:p w14:paraId="6B888555" w14:textId="77777777" w:rsidR="00B5678E" w:rsidRPr="00EB32E5" w:rsidRDefault="00B5678E" w:rsidP="00881FA7">
            <w:pPr>
              <w:pStyle w:val="DHHStabletext"/>
              <w:jc w:val="right"/>
            </w:pPr>
            <w:r w:rsidRPr="00EB32E5">
              <w:t>12</w:t>
            </w:r>
          </w:p>
        </w:tc>
        <w:tc>
          <w:tcPr>
            <w:tcW w:w="1803" w:type="dxa"/>
          </w:tcPr>
          <w:p w14:paraId="6F700E4E" w14:textId="77777777" w:rsidR="00B5678E" w:rsidRPr="00EB32E5" w:rsidRDefault="00B5678E" w:rsidP="00881FA7">
            <w:pPr>
              <w:pStyle w:val="DHHStabletext"/>
              <w:jc w:val="right"/>
            </w:pPr>
            <w:r w:rsidRPr="00EB32E5">
              <w:t>5</w:t>
            </w:r>
          </w:p>
        </w:tc>
        <w:tc>
          <w:tcPr>
            <w:tcW w:w="1804" w:type="dxa"/>
          </w:tcPr>
          <w:p w14:paraId="38E1AD10" w14:textId="77777777" w:rsidR="00B5678E" w:rsidRPr="00EB32E5" w:rsidRDefault="00B5678E" w:rsidP="00881FA7">
            <w:pPr>
              <w:pStyle w:val="DHHStabletext"/>
              <w:jc w:val="right"/>
            </w:pPr>
            <w:r w:rsidRPr="00EB32E5">
              <w:t>19</w:t>
            </w:r>
          </w:p>
        </w:tc>
      </w:tr>
    </w:tbl>
    <w:p w14:paraId="0C218E46" w14:textId="77777777" w:rsidR="00B5678E" w:rsidRPr="00343635" w:rsidRDefault="00B5678E" w:rsidP="00B5678E"/>
    <w:p w14:paraId="2377321C" w14:textId="41EF4CD4" w:rsidR="00B5678E" w:rsidRPr="00343635" w:rsidRDefault="00B5678E" w:rsidP="00EB32E5">
      <w:pPr>
        <w:pStyle w:val="DHHSbody"/>
      </w:pPr>
      <w:r w:rsidRPr="00343635">
        <w:t>TACO is recognised as a commonly occurring adverse transfusion reaction with a risk of serious morbidity or mortality. In the USA, the Food and Drug Administration (FDA) recognise that up to 24 per cent of transfusion</w:t>
      </w:r>
      <w:r w:rsidR="00FC2B57">
        <w:t>-</w:t>
      </w:r>
      <w:r w:rsidRPr="00343635">
        <w:t>related mortality occurs due to TACO (</w:t>
      </w:r>
      <w:proofErr w:type="spellStart"/>
      <w:r w:rsidRPr="00343635">
        <w:t>Henneman</w:t>
      </w:r>
      <w:proofErr w:type="spellEnd"/>
      <w:r w:rsidRPr="00343635">
        <w:t xml:space="preserve"> et al</w:t>
      </w:r>
      <w:r w:rsidR="00FC2B57">
        <w:t>.</w:t>
      </w:r>
      <w:r w:rsidRPr="00343635">
        <w:t xml:space="preserve"> 2017). SHOT data (SHOT 2017) from the period 2010 to 2017 found 44 per cent of transfusion</w:t>
      </w:r>
      <w:r w:rsidR="00FC2B57">
        <w:t>-</w:t>
      </w:r>
      <w:r w:rsidRPr="00343635">
        <w:t>related deaths were attributable to TACO. The number of TACO events</w:t>
      </w:r>
      <w:r w:rsidR="00FC2B57">
        <w:t xml:space="preserve"> reported</w:t>
      </w:r>
      <w:r w:rsidRPr="00343635">
        <w:t xml:space="preserve"> to STIR continues to be low. However, four (21 per cent) were admitted to ICU as a result of the transfusion reaction</w:t>
      </w:r>
      <w:r w:rsidR="00FC2B57">
        <w:t>.</w:t>
      </w:r>
      <w:r w:rsidRPr="00343635">
        <w:t xml:space="preserve"> </w:t>
      </w:r>
      <w:r w:rsidR="00FC2B57">
        <w:t>T</w:t>
      </w:r>
      <w:r w:rsidRPr="00343635">
        <w:t>he only other reaction type to result in ICU admission was anaphylactic reactions (2/6, 33 per cent).</w:t>
      </w:r>
    </w:p>
    <w:p w14:paraId="2ECA15F1" w14:textId="61368273" w:rsidR="00B5678E" w:rsidRPr="00EB32E5" w:rsidRDefault="00B5678E" w:rsidP="00EB32E5">
      <w:pPr>
        <w:pStyle w:val="DHHSbody"/>
      </w:pPr>
      <w:r w:rsidRPr="00EB32E5">
        <w:t xml:space="preserve">TACO is a </w:t>
      </w:r>
      <w:r w:rsidR="00417806">
        <w:rPr>
          <w:rFonts w:ascii="Helvetica" w:hAnsi="Helvetica" w:cs="Helvetica"/>
          <w:color w:val="000000"/>
          <w:lang w:val="en-US"/>
        </w:rPr>
        <w:t xml:space="preserve">potentially </w:t>
      </w:r>
      <w:r w:rsidRPr="00EB32E5">
        <w:t>preventable transfusion reaction. Many patients have identifiable risk factors (such as pre-existing cardiac or respiratory illness, see below). Staff managing transfused patients should be aware of, and educated about</w:t>
      </w:r>
      <w:r w:rsidR="00FC2B57">
        <w:t>,</w:t>
      </w:r>
      <w:r w:rsidRPr="00EB32E5">
        <w:t xml:space="preserve"> TACO so they can employ risk mitigation strategies to prevent TACO occurring or monitor the patient closely to intervene early if TACO does occur. Some TACO cases occur in patients without known risk factors and/or with small volumes infused (</w:t>
      </w:r>
      <w:proofErr w:type="spellStart"/>
      <w:r w:rsidRPr="00EB32E5">
        <w:t>Henneman</w:t>
      </w:r>
      <w:proofErr w:type="spellEnd"/>
      <w:r w:rsidRPr="00EB32E5">
        <w:t xml:space="preserve"> et al</w:t>
      </w:r>
      <w:r w:rsidR="00FC2B57">
        <w:t>.</w:t>
      </w:r>
      <w:r w:rsidRPr="00EB32E5">
        <w:t xml:space="preserve"> 2017).</w:t>
      </w:r>
    </w:p>
    <w:p w14:paraId="19B89A1E" w14:textId="6655915A" w:rsidR="00B5678E" w:rsidRPr="00EB32E5" w:rsidRDefault="00B5678E" w:rsidP="00EB32E5">
      <w:pPr>
        <w:pStyle w:val="DHHSbody"/>
      </w:pPr>
      <w:r w:rsidRPr="00EB32E5">
        <w:t xml:space="preserve">In September 2017, Blood Matters ran a TACO awareness campaign that included swing tags for blood bags, posters for clinical areas and information sheets (Figure </w:t>
      </w:r>
      <w:r w:rsidR="004140C9">
        <w:t>5</w:t>
      </w:r>
      <w:r w:rsidRPr="00EB32E5">
        <w:t xml:space="preserve">). The tags and information used was based on information developed by SHOT to improve TACO recognition and management. The aim was to assist in education and awareness of risk factors, monitoring and treatment. The resources are available on the </w:t>
      </w:r>
      <w:hyperlink r:id="rId21" w:history="1">
        <w:r w:rsidRPr="00FC2B57">
          <w:rPr>
            <w:rStyle w:val="Hyperlink"/>
          </w:rPr>
          <w:t>Blood Matters website</w:t>
        </w:r>
      </w:hyperlink>
      <w:r w:rsidRPr="00EB32E5">
        <w:t xml:space="preserve"> </w:t>
      </w:r>
      <w:r w:rsidR="00FC2B57">
        <w:t>&lt;</w:t>
      </w:r>
      <w:r w:rsidRPr="00EB32E5">
        <w:t>https://www2.health.vic.gov.au/hospitals-and-health-services/patient-care/speciality-diagnostics-therapeutics/blood-matters/serious-transfusion-incidents</w:t>
      </w:r>
      <w:r w:rsidR="00FC2B57">
        <w:t>&gt;.</w:t>
      </w:r>
    </w:p>
    <w:p w14:paraId="59FD2306" w14:textId="48185028" w:rsidR="00B5678E" w:rsidRPr="00343635" w:rsidRDefault="00B5678E" w:rsidP="00EB32E5">
      <w:pPr>
        <w:pStyle w:val="DHHSfigurecaption"/>
      </w:pPr>
      <w:r w:rsidRPr="00343635">
        <w:lastRenderedPageBreak/>
        <w:t xml:space="preserve">Figure </w:t>
      </w:r>
      <w:r w:rsidR="004140C9">
        <w:t>5</w:t>
      </w:r>
      <w:r w:rsidR="00FC2B57">
        <w:t>:</w:t>
      </w:r>
      <w:r w:rsidRPr="00343635">
        <w:t xml:space="preserve"> TACO </w:t>
      </w:r>
      <w:r w:rsidR="00172E8C" w:rsidRPr="00343635">
        <w:t>swing tags</w:t>
      </w:r>
    </w:p>
    <w:p w14:paraId="5F358AE0" w14:textId="72917481" w:rsidR="00B5678E" w:rsidRPr="00343635" w:rsidRDefault="00C81A9D" w:rsidP="00B5678E">
      <w:r>
        <w:rPr>
          <w:noProof/>
          <w:lang w:eastAsia="en-AU"/>
        </w:rPr>
        <w:drawing>
          <wp:inline distT="0" distB="0" distL="0" distR="0" wp14:anchorId="489A0520" wp14:editId="71E9CE3F">
            <wp:extent cx="1659255" cy="2506345"/>
            <wp:effectExtent l="12700" t="12700" r="4445" b="0"/>
            <wp:docPr id="21" name="Picture 4" descr="Figure 5&#10;TACO swingtag to raise awareness of the signs and symptoms of TACO, and steps to treat i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9255" cy="2506345"/>
                    </a:xfrm>
                    <a:prstGeom prst="rect">
                      <a:avLst/>
                    </a:prstGeom>
                    <a:noFill/>
                    <a:ln w="9525" cmpd="sng">
                      <a:solidFill>
                        <a:srgbClr val="000000"/>
                      </a:solidFill>
                      <a:miter lim="800000"/>
                      <a:headEnd/>
                      <a:tailEnd/>
                    </a:ln>
                    <a:effectLst/>
                  </pic:spPr>
                </pic:pic>
              </a:graphicData>
            </a:graphic>
          </wp:inline>
        </w:drawing>
      </w:r>
    </w:p>
    <w:p w14:paraId="241D8A38" w14:textId="1344B0CA" w:rsidR="00B5678E" w:rsidRPr="00343635" w:rsidRDefault="00B5678E" w:rsidP="00EB32E5">
      <w:pPr>
        <w:pStyle w:val="DHHSbodyaftertablefigure"/>
      </w:pPr>
      <w:r w:rsidRPr="00343635">
        <w:t>Risk factors for TACO (</w:t>
      </w:r>
      <w:proofErr w:type="spellStart"/>
      <w:r w:rsidRPr="00343635">
        <w:t>Henneman</w:t>
      </w:r>
      <w:proofErr w:type="spellEnd"/>
      <w:r w:rsidRPr="00343635">
        <w:t xml:space="preserve"> et al</w:t>
      </w:r>
      <w:r w:rsidR="003B1BE8">
        <w:t>.</w:t>
      </w:r>
      <w:r w:rsidRPr="00343635">
        <w:t xml:space="preserve"> </w:t>
      </w:r>
      <w:r w:rsidRPr="00EB32E5">
        <w:t>2017</w:t>
      </w:r>
      <w:r w:rsidRPr="00343635">
        <w:t>)</w:t>
      </w:r>
      <w:r w:rsidR="003B1BE8">
        <w:t xml:space="preserve"> include</w:t>
      </w:r>
      <w:r w:rsidRPr="00343635">
        <w:t>:</w:t>
      </w:r>
    </w:p>
    <w:p w14:paraId="1C4C4DD4" w14:textId="02BB27A6" w:rsidR="00B5678E" w:rsidRPr="00EB32E5" w:rsidRDefault="003B1BE8" w:rsidP="00EB32E5">
      <w:pPr>
        <w:pStyle w:val="DHHSbullet1"/>
      </w:pPr>
      <w:r w:rsidRPr="00EB32E5">
        <w:t>age (very young/old)</w:t>
      </w:r>
    </w:p>
    <w:p w14:paraId="36527C6F" w14:textId="7354A7DD" w:rsidR="00B5678E" w:rsidRPr="00EB32E5" w:rsidRDefault="003B1BE8" w:rsidP="00EB32E5">
      <w:pPr>
        <w:pStyle w:val="DHHSbullet1"/>
      </w:pPr>
      <w:r w:rsidRPr="00EB32E5">
        <w:t>female sex</w:t>
      </w:r>
    </w:p>
    <w:p w14:paraId="157C6D91" w14:textId="79E2A90C" w:rsidR="00B5678E" w:rsidRPr="00EB32E5" w:rsidRDefault="003B1BE8" w:rsidP="00EB32E5">
      <w:pPr>
        <w:pStyle w:val="DHHSbullet1"/>
      </w:pPr>
      <w:r w:rsidRPr="00EB32E5">
        <w:t>underlying cardiac, renal, or pulmonary disease</w:t>
      </w:r>
    </w:p>
    <w:p w14:paraId="618412D7" w14:textId="27875A9B" w:rsidR="00B5678E" w:rsidRPr="00EB32E5" w:rsidRDefault="003B1BE8" w:rsidP="00EB32E5">
      <w:pPr>
        <w:pStyle w:val="DHHSbullet1"/>
      </w:pPr>
      <w:r w:rsidRPr="00EB32E5">
        <w:t>regular diuretic requirement</w:t>
      </w:r>
    </w:p>
    <w:p w14:paraId="22D3A0AB" w14:textId="1EA637E4" w:rsidR="00B5678E" w:rsidRPr="00EB32E5" w:rsidRDefault="003B1BE8" w:rsidP="00EB32E5">
      <w:pPr>
        <w:pStyle w:val="DHHSbullet1"/>
      </w:pPr>
      <w:r w:rsidRPr="00EB32E5">
        <w:t>positive fluid balance &gt;</w:t>
      </w:r>
      <w:r>
        <w:t> </w:t>
      </w:r>
      <w:r w:rsidRPr="00EB32E5">
        <w:t>500</w:t>
      </w:r>
      <w:r>
        <w:t> </w:t>
      </w:r>
      <w:r w:rsidRPr="00EB32E5">
        <w:t>ml in the 24 hours prior to transfusion</w:t>
      </w:r>
    </w:p>
    <w:p w14:paraId="2BC77C71" w14:textId="4514A2D5" w:rsidR="00B5678E" w:rsidRPr="00EB32E5" w:rsidRDefault="003B1BE8" w:rsidP="00EB32E5">
      <w:pPr>
        <w:pStyle w:val="DHHSbullet1"/>
      </w:pPr>
      <w:r w:rsidRPr="00EB32E5">
        <w:t xml:space="preserve">concomitant </w:t>
      </w:r>
      <w:r>
        <w:t>IV</w:t>
      </w:r>
      <w:r w:rsidRPr="00EB32E5">
        <w:t xml:space="preserve"> fluids, or drugs diluted in 500</w:t>
      </w:r>
      <w:r>
        <w:t> </w:t>
      </w:r>
      <w:r w:rsidRPr="00EB32E5">
        <w:t>ml or more, in 24 hours prior to transfusion</w:t>
      </w:r>
    </w:p>
    <w:p w14:paraId="1EFDB6FF" w14:textId="0BFCDB74" w:rsidR="00B5678E" w:rsidRPr="00EB32E5" w:rsidRDefault="003B1BE8" w:rsidP="00EB32E5">
      <w:pPr>
        <w:pStyle w:val="DHHSbullet1lastline"/>
      </w:pPr>
      <w:r w:rsidRPr="00EB32E5">
        <w:t>prior fluid overload</w:t>
      </w:r>
      <w:r>
        <w:t>.</w:t>
      </w:r>
    </w:p>
    <w:p w14:paraId="0662141B" w14:textId="43B79C72" w:rsidR="00B5678E" w:rsidRPr="00EB32E5" w:rsidRDefault="00B5678E" w:rsidP="00EB32E5">
      <w:pPr>
        <w:pStyle w:val="DHHSbody"/>
      </w:pPr>
      <w:r w:rsidRPr="00343635">
        <w:t>Preventive measures</w:t>
      </w:r>
      <w:r w:rsidR="003B1BE8">
        <w:t xml:space="preserve"> include</w:t>
      </w:r>
      <w:r w:rsidRPr="00343635">
        <w:t>:</w:t>
      </w:r>
    </w:p>
    <w:p w14:paraId="7BA9FD83" w14:textId="180DB2C4" w:rsidR="00B5678E" w:rsidRPr="00EB32E5" w:rsidRDefault="003B1BE8" w:rsidP="00EB32E5">
      <w:pPr>
        <w:pStyle w:val="DHHSbullet1"/>
      </w:pPr>
      <w:r>
        <w:t>a</w:t>
      </w:r>
      <w:r w:rsidR="00B5678E" w:rsidRPr="00EB32E5">
        <w:t xml:space="preserve">ssess for patient risks before transfusion </w:t>
      </w:r>
      <w:r>
        <w:t>– u</w:t>
      </w:r>
      <w:r w:rsidRPr="00EB32E5">
        <w:t xml:space="preserve">se </w:t>
      </w:r>
      <w:r w:rsidR="00B5678E" w:rsidRPr="00EB32E5">
        <w:t>a formal pre-transfusion risk assessment for TACO</w:t>
      </w:r>
      <w:r>
        <w:t>, such as the</w:t>
      </w:r>
      <w:r w:rsidR="00B5678E" w:rsidRPr="00EB32E5">
        <w:t xml:space="preserve"> SHOT example</w:t>
      </w:r>
    </w:p>
    <w:p w14:paraId="436F8326" w14:textId="608FD075" w:rsidR="00B5678E" w:rsidRPr="00EB32E5" w:rsidRDefault="003B1BE8" w:rsidP="00EB32E5">
      <w:pPr>
        <w:pStyle w:val="DHHSbullet1"/>
      </w:pPr>
      <w:r>
        <w:t>t</w:t>
      </w:r>
      <w:r w:rsidRPr="00EB32E5">
        <w:t xml:space="preserve">ransfuse </w:t>
      </w:r>
      <w:r w:rsidR="00B5678E" w:rsidRPr="00EB32E5">
        <w:t xml:space="preserve">according to patient symptoms and clinical condition, not on </w:t>
      </w:r>
      <w:proofErr w:type="spellStart"/>
      <w:r w:rsidR="00B5678E" w:rsidRPr="00EB32E5">
        <w:t>Hb</w:t>
      </w:r>
      <w:proofErr w:type="spellEnd"/>
      <w:r w:rsidR="00B5678E" w:rsidRPr="00EB32E5">
        <w:t xml:space="preserve"> alone</w:t>
      </w:r>
    </w:p>
    <w:p w14:paraId="28072CB0" w14:textId="296B5AA1" w:rsidR="00B5678E" w:rsidRPr="00EB32E5" w:rsidRDefault="003B1BE8" w:rsidP="00EB32E5">
      <w:pPr>
        <w:pStyle w:val="DHHSbullet1"/>
      </w:pPr>
      <w:r>
        <w:t>m</w:t>
      </w:r>
      <w:r w:rsidRPr="00EB32E5">
        <w:t>onitor</w:t>
      </w:r>
      <w:r w:rsidR="00B5678E" w:rsidRPr="00EB32E5">
        <w:t>, assess, and document vital signs and intake and output during the transfusion period (≤</w:t>
      </w:r>
      <w:r>
        <w:t> six</w:t>
      </w:r>
      <w:r w:rsidRPr="00EB32E5">
        <w:t xml:space="preserve"> </w:t>
      </w:r>
      <w:r w:rsidR="00B5678E" w:rsidRPr="00EB32E5">
        <w:t>hours after transfusion)</w:t>
      </w:r>
    </w:p>
    <w:p w14:paraId="364A1449" w14:textId="5D35742A" w:rsidR="00B5678E" w:rsidRPr="00EB32E5" w:rsidRDefault="003B1BE8" w:rsidP="00EB32E5">
      <w:pPr>
        <w:pStyle w:val="DHHSbullet1"/>
      </w:pPr>
      <w:r>
        <w:t>u</w:t>
      </w:r>
      <w:r w:rsidR="00B5678E" w:rsidRPr="00EB32E5">
        <w:t>se single</w:t>
      </w:r>
      <w:r>
        <w:t>-</w:t>
      </w:r>
      <w:r w:rsidR="00B5678E" w:rsidRPr="00EB32E5">
        <w:t>unit transfusion policy where appropriate</w:t>
      </w:r>
    </w:p>
    <w:p w14:paraId="52F8FEC6" w14:textId="66B66964" w:rsidR="00B5678E" w:rsidRPr="00EB32E5" w:rsidRDefault="003B1BE8" w:rsidP="00EB32E5">
      <w:pPr>
        <w:pStyle w:val="DHHSbullet1lastline"/>
      </w:pPr>
      <w:r>
        <w:t>a</w:t>
      </w:r>
      <w:r w:rsidRPr="00EB32E5">
        <w:t xml:space="preserve">dminister </w:t>
      </w:r>
      <w:r w:rsidR="00B5678E" w:rsidRPr="00EB32E5">
        <w:t>diuretics as prescribed</w:t>
      </w:r>
      <w:r>
        <w:t>.</w:t>
      </w:r>
    </w:p>
    <w:p w14:paraId="3552CBFF" w14:textId="7EF5FE03" w:rsidR="00B5678E" w:rsidRPr="00343635" w:rsidRDefault="003B1BE8" w:rsidP="00EB32E5">
      <w:pPr>
        <w:pStyle w:val="DHHSbody"/>
      </w:pPr>
      <w:r>
        <w:t>For i</w:t>
      </w:r>
      <w:r w:rsidRPr="00343635">
        <w:t xml:space="preserve">npatients </w:t>
      </w:r>
      <w:r w:rsidR="00B5678E" w:rsidRPr="00343635">
        <w:t>at risk of TACO:</w:t>
      </w:r>
    </w:p>
    <w:p w14:paraId="4468B5DA" w14:textId="1C95CA80" w:rsidR="00B5678E" w:rsidRPr="00EB32E5" w:rsidRDefault="003B1BE8" w:rsidP="00EB32E5">
      <w:pPr>
        <w:pStyle w:val="DHHSbullet1"/>
      </w:pPr>
      <w:r w:rsidRPr="00EB32E5">
        <w:t>monitor fluid balance before, during and after transfusion</w:t>
      </w:r>
    </w:p>
    <w:p w14:paraId="0015393A" w14:textId="70AB0B51" w:rsidR="00B5678E" w:rsidRPr="00EB32E5" w:rsidRDefault="003B1BE8" w:rsidP="00EB32E5">
      <w:pPr>
        <w:pStyle w:val="DHHSbullet1"/>
      </w:pPr>
      <w:r w:rsidRPr="00EB32E5">
        <w:t xml:space="preserve">prescribe one unit at a time </w:t>
      </w:r>
    </w:p>
    <w:p w14:paraId="49410F0E" w14:textId="1C76BF31" w:rsidR="00B5678E" w:rsidRPr="00EB32E5" w:rsidRDefault="003B1BE8" w:rsidP="00EB32E5">
      <w:pPr>
        <w:pStyle w:val="DHHSbullet1"/>
      </w:pPr>
      <w:r w:rsidRPr="00EB32E5">
        <w:t>transfuse at a slower rate</w:t>
      </w:r>
    </w:p>
    <w:p w14:paraId="5FEB73A3" w14:textId="4F686E90" w:rsidR="00B5678E" w:rsidRPr="00EB32E5" w:rsidRDefault="003B1BE8" w:rsidP="00EB32E5">
      <w:pPr>
        <w:pStyle w:val="DHHSbullet1"/>
      </w:pPr>
      <w:r w:rsidRPr="00EB32E5">
        <w:t>consider use of a prophylactic diuretic</w:t>
      </w:r>
    </w:p>
    <w:p w14:paraId="66C01CBD" w14:textId="19F9FCDD" w:rsidR="00B5678E" w:rsidRPr="00EB32E5" w:rsidRDefault="003B1BE8" w:rsidP="00EB32E5">
      <w:pPr>
        <w:pStyle w:val="DHHSbullet1"/>
      </w:pPr>
      <w:r w:rsidRPr="00EB32E5">
        <w:t>monitor the observations closely, including oxygen saturations</w:t>
      </w:r>
    </w:p>
    <w:p w14:paraId="731B6768" w14:textId="4C2594C2" w:rsidR="00B5678E" w:rsidRPr="00EB32E5" w:rsidRDefault="003B1BE8" w:rsidP="00EB32E5">
      <w:pPr>
        <w:pStyle w:val="DHHSbullet1lastline"/>
      </w:pPr>
      <w:r w:rsidRPr="00EB32E5">
        <w:t>review the patient following each unit</w:t>
      </w:r>
      <w:r>
        <w:t>.</w:t>
      </w:r>
    </w:p>
    <w:p w14:paraId="7D5AFE6F" w14:textId="77777777" w:rsidR="00B5678E" w:rsidRPr="00343635" w:rsidRDefault="00B5678E" w:rsidP="00EB32E5">
      <w:pPr>
        <w:pStyle w:val="DHHSbody"/>
      </w:pPr>
      <w:r w:rsidRPr="00343635">
        <w:t xml:space="preserve">Any patient developing respiratory distress during or within 24 hours of </w:t>
      </w:r>
      <w:r w:rsidRPr="00EB32E5">
        <w:t>transfusion</w:t>
      </w:r>
      <w:r w:rsidRPr="00343635">
        <w:t xml:space="preserve"> needs prompt clinical assessment and treatment. Including:</w:t>
      </w:r>
    </w:p>
    <w:p w14:paraId="26DFD9B1" w14:textId="3E1EAD61" w:rsidR="00B5678E" w:rsidRPr="00343635" w:rsidRDefault="003B1BE8" w:rsidP="00EB32E5">
      <w:pPr>
        <w:pStyle w:val="DHHSbullet1"/>
      </w:pPr>
      <w:r>
        <w:t>s</w:t>
      </w:r>
      <w:r w:rsidRPr="00343635">
        <w:t xml:space="preserve">topping </w:t>
      </w:r>
      <w:r w:rsidR="00B5678E" w:rsidRPr="00343635">
        <w:t>or slowing the transfusion</w:t>
      </w:r>
    </w:p>
    <w:p w14:paraId="74AF2E65" w14:textId="39EE387B" w:rsidR="00B5678E" w:rsidRPr="00343635" w:rsidRDefault="003B1BE8" w:rsidP="00EB32E5">
      <w:pPr>
        <w:pStyle w:val="DHHSbullet1"/>
      </w:pPr>
      <w:r>
        <w:t>c</w:t>
      </w:r>
      <w:r w:rsidRPr="00343635">
        <w:t xml:space="preserve">hest </w:t>
      </w:r>
      <w:r w:rsidR="00B5678E" w:rsidRPr="00343635">
        <w:t>X-ray</w:t>
      </w:r>
    </w:p>
    <w:p w14:paraId="7F93C363" w14:textId="02F9A326" w:rsidR="00B5678E" w:rsidRPr="00343635" w:rsidRDefault="003B1BE8" w:rsidP="00EB32E5">
      <w:pPr>
        <w:pStyle w:val="DHHSbullet1"/>
      </w:pPr>
      <w:r>
        <w:t>c</w:t>
      </w:r>
      <w:r w:rsidRPr="00343635">
        <w:t xml:space="preserve">onsidering </w:t>
      </w:r>
      <w:r w:rsidR="00B5678E" w:rsidRPr="00343635">
        <w:t>a trial of diuresis</w:t>
      </w:r>
    </w:p>
    <w:p w14:paraId="62BB9FFA" w14:textId="3DF4A1D3" w:rsidR="00B5678E" w:rsidRPr="00343635" w:rsidRDefault="003B1BE8" w:rsidP="00EB32E5">
      <w:pPr>
        <w:pStyle w:val="DHHSbullet1"/>
      </w:pPr>
      <w:r>
        <w:t>e</w:t>
      </w:r>
      <w:r w:rsidRPr="00343635">
        <w:t xml:space="preserve">arly </w:t>
      </w:r>
      <w:r w:rsidR="00B5678E" w:rsidRPr="00343635">
        <w:t>involvement of intensive care or outreach team if patient does not respond to treatment</w:t>
      </w:r>
    </w:p>
    <w:p w14:paraId="52F53321" w14:textId="74571C50" w:rsidR="00B5678E" w:rsidRPr="00343635" w:rsidRDefault="003B1BE8" w:rsidP="00EB32E5">
      <w:pPr>
        <w:pStyle w:val="DHHSbullet1"/>
      </w:pPr>
      <w:r>
        <w:lastRenderedPageBreak/>
        <w:t>r</w:t>
      </w:r>
      <w:r w:rsidRPr="00343635">
        <w:t xml:space="preserve">eporting </w:t>
      </w:r>
      <w:r w:rsidR="00B5678E" w:rsidRPr="00343635">
        <w:t>to STIR</w:t>
      </w:r>
      <w:r>
        <w:t>.</w:t>
      </w:r>
      <w:r w:rsidR="00B5678E" w:rsidRPr="00343635">
        <w:t xml:space="preserve"> </w:t>
      </w:r>
    </w:p>
    <w:p w14:paraId="4B617BA5" w14:textId="4CE63075" w:rsidR="00B5678E" w:rsidRPr="00343635" w:rsidRDefault="00B5678E" w:rsidP="00080269">
      <w:pPr>
        <w:pStyle w:val="Heading3"/>
      </w:pPr>
      <w:bookmarkStart w:id="28" w:name="_Toc24287429"/>
      <w:r w:rsidRPr="00343635">
        <w:t>Case study 7:</w:t>
      </w:r>
      <w:r w:rsidR="003B1BE8">
        <w:t xml:space="preserve"> </w:t>
      </w:r>
      <w:r w:rsidRPr="00343635">
        <w:t xml:space="preserve">TACO – timing of </w:t>
      </w:r>
      <w:r w:rsidRPr="009435C0">
        <w:t>transfusion</w:t>
      </w:r>
      <w:bookmarkEnd w:id="28"/>
    </w:p>
    <w:p w14:paraId="75D13B0F" w14:textId="77777777" w:rsidR="00B5678E" w:rsidRPr="00343635" w:rsidRDefault="00B5678E" w:rsidP="009435C0">
      <w:pPr>
        <w:pStyle w:val="DHHSbody"/>
      </w:pPr>
      <w:r w:rsidRPr="00343635">
        <w:t>A 68-year-old man with end stage lung cancer and anaemia received a transfusion of red cells.</w:t>
      </w:r>
    </w:p>
    <w:p w14:paraId="76D3B1A5" w14:textId="1B28BCA4" w:rsidR="00B5678E" w:rsidRPr="00343635" w:rsidRDefault="00B5678E" w:rsidP="009435C0">
      <w:pPr>
        <w:pStyle w:val="DHHSbody"/>
      </w:pPr>
      <w:r w:rsidRPr="00343635">
        <w:t>The patient weighed 57</w:t>
      </w:r>
      <w:r w:rsidR="003B1BE8">
        <w:t> k</w:t>
      </w:r>
      <w:r w:rsidR="003B1BE8" w:rsidRPr="00343635">
        <w:t>g</w:t>
      </w:r>
      <w:r w:rsidRPr="00343635">
        <w:t>, and had been receiving IV fluids in the 24 hours prior to transfusion, however fluid balance was unknown. Approximately three hours after commencing a unit of red cells at 22</w:t>
      </w:r>
      <w:r w:rsidR="003B1BE8">
        <w:t>.</w:t>
      </w:r>
      <w:r w:rsidRPr="00343635">
        <w:t>40</w:t>
      </w:r>
      <w:r w:rsidR="003B1BE8">
        <w:t> hours</w:t>
      </w:r>
      <w:r w:rsidRPr="00343635">
        <w:t>, the patient developed dyspnoea, with a reduced oxygen saturation and tachycardia. He required oxygen and diuretics and the transfusion was stopped. It was reported that he recovered from the reaction, but died two days later of his underlying disease.</w:t>
      </w:r>
    </w:p>
    <w:p w14:paraId="3253093E" w14:textId="79B4D2EC" w:rsidR="00B5678E" w:rsidRPr="00343635" w:rsidRDefault="00B5678E" w:rsidP="009435C0">
      <w:pPr>
        <w:pStyle w:val="DHHSbody"/>
      </w:pPr>
      <w:r w:rsidRPr="00343635">
        <w:t xml:space="preserve">The final determination by the </w:t>
      </w:r>
      <w:r w:rsidR="003B1BE8">
        <w:t xml:space="preserve">STIR </w:t>
      </w:r>
      <w:r w:rsidRPr="00343635">
        <w:t>Expert Group was possibly TACO, SR</w:t>
      </w:r>
      <w:r w:rsidR="003B1BE8">
        <w:t> </w:t>
      </w:r>
      <w:r w:rsidRPr="00343635">
        <w:t>3.</w:t>
      </w:r>
    </w:p>
    <w:p w14:paraId="36966491" w14:textId="77777777" w:rsidR="00B5678E" w:rsidRPr="009435C0" w:rsidRDefault="00B5678E" w:rsidP="009435C0">
      <w:pPr>
        <w:pStyle w:val="Heading4"/>
      </w:pPr>
      <w:r w:rsidRPr="00343635">
        <w:t>Comments:</w:t>
      </w:r>
    </w:p>
    <w:p w14:paraId="429CEEBC" w14:textId="04D9A74A" w:rsidR="00B5678E" w:rsidRPr="00343635" w:rsidRDefault="00B5678E" w:rsidP="009435C0">
      <w:pPr>
        <w:pStyle w:val="DHHSbody"/>
      </w:pPr>
      <w:r w:rsidRPr="00343635">
        <w:t>The timing of this transfusion was not ideal. Unless there was a risk to the patient by not receiving the transfusion urgently, this could have waited until business hours when staff to patient ratios are higher. The ability to monitor the patient and have additional help in the event of a transfusion reaction is greatly reduced when performed out of hours.</w:t>
      </w:r>
    </w:p>
    <w:p w14:paraId="1F6EE703" w14:textId="10699F48" w:rsidR="00B5678E" w:rsidRPr="00343635" w:rsidRDefault="00B5678E" w:rsidP="009435C0">
      <w:pPr>
        <w:pStyle w:val="Heading2"/>
      </w:pPr>
      <w:bookmarkStart w:id="29" w:name="_Toc24287430"/>
      <w:r w:rsidRPr="00343635">
        <w:t>Transfusion associated acute lung injury (TRALI)</w:t>
      </w:r>
      <w:bookmarkEnd w:id="29"/>
    </w:p>
    <w:p w14:paraId="7CA11216" w14:textId="77777777" w:rsidR="00B5678E" w:rsidRPr="00343635" w:rsidRDefault="00B5678E" w:rsidP="009435C0">
      <w:pPr>
        <w:pStyle w:val="DHHSbody"/>
      </w:pPr>
      <w:r w:rsidRPr="00343635">
        <w:t>TRALI is an uncommon, but serious reaction to blood components. TRALI is suspected when a patient presents the following clinical features:</w:t>
      </w:r>
    </w:p>
    <w:p w14:paraId="4A3FD871" w14:textId="6D053E99" w:rsidR="00B5678E" w:rsidRPr="009435C0" w:rsidRDefault="00B5678E" w:rsidP="009435C0">
      <w:pPr>
        <w:pStyle w:val="DHHSbullet1"/>
      </w:pPr>
      <w:r w:rsidRPr="009435C0">
        <w:t xml:space="preserve">acute onset respiratory distress with hypoxia </w:t>
      </w:r>
    </w:p>
    <w:p w14:paraId="0E5F4A09" w14:textId="06805563" w:rsidR="00B5678E" w:rsidRPr="009435C0" w:rsidRDefault="00B5678E" w:rsidP="009435C0">
      <w:pPr>
        <w:pStyle w:val="DHHSbullet1"/>
      </w:pPr>
      <w:r w:rsidRPr="009435C0">
        <w:t xml:space="preserve">bilateral pulmonary infiltrates, evidenced on radiology imaging </w:t>
      </w:r>
    </w:p>
    <w:p w14:paraId="78A7ECB8" w14:textId="50C42E08" w:rsidR="00B5678E" w:rsidRPr="009435C0" w:rsidRDefault="00B5678E" w:rsidP="009435C0">
      <w:pPr>
        <w:pStyle w:val="DHHSbullet1"/>
      </w:pPr>
      <w:r w:rsidRPr="009435C0">
        <w:t xml:space="preserve">occurs during or within six hours of transfusion </w:t>
      </w:r>
    </w:p>
    <w:p w14:paraId="5D314A8D" w14:textId="15E4B841" w:rsidR="00B5678E" w:rsidRPr="009435C0" w:rsidRDefault="00B5678E" w:rsidP="009435C0">
      <w:pPr>
        <w:pStyle w:val="DHHSbullet1"/>
      </w:pPr>
      <w:r w:rsidRPr="009435C0">
        <w:t xml:space="preserve">no other apparent cause of acute lung injury </w:t>
      </w:r>
    </w:p>
    <w:p w14:paraId="4705D8DE" w14:textId="2CF36ED7" w:rsidR="00B5678E" w:rsidRPr="009435C0" w:rsidRDefault="00B5678E" w:rsidP="009435C0">
      <w:pPr>
        <w:pStyle w:val="DHHSbullet1lastline"/>
      </w:pPr>
      <w:r w:rsidRPr="009435C0">
        <w:t>no evidence of TACO</w:t>
      </w:r>
      <w:r w:rsidR="003B1BE8">
        <w:t xml:space="preserve"> </w:t>
      </w:r>
      <w:r w:rsidRPr="009435C0">
        <w:t>(</w:t>
      </w:r>
      <w:r w:rsidRPr="00080269">
        <w:rPr>
          <w:i/>
          <w:iCs/>
        </w:rPr>
        <w:t xml:space="preserve">STIR </w:t>
      </w:r>
      <w:r w:rsidR="003B1BE8" w:rsidRPr="00080269">
        <w:rPr>
          <w:i/>
          <w:iCs/>
        </w:rPr>
        <w:t>reporting guide</w:t>
      </w:r>
      <w:r w:rsidR="003B1BE8" w:rsidRPr="009435C0">
        <w:t xml:space="preserve"> </w:t>
      </w:r>
      <w:r w:rsidRPr="009435C0">
        <w:t>2017)</w:t>
      </w:r>
    </w:p>
    <w:p w14:paraId="465D87BA" w14:textId="77777777" w:rsidR="00B5678E" w:rsidRPr="00343635" w:rsidRDefault="00B5678E" w:rsidP="009435C0">
      <w:pPr>
        <w:pStyle w:val="DHHSbody"/>
      </w:pPr>
      <w:r w:rsidRPr="00343635">
        <w:t>During FY18, one TRALI was reported.</w:t>
      </w:r>
    </w:p>
    <w:p w14:paraId="097D8190" w14:textId="7BB91AC7" w:rsidR="00B5678E" w:rsidRDefault="00B5678E" w:rsidP="009435C0">
      <w:pPr>
        <w:pStyle w:val="DHHSfigurecaption"/>
      </w:pPr>
      <w:r w:rsidRPr="00343635">
        <w:t xml:space="preserve">Figure </w:t>
      </w:r>
      <w:r w:rsidR="004140C9">
        <w:t>6</w:t>
      </w:r>
      <w:r w:rsidR="003B1BE8">
        <w:t>:</w:t>
      </w:r>
      <w:r w:rsidRPr="00343635">
        <w:t xml:space="preserve"> Validated TRALI reactions </w:t>
      </w:r>
      <w:r w:rsidR="003B1BE8">
        <w:t xml:space="preserve">reported </w:t>
      </w:r>
      <w:r w:rsidRPr="00343635">
        <w:t>to STIR</w:t>
      </w:r>
      <w:r w:rsidR="003B1BE8">
        <w:t xml:space="preserve"> –</w:t>
      </w:r>
      <w:r w:rsidR="003B1BE8" w:rsidRPr="00343635">
        <w:t xml:space="preserve"> </w:t>
      </w:r>
      <w:r w:rsidRPr="00343635">
        <w:t>FY06</w:t>
      </w:r>
      <w:r w:rsidR="003B1BE8">
        <w:t>–</w:t>
      </w:r>
      <w:r w:rsidRPr="00343635">
        <w:t>FY18</w:t>
      </w:r>
    </w:p>
    <w:p w14:paraId="074544B9" w14:textId="0F631501" w:rsidR="00C80748" w:rsidRPr="00C80748" w:rsidRDefault="00C80748" w:rsidP="00C80748">
      <w:pPr>
        <w:pStyle w:val="DHHSbody"/>
      </w:pPr>
      <w:r>
        <w:rPr>
          <w:noProof/>
        </w:rPr>
        <w:drawing>
          <wp:inline distT="0" distB="0" distL="0" distR="0" wp14:anchorId="67298E78" wp14:editId="08E86F5E">
            <wp:extent cx="4986538" cy="2426213"/>
            <wp:effectExtent l="0" t="0" r="0" b="0"/>
            <wp:docPr id="16" name="Picture 16" descr="Figure 6&#10;The figure is a bar chart showing TRALI reactions reported to STIR as follows: 2 in FY06, 0 in FY07, 2 in FY08, 2 in FY09, 5 in FY10, 3 in FY11, 1 in FY12, 0 in FY13–16, 2 in FY 17, 1 in FY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 6.png"/>
                    <pic:cNvPicPr/>
                  </pic:nvPicPr>
                  <pic:blipFill>
                    <a:blip r:embed="rId23"/>
                    <a:stretch>
                      <a:fillRect/>
                    </a:stretch>
                  </pic:blipFill>
                  <pic:spPr>
                    <a:xfrm>
                      <a:off x="0" y="0"/>
                      <a:ext cx="4986538" cy="2426213"/>
                    </a:xfrm>
                    <a:prstGeom prst="rect">
                      <a:avLst/>
                    </a:prstGeom>
                  </pic:spPr>
                </pic:pic>
              </a:graphicData>
            </a:graphic>
          </wp:inline>
        </w:drawing>
      </w:r>
    </w:p>
    <w:p w14:paraId="02C30B9D" w14:textId="77777777" w:rsidR="00C80748" w:rsidRDefault="00C80748">
      <w:pPr>
        <w:rPr>
          <w:rFonts w:ascii="Arial" w:eastAsia="MS Gothic" w:hAnsi="Arial"/>
          <w:b/>
          <w:bCs/>
          <w:sz w:val="24"/>
          <w:szCs w:val="26"/>
        </w:rPr>
      </w:pPr>
      <w:r>
        <w:br w:type="page"/>
      </w:r>
    </w:p>
    <w:p w14:paraId="0BC89629" w14:textId="409A83E7" w:rsidR="00B5678E" w:rsidRPr="00343635" w:rsidRDefault="00B5678E" w:rsidP="00080269">
      <w:pPr>
        <w:pStyle w:val="Heading3"/>
      </w:pPr>
      <w:bookmarkStart w:id="30" w:name="_Toc24287431"/>
      <w:r w:rsidRPr="00343635">
        <w:lastRenderedPageBreak/>
        <w:t>Case study 8:</w:t>
      </w:r>
      <w:r w:rsidR="001D5DE3">
        <w:t xml:space="preserve"> </w:t>
      </w:r>
      <w:r w:rsidRPr="00343635">
        <w:t>Possible TRALI</w:t>
      </w:r>
      <w:bookmarkEnd w:id="30"/>
    </w:p>
    <w:p w14:paraId="29356C07" w14:textId="53B2F0CB" w:rsidR="00B5678E" w:rsidRPr="009435C0" w:rsidRDefault="00B5678E" w:rsidP="009435C0">
      <w:pPr>
        <w:pStyle w:val="DHHSbody"/>
      </w:pPr>
      <w:r w:rsidRPr="009435C0">
        <w:t>A female patient received three units of red cells for chronic anaemia, had a cardiopulmonary arrest and was transferred to a tertiary health service, where the reaction was reported. She was admitted to ICU and required intubation. Chest X</w:t>
      </w:r>
      <w:r w:rsidR="001D5DE3">
        <w:t>-</w:t>
      </w:r>
      <w:r w:rsidRPr="009435C0">
        <w:t>ray showed bilateral lower</w:t>
      </w:r>
      <w:r w:rsidR="001D5DE3">
        <w:t>-</w:t>
      </w:r>
      <w:r w:rsidRPr="009435C0">
        <w:t>lobe consolidation, and ground glass opacities in both upper lobes.</w:t>
      </w:r>
    </w:p>
    <w:p w14:paraId="017E06D0" w14:textId="77777777" w:rsidR="00B5678E" w:rsidRPr="009435C0" w:rsidRDefault="00B5678E" w:rsidP="009435C0">
      <w:pPr>
        <w:pStyle w:val="DHHSbody"/>
      </w:pPr>
      <w:r w:rsidRPr="009435C0">
        <w:t xml:space="preserve">The patient recovered and was discharged from ICU several days later. </w:t>
      </w:r>
    </w:p>
    <w:p w14:paraId="5AD80ADD" w14:textId="77777777" w:rsidR="00B5678E" w:rsidRPr="009435C0" w:rsidRDefault="00B5678E" w:rsidP="009435C0">
      <w:pPr>
        <w:pStyle w:val="DHHSbody"/>
      </w:pPr>
      <w:r w:rsidRPr="009435C0">
        <w:t>HLA testing of the recipient showed HLA type 2 antibodies. Although the Blood Service was unable to follow up with the donors, the clinical picture was considered consistent with TRALI.</w:t>
      </w:r>
    </w:p>
    <w:p w14:paraId="2D25AE0F" w14:textId="49BF020B" w:rsidR="00B5678E" w:rsidRPr="009435C0" w:rsidRDefault="00B5678E" w:rsidP="009435C0">
      <w:pPr>
        <w:pStyle w:val="DHHSbody"/>
      </w:pPr>
      <w:r w:rsidRPr="009435C0">
        <w:t xml:space="preserve">The STIR Expert </w:t>
      </w:r>
      <w:r w:rsidR="001D5DE3">
        <w:t>G</w:t>
      </w:r>
      <w:r w:rsidR="001D5DE3" w:rsidRPr="009435C0">
        <w:t xml:space="preserve">roup </w:t>
      </w:r>
      <w:r w:rsidRPr="009435C0">
        <w:t>consensus agree this was a possible TRALI, SR</w:t>
      </w:r>
      <w:r w:rsidR="001D5DE3">
        <w:t> </w:t>
      </w:r>
      <w:r w:rsidRPr="009435C0">
        <w:t>2.</w:t>
      </w:r>
    </w:p>
    <w:p w14:paraId="1993385D" w14:textId="77777777" w:rsidR="00B5678E" w:rsidRPr="009435C0" w:rsidRDefault="00B5678E" w:rsidP="009435C0">
      <w:pPr>
        <w:pStyle w:val="Heading4"/>
      </w:pPr>
      <w:r w:rsidRPr="00343635">
        <w:t>Comments:</w:t>
      </w:r>
    </w:p>
    <w:p w14:paraId="3FE60321" w14:textId="3FBE303F" w:rsidR="00B5678E" w:rsidRPr="00343635" w:rsidRDefault="00B5678E" w:rsidP="009435C0">
      <w:pPr>
        <w:pStyle w:val="DHHSbody"/>
      </w:pPr>
      <w:r w:rsidRPr="00343635">
        <w:t xml:space="preserve">Final determination of the diagnosis and </w:t>
      </w:r>
      <w:proofErr w:type="spellStart"/>
      <w:r w:rsidRPr="00343635">
        <w:t>imputability</w:t>
      </w:r>
      <w:proofErr w:type="spellEnd"/>
      <w:r w:rsidRPr="00343635">
        <w:t xml:space="preserve"> of these reports is difficult as there is often a delay in waiting for donor </w:t>
      </w:r>
      <w:r w:rsidRPr="009435C0">
        <w:t>follow</w:t>
      </w:r>
      <w:r w:rsidRPr="00343635">
        <w:t xml:space="preserve"> up. Despite the Blood Service attempting to follow up with donors for testing</w:t>
      </w:r>
      <w:r w:rsidR="001D5DE3">
        <w:t>,</w:t>
      </w:r>
      <w:r w:rsidRPr="00343635">
        <w:t xml:space="preserve"> it is not always possible or timely.</w:t>
      </w:r>
    </w:p>
    <w:p w14:paraId="4CC5BA00" w14:textId="64DD1427" w:rsidR="00B5678E" w:rsidRPr="00343635" w:rsidRDefault="00B5678E" w:rsidP="009435C0">
      <w:pPr>
        <w:pStyle w:val="Heading2"/>
      </w:pPr>
      <w:bookmarkStart w:id="31" w:name="_Toc24287432"/>
      <w:r w:rsidRPr="009435C0">
        <w:t>Transfusion</w:t>
      </w:r>
      <w:r w:rsidRPr="00343635">
        <w:t xml:space="preserve"> associated dyspnoea (TAD)</w:t>
      </w:r>
      <w:bookmarkEnd w:id="31"/>
    </w:p>
    <w:p w14:paraId="587D6159" w14:textId="3F4D72E7" w:rsidR="00B5678E" w:rsidRPr="009435C0" w:rsidRDefault="00B5678E" w:rsidP="009435C0">
      <w:pPr>
        <w:pStyle w:val="DHHSbody"/>
      </w:pPr>
      <w:r w:rsidRPr="009435C0">
        <w:t xml:space="preserve">This is the first reporting period that has included TAD as a clinical reaction reportable to STIR. TAD has been included to meet reporting requirements of the </w:t>
      </w:r>
      <w:r w:rsidR="001D5DE3">
        <w:t>NBA</w:t>
      </w:r>
      <w:r w:rsidRPr="009435C0">
        <w:t xml:space="preserve"> Australian </w:t>
      </w:r>
      <w:proofErr w:type="spellStart"/>
      <w:r w:rsidRPr="009435C0">
        <w:t>Haemovigilance</w:t>
      </w:r>
      <w:proofErr w:type="spellEnd"/>
      <w:r w:rsidRPr="009435C0">
        <w:t xml:space="preserve"> Minimum Data Set (AHMDS 2015).</w:t>
      </w:r>
    </w:p>
    <w:p w14:paraId="5D0C7AE2" w14:textId="77777777" w:rsidR="00B5678E" w:rsidRPr="009435C0" w:rsidRDefault="00B5678E" w:rsidP="009435C0">
      <w:pPr>
        <w:pStyle w:val="DHHSbody"/>
      </w:pPr>
      <w:r w:rsidRPr="009435C0">
        <w:t xml:space="preserve">The definition of TAD has been developed from SHOT (2017) and the AHMDS. </w:t>
      </w:r>
    </w:p>
    <w:p w14:paraId="42D30AFD" w14:textId="00ACABE1" w:rsidR="00B5678E" w:rsidRPr="009435C0" w:rsidRDefault="00B5678E" w:rsidP="009435C0">
      <w:pPr>
        <w:pStyle w:val="DHHSbody"/>
      </w:pPr>
      <w:r w:rsidRPr="009435C0">
        <w:t>TAD is characterised by respiratory distress within 24 hours of transfusion that does not meet the criteria of TRALI, TACO, or allergic reaction. Respiratory distress should be the most prominent clinical feature and should not be explained by the patient’s underlying condition or any other known cause (</w:t>
      </w:r>
      <w:r w:rsidRPr="00007186">
        <w:rPr>
          <w:i/>
        </w:rPr>
        <w:t xml:space="preserve">STIR </w:t>
      </w:r>
      <w:r w:rsidR="00007186" w:rsidRPr="00007186">
        <w:rPr>
          <w:i/>
        </w:rPr>
        <w:t xml:space="preserve">reporting </w:t>
      </w:r>
      <w:r w:rsidRPr="00007186">
        <w:rPr>
          <w:i/>
        </w:rPr>
        <w:t>Guide 2017</w:t>
      </w:r>
      <w:r w:rsidRPr="009435C0">
        <w:t>).</w:t>
      </w:r>
    </w:p>
    <w:p w14:paraId="3559726A" w14:textId="77777777" w:rsidR="00B5678E" w:rsidRPr="009435C0" w:rsidRDefault="00B5678E" w:rsidP="009435C0">
      <w:pPr>
        <w:pStyle w:val="DHHSbody"/>
      </w:pPr>
      <w:r w:rsidRPr="009435C0">
        <w:t>Two adverse events were initially notified as suspected TAD; however, on review by the expert group were reclassified as probable TACO and the other as possible TACO.</w:t>
      </w:r>
    </w:p>
    <w:p w14:paraId="430B2A9E" w14:textId="105B19C0" w:rsidR="00B5678E" w:rsidRPr="009435C0" w:rsidRDefault="00B5678E" w:rsidP="009435C0">
      <w:pPr>
        <w:pStyle w:val="Heading2"/>
      </w:pPr>
      <w:bookmarkStart w:id="32" w:name="_Toc24287433"/>
      <w:r w:rsidRPr="00343635">
        <w:t>Transfusion transmitted infection including bacterial sepsis</w:t>
      </w:r>
      <w:bookmarkEnd w:id="32"/>
    </w:p>
    <w:p w14:paraId="1E6ECDCF" w14:textId="77777777" w:rsidR="00B5678E" w:rsidRPr="00343635" w:rsidRDefault="00B5678E" w:rsidP="009435C0">
      <w:pPr>
        <w:pStyle w:val="DHHSbody"/>
      </w:pPr>
      <w:r w:rsidRPr="00343635">
        <w:t>Transfusion transmitted infection (TTI) is low in Australia due to effective strategies to reduce contamination of blood components, through pre-donation questionnaire, and comprehensive screening of donations for infectious agents.</w:t>
      </w:r>
    </w:p>
    <w:p w14:paraId="1BDA52F2" w14:textId="77777777" w:rsidR="00B5678E" w:rsidRPr="00343635" w:rsidRDefault="00B5678E" w:rsidP="009435C0">
      <w:pPr>
        <w:pStyle w:val="DHHSbody"/>
      </w:pPr>
      <w:r w:rsidRPr="00343635">
        <w:t xml:space="preserve">A TTI should be reported where the recipient has evidence of infection post transfusion and there was no evidence of infection with the agent of infection prior to transfusion and: </w:t>
      </w:r>
    </w:p>
    <w:p w14:paraId="21ACD21A" w14:textId="63907C4A" w:rsidR="00B5678E" w:rsidRPr="009435C0" w:rsidRDefault="00B5678E" w:rsidP="009435C0">
      <w:pPr>
        <w:pStyle w:val="DHHSbullet1"/>
      </w:pPr>
      <w:r w:rsidRPr="009435C0">
        <w:t xml:space="preserve">at least one component received by the recipient was donated by a donor who had evidence of the same transmissible infection, or </w:t>
      </w:r>
    </w:p>
    <w:p w14:paraId="7E04EE28" w14:textId="193DD10D" w:rsidR="00B5678E" w:rsidRPr="009435C0" w:rsidRDefault="00B5678E" w:rsidP="009435C0">
      <w:pPr>
        <w:pStyle w:val="DHHSbullet1lastline"/>
      </w:pPr>
      <w:r w:rsidRPr="009435C0">
        <w:t>at least one component received by the recipient was shown to have been contaminated with the agent of infection (</w:t>
      </w:r>
      <w:r w:rsidRPr="00080269">
        <w:rPr>
          <w:i/>
          <w:iCs/>
        </w:rPr>
        <w:t xml:space="preserve">STIR </w:t>
      </w:r>
      <w:r w:rsidR="002637DE" w:rsidRPr="00080269">
        <w:rPr>
          <w:i/>
          <w:iCs/>
        </w:rPr>
        <w:t>reporting guide</w:t>
      </w:r>
      <w:r w:rsidR="002637DE" w:rsidRPr="009435C0">
        <w:t xml:space="preserve"> </w:t>
      </w:r>
      <w:r w:rsidRPr="009435C0">
        <w:t>2017)</w:t>
      </w:r>
      <w:r w:rsidR="002637DE">
        <w:t>.</w:t>
      </w:r>
    </w:p>
    <w:p w14:paraId="6A88FFC5" w14:textId="77777777" w:rsidR="00B5678E" w:rsidRPr="00343635" w:rsidRDefault="00B5678E" w:rsidP="009435C0">
      <w:pPr>
        <w:pStyle w:val="DHHSbody"/>
      </w:pPr>
      <w:r w:rsidRPr="00343635">
        <w:t>In this reporting period, one case of viral infection was reported.</w:t>
      </w:r>
    </w:p>
    <w:p w14:paraId="4F5CB6B8" w14:textId="017ECA95" w:rsidR="00B5678E" w:rsidRPr="009435C0" w:rsidRDefault="00B5678E" w:rsidP="00080269">
      <w:pPr>
        <w:pStyle w:val="Heading3"/>
      </w:pPr>
      <w:bookmarkStart w:id="33" w:name="_Toc24287434"/>
      <w:r w:rsidRPr="00343635">
        <w:t xml:space="preserve">Case </w:t>
      </w:r>
      <w:r w:rsidRPr="009435C0">
        <w:t>study</w:t>
      </w:r>
      <w:r w:rsidRPr="00343635">
        <w:t xml:space="preserve"> 9:</w:t>
      </w:r>
      <w:r w:rsidR="002637DE">
        <w:t xml:space="preserve"> </w:t>
      </w:r>
      <w:r w:rsidRPr="00343635">
        <w:t xml:space="preserve">TTI – </w:t>
      </w:r>
      <w:r w:rsidR="002637DE">
        <w:t>p</w:t>
      </w:r>
      <w:r w:rsidRPr="00343635">
        <w:t>arvovirus in a susceptible patient</w:t>
      </w:r>
      <w:bookmarkEnd w:id="33"/>
    </w:p>
    <w:p w14:paraId="32DA8D75" w14:textId="5642331E" w:rsidR="00B5678E" w:rsidRPr="00343635" w:rsidRDefault="00B5678E" w:rsidP="009435C0">
      <w:pPr>
        <w:pStyle w:val="DHHSbody"/>
      </w:pPr>
      <w:r w:rsidRPr="00343635">
        <w:t>A teenage male was transfused a number of red cell units (RBC) as part of a chronic transfusion regimen. He presented 10 days later with lethargy and a 30</w:t>
      </w:r>
      <w:r w:rsidR="002637DE">
        <w:t> </w:t>
      </w:r>
      <w:r w:rsidRPr="00343635">
        <w:t xml:space="preserve">g/L drop in haemoglobin. There was no history of bleeding. Investigations showed a new reticulocytopenia, raising the suspicion of parvovirus B19 virus (B19V) infection. Acute B19V infection was confirmed by peripheral blood polymerase chain reaction (PCR). A blood sample collected prior to transfusion was retrospectively tested for B19V by </w:t>
      </w:r>
      <w:r w:rsidRPr="00343635">
        <w:lastRenderedPageBreak/>
        <w:t>PCR and was found to be negative. Further history excluded any sick contacts or other risk factors for parvovirus, and the transfused red cells were investigated as a possible source of infection. Donor testing was undertaken for all implicated donors. A single donor tested positive for B19V by PCR. The donor was asymptomatic at the time of the donation. These findings are consistent with transfusion-associated B19V transmission with a subsequent aplastic crisis. The patient required further transfusion support and hospitalisation for five days.</w:t>
      </w:r>
    </w:p>
    <w:p w14:paraId="05718877" w14:textId="1BD3B01C" w:rsidR="00B5678E" w:rsidRPr="00343635" w:rsidRDefault="00B5678E" w:rsidP="009435C0">
      <w:pPr>
        <w:pStyle w:val="DHHSbody"/>
      </w:pPr>
      <w:r w:rsidRPr="00343635">
        <w:t xml:space="preserve">The final determination by the </w:t>
      </w:r>
      <w:r w:rsidR="002637DE">
        <w:t xml:space="preserve">STIR </w:t>
      </w:r>
      <w:r w:rsidRPr="00343635">
        <w:t>Expert Group was probably viral, SR</w:t>
      </w:r>
      <w:r w:rsidR="002637DE">
        <w:t> </w:t>
      </w:r>
      <w:r w:rsidRPr="00343635">
        <w:t>2.</w:t>
      </w:r>
    </w:p>
    <w:p w14:paraId="6F8CF13A" w14:textId="782E5752" w:rsidR="00B5678E" w:rsidRPr="009435C0" w:rsidRDefault="00B5678E" w:rsidP="009435C0">
      <w:pPr>
        <w:pStyle w:val="Heading4"/>
      </w:pPr>
      <w:r w:rsidRPr="00343635">
        <w:t>Comments</w:t>
      </w:r>
    </w:p>
    <w:p w14:paraId="0D0F4086" w14:textId="1D559E3D" w:rsidR="00B5678E" w:rsidRPr="00343635" w:rsidRDefault="00B5678E" w:rsidP="009435C0">
      <w:pPr>
        <w:pStyle w:val="DHHSbody"/>
      </w:pPr>
      <w:r w:rsidRPr="00343635">
        <w:t xml:space="preserve">This case study was the subject of the first </w:t>
      </w:r>
      <w:r w:rsidRPr="00080269">
        <w:rPr>
          <w:i/>
          <w:iCs/>
        </w:rPr>
        <w:t xml:space="preserve">STIR </w:t>
      </w:r>
      <w:r w:rsidR="002637DE" w:rsidRPr="00080269">
        <w:rPr>
          <w:i/>
          <w:iCs/>
        </w:rPr>
        <w:t>b</w:t>
      </w:r>
      <w:r w:rsidRPr="00080269">
        <w:rPr>
          <w:i/>
          <w:iCs/>
        </w:rPr>
        <w:t>ulletin</w:t>
      </w:r>
      <w:r w:rsidRPr="00343635">
        <w:t xml:space="preserve"> to health services. </w:t>
      </w:r>
      <w:hyperlink r:id="rId24" w:history="1">
        <w:r w:rsidR="002637DE" w:rsidRPr="002637DE">
          <w:rPr>
            <w:rStyle w:val="Hyperlink"/>
          </w:rPr>
          <w:t>Download the bulletin</w:t>
        </w:r>
      </w:hyperlink>
      <w:r w:rsidR="002637DE">
        <w:t xml:space="preserve"> &lt;</w:t>
      </w:r>
      <w:r w:rsidRPr="004A7B40">
        <w:t>https://www2.health.vic.gov.au/about/publications/researchandreports/stir-bulletin-1</w:t>
      </w:r>
      <w:r w:rsidR="002637DE">
        <w:t>&gt;</w:t>
      </w:r>
    </w:p>
    <w:p w14:paraId="1843686E" w14:textId="6C21D73A" w:rsidR="00B5678E" w:rsidRPr="00343635" w:rsidRDefault="00B5678E" w:rsidP="009435C0">
      <w:pPr>
        <w:pStyle w:val="Heading2"/>
      </w:pPr>
      <w:bookmarkStart w:id="34" w:name="_Toc24287435"/>
      <w:r w:rsidRPr="00343635">
        <w:t>Transfusion associated graft versus host disease (</w:t>
      </w:r>
      <w:proofErr w:type="spellStart"/>
      <w:r w:rsidRPr="00343635">
        <w:t>TAGvHD</w:t>
      </w:r>
      <w:proofErr w:type="spellEnd"/>
      <w:r w:rsidRPr="00343635">
        <w:t>)</w:t>
      </w:r>
      <w:bookmarkEnd w:id="34"/>
    </w:p>
    <w:p w14:paraId="6D09F2F0" w14:textId="78A4505D" w:rsidR="00B5678E" w:rsidRPr="009435C0" w:rsidRDefault="00B5678E" w:rsidP="009435C0">
      <w:pPr>
        <w:pStyle w:val="DHHSbody"/>
      </w:pPr>
      <w:proofErr w:type="spellStart"/>
      <w:r w:rsidRPr="009435C0">
        <w:t>TAGvHD</w:t>
      </w:r>
      <w:proofErr w:type="spellEnd"/>
      <w:r w:rsidRPr="009435C0">
        <w:t xml:space="preserve"> is characterised by the development of the classical symptoms of fever, rash, liver dysfunction, diarrhoea, pancytopenia and bone marrow hypoplasia, occurring less than 30 days following transfusion, without other apparent cause (</w:t>
      </w:r>
      <w:r w:rsidRPr="00080269">
        <w:rPr>
          <w:i/>
          <w:iCs/>
        </w:rPr>
        <w:t xml:space="preserve">STIR </w:t>
      </w:r>
      <w:r w:rsidR="002637DE" w:rsidRPr="00080269">
        <w:rPr>
          <w:i/>
          <w:iCs/>
        </w:rPr>
        <w:t>reporting g</w:t>
      </w:r>
      <w:r w:rsidRPr="00080269">
        <w:rPr>
          <w:i/>
          <w:iCs/>
        </w:rPr>
        <w:t>uide 2017</w:t>
      </w:r>
      <w:r w:rsidRPr="009435C0">
        <w:t xml:space="preserve">). </w:t>
      </w:r>
    </w:p>
    <w:p w14:paraId="31B9DD1F" w14:textId="77777777" w:rsidR="00B5678E" w:rsidRPr="009435C0" w:rsidRDefault="00B5678E" w:rsidP="009435C0">
      <w:pPr>
        <w:pStyle w:val="DHHSbody"/>
      </w:pPr>
      <w:r w:rsidRPr="009435C0">
        <w:t xml:space="preserve">There have been no reports of </w:t>
      </w:r>
      <w:proofErr w:type="spellStart"/>
      <w:r w:rsidRPr="009435C0">
        <w:t>TAGvHD</w:t>
      </w:r>
      <w:proofErr w:type="spellEnd"/>
      <w:r w:rsidRPr="009435C0">
        <w:t xml:space="preserve"> since reporting to STIR commenced.</w:t>
      </w:r>
    </w:p>
    <w:p w14:paraId="2C21845D" w14:textId="694AB81D" w:rsidR="00B5678E" w:rsidRPr="00343635" w:rsidRDefault="00B5678E" w:rsidP="009435C0">
      <w:pPr>
        <w:pStyle w:val="Heading2"/>
      </w:pPr>
      <w:bookmarkStart w:id="35" w:name="_Toc24287436"/>
      <w:r w:rsidRPr="00343635">
        <w:t xml:space="preserve">Post transfusion </w:t>
      </w:r>
      <w:r w:rsidRPr="009435C0">
        <w:t>purpura</w:t>
      </w:r>
      <w:r w:rsidRPr="00343635">
        <w:t xml:space="preserve"> (PTP)</w:t>
      </w:r>
      <w:bookmarkEnd w:id="35"/>
    </w:p>
    <w:p w14:paraId="1CDFBAC8" w14:textId="2CAAB186" w:rsidR="00B5678E" w:rsidRPr="009435C0" w:rsidRDefault="00B5678E" w:rsidP="009435C0">
      <w:pPr>
        <w:pStyle w:val="DHHSbody"/>
      </w:pPr>
      <w:r w:rsidRPr="009435C0">
        <w:t xml:space="preserve">PTP is characterised by sudden and self-limiting thrombocytopenia occurring five to </w:t>
      </w:r>
      <w:r w:rsidR="002637DE">
        <w:t>12</w:t>
      </w:r>
      <w:r w:rsidR="002637DE" w:rsidRPr="009435C0">
        <w:t xml:space="preserve"> </w:t>
      </w:r>
      <w:r w:rsidRPr="009435C0">
        <w:t xml:space="preserve">days following transfusion of red cells or platelets. It is associated with the presence of antibodies directed against the human platelet antigen (HPA) system (STIR </w:t>
      </w:r>
      <w:r w:rsidR="002637DE">
        <w:t>reporting g</w:t>
      </w:r>
      <w:r w:rsidR="002637DE" w:rsidRPr="009435C0">
        <w:t xml:space="preserve">uide </w:t>
      </w:r>
      <w:r w:rsidRPr="009435C0">
        <w:t>2017).</w:t>
      </w:r>
    </w:p>
    <w:p w14:paraId="4E0D39B6" w14:textId="77777777" w:rsidR="00B5678E" w:rsidRPr="009435C0" w:rsidRDefault="00B5678E" w:rsidP="009435C0">
      <w:pPr>
        <w:pStyle w:val="DHHSbody"/>
      </w:pPr>
      <w:r w:rsidRPr="009435C0">
        <w:t>There were no events reported this year, with the last report occurring in 2009.</w:t>
      </w:r>
    </w:p>
    <w:p w14:paraId="47FC9FCC" w14:textId="72862E0A" w:rsidR="00B5678E" w:rsidRPr="00343635" w:rsidRDefault="00B5678E" w:rsidP="009435C0">
      <w:pPr>
        <w:pStyle w:val="Heading1"/>
      </w:pPr>
      <w:bookmarkStart w:id="36" w:name="_Toc24287437"/>
      <w:r w:rsidRPr="009435C0">
        <w:lastRenderedPageBreak/>
        <w:t>Procedural</w:t>
      </w:r>
      <w:r w:rsidRPr="00343635">
        <w:t xml:space="preserve"> reports</w:t>
      </w:r>
      <w:bookmarkEnd w:id="36"/>
    </w:p>
    <w:p w14:paraId="418B3372" w14:textId="664BD2E2" w:rsidR="00B5678E" w:rsidRPr="00343635" w:rsidRDefault="00B5678E" w:rsidP="009435C0">
      <w:pPr>
        <w:pStyle w:val="DHHSbody"/>
      </w:pPr>
      <w:r w:rsidRPr="00343635">
        <w:t xml:space="preserve">Procedural errors predominantly occur due to human error and are often preventable if protocols and guidelines are put in place and </w:t>
      </w:r>
      <w:r w:rsidRPr="009435C0">
        <w:t>followed</w:t>
      </w:r>
      <w:r w:rsidRPr="00343635">
        <w:t>. The majority of WBITs, near</w:t>
      </w:r>
      <w:r w:rsidR="00E6689D">
        <w:t xml:space="preserve"> </w:t>
      </w:r>
      <w:r w:rsidRPr="00343635">
        <w:t>miss</w:t>
      </w:r>
      <w:r w:rsidR="00E6689D">
        <w:t>es</w:t>
      </w:r>
      <w:r w:rsidRPr="00343635">
        <w:t xml:space="preserve"> and IBCTs are a result of inadequate patient or sample identification either at time of pre-transfusion sampling or time of blood administration. For this reporting period there were a total o</w:t>
      </w:r>
      <w:r w:rsidR="007A2E65">
        <w:t xml:space="preserve">f 64 validated reports (Figure </w:t>
      </w:r>
      <w:r w:rsidR="004140C9">
        <w:t>7</w:t>
      </w:r>
      <w:r w:rsidRPr="00343635">
        <w:t>).</w:t>
      </w:r>
    </w:p>
    <w:p w14:paraId="14416A31" w14:textId="0FA13F95" w:rsidR="00B5678E" w:rsidRDefault="007A2E65" w:rsidP="009435C0">
      <w:pPr>
        <w:pStyle w:val="DHHSfigurecaption"/>
      </w:pPr>
      <w:r>
        <w:t xml:space="preserve">Figure </w:t>
      </w:r>
      <w:r w:rsidR="004140C9">
        <w:t>7</w:t>
      </w:r>
      <w:r w:rsidR="002637DE">
        <w:t>:</w:t>
      </w:r>
      <w:r w:rsidR="00B5678E" w:rsidRPr="00343635">
        <w:t xml:space="preserve"> Validated procedural events</w:t>
      </w:r>
    </w:p>
    <w:p w14:paraId="2C93A21C" w14:textId="4C6AB0FB" w:rsidR="00B5678E" w:rsidRPr="00343635" w:rsidRDefault="00C80748" w:rsidP="00C80748">
      <w:pPr>
        <w:pStyle w:val="DHHSbody"/>
      </w:pPr>
      <w:r>
        <w:rPr>
          <w:noProof/>
        </w:rPr>
        <w:drawing>
          <wp:inline distT="0" distB="0" distL="0" distR="0" wp14:anchorId="524D18F8" wp14:editId="32ECAF9A">
            <wp:extent cx="4319025" cy="2420117"/>
            <wp:effectExtent l="0" t="0" r="0" b="0"/>
            <wp:docPr id="17" name="Picture 17" descr="Figure 7&#10;The figure shows procedural events for FY18, including 18 WBIT events, 25 near-miss events, 11 IBCT events and 10 RhD-admin ev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e 7.png"/>
                    <pic:cNvPicPr/>
                  </pic:nvPicPr>
                  <pic:blipFill>
                    <a:blip r:embed="rId25"/>
                    <a:stretch>
                      <a:fillRect/>
                    </a:stretch>
                  </pic:blipFill>
                  <pic:spPr>
                    <a:xfrm>
                      <a:off x="0" y="0"/>
                      <a:ext cx="4319025" cy="2420117"/>
                    </a:xfrm>
                    <a:prstGeom prst="rect">
                      <a:avLst/>
                    </a:prstGeom>
                  </pic:spPr>
                </pic:pic>
              </a:graphicData>
            </a:graphic>
          </wp:inline>
        </w:drawing>
      </w:r>
      <w:commentRangeStart w:id="37"/>
      <w:commentRangeEnd w:id="37"/>
      <w:r w:rsidR="002637DE">
        <w:rPr>
          <w:rStyle w:val="CommentReference"/>
          <w:rFonts w:ascii="Calibri" w:eastAsia="Calibri" w:hAnsi="Calibri"/>
        </w:rPr>
        <w:commentReference w:id="37"/>
      </w:r>
    </w:p>
    <w:p w14:paraId="36BECA83" w14:textId="20A118FD" w:rsidR="00B5678E" w:rsidRPr="00343635" w:rsidRDefault="00B5678E" w:rsidP="009435C0">
      <w:pPr>
        <w:pStyle w:val="Heading2"/>
      </w:pPr>
      <w:bookmarkStart w:id="38" w:name="_Toc24287438"/>
      <w:r w:rsidRPr="00343635">
        <w:t>Incorrect blood component transfused (IBCT)</w:t>
      </w:r>
      <w:bookmarkEnd w:id="38"/>
    </w:p>
    <w:p w14:paraId="506BE239" w14:textId="77777777" w:rsidR="00B5678E" w:rsidRPr="00343635" w:rsidRDefault="00B5678E" w:rsidP="009435C0">
      <w:pPr>
        <w:pStyle w:val="DHHSbody"/>
      </w:pPr>
      <w:r w:rsidRPr="00343635">
        <w:t xml:space="preserve">Incorrect blood components transfused </w:t>
      </w:r>
      <w:r w:rsidRPr="009435C0">
        <w:t>includes</w:t>
      </w:r>
      <w:r w:rsidRPr="00343635">
        <w:t xml:space="preserve"> reports of incidents in which: </w:t>
      </w:r>
    </w:p>
    <w:p w14:paraId="55D28E5B" w14:textId="79F14FBB" w:rsidR="00B5678E" w:rsidRPr="00343635" w:rsidRDefault="00B5678E" w:rsidP="009435C0">
      <w:pPr>
        <w:pStyle w:val="DHHSbullet1"/>
      </w:pPr>
      <w:r w:rsidRPr="00343635">
        <w:t xml:space="preserve">the component did not meet the specific requirements for the patient </w:t>
      </w:r>
    </w:p>
    <w:p w14:paraId="09AC173F" w14:textId="650F17D3" w:rsidR="00B5678E" w:rsidRPr="00343635" w:rsidRDefault="00B5678E" w:rsidP="009435C0">
      <w:pPr>
        <w:pStyle w:val="DHHSbullet1"/>
      </w:pPr>
      <w:r w:rsidRPr="00343635">
        <w:t xml:space="preserve">transfusion of a component intended for another patient (ABO compatible) </w:t>
      </w:r>
    </w:p>
    <w:p w14:paraId="2A048BBA" w14:textId="3C5B1E62" w:rsidR="00B5678E" w:rsidRPr="00343635" w:rsidRDefault="00B5678E" w:rsidP="009435C0">
      <w:pPr>
        <w:pStyle w:val="DHHSbullet1"/>
      </w:pPr>
      <w:r w:rsidRPr="00343635">
        <w:t xml:space="preserve">all unintentional incompatible transfusions, including ABO incompatible </w:t>
      </w:r>
    </w:p>
    <w:p w14:paraId="0B712F1F" w14:textId="56BA7965" w:rsidR="00B5678E" w:rsidRPr="00343635" w:rsidRDefault="00B5678E" w:rsidP="009435C0">
      <w:pPr>
        <w:pStyle w:val="DHHSbullet1"/>
      </w:pPr>
      <w:r w:rsidRPr="00343635">
        <w:t>transfusion of product other than that prescribed (</w:t>
      </w:r>
      <w:r w:rsidR="00E6689D">
        <w:t>for example,</w:t>
      </w:r>
      <w:r w:rsidRPr="00343635">
        <w:t xml:space="preserve"> platelets instead of FFP) </w:t>
      </w:r>
    </w:p>
    <w:p w14:paraId="102975DB" w14:textId="4ACFFB1F" w:rsidR="00B5678E" w:rsidRPr="00343635" w:rsidRDefault="00B5678E" w:rsidP="009435C0">
      <w:pPr>
        <w:pStyle w:val="DHHSbullet1lastline"/>
      </w:pPr>
      <w:r w:rsidRPr="00343635">
        <w:t>unnecessary or inappropriate transfusion (</w:t>
      </w:r>
      <w:r w:rsidRPr="00080269">
        <w:rPr>
          <w:i/>
          <w:iCs/>
        </w:rPr>
        <w:t xml:space="preserve">STIR </w:t>
      </w:r>
      <w:r w:rsidR="00E6689D" w:rsidRPr="00080269">
        <w:rPr>
          <w:i/>
          <w:iCs/>
        </w:rPr>
        <w:t>reporting g</w:t>
      </w:r>
      <w:r w:rsidRPr="00080269">
        <w:rPr>
          <w:i/>
          <w:iCs/>
        </w:rPr>
        <w:t>uide 2017</w:t>
      </w:r>
      <w:r w:rsidRPr="00343635">
        <w:t>)</w:t>
      </w:r>
    </w:p>
    <w:p w14:paraId="219B11E0" w14:textId="18178AAA" w:rsidR="00B5678E" w:rsidRPr="00343635" w:rsidRDefault="00B5678E" w:rsidP="009435C0">
      <w:pPr>
        <w:pStyle w:val="DHHSbody"/>
      </w:pPr>
      <w:r w:rsidRPr="00343635">
        <w:t>Four validated IBCTs (total 11) were originally submitted to STIR as near</w:t>
      </w:r>
      <w:r w:rsidR="00E6689D">
        <w:t xml:space="preserve"> </w:t>
      </w:r>
      <w:r w:rsidRPr="00343635">
        <w:t>misses</w:t>
      </w:r>
      <w:r w:rsidR="00E6689D">
        <w:t>. H</w:t>
      </w:r>
      <w:r w:rsidRPr="00343635">
        <w:t xml:space="preserve">owever, in all cases the patient </w:t>
      </w:r>
      <w:r w:rsidR="00E6689D">
        <w:t xml:space="preserve">had </w:t>
      </w:r>
      <w:r w:rsidRPr="00343635">
        <w:t xml:space="preserve">commenced the transfusion. </w:t>
      </w:r>
    </w:p>
    <w:p w14:paraId="55098482" w14:textId="3ACFE3F0" w:rsidR="00B5678E" w:rsidRPr="009435C0" w:rsidRDefault="00B5678E" w:rsidP="009435C0">
      <w:pPr>
        <w:pStyle w:val="DHHStablecaption"/>
      </w:pPr>
      <w:r w:rsidRPr="00343635">
        <w:t xml:space="preserve">Table </w:t>
      </w:r>
      <w:r w:rsidR="00E6689D">
        <w:t>2</w:t>
      </w:r>
      <w:r w:rsidR="000A6E9B">
        <w:t>3</w:t>
      </w:r>
      <w:r w:rsidR="00E6689D">
        <w:t>:</w:t>
      </w:r>
      <w:r w:rsidR="00E6689D" w:rsidRPr="00343635">
        <w:t xml:space="preserve"> </w:t>
      </w:r>
      <w:r w:rsidRPr="00343635">
        <w:t>Types of IBCT events FY18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6"/>
        <w:gridCol w:w="2001"/>
      </w:tblGrid>
      <w:tr w:rsidR="00B5678E" w:rsidRPr="00343635" w14:paraId="2436C759" w14:textId="77777777" w:rsidTr="00080269">
        <w:trPr>
          <w:tblHeader/>
        </w:trPr>
        <w:tc>
          <w:tcPr>
            <w:tcW w:w="0" w:type="auto"/>
            <w:shd w:val="clear" w:color="auto" w:fill="auto"/>
            <w:hideMark/>
          </w:tcPr>
          <w:p w14:paraId="692D49AA" w14:textId="77777777" w:rsidR="00B5678E" w:rsidRPr="00881FA7" w:rsidRDefault="00B5678E" w:rsidP="009435C0">
            <w:pPr>
              <w:pStyle w:val="DHHStablecolhead"/>
              <w:rPr>
                <w:rFonts w:eastAsia="Calibri"/>
                <w:sz w:val="22"/>
                <w:szCs w:val="22"/>
              </w:rPr>
            </w:pPr>
            <w:r w:rsidRPr="00881FA7">
              <w:rPr>
                <w:rFonts w:eastAsia="Calibri"/>
                <w:sz w:val="22"/>
                <w:szCs w:val="22"/>
              </w:rPr>
              <w:t>Category</w:t>
            </w:r>
          </w:p>
        </w:tc>
        <w:tc>
          <w:tcPr>
            <w:tcW w:w="0" w:type="auto"/>
            <w:shd w:val="clear" w:color="auto" w:fill="auto"/>
            <w:hideMark/>
          </w:tcPr>
          <w:p w14:paraId="096FE1D1" w14:textId="5468324C" w:rsidR="00B5678E" w:rsidRPr="00881FA7" w:rsidRDefault="00B5678E" w:rsidP="009435C0">
            <w:pPr>
              <w:pStyle w:val="DHHStablecolhead"/>
              <w:rPr>
                <w:rFonts w:eastAsia="Calibri"/>
                <w:sz w:val="22"/>
                <w:szCs w:val="22"/>
              </w:rPr>
            </w:pPr>
            <w:r w:rsidRPr="00881FA7">
              <w:rPr>
                <w:rFonts w:eastAsia="Calibri"/>
                <w:sz w:val="22"/>
                <w:szCs w:val="22"/>
              </w:rPr>
              <w:t xml:space="preserve">Number </w:t>
            </w:r>
            <w:r w:rsidR="00E6689D">
              <w:rPr>
                <w:rFonts w:eastAsia="Calibri"/>
                <w:sz w:val="22"/>
                <w:szCs w:val="22"/>
              </w:rPr>
              <w:t>r</w:t>
            </w:r>
            <w:r w:rsidR="00E6689D" w:rsidRPr="00881FA7">
              <w:rPr>
                <w:rFonts w:eastAsia="Calibri"/>
                <w:sz w:val="22"/>
                <w:szCs w:val="22"/>
              </w:rPr>
              <w:t>eported</w:t>
            </w:r>
          </w:p>
        </w:tc>
      </w:tr>
      <w:tr w:rsidR="00B5678E" w:rsidRPr="00343635" w14:paraId="3BB12CFF" w14:textId="77777777" w:rsidTr="00881FA7">
        <w:tc>
          <w:tcPr>
            <w:tcW w:w="0" w:type="auto"/>
            <w:shd w:val="clear" w:color="auto" w:fill="auto"/>
            <w:hideMark/>
          </w:tcPr>
          <w:p w14:paraId="648A728D" w14:textId="77777777" w:rsidR="00B5678E" w:rsidRPr="00080269" w:rsidRDefault="00B5678E" w:rsidP="00E6689D">
            <w:pPr>
              <w:pStyle w:val="DHHStabletext"/>
              <w:rPr>
                <w:rFonts w:eastAsia="Calibri"/>
              </w:rPr>
            </w:pPr>
            <w:r w:rsidRPr="00080269">
              <w:rPr>
                <w:rFonts w:eastAsia="Calibri"/>
              </w:rPr>
              <w:t>Antigen-antibody issues</w:t>
            </w:r>
          </w:p>
        </w:tc>
        <w:tc>
          <w:tcPr>
            <w:tcW w:w="0" w:type="auto"/>
            <w:shd w:val="clear" w:color="auto" w:fill="auto"/>
          </w:tcPr>
          <w:p w14:paraId="2E598788" w14:textId="77777777" w:rsidR="00B5678E" w:rsidRPr="00080269" w:rsidRDefault="00B5678E" w:rsidP="00E6689D">
            <w:pPr>
              <w:pStyle w:val="DHHStabletext"/>
              <w:jc w:val="right"/>
              <w:rPr>
                <w:rFonts w:eastAsia="Calibri"/>
              </w:rPr>
            </w:pPr>
            <w:r w:rsidRPr="00080269">
              <w:rPr>
                <w:rFonts w:eastAsia="Calibri"/>
              </w:rPr>
              <w:t>1</w:t>
            </w:r>
          </w:p>
        </w:tc>
      </w:tr>
      <w:tr w:rsidR="00B5678E" w:rsidRPr="00343635" w14:paraId="01FC3E81" w14:textId="77777777" w:rsidTr="00881FA7">
        <w:tc>
          <w:tcPr>
            <w:tcW w:w="0" w:type="auto"/>
            <w:shd w:val="clear" w:color="auto" w:fill="auto"/>
            <w:hideMark/>
          </w:tcPr>
          <w:p w14:paraId="1717FC25" w14:textId="77777777" w:rsidR="00B5678E" w:rsidRPr="00080269" w:rsidRDefault="00B5678E" w:rsidP="00E6689D">
            <w:pPr>
              <w:pStyle w:val="DHHStabletext"/>
              <w:rPr>
                <w:rFonts w:eastAsia="Calibri"/>
              </w:rPr>
            </w:pPr>
            <w:r w:rsidRPr="00080269">
              <w:rPr>
                <w:rFonts w:eastAsia="Calibri"/>
              </w:rPr>
              <w:t>Components that did not meet specific requirements for patient</w:t>
            </w:r>
          </w:p>
        </w:tc>
        <w:tc>
          <w:tcPr>
            <w:tcW w:w="0" w:type="auto"/>
            <w:shd w:val="clear" w:color="auto" w:fill="auto"/>
          </w:tcPr>
          <w:p w14:paraId="0E30D230" w14:textId="77777777" w:rsidR="00B5678E" w:rsidRPr="00080269" w:rsidRDefault="00B5678E" w:rsidP="00E6689D">
            <w:pPr>
              <w:pStyle w:val="DHHStabletext"/>
              <w:jc w:val="right"/>
              <w:rPr>
                <w:rFonts w:eastAsia="Calibri"/>
              </w:rPr>
            </w:pPr>
            <w:r w:rsidRPr="00080269">
              <w:rPr>
                <w:rFonts w:eastAsia="Calibri"/>
              </w:rPr>
              <w:t>1</w:t>
            </w:r>
          </w:p>
        </w:tc>
      </w:tr>
      <w:tr w:rsidR="00B5678E" w:rsidRPr="00343635" w14:paraId="35A0375A" w14:textId="77777777" w:rsidTr="00881FA7">
        <w:tc>
          <w:tcPr>
            <w:tcW w:w="0" w:type="auto"/>
            <w:shd w:val="clear" w:color="auto" w:fill="auto"/>
            <w:hideMark/>
          </w:tcPr>
          <w:p w14:paraId="44F67DC8" w14:textId="77777777" w:rsidR="00B5678E" w:rsidRPr="00080269" w:rsidRDefault="00B5678E" w:rsidP="00E6689D">
            <w:pPr>
              <w:pStyle w:val="DHHStabletext"/>
              <w:rPr>
                <w:rFonts w:eastAsia="Calibri"/>
              </w:rPr>
            </w:pPr>
            <w:r w:rsidRPr="00080269">
              <w:rPr>
                <w:rFonts w:eastAsia="Calibri"/>
              </w:rPr>
              <w:t>Inappropriate platelet/plasma product</w:t>
            </w:r>
          </w:p>
        </w:tc>
        <w:tc>
          <w:tcPr>
            <w:tcW w:w="0" w:type="auto"/>
            <w:shd w:val="clear" w:color="auto" w:fill="auto"/>
          </w:tcPr>
          <w:p w14:paraId="3F442DDC" w14:textId="77777777" w:rsidR="00B5678E" w:rsidRPr="00080269" w:rsidRDefault="00B5678E" w:rsidP="00E6689D">
            <w:pPr>
              <w:pStyle w:val="DHHStabletext"/>
              <w:jc w:val="right"/>
              <w:rPr>
                <w:rFonts w:eastAsia="Calibri"/>
              </w:rPr>
            </w:pPr>
            <w:r w:rsidRPr="00080269">
              <w:rPr>
                <w:rFonts w:eastAsia="Calibri"/>
              </w:rPr>
              <w:t>1</w:t>
            </w:r>
          </w:p>
        </w:tc>
      </w:tr>
      <w:tr w:rsidR="00B5678E" w:rsidRPr="00343635" w14:paraId="10840B7A" w14:textId="77777777" w:rsidTr="00881FA7">
        <w:tc>
          <w:tcPr>
            <w:tcW w:w="0" w:type="auto"/>
            <w:shd w:val="clear" w:color="auto" w:fill="auto"/>
          </w:tcPr>
          <w:p w14:paraId="5E7836C9" w14:textId="3C5E6BB8" w:rsidR="00B5678E" w:rsidRPr="00080269" w:rsidRDefault="00B5678E" w:rsidP="00E6689D">
            <w:pPr>
              <w:pStyle w:val="DHHStabletext"/>
              <w:rPr>
                <w:rFonts w:eastAsia="Calibri"/>
              </w:rPr>
            </w:pPr>
            <w:r w:rsidRPr="00080269">
              <w:rPr>
                <w:rFonts w:eastAsia="Calibri"/>
              </w:rPr>
              <w:t>Inappropriate – over</w:t>
            </w:r>
            <w:r w:rsidR="00E6689D">
              <w:rPr>
                <w:rFonts w:eastAsia="Calibri"/>
              </w:rPr>
              <w:t>-</w:t>
            </w:r>
            <w:r w:rsidRPr="00080269">
              <w:rPr>
                <w:rFonts w:eastAsia="Calibri"/>
              </w:rPr>
              <w:t>transfusion</w:t>
            </w:r>
          </w:p>
        </w:tc>
        <w:tc>
          <w:tcPr>
            <w:tcW w:w="0" w:type="auto"/>
            <w:shd w:val="clear" w:color="auto" w:fill="auto"/>
          </w:tcPr>
          <w:p w14:paraId="44DA949C" w14:textId="77777777" w:rsidR="00B5678E" w:rsidRPr="00080269" w:rsidRDefault="00B5678E" w:rsidP="00E6689D">
            <w:pPr>
              <w:pStyle w:val="DHHStabletext"/>
              <w:jc w:val="right"/>
              <w:rPr>
                <w:rFonts w:eastAsia="Calibri"/>
              </w:rPr>
            </w:pPr>
            <w:r w:rsidRPr="00080269">
              <w:rPr>
                <w:rFonts w:eastAsia="Calibri"/>
              </w:rPr>
              <w:t>2</w:t>
            </w:r>
          </w:p>
        </w:tc>
      </w:tr>
      <w:tr w:rsidR="00B5678E" w:rsidRPr="00343635" w14:paraId="6C22BF3C" w14:textId="77777777" w:rsidTr="00881FA7">
        <w:tc>
          <w:tcPr>
            <w:tcW w:w="0" w:type="auto"/>
            <w:shd w:val="clear" w:color="auto" w:fill="auto"/>
          </w:tcPr>
          <w:p w14:paraId="34B902E4" w14:textId="0D575115" w:rsidR="00B5678E" w:rsidRPr="00080269" w:rsidRDefault="00B5678E" w:rsidP="00E6689D">
            <w:pPr>
              <w:pStyle w:val="DHHStabletext"/>
              <w:rPr>
                <w:rFonts w:eastAsia="Calibri"/>
              </w:rPr>
            </w:pPr>
            <w:r w:rsidRPr="00080269">
              <w:rPr>
                <w:rFonts w:eastAsia="Calibri"/>
              </w:rPr>
              <w:t xml:space="preserve">Inappropriate </w:t>
            </w:r>
            <w:r w:rsidR="00E6689D">
              <w:rPr>
                <w:rFonts w:eastAsia="Calibri"/>
              </w:rPr>
              <w:t>–</w:t>
            </w:r>
            <w:r w:rsidR="00E6689D" w:rsidRPr="00080269">
              <w:rPr>
                <w:rFonts w:eastAsia="Calibri"/>
              </w:rPr>
              <w:t xml:space="preserve"> </w:t>
            </w:r>
            <w:r w:rsidRPr="00080269">
              <w:rPr>
                <w:rFonts w:eastAsia="Calibri"/>
              </w:rPr>
              <w:t>unnecessary</w:t>
            </w:r>
          </w:p>
        </w:tc>
        <w:tc>
          <w:tcPr>
            <w:tcW w:w="0" w:type="auto"/>
            <w:shd w:val="clear" w:color="auto" w:fill="auto"/>
          </w:tcPr>
          <w:p w14:paraId="38B0A7D1" w14:textId="77777777" w:rsidR="00B5678E" w:rsidRPr="00080269" w:rsidRDefault="00B5678E" w:rsidP="00E6689D">
            <w:pPr>
              <w:pStyle w:val="DHHStabletext"/>
              <w:jc w:val="right"/>
              <w:rPr>
                <w:rFonts w:eastAsia="Calibri"/>
              </w:rPr>
            </w:pPr>
            <w:r w:rsidRPr="00080269">
              <w:rPr>
                <w:rFonts w:eastAsia="Calibri"/>
              </w:rPr>
              <w:t>1</w:t>
            </w:r>
          </w:p>
        </w:tc>
      </w:tr>
      <w:tr w:rsidR="00B5678E" w:rsidRPr="00343635" w14:paraId="52962DC2" w14:textId="77777777" w:rsidTr="00881FA7">
        <w:tc>
          <w:tcPr>
            <w:tcW w:w="0" w:type="auto"/>
            <w:shd w:val="clear" w:color="auto" w:fill="auto"/>
            <w:hideMark/>
          </w:tcPr>
          <w:p w14:paraId="0C0F577D" w14:textId="77777777" w:rsidR="00B5678E" w:rsidRPr="00080269" w:rsidRDefault="00B5678E" w:rsidP="00E6689D">
            <w:pPr>
              <w:pStyle w:val="DHHStabletext"/>
              <w:rPr>
                <w:rFonts w:eastAsia="Calibri"/>
              </w:rPr>
            </w:pPr>
            <w:r w:rsidRPr="00080269">
              <w:rPr>
                <w:rFonts w:eastAsia="Calibri"/>
              </w:rPr>
              <w:t xml:space="preserve">Incorrect blood component to incorrect patient </w:t>
            </w:r>
          </w:p>
        </w:tc>
        <w:tc>
          <w:tcPr>
            <w:tcW w:w="0" w:type="auto"/>
            <w:shd w:val="clear" w:color="auto" w:fill="auto"/>
          </w:tcPr>
          <w:p w14:paraId="439BFF19" w14:textId="2BF1D492" w:rsidR="00B5678E" w:rsidRPr="00080269" w:rsidRDefault="00080269" w:rsidP="00E6689D">
            <w:pPr>
              <w:pStyle w:val="DHHStabletext"/>
              <w:jc w:val="right"/>
              <w:rPr>
                <w:rFonts w:eastAsia="Calibri"/>
              </w:rPr>
            </w:pPr>
            <w:r w:rsidRPr="00080269">
              <w:rPr>
                <w:rFonts w:eastAsia="Calibri"/>
              </w:rPr>
              <w:t>-</w:t>
            </w:r>
          </w:p>
        </w:tc>
      </w:tr>
      <w:tr w:rsidR="00B5678E" w:rsidRPr="00343635" w14:paraId="561990E3" w14:textId="77777777" w:rsidTr="00881FA7">
        <w:tc>
          <w:tcPr>
            <w:tcW w:w="0" w:type="auto"/>
            <w:shd w:val="clear" w:color="auto" w:fill="auto"/>
          </w:tcPr>
          <w:p w14:paraId="666656D9" w14:textId="3D73F111" w:rsidR="00B5678E" w:rsidRPr="00080269" w:rsidRDefault="00B5678E" w:rsidP="00E6689D">
            <w:pPr>
              <w:pStyle w:val="DHHStabletext"/>
              <w:rPr>
                <w:rFonts w:eastAsia="Calibri"/>
              </w:rPr>
            </w:pPr>
            <w:r w:rsidRPr="00080269">
              <w:rPr>
                <w:rFonts w:eastAsia="Calibri"/>
              </w:rPr>
              <w:t>ABO compatible</w:t>
            </w:r>
          </w:p>
        </w:tc>
        <w:tc>
          <w:tcPr>
            <w:tcW w:w="0" w:type="auto"/>
            <w:shd w:val="clear" w:color="auto" w:fill="auto"/>
          </w:tcPr>
          <w:p w14:paraId="7F1EA7D5" w14:textId="77777777" w:rsidR="00B5678E" w:rsidRPr="00080269" w:rsidRDefault="00B5678E" w:rsidP="00E6689D">
            <w:pPr>
              <w:pStyle w:val="DHHStabletext"/>
              <w:jc w:val="right"/>
              <w:rPr>
                <w:rFonts w:eastAsia="Calibri"/>
              </w:rPr>
            </w:pPr>
            <w:r w:rsidRPr="00080269">
              <w:rPr>
                <w:rFonts w:eastAsia="Calibri"/>
              </w:rPr>
              <w:t>4</w:t>
            </w:r>
          </w:p>
        </w:tc>
      </w:tr>
      <w:tr w:rsidR="00B5678E" w:rsidRPr="00343635" w14:paraId="0EBF2EFE" w14:textId="77777777" w:rsidTr="00881FA7">
        <w:tc>
          <w:tcPr>
            <w:tcW w:w="0" w:type="auto"/>
            <w:shd w:val="clear" w:color="auto" w:fill="auto"/>
          </w:tcPr>
          <w:p w14:paraId="2DD82DB5" w14:textId="23F3FD0F" w:rsidR="00B5678E" w:rsidRPr="00080269" w:rsidRDefault="00B5678E" w:rsidP="00E6689D">
            <w:pPr>
              <w:pStyle w:val="DHHStabletext"/>
              <w:rPr>
                <w:rFonts w:eastAsia="Calibri"/>
              </w:rPr>
            </w:pPr>
            <w:r w:rsidRPr="00080269">
              <w:rPr>
                <w:rFonts w:eastAsia="Calibri"/>
              </w:rPr>
              <w:t xml:space="preserve">ABO incompatible </w:t>
            </w:r>
          </w:p>
        </w:tc>
        <w:tc>
          <w:tcPr>
            <w:tcW w:w="0" w:type="auto"/>
            <w:shd w:val="clear" w:color="auto" w:fill="auto"/>
          </w:tcPr>
          <w:p w14:paraId="595E390B" w14:textId="77777777" w:rsidR="00B5678E" w:rsidRPr="00080269" w:rsidRDefault="00B5678E" w:rsidP="00E6689D">
            <w:pPr>
              <w:pStyle w:val="DHHStabletext"/>
              <w:jc w:val="right"/>
              <w:rPr>
                <w:rFonts w:eastAsia="Calibri"/>
              </w:rPr>
            </w:pPr>
            <w:r w:rsidRPr="00080269">
              <w:rPr>
                <w:rFonts w:eastAsia="Calibri"/>
              </w:rPr>
              <w:t>1</w:t>
            </w:r>
          </w:p>
        </w:tc>
      </w:tr>
    </w:tbl>
    <w:p w14:paraId="142CC36E" w14:textId="69CE40EF" w:rsidR="00B5678E" w:rsidRPr="00343635" w:rsidRDefault="00B5678E" w:rsidP="009435C0">
      <w:pPr>
        <w:pStyle w:val="DHHSbodyaftertablefigure"/>
      </w:pPr>
      <w:r w:rsidRPr="00343635">
        <w:lastRenderedPageBreak/>
        <w:t xml:space="preserve">In this </w:t>
      </w:r>
      <w:r w:rsidRPr="009435C0">
        <w:t>reporting</w:t>
      </w:r>
      <w:r w:rsidRPr="00343635">
        <w:t xml:space="preserve"> period</w:t>
      </w:r>
      <w:r w:rsidR="00E6689D">
        <w:t>,</w:t>
      </w:r>
      <w:r w:rsidRPr="00343635">
        <w:t xml:space="preserve"> there were four events that were an incorrect component to incorrect patient, but ABO compatible (Table </w:t>
      </w:r>
      <w:r w:rsidR="000A6E9B">
        <w:t>23</w:t>
      </w:r>
      <w:r w:rsidRPr="00343635">
        <w:t>).</w:t>
      </w:r>
    </w:p>
    <w:p w14:paraId="145203F8" w14:textId="289DF468" w:rsidR="00B5678E" w:rsidRPr="009435C0" w:rsidRDefault="00B5678E" w:rsidP="009435C0">
      <w:pPr>
        <w:pStyle w:val="DHHSbody"/>
      </w:pPr>
      <w:r w:rsidRPr="009435C0">
        <w:t>Two reported events underwent a root cause analysis (RCA). One was an ABO incompatible transfusion of red cells</w:t>
      </w:r>
      <w:r w:rsidR="00B1107B">
        <w:t>,</w:t>
      </w:r>
      <w:r w:rsidRPr="009435C0">
        <w:t xml:space="preserve"> which requires an RCA under the Safer Care Victoria program (</w:t>
      </w:r>
      <w:r w:rsidR="00B1107B">
        <w:t>h</w:t>
      </w:r>
      <w:r w:rsidR="00B1107B" w:rsidRPr="009435C0">
        <w:t xml:space="preserve">aemolytic </w:t>
      </w:r>
      <w:r w:rsidRPr="009435C0">
        <w:t>blood transfusion reaction resulting from ABO blood group incompatibility). The other case was conducted voluntarily by the health service due to the nature and potential seriousness of the event. We thank both health services for sharing their findings and recommendations from these events.</w:t>
      </w:r>
    </w:p>
    <w:p w14:paraId="1F78A46C" w14:textId="36A91423" w:rsidR="00B5678E" w:rsidRPr="00343635" w:rsidRDefault="00B1107B" w:rsidP="00080269">
      <w:pPr>
        <w:pStyle w:val="Heading3"/>
      </w:pPr>
      <w:bookmarkStart w:id="39" w:name="_Toc24287439"/>
      <w:r>
        <w:t xml:space="preserve">Case study </w:t>
      </w:r>
      <w:r w:rsidR="00B5678E" w:rsidRPr="00343635">
        <w:t>10</w:t>
      </w:r>
      <w:r>
        <w:t>:</w:t>
      </w:r>
      <w:r w:rsidR="00B5678E" w:rsidRPr="00343635">
        <w:t xml:space="preserve"> IBCT – ABO incompatible </w:t>
      </w:r>
      <w:r w:rsidR="00B5678E" w:rsidRPr="009435C0">
        <w:t>transfusion</w:t>
      </w:r>
      <w:bookmarkEnd w:id="39"/>
    </w:p>
    <w:p w14:paraId="72488518" w14:textId="0F765B49" w:rsidR="00B5678E" w:rsidRPr="00343635" w:rsidRDefault="00B5678E" w:rsidP="009435C0">
      <w:pPr>
        <w:pStyle w:val="DHHSbody"/>
      </w:pPr>
      <w:r w:rsidRPr="00343635">
        <w:t xml:space="preserve">A middle-aged patient was brought in by ambulance to the emergency department (ED) with hypotensive shock following a collapse at home. Past history of hepatitis C, liver cirrhosis with oesophageal varices and ascites. Provisional diagnosis </w:t>
      </w:r>
      <w:r w:rsidR="00405F1E">
        <w:t>was</w:t>
      </w:r>
      <w:r w:rsidRPr="00343635">
        <w:t xml:space="preserve"> upper gastrointestinal bleed. </w:t>
      </w:r>
    </w:p>
    <w:p w14:paraId="6326DCF5" w14:textId="5D5D0639" w:rsidR="00B5678E" w:rsidRPr="00343635" w:rsidRDefault="00B5678E" w:rsidP="009435C0">
      <w:pPr>
        <w:pStyle w:val="DHHSbody"/>
      </w:pPr>
      <w:r w:rsidRPr="00343635">
        <w:t xml:space="preserve">The patient’s haemoglobin was </w:t>
      </w:r>
      <w:r w:rsidR="00405F1E" w:rsidRPr="00343635">
        <w:t>65</w:t>
      </w:r>
      <w:r w:rsidR="00405F1E">
        <w:t> </w:t>
      </w:r>
      <w:r w:rsidRPr="00343635">
        <w:t xml:space="preserve">g/L and the critical bleeding protocol was activated. After initial resuscitation with emergency blood products (including red cells, plasma, platelets and albumin) and other medical treatments, the patient was stabilised. The blood products were delivered from blood bank via a pneumatic chute (as is the usual practice). The delivered products were collected by various staff and taken to the resuscitation area, and placed on a trolley outside the patient’s cubicle. On review there was no evidence of a checking process undertaken when collecting blood from the chute. The patient’s blood group was found to be O </w:t>
      </w:r>
      <w:proofErr w:type="spellStart"/>
      <w:r w:rsidRPr="00343635">
        <w:t>RhD</w:t>
      </w:r>
      <w:proofErr w:type="spellEnd"/>
      <w:r w:rsidRPr="00343635">
        <w:t xml:space="preserve"> positive.</w:t>
      </w:r>
    </w:p>
    <w:p w14:paraId="64F78AED" w14:textId="415249D8" w:rsidR="00B5678E" w:rsidRPr="00343635" w:rsidRDefault="00B5678E" w:rsidP="009435C0">
      <w:pPr>
        <w:pStyle w:val="DHHSbody"/>
      </w:pPr>
      <w:r w:rsidRPr="00343635">
        <w:t>Several hours after admission there was further deterioration noted. Around the same time</w:t>
      </w:r>
      <w:r w:rsidR="00405F1E">
        <w:t>,</w:t>
      </w:r>
      <w:r w:rsidRPr="00343635">
        <w:t xml:space="preserve"> a unit of red cells was delivered to the trolley outside the patient’s cubicle; the red cells had not been requested at that time. The two RNs assumed the patient required more blood and checked the details of the red cell unit against the compatibility tag and cross match report outside the patient’s cubicle and commenced the unit of red cells without performing any patient identification checks. The uni</w:t>
      </w:r>
      <w:r w:rsidR="0045458A">
        <w:t>t of red cells administered was</w:t>
      </w:r>
      <w:r w:rsidRPr="00343635">
        <w:t xml:space="preserve"> A </w:t>
      </w:r>
      <w:proofErr w:type="spellStart"/>
      <w:r w:rsidRPr="00343635">
        <w:t>RhD</w:t>
      </w:r>
      <w:proofErr w:type="spellEnd"/>
      <w:r w:rsidRPr="00343635">
        <w:t xml:space="preserve"> positive and cross</w:t>
      </w:r>
      <w:r w:rsidR="00405F1E">
        <w:t>-</w:t>
      </w:r>
      <w:r w:rsidRPr="00343635">
        <w:t>matched for another patient in the ED who required a blood transfusion. There was no similarity in names, birth date or sex.</w:t>
      </w:r>
    </w:p>
    <w:p w14:paraId="0799A3D5" w14:textId="41A17B0E" w:rsidR="00B5678E" w:rsidRPr="00343635" w:rsidRDefault="00B5678E" w:rsidP="009435C0">
      <w:pPr>
        <w:pStyle w:val="DHHSbody"/>
      </w:pPr>
      <w:r w:rsidRPr="00343635">
        <w:t>After approximately 50</w:t>
      </w:r>
      <w:r w:rsidR="00405F1E">
        <w:t>–</w:t>
      </w:r>
      <w:r w:rsidRPr="00343635">
        <w:t>100</w:t>
      </w:r>
      <w:r w:rsidR="00405F1E">
        <w:t> </w:t>
      </w:r>
      <w:proofErr w:type="spellStart"/>
      <w:r w:rsidRPr="00343635">
        <w:t>mls</w:t>
      </w:r>
      <w:proofErr w:type="spellEnd"/>
      <w:r w:rsidRPr="00343635">
        <w:t xml:space="preserve"> of the incorrect red cell unit being transfused, further deterioration occurred and while changing the blood to a rapid infuser the error was recognised. The transfusion was stopped immediately, the ED doctor and Blood Bank were notified and appropriate testing performed in line with the transfusion reaction procedure. Testing confirmed an ABO incompatible transfusion causing haemolysis. A further two units of red cells were administered following the error and the patient was moved into an isolation cubicle for palliation in line with the patient’s and </w:t>
      </w:r>
      <w:proofErr w:type="gramStart"/>
      <w:r w:rsidRPr="00343635">
        <w:t>family’s</w:t>
      </w:r>
      <w:proofErr w:type="gramEnd"/>
      <w:r w:rsidRPr="00343635">
        <w:t xml:space="preserve"> previously expressed wishes and died three hours later. The cause of death was determined to be oesophageal varices with haemorrhage and cirrhosis of the liver. The incompatible transfusion was noted.</w:t>
      </w:r>
    </w:p>
    <w:p w14:paraId="2C2ECDEA" w14:textId="6AFAAF7C" w:rsidR="00B5678E" w:rsidRPr="00343635" w:rsidRDefault="00B5678E" w:rsidP="009435C0">
      <w:pPr>
        <w:pStyle w:val="DHHSbody"/>
      </w:pPr>
      <w:r w:rsidRPr="00343635">
        <w:t xml:space="preserve">The final determination by STIR Expert </w:t>
      </w:r>
      <w:r w:rsidR="00405F1E">
        <w:t>G</w:t>
      </w:r>
      <w:r w:rsidRPr="00343635">
        <w:t>roup was possible IBCT/AHTR, SR</w:t>
      </w:r>
      <w:r w:rsidR="00405F1E">
        <w:t> </w:t>
      </w:r>
      <w:r w:rsidRPr="00343635">
        <w:t>1.</w:t>
      </w:r>
    </w:p>
    <w:p w14:paraId="1A9E51F1" w14:textId="2E2B1B5D" w:rsidR="00B5678E" w:rsidRPr="009435C0" w:rsidRDefault="00B5678E" w:rsidP="009435C0">
      <w:pPr>
        <w:pStyle w:val="Heading4"/>
      </w:pPr>
      <w:r w:rsidRPr="00343635">
        <w:t>Comments</w:t>
      </w:r>
    </w:p>
    <w:p w14:paraId="46BA4C6A" w14:textId="2BCD9F85" w:rsidR="00B5678E" w:rsidRPr="009435C0" w:rsidRDefault="00B5678E" w:rsidP="009435C0">
      <w:pPr>
        <w:pStyle w:val="DHHSbody"/>
      </w:pPr>
      <w:r w:rsidRPr="009435C0">
        <w:t>While this type of error is alarming, it is not an isolated incident and remains a significant clinical risk. The unit collected from the chute was placed at the wrong bedside. The staff checking the blood had a match between the pathology paperwork and the blood product. The failure was in confirming the patient identity at the bedside</w:t>
      </w:r>
      <w:r w:rsidR="00405F1E">
        <w:t>,</w:t>
      </w:r>
      <w:r w:rsidRPr="009435C0">
        <w:t xml:space="preserve"> this is a vital step in preventing error. These types of errors often occur with experienced staff in busy, stressful situations. The need for positive patient identification</w:t>
      </w:r>
      <w:r w:rsidR="00405F1E">
        <w:t xml:space="preserve"> directly</w:t>
      </w:r>
      <w:r w:rsidRPr="009435C0">
        <w:t xml:space="preserve"> between </w:t>
      </w:r>
      <w:r w:rsidR="00405F1E">
        <w:t xml:space="preserve">the </w:t>
      </w:r>
      <w:r w:rsidRPr="009435C0">
        <w:t xml:space="preserve">blood product and </w:t>
      </w:r>
      <w:r w:rsidR="00405F1E">
        <w:t xml:space="preserve">the </w:t>
      </w:r>
      <w:r w:rsidRPr="009435C0">
        <w:t xml:space="preserve">patient cannot be reinforced strongly enough. It is critically important to check the product </w:t>
      </w:r>
      <w:r w:rsidR="00405F1E">
        <w:t>and</w:t>
      </w:r>
      <w:r w:rsidR="00405F1E" w:rsidRPr="009435C0">
        <w:t xml:space="preserve"> </w:t>
      </w:r>
      <w:r w:rsidRPr="009435C0">
        <w:t>the patient each and every time.</w:t>
      </w:r>
    </w:p>
    <w:p w14:paraId="74124B62" w14:textId="58378BDD" w:rsidR="00B5678E" w:rsidRPr="009435C0" w:rsidRDefault="00B5678E" w:rsidP="009435C0">
      <w:pPr>
        <w:pStyle w:val="DHHSbody"/>
      </w:pPr>
      <w:r w:rsidRPr="009435C0">
        <w:t xml:space="preserve">The use of pneumatic chutes for delivery of blood products to areas is becoming more common. The literature focuses on the validation of the chutes in relation to viability of the product, but does not provide safety advice on the collection of the product from the chute and then the delivery to the patient. Unlike collection from a blood fridge or blood bank, there is often no requirement for the use of patient identifiers </w:t>
      </w:r>
      <w:r w:rsidRPr="009435C0">
        <w:lastRenderedPageBreak/>
        <w:t>and/or the qualification of the person permitted to collect blood from a chute. In addition</w:t>
      </w:r>
      <w:r w:rsidR="00405F1E">
        <w:t>,</w:t>
      </w:r>
      <w:r w:rsidRPr="009435C0">
        <w:t xml:space="preserve"> staff members passing the chute, being aware of the limitations around time out of refrigeration for blood products, can collect and take blood to patients they are not assigned. In a busy department, it may be left near or at the patient side for the assigned nurse caring for that patient to find and check. There may be no check if it has been delivered to the correct patient.</w:t>
      </w:r>
    </w:p>
    <w:p w14:paraId="7CE2D660" w14:textId="65FD87AE" w:rsidR="00B5678E" w:rsidRPr="009435C0" w:rsidRDefault="00B5678E" w:rsidP="009435C0">
      <w:pPr>
        <w:pStyle w:val="DHHSbody"/>
      </w:pPr>
      <w:r w:rsidRPr="009435C0">
        <w:t>Health services introducing pneumatic chute systems need to validate not only the safety of the chute for delivery of blood products, but also the safety of the collection process from that chute.</w:t>
      </w:r>
    </w:p>
    <w:p w14:paraId="254710BF" w14:textId="7CB29851" w:rsidR="00B5678E" w:rsidRPr="009435C0" w:rsidRDefault="00B5678E" w:rsidP="009435C0">
      <w:pPr>
        <w:pStyle w:val="DHHSbody"/>
      </w:pPr>
      <w:r w:rsidRPr="009435C0">
        <w:t>The actions resulting from the incident investigation</w:t>
      </w:r>
      <w:r w:rsidR="00405F1E">
        <w:t xml:space="preserve"> included</w:t>
      </w:r>
      <w:r w:rsidRPr="009435C0">
        <w:t>:</w:t>
      </w:r>
    </w:p>
    <w:p w14:paraId="325A2A35" w14:textId="3E731ED6" w:rsidR="00B5678E" w:rsidRPr="009435C0" w:rsidRDefault="00405F1E" w:rsidP="00080269">
      <w:pPr>
        <w:pStyle w:val="DHHSbullet1"/>
      </w:pPr>
      <w:r>
        <w:t>a</w:t>
      </w:r>
      <w:r w:rsidRPr="009435C0">
        <w:t xml:space="preserve">n </w:t>
      </w:r>
      <w:r w:rsidR="00B5678E" w:rsidRPr="009435C0">
        <w:t>education campaign highlighting the need to ensure patient identification checks matched to the product are carried out correctly</w:t>
      </w:r>
    </w:p>
    <w:p w14:paraId="4811FD48" w14:textId="6172CC09" w:rsidR="00B5678E" w:rsidRPr="009435C0" w:rsidRDefault="00405F1E" w:rsidP="00080269">
      <w:pPr>
        <w:pStyle w:val="DHHSbullet1"/>
      </w:pPr>
      <w:r>
        <w:t>b</w:t>
      </w:r>
      <w:r w:rsidRPr="009435C0">
        <w:t xml:space="preserve">lood </w:t>
      </w:r>
      <w:r w:rsidR="00B5678E" w:rsidRPr="009435C0">
        <w:t>delivery via the chute has been reduced</w:t>
      </w:r>
    </w:p>
    <w:p w14:paraId="752E9EAD" w14:textId="36E78C82" w:rsidR="00B5678E" w:rsidRPr="009435C0" w:rsidRDefault="00405F1E" w:rsidP="00080269">
      <w:pPr>
        <w:pStyle w:val="DHHSbullet1"/>
      </w:pPr>
      <w:r>
        <w:t>i</w:t>
      </w:r>
      <w:r w:rsidRPr="009435C0">
        <w:t xml:space="preserve">ncreased </w:t>
      </w:r>
      <w:r w:rsidR="00B5678E" w:rsidRPr="009435C0">
        <w:t>use of onsite blood fridges for planned transfusions</w:t>
      </w:r>
    </w:p>
    <w:p w14:paraId="188A45CA" w14:textId="6C061B09" w:rsidR="00B5678E" w:rsidRPr="009435C0" w:rsidRDefault="00405F1E" w:rsidP="00080269">
      <w:pPr>
        <w:pStyle w:val="DHHSbullet1"/>
      </w:pPr>
      <w:r>
        <w:t>o</w:t>
      </w:r>
      <w:r w:rsidRPr="009435C0">
        <w:t xml:space="preserve">ne </w:t>
      </w:r>
      <w:r w:rsidR="00B5678E" w:rsidRPr="009435C0">
        <w:t>pneumatic chute in the clinical area involved has been dedicated to blood only</w:t>
      </w:r>
    </w:p>
    <w:p w14:paraId="0BA42270" w14:textId="04BC045F" w:rsidR="00B5678E" w:rsidRPr="009435C0" w:rsidRDefault="00405F1E" w:rsidP="00080269">
      <w:pPr>
        <w:pStyle w:val="DHHSbullet1"/>
      </w:pPr>
      <w:r>
        <w:t>s</w:t>
      </w:r>
      <w:r w:rsidRPr="009435C0">
        <w:t xml:space="preserve">taff </w:t>
      </w:r>
      <w:r w:rsidR="00B5678E" w:rsidRPr="009435C0">
        <w:t>collecting blood from that chute must be appropriately qualified to collect the product</w:t>
      </w:r>
    </w:p>
    <w:p w14:paraId="32C9E42D" w14:textId="703D073F" w:rsidR="00B5678E" w:rsidRPr="009435C0" w:rsidRDefault="00405F1E" w:rsidP="00080269">
      <w:pPr>
        <w:pStyle w:val="DHHSbullet1"/>
      </w:pPr>
      <w:r>
        <w:t>w</w:t>
      </w:r>
      <w:r w:rsidRPr="009435C0">
        <w:t xml:space="preserve">orking </w:t>
      </w:r>
      <w:r w:rsidR="00B5678E" w:rsidRPr="009435C0">
        <w:t>towards replacing the crossmatch report that comes with the blood with a sticker, to remove the potential to use the pathology form as patient identification</w:t>
      </w:r>
    </w:p>
    <w:p w14:paraId="064362C0" w14:textId="2D15DB7C" w:rsidR="00B5678E" w:rsidRPr="009435C0" w:rsidRDefault="00405F1E" w:rsidP="00080269">
      <w:pPr>
        <w:pStyle w:val="DHHSbullet1"/>
      </w:pPr>
      <w:r>
        <w:t>a</w:t>
      </w:r>
      <w:r w:rsidRPr="009435C0">
        <w:t xml:space="preserve"> </w:t>
      </w:r>
      <w:r w:rsidR="00B5678E" w:rsidRPr="009435C0">
        <w:t>business case for an electronic blood scanning system was unsuccessful</w:t>
      </w:r>
    </w:p>
    <w:p w14:paraId="62300F67" w14:textId="3A91EF80" w:rsidR="00B5678E" w:rsidRPr="009435C0" w:rsidRDefault="00405F1E" w:rsidP="00080269">
      <w:pPr>
        <w:pStyle w:val="DHHSbullet1"/>
      </w:pPr>
      <w:r>
        <w:t>s</w:t>
      </w:r>
      <w:r w:rsidRPr="009435C0">
        <w:t xml:space="preserve">taffing </w:t>
      </w:r>
      <w:r w:rsidR="00B5678E" w:rsidRPr="009435C0">
        <w:t>and workflow are being looked at as ongoing issues in the ED.</w:t>
      </w:r>
    </w:p>
    <w:p w14:paraId="38BCF165" w14:textId="41731019" w:rsidR="00B5678E" w:rsidRPr="009435C0" w:rsidRDefault="000E4EF5" w:rsidP="00080269">
      <w:pPr>
        <w:pStyle w:val="Heading3"/>
      </w:pPr>
      <w:bookmarkStart w:id="40" w:name="_Toc24287440"/>
      <w:r>
        <w:t xml:space="preserve">Case study </w:t>
      </w:r>
      <w:r w:rsidR="00B5678E" w:rsidRPr="00343635">
        <w:t>11</w:t>
      </w:r>
      <w:r>
        <w:t>:</w:t>
      </w:r>
      <w:r w:rsidRPr="00343635">
        <w:t xml:space="preserve"> </w:t>
      </w:r>
      <w:r w:rsidR="00B5678E" w:rsidRPr="00343635">
        <w:t xml:space="preserve">IBCT </w:t>
      </w:r>
      <w:r>
        <w:t>–</w:t>
      </w:r>
      <w:r w:rsidRPr="00343635">
        <w:t xml:space="preserve"> </w:t>
      </w:r>
      <w:proofErr w:type="spellStart"/>
      <w:r w:rsidR="00B5678E" w:rsidRPr="00343635">
        <w:t>RhD</w:t>
      </w:r>
      <w:proofErr w:type="spellEnd"/>
      <w:r w:rsidR="00B5678E" w:rsidRPr="00343635">
        <w:t xml:space="preserve"> </w:t>
      </w:r>
      <w:r w:rsidR="00B5678E" w:rsidRPr="009435C0">
        <w:t>incompatible</w:t>
      </w:r>
      <w:r w:rsidR="00B5678E" w:rsidRPr="00343635">
        <w:t xml:space="preserve"> transfusion</w:t>
      </w:r>
      <w:bookmarkEnd w:id="40"/>
    </w:p>
    <w:p w14:paraId="43856F4E" w14:textId="763D6219" w:rsidR="00B5678E" w:rsidRPr="009435C0" w:rsidRDefault="00B5678E" w:rsidP="009435C0">
      <w:pPr>
        <w:pStyle w:val="DHHSbody"/>
      </w:pPr>
      <w:r w:rsidRPr="009435C0">
        <w:t xml:space="preserve">A man was admitted with symptomatic anaemia. He received a red cell transfusion without incident and was subsequently discharged. The patient returned to the health service two weeks later and another blood grouping was performed. At this time the laboratory noted that the patient blood group was AB </w:t>
      </w:r>
      <w:proofErr w:type="spellStart"/>
      <w:r w:rsidRPr="009435C0">
        <w:t>RhD</w:t>
      </w:r>
      <w:proofErr w:type="spellEnd"/>
      <w:r w:rsidRPr="009435C0">
        <w:t xml:space="preserve"> negative, consistent with previous results. However, it was also noted at this time the patient had received A </w:t>
      </w:r>
      <w:proofErr w:type="spellStart"/>
      <w:r w:rsidRPr="009435C0">
        <w:t>RhD</w:t>
      </w:r>
      <w:proofErr w:type="spellEnd"/>
      <w:r w:rsidRPr="009435C0">
        <w:t xml:space="preserve"> positive red cell units in his last visit. This had not been noted prior to this. Neither the laboratory nor the nurses administering the product noted the discrepancy in </w:t>
      </w:r>
      <w:proofErr w:type="spellStart"/>
      <w:r w:rsidRPr="009435C0">
        <w:t>RhD</w:t>
      </w:r>
      <w:proofErr w:type="spellEnd"/>
      <w:r w:rsidRPr="009435C0">
        <w:t xml:space="preserve"> status at the time of transfusion. Long</w:t>
      </w:r>
      <w:r w:rsidR="000E4EF5">
        <w:t>-</w:t>
      </w:r>
      <w:r w:rsidRPr="009435C0">
        <w:t>term follow up was not possible as the patient had been on holiday in Australia and had returned home. Open disclosure of the event did occur.</w:t>
      </w:r>
    </w:p>
    <w:p w14:paraId="710BE557" w14:textId="77777777" w:rsidR="00B5678E" w:rsidRPr="009435C0" w:rsidRDefault="00B5678E" w:rsidP="009435C0">
      <w:pPr>
        <w:pStyle w:val="DHHSbody"/>
      </w:pPr>
      <w:r w:rsidRPr="009435C0">
        <w:t xml:space="preserve">The health service investigated and performed </w:t>
      </w:r>
      <w:proofErr w:type="gramStart"/>
      <w:r w:rsidRPr="009435C0">
        <w:t>a</w:t>
      </w:r>
      <w:proofErr w:type="gramEnd"/>
      <w:r w:rsidRPr="009435C0">
        <w:t xml:space="preserve"> RCA on this event. This included consultation with the external pathology service, which was instrumental in implementing the changes required.</w:t>
      </w:r>
    </w:p>
    <w:p w14:paraId="706A2AEC" w14:textId="2BE9632D" w:rsidR="00B5678E" w:rsidRPr="009435C0" w:rsidRDefault="00B5678E" w:rsidP="009435C0">
      <w:pPr>
        <w:pStyle w:val="DHHSbody"/>
      </w:pPr>
      <w:r w:rsidRPr="009435C0">
        <w:t>There were four main root causes identified:</w:t>
      </w:r>
    </w:p>
    <w:p w14:paraId="33FD845D" w14:textId="2447C6AF" w:rsidR="00B5678E" w:rsidRPr="009435C0" w:rsidRDefault="00B5678E" w:rsidP="00080269">
      <w:pPr>
        <w:pStyle w:val="DHHSnumberdigit"/>
      </w:pPr>
      <w:r w:rsidRPr="009435C0">
        <w:t>The electronic crossmatch system generates caution/alert pop</w:t>
      </w:r>
      <w:r w:rsidR="000E4EF5">
        <w:t>-</w:t>
      </w:r>
      <w:r w:rsidRPr="009435C0">
        <w:t xml:space="preserve">ups for all mismatches, even when </w:t>
      </w:r>
      <w:r w:rsidR="000E4EF5" w:rsidRPr="009435C0">
        <w:t>O</w:t>
      </w:r>
      <w:r w:rsidR="000E4EF5">
        <w:t> </w:t>
      </w:r>
      <w:proofErr w:type="spellStart"/>
      <w:r w:rsidRPr="009435C0">
        <w:t>RhD</w:t>
      </w:r>
      <w:proofErr w:type="spellEnd"/>
      <w:r w:rsidRPr="009435C0">
        <w:t xml:space="preserve"> negative (universal donor) blood is matched. This results in pop</w:t>
      </w:r>
      <w:r w:rsidR="000E4EF5">
        <w:t>-</w:t>
      </w:r>
      <w:r w:rsidRPr="009435C0">
        <w:t>ups occurring frequently, ultimately causing alarm fatigue and diminished interrogation of such alerts.</w:t>
      </w:r>
    </w:p>
    <w:p w14:paraId="1FCBBB87" w14:textId="75F17079" w:rsidR="00B5678E" w:rsidRPr="009435C0" w:rsidRDefault="00B5678E" w:rsidP="00080269">
      <w:pPr>
        <w:pStyle w:val="DHHSnumberdigit"/>
      </w:pPr>
      <w:r w:rsidRPr="009435C0">
        <w:t>Caution/alert pop</w:t>
      </w:r>
      <w:r w:rsidR="000E4EF5">
        <w:t>-</w:t>
      </w:r>
      <w:r w:rsidRPr="009435C0">
        <w:t xml:space="preserve">ups for </w:t>
      </w:r>
      <w:proofErr w:type="spellStart"/>
      <w:r w:rsidRPr="009435C0">
        <w:t>RhD</w:t>
      </w:r>
      <w:proofErr w:type="spellEnd"/>
      <w:r w:rsidRPr="009435C0">
        <w:t xml:space="preserve"> mismatch can be overridden </w:t>
      </w:r>
      <w:r w:rsidR="000E4EF5">
        <w:t>with</w:t>
      </w:r>
      <w:r w:rsidR="000E4EF5" w:rsidRPr="009435C0">
        <w:t xml:space="preserve"> </w:t>
      </w:r>
      <w:r w:rsidRPr="009435C0">
        <w:t>a single click by a staff member. No additional information is required. The electronic crossmatch system does not require evidence of consultation with the treating clinician and haematologist as required in local work flow.</w:t>
      </w:r>
    </w:p>
    <w:p w14:paraId="65E5F86A" w14:textId="77777777" w:rsidR="00B5678E" w:rsidRPr="009435C0" w:rsidRDefault="00B5678E" w:rsidP="00080269">
      <w:pPr>
        <w:pStyle w:val="DHHSnumberdigit"/>
      </w:pPr>
      <w:r w:rsidRPr="009435C0">
        <w:t>There is no visual cue on blood unit label or issue report to alert staff administering the blood that a mismatch has been identified.</w:t>
      </w:r>
    </w:p>
    <w:p w14:paraId="4277FA8F" w14:textId="4A74D18F" w:rsidR="00B5678E" w:rsidRPr="009435C0" w:rsidRDefault="00B5678E" w:rsidP="00080269">
      <w:pPr>
        <w:pStyle w:val="DHHSnumberdigit"/>
      </w:pPr>
      <w:r w:rsidRPr="009435C0">
        <w:t>Nursing staff felt rushed and distracted by family members in the room whil</w:t>
      </w:r>
      <w:r w:rsidR="000E4EF5">
        <w:t>e</w:t>
      </w:r>
      <w:r w:rsidRPr="009435C0">
        <w:t xml:space="preserve"> the checking process was being undertaken.</w:t>
      </w:r>
    </w:p>
    <w:p w14:paraId="0FD42A0D" w14:textId="77777777" w:rsidR="00B5678E" w:rsidRPr="009435C0" w:rsidRDefault="00B5678E" w:rsidP="009435C0">
      <w:pPr>
        <w:pStyle w:val="DHHSbody"/>
      </w:pPr>
      <w:r w:rsidRPr="009435C0">
        <w:t>The changes implemented to address these issues are:</w:t>
      </w:r>
    </w:p>
    <w:p w14:paraId="595DEFFD" w14:textId="321C64D0" w:rsidR="00B5678E" w:rsidRPr="009435C0" w:rsidRDefault="00B5678E" w:rsidP="00080269">
      <w:pPr>
        <w:pStyle w:val="DHHSnumberdigit"/>
        <w:numPr>
          <w:ilvl w:val="0"/>
          <w:numId w:val="30"/>
        </w:numPr>
      </w:pPr>
      <w:r w:rsidRPr="009435C0">
        <w:t xml:space="preserve">The electronic </w:t>
      </w:r>
      <w:proofErr w:type="spellStart"/>
      <w:r w:rsidRPr="009435C0">
        <w:t>crossmatching</w:t>
      </w:r>
      <w:proofErr w:type="spellEnd"/>
      <w:r w:rsidRPr="009435C0">
        <w:t xml:space="preserve"> system has been reconfigured to reflect the changes</w:t>
      </w:r>
      <w:r w:rsidR="000E4EF5">
        <w:t>, that is,</w:t>
      </w:r>
      <w:r w:rsidRPr="009435C0">
        <w:t xml:space="preserve"> clinically irrelevant alerts have been stopped</w:t>
      </w:r>
      <w:r w:rsidR="000E4EF5">
        <w:t>, and there have been</w:t>
      </w:r>
      <w:r w:rsidRPr="009435C0">
        <w:t xml:space="preserve"> changes to the wording of the </w:t>
      </w:r>
      <w:proofErr w:type="spellStart"/>
      <w:r w:rsidRPr="009435C0">
        <w:t>RhD</w:t>
      </w:r>
      <w:proofErr w:type="spellEnd"/>
      <w:r w:rsidRPr="009435C0">
        <w:t xml:space="preserve"> mismatch alert.</w:t>
      </w:r>
    </w:p>
    <w:p w14:paraId="03CCB0C1" w14:textId="77777777" w:rsidR="00B5678E" w:rsidRPr="009435C0" w:rsidRDefault="00B5678E" w:rsidP="00080269">
      <w:pPr>
        <w:pStyle w:val="DHHSnumberdigit"/>
        <w:numPr>
          <w:ilvl w:val="0"/>
          <w:numId w:val="30"/>
        </w:numPr>
      </w:pPr>
      <w:r w:rsidRPr="009435C0">
        <w:lastRenderedPageBreak/>
        <w:t>The relevant standard operating procedures have been altered to reflect the new process and IT changes. This includes workflow requiring the scientist to consult with the haematologist and referring clinician.</w:t>
      </w:r>
    </w:p>
    <w:p w14:paraId="5EA5888B" w14:textId="065446D3" w:rsidR="00B5678E" w:rsidRPr="009435C0" w:rsidRDefault="00B5678E" w:rsidP="00080269">
      <w:pPr>
        <w:pStyle w:val="DHHSnumberdigit"/>
        <w:numPr>
          <w:ilvl w:val="0"/>
          <w:numId w:val="30"/>
        </w:numPr>
      </w:pPr>
      <w:r w:rsidRPr="009435C0">
        <w:t>A memo has been sent to all laboratory managers to ensure communication of the changes occurs in all areas.</w:t>
      </w:r>
    </w:p>
    <w:p w14:paraId="0F7431B0" w14:textId="77777777" w:rsidR="00B5678E" w:rsidRPr="009435C0" w:rsidRDefault="00B5678E" w:rsidP="00080269">
      <w:pPr>
        <w:pStyle w:val="DHHSnumberdigit"/>
        <w:numPr>
          <w:ilvl w:val="0"/>
          <w:numId w:val="30"/>
        </w:numPr>
      </w:pPr>
      <w:r w:rsidRPr="009435C0">
        <w:t>In addition, there has been additional communication with each of the laboratory managers as to the new changes.</w:t>
      </w:r>
    </w:p>
    <w:p w14:paraId="77A2E3B5" w14:textId="6A2DB629" w:rsidR="00B5678E" w:rsidRPr="009435C0" w:rsidRDefault="00B5678E" w:rsidP="009435C0">
      <w:pPr>
        <w:pStyle w:val="DHHSbody"/>
      </w:pPr>
      <w:r w:rsidRPr="009435C0">
        <w:t xml:space="preserve">The final determination by </w:t>
      </w:r>
      <w:r w:rsidR="000E4EF5">
        <w:t xml:space="preserve">the </w:t>
      </w:r>
      <w:r w:rsidRPr="009435C0">
        <w:t xml:space="preserve">STIR Expert </w:t>
      </w:r>
      <w:r w:rsidR="000E4EF5">
        <w:t>G</w:t>
      </w:r>
      <w:r w:rsidR="000E4EF5" w:rsidRPr="009435C0">
        <w:t xml:space="preserve">roup </w:t>
      </w:r>
      <w:r w:rsidRPr="009435C0">
        <w:t>was IBCT, certainly, SR</w:t>
      </w:r>
      <w:r w:rsidR="000E4EF5">
        <w:t> </w:t>
      </w:r>
      <w:r w:rsidRPr="009435C0">
        <w:t>4.</w:t>
      </w:r>
    </w:p>
    <w:p w14:paraId="3F068E7D" w14:textId="76B234DC" w:rsidR="00B5678E" w:rsidRPr="00343635" w:rsidRDefault="00B5678E" w:rsidP="009435C0">
      <w:pPr>
        <w:pStyle w:val="Heading4"/>
      </w:pPr>
      <w:r w:rsidRPr="00343635">
        <w:t>Comments</w:t>
      </w:r>
    </w:p>
    <w:p w14:paraId="79953570" w14:textId="2DA2C054" w:rsidR="00B5678E" w:rsidRPr="009435C0" w:rsidRDefault="00B5678E" w:rsidP="009435C0">
      <w:pPr>
        <w:pStyle w:val="DHHSbody"/>
      </w:pPr>
      <w:r w:rsidRPr="009435C0">
        <w:t xml:space="preserve">The health service worked closely with the pathology provider, </w:t>
      </w:r>
      <w:r w:rsidR="000E4EF5">
        <w:t>which was</w:t>
      </w:r>
      <w:r w:rsidRPr="009435C0">
        <w:t xml:space="preserve"> an integral part of the investigation and implementation of changes to prevent a recurrence. </w:t>
      </w:r>
    </w:p>
    <w:p w14:paraId="6C2FF655" w14:textId="57B91947" w:rsidR="00B5678E" w:rsidRPr="009435C0" w:rsidRDefault="00B5678E" w:rsidP="009435C0">
      <w:pPr>
        <w:pStyle w:val="DHHSbody"/>
      </w:pPr>
      <w:r w:rsidRPr="009435C0">
        <w:t>Excessive pop</w:t>
      </w:r>
      <w:r w:rsidR="000E4EF5">
        <w:t>-</w:t>
      </w:r>
      <w:r w:rsidRPr="009435C0">
        <w:t xml:space="preserve">up alerts in electronic systems have long been recognised as an issue, causing alert fatigue. When many of the alerts are not critical and </w:t>
      </w:r>
      <w:r w:rsidR="000E4EF5">
        <w:t xml:space="preserve">are </w:t>
      </w:r>
      <w:r w:rsidRPr="009435C0">
        <w:t>easily over-ridden, it becomes second nature for staff to react to the alert without really reading it. This can lead to missing vital warnings. Removing unnecessary alerts is an important aspect of the work undertaken to prevent a recurrence of this event. Consideration could also be given to force the user to record a comment explaining the reason for the override</w:t>
      </w:r>
      <w:r w:rsidR="000E4EF5">
        <w:t>,</w:t>
      </w:r>
      <w:r w:rsidRPr="009435C0">
        <w:t xml:space="preserve"> which would focus the mind of the issuing biomedical scientist (positive acknowledgment), </w:t>
      </w:r>
      <w:r w:rsidR="000E4EF5">
        <w:t>(</w:t>
      </w:r>
      <w:r w:rsidRPr="009435C0">
        <w:t>SHOT 2017</w:t>
      </w:r>
      <w:r w:rsidR="000E4EF5">
        <w:t>)</w:t>
      </w:r>
      <w:r w:rsidRPr="009435C0">
        <w:t>.</w:t>
      </w:r>
    </w:p>
    <w:p w14:paraId="070A0368" w14:textId="77777777" w:rsidR="00B5678E" w:rsidRPr="009435C0" w:rsidRDefault="00B5678E" w:rsidP="009435C0">
      <w:pPr>
        <w:pStyle w:val="DHHSbody"/>
      </w:pPr>
      <w:r w:rsidRPr="009435C0">
        <w:t xml:space="preserve">Nursing staff also need to be aware of the importance of the bedside checks and the need to focus on what they are checking so as not to miss discrepancies such as this. Patients and family need to be made aware of the importance of this checking process, so that they do not interrupt unnecessarily. </w:t>
      </w:r>
    </w:p>
    <w:p w14:paraId="26316F3F" w14:textId="1D1C4D00" w:rsidR="00B5678E" w:rsidRPr="009435C0" w:rsidRDefault="00B5678E" w:rsidP="009435C0">
      <w:pPr>
        <w:pStyle w:val="DHHSbody"/>
      </w:pPr>
      <w:r w:rsidRPr="009435C0">
        <w:t>There are electronic systems available to assist nurses to complete the bedside checking procedure. Before these are implemented</w:t>
      </w:r>
      <w:r w:rsidR="000E4EF5">
        <w:t>,</w:t>
      </w:r>
      <w:r w:rsidRPr="009435C0">
        <w:t xml:space="preserve"> it is important to ensure the system does what is needed and does not add complexity to the checking. It is also vital to ensure staff do not become reliant on the system to perform the patient identity check</w:t>
      </w:r>
      <w:r w:rsidR="000E4EF5">
        <w:t>.</w:t>
      </w:r>
      <w:r w:rsidRPr="009435C0">
        <w:t xml:space="preserve"> </w:t>
      </w:r>
      <w:r w:rsidR="000E4EF5">
        <w:t>T</w:t>
      </w:r>
      <w:r w:rsidR="000E4EF5" w:rsidRPr="009435C0">
        <w:t xml:space="preserve">his </w:t>
      </w:r>
      <w:r w:rsidRPr="009435C0">
        <w:t>still needs to be a positive patient identification process involving the patient wherever possible.</w:t>
      </w:r>
    </w:p>
    <w:p w14:paraId="08EA94D5" w14:textId="08592837" w:rsidR="00B5678E" w:rsidRPr="00343635" w:rsidRDefault="000E4EF5" w:rsidP="009435C0">
      <w:pPr>
        <w:pStyle w:val="Heading3"/>
      </w:pPr>
      <w:bookmarkStart w:id="41" w:name="_Toc24287441"/>
      <w:r>
        <w:t xml:space="preserve">Case study </w:t>
      </w:r>
      <w:r w:rsidR="00B5678E" w:rsidRPr="00343635">
        <w:t>12</w:t>
      </w:r>
      <w:r>
        <w:t>:</w:t>
      </w:r>
      <w:r w:rsidRPr="00343635">
        <w:t xml:space="preserve"> </w:t>
      </w:r>
      <w:r w:rsidR="00B5678E" w:rsidRPr="00343635">
        <w:t>IBCT – over</w:t>
      </w:r>
      <w:r>
        <w:t>-</w:t>
      </w:r>
      <w:r w:rsidR="00B5678E" w:rsidRPr="009435C0">
        <w:t>transfusion</w:t>
      </w:r>
      <w:r w:rsidR="00B5678E" w:rsidRPr="00343635">
        <w:t xml:space="preserve"> of infant</w:t>
      </w:r>
      <w:bookmarkEnd w:id="41"/>
    </w:p>
    <w:p w14:paraId="2A5C5572" w14:textId="45CED1C3" w:rsidR="00B5678E" w:rsidRPr="009435C0" w:rsidRDefault="00B5678E" w:rsidP="009435C0">
      <w:pPr>
        <w:pStyle w:val="DHHSbody"/>
      </w:pPr>
      <w:r w:rsidRPr="009435C0">
        <w:t>An infant who had undergone neurological surgery was prescribed three units of red cells via an electronic order. Orders are usually weight-based for children of this age, and as this child was less than 20</w:t>
      </w:r>
      <w:r w:rsidR="000E4EF5">
        <w:t> </w:t>
      </w:r>
      <w:r w:rsidRPr="009435C0">
        <w:t>kg</w:t>
      </w:r>
      <w:r w:rsidR="000E4EF5">
        <w:t>,</w:t>
      </w:r>
      <w:r w:rsidRPr="009435C0">
        <w:t xml:space="preserve"> the order should have been placed in mL rather than units. </w:t>
      </w:r>
    </w:p>
    <w:p w14:paraId="3346B462" w14:textId="6A0CB6D6" w:rsidR="00B5678E" w:rsidRPr="009435C0" w:rsidRDefault="00B5678E" w:rsidP="009435C0">
      <w:pPr>
        <w:pStyle w:val="DHHSbody"/>
      </w:pPr>
      <w:r w:rsidRPr="009435C0">
        <w:t xml:space="preserve">The health service electronic system does not allow for ordering of units for a child </w:t>
      </w:r>
      <w:r w:rsidR="000E4EF5">
        <w:t>u</w:t>
      </w:r>
      <w:r w:rsidR="00354C0C">
        <w:t>nder</w:t>
      </w:r>
      <w:r w:rsidRPr="009435C0">
        <w:t xml:space="preserve"> 20</w:t>
      </w:r>
      <w:r w:rsidR="000E4EF5">
        <w:t> </w:t>
      </w:r>
      <w:r w:rsidRPr="009435C0">
        <w:t>kg, so the medical officer overrode the system by changing the weight to greater than 20kg. The laboratory filled the order as requested. Nursing staff did question the order with the prescribing medical officer and raised it with senior nursing staff, but did not take the concern further.</w:t>
      </w:r>
    </w:p>
    <w:p w14:paraId="3A82CF65" w14:textId="27F8891C" w:rsidR="00B5678E" w:rsidRPr="009435C0" w:rsidRDefault="00B5678E" w:rsidP="009435C0">
      <w:pPr>
        <w:pStyle w:val="DHHSbody"/>
      </w:pPr>
      <w:r w:rsidRPr="009435C0">
        <w:t xml:space="preserve">The infant received two units, with review between units. The third unit was not started after the nursing staff were unable to withdraw blood from the central venous catheter, and there was concern that it was dislodged. A decision was made to wait until the morning review for any further transfusion. The next day the infant was noted to have some facial and head swelling, which was not unexpected given the type of surgery. A problem was noted when the check </w:t>
      </w:r>
      <w:proofErr w:type="spellStart"/>
      <w:r w:rsidRPr="009435C0">
        <w:t>Hb</w:t>
      </w:r>
      <w:proofErr w:type="spellEnd"/>
      <w:r w:rsidRPr="009435C0">
        <w:t xml:space="preserve"> came back at 201</w:t>
      </w:r>
      <w:r w:rsidR="00354C0C">
        <w:t> </w:t>
      </w:r>
      <w:r w:rsidRPr="009435C0">
        <w:t xml:space="preserve">g/L. Intravenous access and venesection was difficult and initially the decision was made to observe the infant and </w:t>
      </w:r>
      <w:proofErr w:type="spellStart"/>
      <w:r w:rsidRPr="009435C0">
        <w:t>venesect</w:t>
      </w:r>
      <w:proofErr w:type="spellEnd"/>
      <w:r w:rsidRPr="009435C0">
        <w:t xml:space="preserve"> if there was a change in condition. When the next day the </w:t>
      </w:r>
      <w:proofErr w:type="spellStart"/>
      <w:r w:rsidRPr="009435C0">
        <w:t>Hb</w:t>
      </w:r>
      <w:proofErr w:type="spellEnd"/>
      <w:r w:rsidRPr="009435C0">
        <w:t xml:space="preserve"> was still 199</w:t>
      </w:r>
      <w:r w:rsidR="00354C0C">
        <w:t> </w:t>
      </w:r>
      <w:r w:rsidRPr="009435C0">
        <w:t xml:space="preserve">g/L, and the patient was hypertensive; venesection was undertaken. Two venesections on consecutive days were required, with a final </w:t>
      </w:r>
      <w:proofErr w:type="spellStart"/>
      <w:r w:rsidRPr="009435C0">
        <w:t>Hb</w:t>
      </w:r>
      <w:proofErr w:type="spellEnd"/>
      <w:r w:rsidRPr="009435C0">
        <w:t xml:space="preserve"> of 169</w:t>
      </w:r>
      <w:r w:rsidR="00354C0C">
        <w:t> </w:t>
      </w:r>
      <w:r w:rsidRPr="009435C0">
        <w:t xml:space="preserve">g/L. </w:t>
      </w:r>
    </w:p>
    <w:p w14:paraId="475B2D95" w14:textId="04CF1832" w:rsidR="00B5678E" w:rsidRPr="009435C0" w:rsidRDefault="00B5678E" w:rsidP="009435C0">
      <w:pPr>
        <w:pStyle w:val="Heading4"/>
      </w:pPr>
      <w:r w:rsidRPr="009435C0">
        <w:lastRenderedPageBreak/>
        <w:t>Comments</w:t>
      </w:r>
    </w:p>
    <w:p w14:paraId="0FF08972" w14:textId="12A4EB0E" w:rsidR="00B5678E" w:rsidRPr="009435C0" w:rsidRDefault="00354C0C" w:rsidP="009435C0">
      <w:pPr>
        <w:pStyle w:val="DHHSbody"/>
      </w:pPr>
      <w:r>
        <w:t>Orders must be clear a</w:t>
      </w:r>
      <w:r w:rsidRPr="009435C0">
        <w:t xml:space="preserve">t </w:t>
      </w:r>
      <w:r w:rsidR="00B5678E" w:rsidRPr="009435C0">
        <w:t>all steps in the transfusion chain. Where there is any concern or confusion, this must be remedied prior to moving on.</w:t>
      </w:r>
    </w:p>
    <w:p w14:paraId="2F6F43FC" w14:textId="5A3C36B3" w:rsidR="00B5678E" w:rsidRPr="00343635" w:rsidRDefault="00354C0C" w:rsidP="00080269">
      <w:pPr>
        <w:pStyle w:val="Heading3"/>
      </w:pPr>
      <w:bookmarkStart w:id="42" w:name="_Toc24287442"/>
      <w:r>
        <w:t xml:space="preserve">Case study </w:t>
      </w:r>
      <w:r w:rsidR="00B5678E" w:rsidRPr="00343635">
        <w:t>13</w:t>
      </w:r>
      <w:r>
        <w:t>:</w:t>
      </w:r>
      <w:r w:rsidRPr="00343635">
        <w:t xml:space="preserve"> </w:t>
      </w:r>
      <w:r w:rsidR="00B5678E" w:rsidRPr="00343635">
        <w:t xml:space="preserve">IBCT </w:t>
      </w:r>
      <w:r>
        <w:t>–</w:t>
      </w:r>
      <w:r w:rsidRPr="00343635">
        <w:t xml:space="preserve"> </w:t>
      </w:r>
      <w:r w:rsidR="00B5678E" w:rsidRPr="00354C0C">
        <w:t>communication</w:t>
      </w:r>
      <w:r w:rsidR="00B5678E" w:rsidRPr="00343635">
        <w:t xml:space="preserve"> issues lead to wrong patient transfused</w:t>
      </w:r>
      <w:bookmarkEnd w:id="42"/>
    </w:p>
    <w:p w14:paraId="5A8FF522" w14:textId="33130E75" w:rsidR="00B5678E" w:rsidRPr="00343635" w:rsidRDefault="00B5678E" w:rsidP="009435C0">
      <w:pPr>
        <w:pStyle w:val="DHHSbody"/>
      </w:pPr>
      <w:r w:rsidRPr="00343635">
        <w:t>The medical Fellow handed over to the Registrar, who then handed the instruction over to the night intern that patient A needed a single unit of red cells transfused. A miscommunication in the handover resulted in patient B, receiving an unnecessary transfusion.</w:t>
      </w:r>
    </w:p>
    <w:p w14:paraId="5FBC0A58" w14:textId="530B65EA" w:rsidR="00B5678E" w:rsidRPr="009435C0" w:rsidRDefault="00B5678E" w:rsidP="009435C0">
      <w:pPr>
        <w:pStyle w:val="Heading4"/>
      </w:pPr>
      <w:r w:rsidRPr="00343635">
        <w:t>Comments</w:t>
      </w:r>
    </w:p>
    <w:p w14:paraId="4BE5A883" w14:textId="77777777" w:rsidR="00B5678E" w:rsidRPr="009435C0" w:rsidRDefault="00B5678E" w:rsidP="009435C0">
      <w:pPr>
        <w:pStyle w:val="DHHSbody"/>
      </w:pPr>
      <w:r w:rsidRPr="009435C0">
        <w:t>The report indicated this was a routine transfusion that occurred overnight. As stated previously, routine transfusions should be occurring in business hours when possible and not overnight. Had the decision been delayed to the morning (if suitable), staff who knew the patients would have been overseeing the treatment, and identified the error and the unnecessary transfusion may have been avoided.</w:t>
      </w:r>
    </w:p>
    <w:p w14:paraId="447E7B90" w14:textId="77777777" w:rsidR="00B5678E" w:rsidRPr="009435C0" w:rsidRDefault="00B5678E" w:rsidP="009435C0">
      <w:pPr>
        <w:pStyle w:val="DHHSbody"/>
      </w:pPr>
      <w:r w:rsidRPr="009435C0">
        <w:t>It is also important that communication between staff is completely clear and accurate, to avoid this type of error.</w:t>
      </w:r>
    </w:p>
    <w:p w14:paraId="7E6285B8" w14:textId="10BA2AA9" w:rsidR="00B5678E" w:rsidRPr="00343635" w:rsidRDefault="00B5678E" w:rsidP="009435C0">
      <w:pPr>
        <w:pStyle w:val="Heading2"/>
      </w:pPr>
      <w:bookmarkStart w:id="43" w:name="_Toc24287443"/>
      <w:r w:rsidRPr="00343635">
        <w:t>Near mis</w:t>
      </w:r>
      <w:r w:rsidR="009435C0">
        <w:t>s</w:t>
      </w:r>
      <w:bookmarkEnd w:id="43"/>
      <w:r w:rsidRPr="00343635">
        <w:t xml:space="preserve"> </w:t>
      </w:r>
    </w:p>
    <w:p w14:paraId="24B0D776" w14:textId="7751A9A1" w:rsidR="00B5678E" w:rsidRPr="00343635" w:rsidRDefault="00B5678E" w:rsidP="009435C0">
      <w:pPr>
        <w:pStyle w:val="DHHSbody"/>
      </w:pPr>
      <w:r w:rsidRPr="00343635">
        <w:t xml:space="preserve">A near miss is an incident that is discovered before the start of the transfusion and that could have led to a wrong transfusion or a reaction in a recipient if transfusion had </w:t>
      </w:r>
      <w:r w:rsidRPr="009435C0">
        <w:t>taken</w:t>
      </w:r>
      <w:r w:rsidRPr="00343635">
        <w:t xml:space="preserve"> place (</w:t>
      </w:r>
      <w:r w:rsidRPr="00080269">
        <w:rPr>
          <w:i/>
          <w:iCs/>
        </w:rPr>
        <w:t xml:space="preserve">STIR </w:t>
      </w:r>
      <w:r w:rsidR="00354C0C" w:rsidRPr="00080269">
        <w:rPr>
          <w:i/>
          <w:iCs/>
        </w:rPr>
        <w:t xml:space="preserve">reporting guide </w:t>
      </w:r>
      <w:r w:rsidRPr="00080269">
        <w:rPr>
          <w:i/>
          <w:iCs/>
        </w:rPr>
        <w:t>2017</w:t>
      </w:r>
      <w:r w:rsidRPr="00343635">
        <w:t xml:space="preserve">). </w:t>
      </w:r>
    </w:p>
    <w:p w14:paraId="2F4687D6" w14:textId="77777777" w:rsidR="00B5678E" w:rsidRPr="00343635" w:rsidRDefault="00B5678E" w:rsidP="009435C0">
      <w:pPr>
        <w:pStyle w:val="DHHSbody"/>
      </w:pPr>
      <w:r w:rsidRPr="00343635">
        <w:t>In FY18 there were 25 reports received of near misses.</w:t>
      </w:r>
    </w:p>
    <w:p w14:paraId="3FD5D889" w14:textId="6B4133E3" w:rsidR="00B5678E" w:rsidRPr="00343635" w:rsidRDefault="00B5678E" w:rsidP="009435C0">
      <w:pPr>
        <w:pStyle w:val="DHHStablecaption"/>
        <w:rPr>
          <w:rFonts w:eastAsia="Calibri"/>
        </w:rPr>
      </w:pPr>
      <w:r w:rsidRPr="00343635">
        <w:rPr>
          <w:rFonts w:eastAsia="Calibri"/>
        </w:rPr>
        <w:t xml:space="preserve">Table </w:t>
      </w:r>
      <w:r w:rsidR="00354C0C">
        <w:rPr>
          <w:rFonts w:eastAsia="Calibri"/>
        </w:rPr>
        <w:t>2</w:t>
      </w:r>
      <w:r w:rsidR="000A6E9B">
        <w:rPr>
          <w:rFonts w:eastAsia="Calibri"/>
        </w:rPr>
        <w:t>4</w:t>
      </w:r>
      <w:r w:rsidR="00354C0C">
        <w:rPr>
          <w:rFonts w:eastAsia="Calibri"/>
        </w:rPr>
        <w:t>:</w:t>
      </w:r>
      <w:r w:rsidR="00354C0C" w:rsidRPr="00343635">
        <w:rPr>
          <w:rFonts w:eastAsia="Calibri"/>
        </w:rPr>
        <w:t xml:space="preserve"> </w:t>
      </w:r>
      <w:r w:rsidRPr="00343635">
        <w:rPr>
          <w:rFonts w:eastAsia="Calibri"/>
        </w:rPr>
        <w:t xml:space="preserve">Types of near miss events received by </w:t>
      </w:r>
      <w:r w:rsidRPr="009435C0">
        <w:rPr>
          <w:rFonts w:eastAsia="Calibri"/>
        </w:rPr>
        <w:t>STIR</w:t>
      </w:r>
      <w:r w:rsidRPr="00343635">
        <w:rPr>
          <w:rFonts w:eastAsia="Calibri"/>
        </w:rPr>
        <w:t xml:space="preserve"> in FY18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001"/>
      </w:tblGrid>
      <w:tr w:rsidR="00B5678E" w:rsidRPr="00343635" w14:paraId="4C44D333" w14:textId="77777777" w:rsidTr="00080269">
        <w:trPr>
          <w:tblHeader/>
        </w:trPr>
        <w:tc>
          <w:tcPr>
            <w:tcW w:w="0" w:type="auto"/>
            <w:shd w:val="clear" w:color="auto" w:fill="auto"/>
            <w:hideMark/>
          </w:tcPr>
          <w:p w14:paraId="09E0D7AA" w14:textId="77777777" w:rsidR="00B5678E" w:rsidRPr="00881FA7" w:rsidRDefault="00B5678E" w:rsidP="009435C0">
            <w:pPr>
              <w:pStyle w:val="DHHStablecolhead"/>
              <w:rPr>
                <w:rFonts w:eastAsia="Calibri"/>
                <w:sz w:val="22"/>
                <w:szCs w:val="22"/>
              </w:rPr>
            </w:pPr>
            <w:r w:rsidRPr="00881FA7">
              <w:rPr>
                <w:rFonts w:eastAsia="Calibri"/>
                <w:sz w:val="22"/>
                <w:szCs w:val="22"/>
              </w:rPr>
              <w:t>Category</w:t>
            </w:r>
          </w:p>
        </w:tc>
        <w:tc>
          <w:tcPr>
            <w:tcW w:w="0" w:type="auto"/>
            <w:shd w:val="clear" w:color="auto" w:fill="auto"/>
            <w:hideMark/>
          </w:tcPr>
          <w:p w14:paraId="11BE4AB6" w14:textId="77777777" w:rsidR="00B5678E" w:rsidRPr="00881FA7" w:rsidRDefault="00B5678E" w:rsidP="009435C0">
            <w:pPr>
              <w:pStyle w:val="DHHStablecolhead"/>
              <w:rPr>
                <w:rFonts w:eastAsia="Calibri"/>
                <w:sz w:val="22"/>
                <w:szCs w:val="22"/>
              </w:rPr>
            </w:pPr>
            <w:r w:rsidRPr="00881FA7">
              <w:rPr>
                <w:rFonts w:eastAsia="Calibri"/>
                <w:sz w:val="22"/>
                <w:szCs w:val="22"/>
              </w:rPr>
              <w:t>Number reported</w:t>
            </w:r>
          </w:p>
        </w:tc>
      </w:tr>
      <w:tr w:rsidR="00B5678E" w:rsidRPr="00343635" w14:paraId="4BF92EDC" w14:textId="77777777" w:rsidTr="00881FA7">
        <w:tc>
          <w:tcPr>
            <w:tcW w:w="0" w:type="auto"/>
            <w:shd w:val="clear" w:color="auto" w:fill="auto"/>
          </w:tcPr>
          <w:p w14:paraId="07673661" w14:textId="77777777" w:rsidR="00B5678E" w:rsidRPr="00080269" w:rsidRDefault="00B5678E" w:rsidP="00354C0C">
            <w:pPr>
              <w:pStyle w:val="DHHStabletext"/>
              <w:rPr>
                <w:rFonts w:eastAsia="Calibri"/>
              </w:rPr>
            </w:pPr>
            <w:r w:rsidRPr="00080269">
              <w:rPr>
                <w:rFonts w:eastAsia="Calibri"/>
              </w:rPr>
              <w:t>Inappropriate component issued</w:t>
            </w:r>
          </w:p>
        </w:tc>
        <w:tc>
          <w:tcPr>
            <w:tcW w:w="0" w:type="auto"/>
            <w:shd w:val="clear" w:color="auto" w:fill="auto"/>
          </w:tcPr>
          <w:p w14:paraId="1D9DDB77" w14:textId="77777777" w:rsidR="00B5678E" w:rsidRPr="00080269" w:rsidRDefault="00B5678E" w:rsidP="00354C0C">
            <w:pPr>
              <w:pStyle w:val="DHHStabletext"/>
              <w:jc w:val="right"/>
              <w:rPr>
                <w:rFonts w:eastAsia="Calibri"/>
              </w:rPr>
            </w:pPr>
            <w:r w:rsidRPr="00080269">
              <w:rPr>
                <w:rFonts w:eastAsia="Calibri"/>
              </w:rPr>
              <w:t>3</w:t>
            </w:r>
          </w:p>
        </w:tc>
      </w:tr>
      <w:tr w:rsidR="00B5678E" w:rsidRPr="00343635" w14:paraId="6DDBE8CA" w14:textId="77777777" w:rsidTr="00881FA7">
        <w:tc>
          <w:tcPr>
            <w:tcW w:w="0" w:type="auto"/>
            <w:shd w:val="clear" w:color="auto" w:fill="auto"/>
          </w:tcPr>
          <w:p w14:paraId="31878477" w14:textId="77777777" w:rsidR="00B5678E" w:rsidRPr="00080269" w:rsidRDefault="00B5678E" w:rsidP="00354C0C">
            <w:pPr>
              <w:pStyle w:val="DHHStabletext"/>
              <w:rPr>
                <w:rFonts w:eastAsia="Calibri"/>
              </w:rPr>
            </w:pPr>
            <w:r w:rsidRPr="00080269">
              <w:rPr>
                <w:rFonts w:eastAsia="Calibri"/>
              </w:rPr>
              <w:t>Labelling/documentation</w:t>
            </w:r>
          </w:p>
        </w:tc>
        <w:tc>
          <w:tcPr>
            <w:tcW w:w="0" w:type="auto"/>
            <w:shd w:val="clear" w:color="auto" w:fill="auto"/>
          </w:tcPr>
          <w:p w14:paraId="36F19B34" w14:textId="77777777" w:rsidR="00B5678E" w:rsidRPr="00080269" w:rsidRDefault="00B5678E" w:rsidP="00354C0C">
            <w:pPr>
              <w:pStyle w:val="DHHStabletext"/>
              <w:jc w:val="right"/>
              <w:rPr>
                <w:rFonts w:eastAsia="Calibri"/>
              </w:rPr>
            </w:pPr>
            <w:r w:rsidRPr="00080269">
              <w:rPr>
                <w:rFonts w:eastAsia="Calibri"/>
              </w:rPr>
              <w:t>3</w:t>
            </w:r>
          </w:p>
        </w:tc>
      </w:tr>
      <w:tr w:rsidR="00B5678E" w:rsidRPr="00343635" w14:paraId="177E58A7" w14:textId="77777777" w:rsidTr="00881FA7">
        <w:tc>
          <w:tcPr>
            <w:tcW w:w="0" w:type="auto"/>
            <w:shd w:val="clear" w:color="auto" w:fill="auto"/>
          </w:tcPr>
          <w:p w14:paraId="287E717D" w14:textId="77777777" w:rsidR="00B5678E" w:rsidRPr="00080269" w:rsidRDefault="00B5678E" w:rsidP="00354C0C">
            <w:pPr>
              <w:pStyle w:val="DHHStabletext"/>
              <w:rPr>
                <w:rFonts w:eastAsia="Calibri"/>
              </w:rPr>
            </w:pPr>
            <w:r w:rsidRPr="00080269">
              <w:rPr>
                <w:rFonts w:eastAsia="Calibri"/>
              </w:rPr>
              <w:t>Laboratory</w:t>
            </w:r>
          </w:p>
        </w:tc>
        <w:tc>
          <w:tcPr>
            <w:tcW w:w="0" w:type="auto"/>
            <w:shd w:val="clear" w:color="auto" w:fill="auto"/>
          </w:tcPr>
          <w:p w14:paraId="15D495AA" w14:textId="77777777" w:rsidR="00B5678E" w:rsidRPr="00080269" w:rsidRDefault="00B5678E" w:rsidP="00354C0C">
            <w:pPr>
              <w:pStyle w:val="DHHStabletext"/>
              <w:jc w:val="right"/>
              <w:rPr>
                <w:rFonts w:eastAsia="Calibri"/>
              </w:rPr>
            </w:pPr>
            <w:r w:rsidRPr="00080269">
              <w:rPr>
                <w:rFonts w:eastAsia="Calibri"/>
              </w:rPr>
              <w:t>4</w:t>
            </w:r>
          </w:p>
        </w:tc>
      </w:tr>
      <w:tr w:rsidR="00B5678E" w:rsidRPr="00343635" w14:paraId="0EA72EF6" w14:textId="77777777" w:rsidTr="00881FA7">
        <w:tc>
          <w:tcPr>
            <w:tcW w:w="0" w:type="auto"/>
            <w:shd w:val="clear" w:color="auto" w:fill="auto"/>
          </w:tcPr>
          <w:p w14:paraId="651BB37E" w14:textId="77777777" w:rsidR="00B5678E" w:rsidRPr="00080269" w:rsidRDefault="00B5678E" w:rsidP="00354C0C">
            <w:pPr>
              <w:pStyle w:val="DHHStabletext"/>
              <w:rPr>
                <w:rFonts w:eastAsia="Calibri"/>
              </w:rPr>
            </w:pPr>
            <w:r w:rsidRPr="00080269">
              <w:rPr>
                <w:rFonts w:eastAsia="Calibri"/>
              </w:rPr>
              <w:t>Administration</w:t>
            </w:r>
          </w:p>
        </w:tc>
        <w:tc>
          <w:tcPr>
            <w:tcW w:w="0" w:type="auto"/>
            <w:shd w:val="clear" w:color="auto" w:fill="auto"/>
          </w:tcPr>
          <w:p w14:paraId="72C1C4C8" w14:textId="77777777" w:rsidR="00B5678E" w:rsidRPr="00080269" w:rsidRDefault="00B5678E" w:rsidP="00354C0C">
            <w:pPr>
              <w:pStyle w:val="DHHStabletext"/>
              <w:jc w:val="right"/>
              <w:rPr>
                <w:rFonts w:eastAsia="Calibri"/>
              </w:rPr>
            </w:pPr>
            <w:r w:rsidRPr="00080269">
              <w:rPr>
                <w:rFonts w:eastAsia="Calibri"/>
              </w:rPr>
              <w:t>10</w:t>
            </w:r>
          </w:p>
        </w:tc>
      </w:tr>
      <w:tr w:rsidR="00B5678E" w:rsidRPr="00343635" w14:paraId="4E702B77" w14:textId="77777777" w:rsidTr="00881FA7">
        <w:tc>
          <w:tcPr>
            <w:tcW w:w="0" w:type="auto"/>
            <w:shd w:val="clear" w:color="auto" w:fill="auto"/>
          </w:tcPr>
          <w:p w14:paraId="3EC1420C" w14:textId="77777777" w:rsidR="00B5678E" w:rsidRPr="00080269" w:rsidRDefault="00B5678E" w:rsidP="00354C0C">
            <w:pPr>
              <w:pStyle w:val="DHHStabletext"/>
              <w:rPr>
                <w:rFonts w:eastAsia="Calibri"/>
              </w:rPr>
            </w:pPr>
            <w:r w:rsidRPr="00080269">
              <w:rPr>
                <w:rFonts w:eastAsia="Calibri"/>
              </w:rPr>
              <w:t>Incorrect prescription or request for blood</w:t>
            </w:r>
          </w:p>
        </w:tc>
        <w:tc>
          <w:tcPr>
            <w:tcW w:w="0" w:type="auto"/>
            <w:shd w:val="clear" w:color="auto" w:fill="auto"/>
          </w:tcPr>
          <w:p w14:paraId="170FA66C" w14:textId="77777777" w:rsidR="00B5678E" w:rsidRPr="00080269" w:rsidRDefault="00B5678E" w:rsidP="00354C0C">
            <w:pPr>
              <w:pStyle w:val="DHHStabletext"/>
              <w:jc w:val="right"/>
              <w:rPr>
                <w:rFonts w:eastAsia="Calibri"/>
              </w:rPr>
            </w:pPr>
            <w:r w:rsidRPr="00080269">
              <w:rPr>
                <w:rFonts w:eastAsia="Calibri"/>
              </w:rPr>
              <w:t>2</w:t>
            </w:r>
          </w:p>
        </w:tc>
      </w:tr>
      <w:tr w:rsidR="00B5678E" w:rsidRPr="00343635" w14:paraId="4B9070F6" w14:textId="77777777" w:rsidTr="00881FA7">
        <w:tc>
          <w:tcPr>
            <w:tcW w:w="0" w:type="auto"/>
            <w:shd w:val="clear" w:color="auto" w:fill="auto"/>
          </w:tcPr>
          <w:p w14:paraId="404050D8" w14:textId="77777777" w:rsidR="00B5678E" w:rsidRPr="00080269" w:rsidRDefault="00B5678E" w:rsidP="00354C0C">
            <w:pPr>
              <w:pStyle w:val="DHHStabletext"/>
              <w:rPr>
                <w:rFonts w:eastAsia="Calibri"/>
              </w:rPr>
            </w:pPr>
            <w:r w:rsidRPr="00080269">
              <w:rPr>
                <w:rFonts w:eastAsia="Calibri"/>
              </w:rPr>
              <w:t>Storage and handling</w:t>
            </w:r>
          </w:p>
        </w:tc>
        <w:tc>
          <w:tcPr>
            <w:tcW w:w="0" w:type="auto"/>
            <w:shd w:val="clear" w:color="auto" w:fill="auto"/>
          </w:tcPr>
          <w:p w14:paraId="7E6A356C" w14:textId="77777777" w:rsidR="00B5678E" w:rsidRPr="00080269" w:rsidRDefault="00B5678E" w:rsidP="00354C0C">
            <w:pPr>
              <w:pStyle w:val="DHHStabletext"/>
              <w:jc w:val="right"/>
              <w:rPr>
                <w:rFonts w:eastAsia="Calibri"/>
              </w:rPr>
            </w:pPr>
            <w:r w:rsidRPr="00080269">
              <w:rPr>
                <w:rFonts w:eastAsia="Calibri"/>
              </w:rPr>
              <w:t>3</w:t>
            </w:r>
          </w:p>
        </w:tc>
      </w:tr>
    </w:tbl>
    <w:p w14:paraId="64C229C9" w14:textId="11F0F938" w:rsidR="00B5678E" w:rsidRPr="00343635" w:rsidRDefault="00354C0C" w:rsidP="009435C0">
      <w:pPr>
        <w:pStyle w:val="DHHSbodyaftertablefigure"/>
      </w:pPr>
      <w:r>
        <w:t>Table 2</w:t>
      </w:r>
      <w:r w:rsidR="000A6E9B">
        <w:t>4</w:t>
      </w:r>
      <w:r>
        <w:t xml:space="preserve"> shows </w:t>
      </w:r>
      <w:r w:rsidR="00B5678E" w:rsidRPr="00343635">
        <w:t>a number of areas where near misses occurred. The largest proportion is attributed to the administration process, as this is the final check that can identify an error prior to transfusing the patient.</w:t>
      </w:r>
    </w:p>
    <w:p w14:paraId="69816DDD" w14:textId="56F4F538" w:rsidR="00B5678E" w:rsidRPr="00343635" w:rsidRDefault="00B5678E" w:rsidP="00080269">
      <w:pPr>
        <w:pStyle w:val="Heading3"/>
      </w:pPr>
      <w:bookmarkStart w:id="44" w:name="_Toc24287444"/>
      <w:r w:rsidRPr="00343635">
        <w:t xml:space="preserve">Case </w:t>
      </w:r>
      <w:r w:rsidR="00354C0C">
        <w:t>s</w:t>
      </w:r>
      <w:r w:rsidR="00354C0C" w:rsidRPr="00343635">
        <w:t xml:space="preserve">tudy </w:t>
      </w:r>
      <w:r w:rsidRPr="00343635">
        <w:t>14:</w:t>
      </w:r>
      <w:r w:rsidR="00354C0C">
        <w:t xml:space="preserve"> </w:t>
      </w:r>
      <w:r w:rsidRPr="00343635">
        <w:t>Near miss –</w:t>
      </w:r>
      <w:r w:rsidR="00354C0C">
        <w:t xml:space="preserve"> </w:t>
      </w:r>
      <w:r w:rsidRPr="00343635">
        <w:t xml:space="preserve">wrong blood checked and </w:t>
      </w:r>
      <w:r w:rsidRPr="009435C0">
        <w:t>spiked</w:t>
      </w:r>
      <w:bookmarkEnd w:id="44"/>
    </w:p>
    <w:p w14:paraId="2560A38F" w14:textId="070613C7" w:rsidR="00B5678E" w:rsidRPr="009435C0" w:rsidRDefault="00B5678E" w:rsidP="009435C0">
      <w:pPr>
        <w:pStyle w:val="DHHSbody"/>
      </w:pPr>
      <w:r w:rsidRPr="009435C0">
        <w:t xml:space="preserve">A unit of red cells arrived from the laboratory in the pneumatic chute. A nurse collected the unit without confirmation of patient details and took it to the room of the patient who required transfusion. The bedside checks failed to note the discrepancy in details between the compatibility form and the unit of blood </w:t>
      </w:r>
      <w:r w:rsidR="00354C0C">
        <w:t>–</w:t>
      </w:r>
      <w:r w:rsidR="00354C0C" w:rsidRPr="009435C0">
        <w:t xml:space="preserve"> </w:t>
      </w:r>
      <w:r w:rsidRPr="009435C0">
        <w:t>both labelled for different patients. During the checking</w:t>
      </w:r>
      <w:r w:rsidR="00354C0C">
        <w:t>,</w:t>
      </w:r>
      <w:r w:rsidRPr="009435C0">
        <w:t xml:space="preserve"> only one of the nurses went to the patient bedside</w:t>
      </w:r>
      <w:r w:rsidR="00354C0C">
        <w:t>;</w:t>
      </w:r>
      <w:r w:rsidRPr="009435C0">
        <w:t xml:space="preserve"> the other was at the desk just outside the room, completing paperwork associated with the transfusion. Patient wristband details were not matched to the red cell unit and it is unclear if the patient identity was checked. The unit was spiked, connected to the patient line and commenced. A phone call from the nurse’s station to alert the nurse that a red cell unit for the patient had arrived via the </w:t>
      </w:r>
      <w:r w:rsidRPr="009435C0">
        <w:lastRenderedPageBreak/>
        <w:t xml:space="preserve">chute caused the nurse to realise the error and immediately stop the red cells. Fortunately, the red cells had not made their way down the IV line to the patient at this time. The patient was informed of the error and a case review was performed by the health service. </w:t>
      </w:r>
    </w:p>
    <w:p w14:paraId="1DC78796" w14:textId="0F317E9B" w:rsidR="009435C0" w:rsidRDefault="00B5678E" w:rsidP="009435C0">
      <w:pPr>
        <w:pStyle w:val="Heading4"/>
      </w:pPr>
      <w:r w:rsidRPr="00343635">
        <w:t>Comments</w:t>
      </w:r>
    </w:p>
    <w:p w14:paraId="076F6A7D" w14:textId="4661D687" w:rsidR="00B5678E" w:rsidRPr="00343635" w:rsidRDefault="00B5678E" w:rsidP="009435C0">
      <w:pPr>
        <w:pStyle w:val="DHHSbody"/>
      </w:pPr>
      <w:r w:rsidRPr="00343635">
        <w:t xml:space="preserve">Changes to the ANZSBT guidelines for administration of blood components, </w:t>
      </w:r>
      <w:r w:rsidR="00354C0C">
        <w:t>that is,</w:t>
      </w:r>
      <w:r w:rsidRPr="00343635">
        <w:t xml:space="preserve"> double independent </w:t>
      </w:r>
      <w:r w:rsidRPr="009435C0">
        <w:t>checking</w:t>
      </w:r>
      <w:r w:rsidRPr="00343635">
        <w:t xml:space="preserve">, are designed to stop this type of incident occurring. The checking process must be completed by each person, as if the other person were not there. Both </w:t>
      </w:r>
      <w:proofErr w:type="gramStart"/>
      <w:r w:rsidRPr="00343635">
        <w:t>staff</w:t>
      </w:r>
      <w:proofErr w:type="gramEnd"/>
      <w:r w:rsidRPr="00343635">
        <w:t xml:space="preserve"> must be independently certain that the product is intended for the patient.</w:t>
      </w:r>
    </w:p>
    <w:p w14:paraId="5854E01A" w14:textId="04AC66BA" w:rsidR="00B5678E" w:rsidRPr="00343635" w:rsidRDefault="00B5678E" w:rsidP="009435C0">
      <w:pPr>
        <w:pStyle w:val="DHHSbody"/>
      </w:pPr>
      <w:r w:rsidRPr="00343635">
        <w:t>Checks should be completed at the patient</w:t>
      </w:r>
      <w:r w:rsidR="00354C0C">
        <w:t>’s</w:t>
      </w:r>
      <w:r w:rsidRPr="00343635">
        <w:t xml:space="preserve"> side and include the patient in the process wherever possible.</w:t>
      </w:r>
    </w:p>
    <w:p w14:paraId="385A1A9D" w14:textId="0AA94124" w:rsidR="00B5678E" w:rsidRPr="00343635" w:rsidRDefault="00B5678E" w:rsidP="009435C0">
      <w:pPr>
        <w:pStyle w:val="Heading2"/>
      </w:pPr>
      <w:bookmarkStart w:id="45" w:name="_Toc24287445"/>
      <w:r w:rsidRPr="00343635">
        <w:t xml:space="preserve">Wrong </w:t>
      </w:r>
      <w:r w:rsidRPr="009435C0">
        <w:t>blood</w:t>
      </w:r>
      <w:r w:rsidRPr="00343635">
        <w:t xml:space="preserve"> in tube (WBIT)</w:t>
      </w:r>
      <w:bookmarkEnd w:id="45"/>
    </w:p>
    <w:p w14:paraId="73BBDA5D" w14:textId="326FD3C8" w:rsidR="00B5678E" w:rsidRPr="009435C0" w:rsidRDefault="00B5678E" w:rsidP="009435C0">
      <w:pPr>
        <w:pStyle w:val="DHHSbody"/>
      </w:pPr>
      <w:r w:rsidRPr="009435C0">
        <w:t xml:space="preserve">This is a special category of near-miss incident where the error is picked up prior to transfusion. </w:t>
      </w:r>
    </w:p>
    <w:p w14:paraId="08B5201E" w14:textId="77777777" w:rsidR="00B5678E" w:rsidRPr="009435C0" w:rsidRDefault="00B5678E" w:rsidP="009435C0">
      <w:pPr>
        <w:pStyle w:val="DHHSbody"/>
      </w:pPr>
      <w:r w:rsidRPr="009435C0">
        <w:t xml:space="preserve">This includes specimens where: </w:t>
      </w:r>
    </w:p>
    <w:p w14:paraId="279DDBF8" w14:textId="70C475AC" w:rsidR="00B5678E" w:rsidRPr="00343635" w:rsidRDefault="00B5678E" w:rsidP="009435C0">
      <w:pPr>
        <w:pStyle w:val="DHHSbullet1"/>
      </w:pPr>
      <w:r w:rsidRPr="00343635">
        <w:t xml:space="preserve">samples are taken from the wrong patient but labelled as per the intended patient, or </w:t>
      </w:r>
    </w:p>
    <w:p w14:paraId="6E0C6DFE" w14:textId="071C783A" w:rsidR="00B5678E" w:rsidRPr="00343635" w:rsidRDefault="00B5678E" w:rsidP="009435C0">
      <w:pPr>
        <w:pStyle w:val="DHHSbullet1lastline"/>
      </w:pPr>
      <w:r w:rsidRPr="00343635">
        <w:t>sample is taken from the intended patient but labelled as per another patient (</w:t>
      </w:r>
      <w:r w:rsidRPr="00080269">
        <w:rPr>
          <w:i/>
          <w:iCs/>
        </w:rPr>
        <w:t xml:space="preserve">STIR </w:t>
      </w:r>
      <w:r w:rsidR="00354C0C" w:rsidRPr="00080269">
        <w:rPr>
          <w:i/>
          <w:iCs/>
        </w:rPr>
        <w:t xml:space="preserve">reporting guide </w:t>
      </w:r>
      <w:r w:rsidRPr="00080269">
        <w:rPr>
          <w:i/>
          <w:iCs/>
        </w:rPr>
        <w:t>2017</w:t>
      </w:r>
      <w:r w:rsidRPr="00343635">
        <w:t>)</w:t>
      </w:r>
    </w:p>
    <w:p w14:paraId="73E57180" w14:textId="77777777" w:rsidR="00B5678E" w:rsidRPr="009435C0" w:rsidRDefault="00B5678E" w:rsidP="009435C0">
      <w:pPr>
        <w:pStyle w:val="DHHSbody"/>
      </w:pPr>
      <w:r w:rsidRPr="009435C0">
        <w:t xml:space="preserve">These events have the potential to cause harm to patients, because while labelling is consistent and passes zero-tolerance guidelines, the blood group may be different to that of the named patient. </w:t>
      </w:r>
    </w:p>
    <w:p w14:paraId="44403E40" w14:textId="73B50666" w:rsidR="00B5678E" w:rsidRPr="009435C0" w:rsidRDefault="00B5678E" w:rsidP="009435C0">
      <w:pPr>
        <w:pStyle w:val="DHHSbody"/>
      </w:pPr>
      <w:r w:rsidRPr="009435C0">
        <w:t xml:space="preserve">Eighteen WBIT events were reported for FY18. The number of reports continues to drop over time (Figure </w:t>
      </w:r>
      <w:r w:rsidR="000A189C">
        <w:t>8</w:t>
      </w:r>
      <w:r w:rsidRPr="009435C0">
        <w:t xml:space="preserve">) and is no longer the main procedural report received, with more near misses reported for this year. There appears to be a decrease in WBIT errors occurring in maternity and emergency departments, two areas that have contributed a large number of events (Figure </w:t>
      </w:r>
      <w:r w:rsidR="000A189C">
        <w:t>9</w:t>
      </w:r>
      <w:r w:rsidRPr="009435C0">
        <w:t>), with more being reported from general ward areas.</w:t>
      </w:r>
    </w:p>
    <w:p w14:paraId="6FA0F5BD" w14:textId="18427FA3" w:rsidR="00B5678E" w:rsidRPr="009435C0" w:rsidRDefault="00B5678E" w:rsidP="009435C0">
      <w:pPr>
        <w:pStyle w:val="DHHSbody"/>
      </w:pPr>
      <w:r w:rsidRPr="009435C0">
        <w:t xml:space="preserve">The majority of events (50 per cent) were recognised via a discrepancy when comparing sample results with the patient historical record (Table </w:t>
      </w:r>
      <w:r w:rsidR="00383639" w:rsidRPr="009435C0">
        <w:t>2</w:t>
      </w:r>
      <w:r w:rsidR="00E416B9">
        <w:t>5</w:t>
      </w:r>
      <w:r w:rsidRPr="009435C0">
        <w:t xml:space="preserve">). This does not protect the patient who has no record with the pathology provider. </w:t>
      </w:r>
      <w:proofErr w:type="gramStart"/>
      <w:r w:rsidRPr="009435C0">
        <w:t>Thirty three</w:t>
      </w:r>
      <w:proofErr w:type="gramEnd"/>
      <w:r w:rsidRPr="009435C0">
        <w:t xml:space="preserve"> per cent were noted prior to testing; often as a result of the clinician who took the sample realising an error had been made.</w:t>
      </w:r>
    </w:p>
    <w:p w14:paraId="45F36366" w14:textId="34145EC8" w:rsidR="00B5678E" w:rsidRDefault="00B5678E" w:rsidP="009435C0">
      <w:pPr>
        <w:pStyle w:val="DHHSfigurecaption"/>
      </w:pPr>
      <w:r w:rsidRPr="00343635">
        <w:lastRenderedPageBreak/>
        <w:t xml:space="preserve">Figure </w:t>
      </w:r>
      <w:r w:rsidR="004140C9">
        <w:t>8</w:t>
      </w:r>
      <w:r w:rsidR="00354C0C">
        <w:t xml:space="preserve">: </w:t>
      </w:r>
      <w:r w:rsidRPr="00343635">
        <w:t>Factors contributing to WBIT incidents (multiple responses per event) since FY15</w:t>
      </w:r>
    </w:p>
    <w:p w14:paraId="253924D6" w14:textId="23C2C58A" w:rsidR="00B5678E" w:rsidRPr="00343635" w:rsidRDefault="00C80748" w:rsidP="00C80748">
      <w:pPr>
        <w:pStyle w:val="DHHSbody"/>
      </w:pPr>
      <w:r>
        <w:rPr>
          <w:noProof/>
        </w:rPr>
        <w:drawing>
          <wp:inline distT="0" distB="0" distL="0" distR="0" wp14:anchorId="5A9B7EC6" wp14:editId="0CB8A099">
            <wp:extent cx="5501651" cy="3176022"/>
            <wp:effectExtent l="0" t="0" r="0" b="0"/>
            <wp:docPr id="18" name="Picture 18" descr="Figure 8&#10;Figure showing factors conttributing to WBIT events as discussed in the 'Wrong blood in tube (WBIT)' se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e 8.png"/>
                    <pic:cNvPicPr/>
                  </pic:nvPicPr>
                  <pic:blipFill>
                    <a:blip r:embed="rId29"/>
                    <a:stretch>
                      <a:fillRect/>
                    </a:stretch>
                  </pic:blipFill>
                  <pic:spPr>
                    <a:xfrm>
                      <a:off x="0" y="0"/>
                      <a:ext cx="5501651" cy="3176022"/>
                    </a:xfrm>
                    <a:prstGeom prst="rect">
                      <a:avLst/>
                    </a:prstGeom>
                  </pic:spPr>
                </pic:pic>
              </a:graphicData>
            </a:graphic>
          </wp:inline>
        </w:drawing>
      </w:r>
    </w:p>
    <w:p w14:paraId="23D168E0" w14:textId="7423F590" w:rsidR="00354C0C" w:rsidRPr="00354C0C" w:rsidRDefault="00354C0C" w:rsidP="00080269">
      <w:pPr>
        <w:pStyle w:val="DHHStablefigurenote"/>
      </w:pPr>
      <w:r>
        <w:t xml:space="preserve">Prior to FY15, </w:t>
      </w:r>
      <w:r w:rsidRPr="00343635">
        <w:t>the definition for WBIT included zero tolerance</w:t>
      </w:r>
      <w:r>
        <w:t>.</w:t>
      </w:r>
    </w:p>
    <w:p w14:paraId="1C46E4FC" w14:textId="5ACDAE57" w:rsidR="00B5678E" w:rsidRDefault="00B5678E" w:rsidP="009435C0">
      <w:pPr>
        <w:pStyle w:val="DHHSfigurecaption"/>
      </w:pPr>
      <w:r w:rsidRPr="00343635">
        <w:t xml:space="preserve">Figure </w:t>
      </w:r>
      <w:r w:rsidR="004140C9">
        <w:t>9</w:t>
      </w:r>
      <w:r w:rsidR="00383639">
        <w:t>:</w:t>
      </w:r>
      <w:r w:rsidRPr="00343635">
        <w:t xml:space="preserve"> Where WBIT errors occur</w:t>
      </w:r>
    </w:p>
    <w:p w14:paraId="1FA62F40" w14:textId="4901F5D5" w:rsidR="00C80748" w:rsidRPr="00C80748" w:rsidRDefault="00C80748" w:rsidP="00C80748">
      <w:pPr>
        <w:pStyle w:val="DHHSbody"/>
      </w:pPr>
      <w:r>
        <w:rPr>
          <w:noProof/>
        </w:rPr>
        <w:drawing>
          <wp:inline distT="0" distB="0" distL="0" distR="0" wp14:anchorId="6B40C325" wp14:editId="058413BD">
            <wp:extent cx="5425451" cy="3038862"/>
            <wp:effectExtent l="0" t="0" r="0" b="0"/>
            <wp:docPr id="19" name="Picture 19" descr="Figure 9&#10;Figure discussed in 'Wrong blood in tube (WBIT)' se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e 9.png"/>
                    <pic:cNvPicPr/>
                  </pic:nvPicPr>
                  <pic:blipFill>
                    <a:blip r:embed="rId30"/>
                    <a:stretch>
                      <a:fillRect/>
                    </a:stretch>
                  </pic:blipFill>
                  <pic:spPr>
                    <a:xfrm>
                      <a:off x="0" y="0"/>
                      <a:ext cx="5425451" cy="3038862"/>
                    </a:xfrm>
                    <a:prstGeom prst="rect">
                      <a:avLst/>
                    </a:prstGeom>
                  </pic:spPr>
                </pic:pic>
              </a:graphicData>
            </a:graphic>
          </wp:inline>
        </w:drawing>
      </w:r>
    </w:p>
    <w:p w14:paraId="6C386987" w14:textId="456F7674" w:rsidR="00B5678E" w:rsidRPr="00343635" w:rsidRDefault="00B5678E" w:rsidP="00B5678E"/>
    <w:p w14:paraId="4889838B" w14:textId="77777777" w:rsidR="00DC054C" w:rsidRDefault="00DC054C">
      <w:pPr>
        <w:rPr>
          <w:rFonts w:ascii="Arial" w:hAnsi="Arial"/>
          <w:b/>
        </w:rPr>
      </w:pPr>
      <w:r>
        <w:br w:type="page"/>
      </w:r>
    </w:p>
    <w:p w14:paraId="4B354259" w14:textId="58798253" w:rsidR="00B5678E" w:rsidRPr="00343635" w:rsidRDefault="00B5678E" w:rsidP="009435C0">
      <w:pPr>
        <w:pStyle w:val="DHHStablecaption"/>
      </w:pPr>
      <w:r w:rsidRPr="00343635">
        <w:lastRenderedPageBreak/>
        <w:t>Table 2</w:t>
      </w:r>
      <w:r w:rsidR="000A6E9B">
        <w:t>5</w:t>
      </w:r>
      <w:r w:rsidRPr="00343635">
        <w:t xml:space="preserve"> How the WBIT was discovered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583"/>
        <w:gridCol w:w="1583"/>
      </w:tblGrid>
      <w:tr w:rsidR="00B5678E" w:rsidRPr="00343635" w14:paraId="3B518EFA" w14:textId="77777777" w:rsidTr="00080269">
        <w:trPr>
          <w:tblHeader/>
        </w:trPr>
        <w:tc>
          <w:tcPr>
            <w:tcW w:w="4621" w:type="dxa"/>
            <w:shd w:val="clear" w:color="auto" w:fill="auto"/>
          </w:tcPr>
          <w:p w14:paraId="553F3629" w14:textId="77777777" w:rsidR="00B5678E" w:rsidRPr="00080269" w:rsidRDefault="00B5678E" w:rsidP="00383639">
            <w:pPr>
              <w:pStyle w:val="DHHStablecolhead"/>
              <w:rPr>
                <w:rFonts w:eastAsia="Calibri"/>
              </w:rPr>
            </w:pPr>
            <w:r w:rsidRPr="00080269">
              <w:rPr>
                <w:rFonts w:eastAsia="Calibri"/>
              </w:rPr>
              <w:t>Category</w:t>
            </w:r>
          </w:p>
        </w:tc>
        <w:tc>
          <w:tcPr>
            <w:tcW w:w="1583" w:type="dxa"/>
            <w:shd w:val="clear" w:color="auto" w:fill="auto"/>
          </w:tcPr>
          <w:p w14:paraId="750D96F6" w14:textId="77777777" w:rsidR="00B5678E" w:rsidRPr="00080269" w:rsidRDefault="00B5678E" w:rsidP="004D0E35">
            <w:pPr>
              <w:pStyle w:val="DHHStablecolhead"/>
              <w:rPr>
                <w:rFonts w:eastAsia="Calibri"/>
              </w:rPr>
            </w:pPr>
            <w:r w:rsidRPr="00080269">
              <w:rPr>
                <w:rFonts w:eastAsia="Calibri"/>
              </w:rPr>
              <w:t xml:space="preserve">Number </w:t>
            </w:r>
          </w:p>
        </w:tc>
        <w:tc>
          <w:tcPr>
            <w:tcW w:w="1583" w:type="dxa"/>
            <w:shd w:val="clear" w:color="auto" w:fill="auto"/>
          </w:tcPr>
          <w:p w14:paraId="256553EE" w14:textId="77777777" w:rsidR="00B5678E" w:rsidRPr="00080269" w:rsidRDefault="00B5678E" w:rsidP="004D0E35">
            <w:pPr>
              <w:pStyle w:val="DHHStablecolhead"/>
              <w:rPr>
                <w:rFonts w:eastAsia="Calibri"/>
              </w:rPr>
            </w:pPr>
            <w:r w:rsidRPr="00383639">
              <w:rPr>
                <w:rFonts w:eastAsia="Calibri"/>
              </w:rPr>
              <w:t>Percentage (%</w:t>
            </w:r>
            <w:r w:rsidRPr="004D0E35">
              <w:rPr>
                <w:rFonts w:eastAsia="Calibri"/>
              </w:rPr>
              <w:t>)</w:t>
            </w:r>
          </w:p>
        </w:tc>
      </w:tr>
      <w:tr w:rsidR="00B5678E" w:rsidRPr="00343635" w14:paraId="688F2214" w14:textId="77777777" w:rsidTr="00881FA7">
        <w:tc>
          <w:tcPr>
            <w:tcW w:w="4621" w:type="dxa"/>
            <w:shd w:val="clear" w:color="auto" w:fill="auto"/>
          </w:tcPr>
          <w:p w14:paraId="42E6EB88" w14:textId="77777777" w:rsidR="00B5678E" w:rsidRPr="00080269" w:rsidRDefault="00B5678E" w:rsidP="004D0E35">
            <w:pPr>
              <w:pStyle w:val="DHHStabletext"/>
              <w:rPr>
                <w:rFonts w:eastAsia="Calibri"/>
              </w:rPr>
            </w:pPr>
            <w:r w:rsidRPr="00080269">
              <w:rPr>
                <w:rFonts w:eastAsia="Calibri"/>
              </w:rPr>
              <w:t>Recognised prior to testing</w:t>
            </w:r>
          </w:p>
        </w:tc>
        <w:tc>
          <w:tcPr>
            <w:tcW w:w="1583" w:type="dxa"/>
            <w:shd w:val="clear" w:color="auto" w:fill="auto"/>
            <w:vAlign w:val="center"/>
          </w:tcPr>
          <w:p w14:paraId="2FE68AA9" w14:textId="77777777" w:rsidR="00B5678E" w:rsidRPr="00080269" w:rsidRDefault="00B5678E" w:rsidP="004D0E35">
            <w:pPr>
              <w:pStyle w:val="DHHStabletext"/>
              <w:jc w:val="right"/>
              <w:rPr>
                <w:rFonts w:eastAsia="Calibri"/>
              </w:rPr>
            </w:pPr>
            <w:r w:rsidRPr="00080269">
              <w:rPr>
                <w:rFonts w:eastAsia="Calibri"/>
              </w:rPr>
              <w:t>6</w:t>
            </w:r>
          </w:p>
        </w:tc>
        <w:tc>
          <w:tcPr>
            <w:tcW w:w="1583" w:type="dxa"/>
            <w:shd w:val="clear" w:color="auto" w:fill="auto"/>
            <w:vAlign w:val="center"/>
          </w:tcPr>
          <w:p w14:paraId="3A624F76" w14:textId="77777777" w:rsidR="00B5678E" w:rsidRPr="00080269" w:rsidRDefault="00B5678E" w:rsidP="004D0E35">
            <w:pPr>
              <w:pStyle w:val="DHHStabletext"/>
              <w:jc w:val="right"/>
              <w:rPr>
                <w:rFonts w:eastAsia="Calibri"/>
              </w:rPr>
            </w:pPr>
            <w:r w:rsidRPr="00080269">
              <w:rPr>
                <w:rFonts w:eastAsia="Calibri"/>
              </w:rPr>
              <w:t>33</w:t>
            </w:r>
          </w:p>
        </w:tc>
      </w:tr>
      <w:tr w:rsidR="00B5678E" w:rsidRPr="00343635" w14:paraId="0C8A286D" w14:textId="77777777" w:rsidTr="00881FA7">
        <w:tc>
          <w:tcPr>
            <w:tcW w:w="4621" w:type="dxa"/>
            <w:shd w:val="clear" w:color="auto" w:fill="auto"/>
          </w:tcPr>
          <w:p w14:paraId="561B4CA7" w14:textId="77777777" w:rsidR="00B5678E" w:rsidRPr="00080269" w:rsidRDefault="00B5678E" w:rsidP="004D0E35">
            <w:pPr>
              <w:pStyle w:val="DHHStabletext"/>
              <w:rPr>
                <w:rFonts w:eastAsia="Calibri"/>
              </w:rPr>
            </w:pPr>
            <w:r w:rsidRPr="00080269">
              <w:rPr>
                <w:rFonts w:eastAsia="Calibri"/>
              </w:rPr>
              <w:t>Discrepancy noted when comparing sample results with historical record</w:t>
            </w:r>
          </w:p>
        </w:tc>
        <w:tc>
          <w:tcPr>
            <w:tcW w:w="1583" w:type="dxa"/>
            <w:shd w:val="clear" w:color="auto" w:fill="auto"/>
            <w:vAlign w:val="center"/>
          </w:tcPr>
          <w:p w14:paraId="70589861" w14:textId="77777777" w:rsidR="00B5678E" w:rsidRPr="00080269" w:rsidRDefault="00B5678E" w:rsidP="004D0E35">
            <w:pPr>
              <w:pStyle w:val="DHHStabletext"/>
              <w:jc w:val="right"/>
              <w:rPr>
                <w:rFonts w:eastAsia="Calibri"/>
              </w:rPr>
            </w:pPr>
            <w:r w:rsidRPr="00080269">
              <w:rPr>
                <w:rFonts w:eastAsia="Calibri"/>
              </w:rPr>
              <w:t>9</w:t>
            </w:r>
          </w:p>
        </w:tc>
        <w:tc>
          <w:tcPr>
            <w:tcW w:w="1583" w:type="dxa"/>
            <w:shd w:val="clear" w:color="auto" w:fill="auto"/>
            <w:vAlign w:val="center"/>
          </w:tcPr>
          <w:p w14:paraId="11DAA8CB" w14:textId="77777777" w:rsidR="00B5678E" w:rsidRPr="00080269" w:rsidRDefault="00B5678E" w:rsidP="004D0E35">
            <w:pPr>
              <w:pStyle w:val="DHHStabletext"/>
              <w:jc w:val="right"/>
              <w:rPr>
                <w:rFonts w:eastAsia="Calibri"/>
              </w:rPr>
            </w:pPr>
            <w:r w:rsidRPr="00080269">
              <w:rPr>
                <w:rFonts w:eastAsia="Calibri"/>
              </w:rPr>
              <w:t>50</w:t>
            </w:r>
          </w:p>
        </w:tc>
      </w:tr>
      <w:tr w:rsidR="00B5678E" w:rsidRPr="00343635" w14:paraId="3893B923" w14:textId="77777777" w:rsidTr="00881FA7">
        <w:tc>
          <w:tcPr>
            <w:tcW w:w="4621" w:type="dxa"/>
            <w:shd w:val="clear" w:color="auto" w:fill="auto"/>
          </w:tcPr>
          <w:p w14:paraId="2B3D8550" w14:textId="77777777" w:rsidR="00B5678E" w:rsidRPr="00080269" w:rsidRDefault="00B5678E" w:rsidP="004D0E35">
            <w:pPr>
              <w:pStyle w:val="DHHStabletext"/>
              <w:rPr>
                <w:rFonts w:eastAsia="Calibri"/>
              </w:rPr>
            </w:pPr>
            <w:r w:rsidRPr="00080269">
              <w:rPr>
                <w:rFonts w:eastAsia="Calibri"/>
              </w:rPr>
              <w:t>Recognised post testing but prior to issue</w:t>
            </w:r>
          </w:p>
        </w:tc>
        <w:tc>
          <w:tcPr>
            <w:tcW w:w="1583" w:type="dxa"/>
            <w:shd w:val="clear" w:color="auto" w:fill="auto"/>
            <w:vAlign w:val="center"/>
          </w:tcPr>
          <w:p w14:paraId="72300BE0" w14:textId="77777777" w:rsidR="00B5678E" w:rsidRPr="00080269" w:rsidRDefault="00B5678E" w:rsidP="004D0E35">
            <w:pPr>
              <w:pStyle w:val="DHHStabletext"/>
              <w:jc w:val="right"/>
              <w:rPr>
                <w:rFonts w:eastAsia="Calibri"/>
              </w:rPr>
            </w:pPr>
            <w:r w:rsidRPr="00080269">
              <w:rPr>
                <w:rFonts w:eastAsia="Calibri"/>
              </w:rPr>
              <w:t>4</w:t>
            </w:r>
          </w:p>
        </w:tc>
        <w:tc>
          <w:tcPr>
            <w:tcW w:w="1583" w:type="dxa"/>
            <w:shd w:val="clear" w:color="auto" w:fill="auto"/>
            <w:vAlign w:val="center"/>
          </w:tcPr>
          <w:p w14:paraId="38448AF5" w14:textId="77777777" w:rsidR="00B5678E" w:rsidRPr="00080269" w:rsidRDefault="00B5678E" w:rsidP="004D0E35">
            <w:pPr>
              <w:pStyle w:val="DHHStabletext"/>
              <w:jc w:val="right"/>
              <w:rPr>
                <w:rFonts w:eastAsia="Calibri"/>
              </w:rPr>
            </w:pPr>
            <w:r w:rsidRPr="00080269">
              <w:rPr>
                <w:rFonts w:eastAsia="Calibri"/>
              </w:rPr>
              <w:t>22</w:t>
            </w:r>
          </w:p>
        </w:tc>
      </w:tr>
      <w:tr w:rsidR="00B5678E" w:rsidRPr="00343635" w14:paraId="71A4E409" w14:textId="77777777" w:rsidTr="00881FA7">
        <w:tc>
          <w:tcPr>
            <w:tcW w:w="4621" w:type="dxa"/>
            <w:shd w:val="clear" w:color="auto" w:fill="auto"/>
          </w:tcPr>
          <w:p w14:paraId="16324F48" w14:textId="77777777" w:rsidR="00B5678E" w:rsidRPr="00080269" w:rsidRDefault="00B5678E" w:rsidP="004D0E35">
            <w:pPr>
              <w:pStyle w:val="DHHStabletext"/>
              <w:rPr>
                <w:rFonts w:eastAsia="Calibri"/>
              </w:rPr>
            </w:pPr>
            <w:r w:rsidRPr="00080269">
              <w:rPr>
                <w:rFonts w:eastAsia="Calibri"/>
              </w:rPr>
              <w:t>Significant change in MCV compared with prior testing</w:t>
            </w:r>
          </w:p>
        </w:tc>
        <w:tc>
          <w:tcPr>
            <w:tcW w:w="1583" w:type="dxa"/>
            <w:shd w:val="clear" w:color="auto" w:fill="auto"/>
            <w:vAlign w:val="center"/>
          </w:tcPr>
          <w:p w14:paraId="23182F49" w14:textId="77777777" w:rsidR="00B5678E" w:rsidRPr="00080269" w:rsidRDefault="00B5678E" w:rsidP="004D0E35">
            <w:pPr>
              <w:pStyle w:val="DHHStabletext"/>
              <w:jc w:val="right"/>
              <w:rPr>
                <w:rFonts w:eastAsia="Calibri"/>
              </w:rPr>
            </w:pPr>
            <w:r w:rsidRPr="00080269">
              <w:rPr>
                <w:rFonts w:eastAsia="Calibri"/>
              </w:rPr>
              <w:t>2</w:t>
            </w:r>
          </w:p>
        </w:tc>
        <w:tc>
          <w:tcPr>
            <w:tcW w:w="1583" w:type="dxa"/>
            <w:shd w:val="clear" w:color="auto" w:fill="auto"/>
            <w:vAlign w:val="center"/>
          </w:tcPr>
          <w:p w14:paraId="71DACAD9" w14:textId="77777777" w:rsidR="00B5678E" w:rsidRPr="00080269" w:rsidRDefault="00B5678E" w:rsidP="004D0E35">
            <w:pPr>
              <w:pStyle w:val="DHHStabletext"/>
              <w:jc w:val="right"/>
              <w:rPr>
                <w:rFonts w:eastAsia="Calibri"/>
              </w:rPr>
            </w:pPr>
            <w:r w:rsidRPr="00080269">
              <w:rPr>
                <w:rFonts w:eastAsia="Calibri"/>
              </w:rPr>
              <w:t>11</w:t>
            </w:r>
          </w:p>
        </w:tc>
      </w:tr>
      <w:tr w:rsidR="00B5678E" w:rsidRPr="00343635" w14:paraId="66FA9F61" w14:textId="77777777" w:rsidTr="00881FA7">
        <w:tc>
          <w:tcPr>
            <w:tcW w:w="4621" w:type="dxa"/>
            <w:shd w:val="clear" w:color="auto" w:fill="auto"/>
          </w:tcPr>
          <w:p w14:paraId="5DCD1B30" w14:textId="77777777" w:rsidR="00B5678E" w:rsidRPr="00080269" w:rsidRDefault="00B5678E" w:rsidP="004D0E35">
            <w:pPr>
              <w:pStyle w:val="DHHStabletext"/>
              <w:rPr>
                <w:rFonts w:eastAsia="Calibri"/>
              </w:rPr>
            </w:pPr>
            <w:r w:rsidRPr="00080269">
              <w:rPr>
                <w:rFonts w:eastAsia="Calibri"/>
              </w:rPr>
              <w:t>Recognised post issue but prior to transfusion</w:t>
            </w:r>
          </w:p>
        </w:tc>
        <w:tc>
          <w:tcPr>
            <w:tcW w:w="1583" w:type="dxa"/>
            <w:shd w:val="clear" w:color="auto" w:fill="auto"/>
            <w:vAlign w:val="center"/>
          </w:tcPr>
          <w:p w14:paraId="2098EC43" w14:textId="20A3C3E6" w:rsidR="00B5678E" w:rsidRPr="00080269" w:rsidRDefault="004D0E35" w:rsidP="004D0E35">
            <w:pPr>
              <w:pStyle w:val="DHHStabletext"/>
              <w:jc w:val="right"/>
              <w:rPr>
                <w:rFonts w:eastAsia="Calibri"/>
              </w:rPr>
            </w:pPr>
            <w:r>
              <w:rPr>
                <w:rFonts w:eastAsia="Calibri"/>
              </w:rPr>
              <w:t>-</w:t>
            </w:r>
          </w:p>
        </w:tc>
        <w:tc>
          <w:tcPr>
            <w:tcW w:w="1583" w:type="dxa"/>
            <w:shd w:val="clear" w:color="auto" w:fill="auto"/>
            <w:vAlign w:val="center"/>
          </w:tcPr>
          <w:p w14:paraId="25AC886E" w14:textId="07AC9FB9" w:rsidR="00B5678E" w:rsidRPr="00080269" w:rsidRDefault="004D0E35" w:rsidP="004D0E35">
            <w:pPr>
              <w:pStyle w:val="DHHStabletext"/>
              <w:jc w:val="right"/>
              <w:rPr>
                <w:rFonts w:eastAsia="Calibri"/>
              </w:rPr>
            </w:pPr>
            <w:r>
              <w:rPr>
                <w:rFonts w:eastAsia="Calibri"/>
              </w:rPr>
              <w:t>-</w:t>
            </w:r>
          </w:p>
        </w:tc>
      </w:tr>
      <w:tr w:rsidR="00B5678E" w:rsidRPr="00343635" w14:paraId="6A712E3F" w14:textId="77777777" w:rsidTr="00881FA7">
        <w:tc>
          <w:tcPr>
            <w:tcW w:w="4621" w:type="dxa"/>
            <w:shd w:val="clear" w:color="auto" w:fill="auto"/>
          </w:tcPr>
          <w:p w14:paraId="37C127A7" w14:textId="77777777" w:rsidR="00B5678E" w:rsidRPr="00080269" w:rsidRDefault="00B5678E" w:rsidP="004D0E35">
            <w:pPr>
              <w:pStyle w:val="DHHStabletext"/>
              <w:rPr>
                <w:rFonts w:eastAsia="Calibri"/>
              </w:rPr>
            </w:pPr>
            <w:r w:rsidRPr="00080269">
              <w:rPr>
                <w:rFonts w:eastAsia="Calibri"/>
              </w:rPr>
              <w:t>Other</w:t>
            </w:r>
          </w:p>
        </w:tc>
        <w:tc>
          <w:tcPr>
            <w:tcW w:w="1583" w:type="dxa"/>
            <w:shd w:val="clear" w:color="auto" w:fill="auto"/>
            <w:vAlign w:val="center"/>
          </w:tcPr>
          <w:p w14:paraId="081AFC3A" w14:textId="77777777" w:rsidR="00B5678E" w:rsidRPr="00080269" w:rsidRDefault="00B5678E" w:rsidP="004D0E35">
            <w:pPr>
              <w:pStyle w:val="DHHStabletext"/>
              <w:jc w:val="right"/>
              <w:rPr>
                <w:rFonts w:eastAsia="Calibri"/>
              </w:rPr>
            </w:pPr>
            <w:r w:rsidRPr="00080269">
              <w:rPr>
                <w:rFonts w:eastAsia="Calibri"/>
              </w:rPr>
              <w:t>1</w:t>
            </w:r>
          </w:p>
        </w:tc>
        <w:tc>
          <w:tcPr>
            <w:tcW w:w="1583" w:type="dxa"/>
            <w:shd w:val="clear" w:color="auto" w:fill="auto"/>
            <w:vAlign w:val="center"/>
          </w:tcPr>
          <w:p w14:paraId="0E4AE649" w14:textId="77777777" w:rsidR="00B5678E" w:rsidRPr="00080269" w:rsidRDefault="00B5678E" w:rsidP="004D0E35">
            <w:pPr>
              <w:pStyle w:val="DHHStabletext"/>
              <w:jc w:val="right"/>
              <w:rPr>
                <w:rFonts w:eastAsia="Calibri"/>
              </w:rPr>
            </w:pPr>
            <w:r w:rsidRPr="00080269">
              <w:rPr>
                <w:rFonts w:eastAsia="Calibri"/>
              </w:rPr>
              <w:t>5</w:t>
            </w:r>
          </w:p>
        </w:tc>
      </w:tr>
      <w:tr w:rsidR="00B5678E" w:rsidRPr="00343635" w14:paraId="6DD1A86E" w14:textId="77777777" w:rsidTr="00881FA7">
        <w:tc>
          <w:tcPr>
            <w:tcW w:w="4621" w:type="dxa"/>
            <w:shd w:val="clear" w:color="auto" w:fill="auto"/>
          </w:tcPr>
          <w:p w14:paraId="13081BC7" w14:textId="77777777" w:rsidR="00B5678E" w:rsidRPr="00080269" w:rsidRDefault="00B5678E" w:rsidP="004D0E35">
            <w:pPr>
              <w:pStyle w:val="DHHStabletext"/>
              <w:rPr>
                <w:rFonts w:eastAsia="Calibri"/>
              </w:rPr>
            </w:pPr>
            <w:r w:rsidRPr="00080269">
              <w:rPr>
                <w:rFonts w:eastAsia="Calibri"/>
              </w:rPr>
              <w:t>Total incidents</w:t>
            </w:r>
          </w:p>
        </w:tc>
        <w:tc>
          <w:tcPr>
            <w:tcW w:w="1583" w:type="dxa"/>
            <w:shd w:val="clear" w:color="auto" w:fill="auto"/>
            <w:vAlign w:val="center"/>
          </w:tcPr>
          <w:p w14:paraId="391E628E" w14:textId="459F192F" w:rsidR="00B5678E" w:rsidRPr="00080269" w:rsidRDefault="00B5678E" w:rsidP="004D0E35">
            <w:pPr>
              <w:pStyle w:val="DHHStabletext"/>
              <w:jc w:val="right"/>
              <w:rPr>
                <w:rFonts w:eastAsia="Calibri"/>
              </w:rPr>
            </w:pPr>
            <w:r w:rsidRPr="00080269">
              <w:rPr>
                <w:rFonts w:eastAsia="Calibri"/>
              </w:rPr>
              <w:t>18</w:t>
            </w:r>
          </w:p>
        </w:tc>
        <w:tc>
          <w:tcPr>
            <w:tcW w:w="1583" w:type="dxa"/>
            <w:shd w:val="clear" w:color="auto" w:fill="auto"/>
            <w:vAlign w:val="center"/>
          </w:tcPr>
          <w:p w14:paraId="5DB7C371" w14:textId="22A54EC1" w:rsidR="00B5678E" w:rsidRPr="00080269" w:rsidRDefault="00C1693D" w:rsidP="004D0E35">
            <w:pPr>
              <w:pStyle w:val="DHHStabletext"/>
              <w:jc w:val="right"/>
              <w:rPr>
                <w:rFonts w:eastAsia="Calibri"/>
              </w:rPr>
            </w:pPr>
            <w:r>
              <w:rPr>
                <w:rFonts w:eastAsia="Calibri"/>
              </w:rPr>
              <w:t>100</w:t>
            </w:r>
          </w:p>
        </w:tc>
      </w:tr>
    </w:tbl>
    <w:p w14:paraId="1F3770C2" w14:textId="77777777" w:rsidR="00B5678E" w:rsidRPr="00343635" w:rsidRDefault="00B5678E" w:rsidP="009435C0">
      <w:pPr>
        <w:pStyle w:val="DHHStablefigurenote"/>
      </w:pPr>
      <w:r w:rsidRPr="00343635">
        <w:t xml:space="preserve">Note: multiple </w:t>
      </w:r>
      <w:r w:rsidRPr="009435C0">
        <w:t>responses</w:t>
      </w:r>
      <w:r w:rsidRPr="00343635">
        <w:t xml:space="preserve"> given</w:t>
      </w:r>
    </w:p>
    <w:p w14:paraId="3117322B" w14:textId="2834AAD5" w:rsidR="00B5678E" w:rsidRPr="00343635" w:rsidRDefault="00B5678E" w:rsidP="00080269">
      <w:pPr>
        <w:pStyle w:val="Heading3"/>
      </w:pPr>
      <w:bookmarkStart w:id="46" w:name="_Toc24287446"/>
      <w:r w:rsidRPr="00343635">
        <w:t xml:space="preserve">Case </w:t>
      </w:r>
      <w:r w:rsidR="00C1693D">
        <w:t>s</w:t>
      </w:r>
      <w:r w:rsidRPr="00343635">
        <w:t>tud</w:t>
      </w:r>
      <w:r w:rsidR="00C1693D">
        <w:t>y</w:t>
      </w:r>
      <w:r w:rsidRPr="00343635">
        <w:t xml:space="preserve"> </w:t>
      </w:r>
      <w:r w:rsidR="00C1693D">
        <w:t xml:space="preserve">15: </w:t>
      </w:r>
      <w:r w:rsidRPr="00343635">
        <w:t xml:space="preserve">WBIT – </w:t>
      </w:r>
      <w:r w:rsidRPr="009435C0">
        <w:t>bloods</w:t>
      </w:r>
      <w:r w:rsidRPr="00343635">
        <w:t xml:space="preserve"> taken in Medical Emergency Team (MET) call</w:t>
      </w:r>
      <w:bookmarkEnd w:id="46"/>
    </w:p>
    <w:p w14:paraId="61EC7BE7" w14:textId="77777777" w:rsidR="00B5678E" w:rsidRPr="009435C0" w:rsidRDefault="00B5678E" w:rsidP="009435C0">
      <w:pPr>
        <w:pStyle w:val="DHHSbody"/>
      </w:pPr>
      <w:r w:rsidRPr="009435C0">
        <w:t>Bloods were taken from a patient during a MET call. At the time of collection, there was no request form to check patient details at the bedside; the medical officer completed the request form after collection and away from the bedside. The medical officer inadvertently placed the wrong patient details on the form. The nurse who took the bloods then copied the wrong patient details onto the tubes from the request form. At no stage did either check details against the patient identification (ID) band.</w:t>
      </w:r>
    </w:p>
    <w:p w14:paraId="485A366B" w14:textId="77777777" w:rsidR="00B5678E" w:rsidRPr="009435C0" w:rsidRDefault="00B5678E" w:rsidP="009435C0">
      <w:pPr>
        <w:pStyle w:val="DHHSbody"/>
      </w:pPr>
      <w:r w:rsidRPr="009435C0">
        <w:t>The laboratory noted the discrepancy in blood group between specimen and historic group, indicating a WBIT.</w:t>
      </w:r>
    </w:p>
    <w:p w14:paraId="47E6771E" w14:textId="0023151F" w:rsidR="00B5678E" w:rsidRPr="009435C0" w:rsidRDefault="00B5678E" w:rsidP="009435C0">
      <w:pPr>
        <w:pStyle w:val="Heading4"/>
      </w:pPr>
      <w:r w:rsidRPr="00343635">
        <w:t>Comments</w:t>
      </w:r>
    </w:p>
    <w:p w14:paraId="6F74A857" w14:textId="1E23FE63" w:rsidR="00B5678E" w:rsidRPr="009435C0" w:rsidRDefault="00B5678E" w:rsidP="009435C0">
      <w:pPr>
        <w:pStyle w:val="DHHSbody"/>
      </w:pPr>
      <w:r w:rsidRPr="009435C0">
        <w:t>In urgent situations</w:t>
      </w:r>
      <w:r w:rsidR="00C1693D">
        <w:t>,</w:t>
      </w:r>
      <w:r w:rsidRPr="009435C0">
        <w:t xml:space="preserve"> paperwork is one of the last things to be considered in caring for the patient. However, the checking of patient identity is always a vital part of patient safety. At all times samples should be labelled at the bedside. In a time</w:t>
      </w:r>
      <w:r w:rsidR="00C1693D">
        <w:t>-</w:t>
      </w:r>
      <w:r w:rsidRPr="009435C0">
        <w:t xml:space="preserve">critical event when it is not always possible to have the request form available at the time of taking the blood sample, it is still necessary and possible to label the sample before leaving the patient. The mismatch in patient ID on the request form and sample would have been immediately apparent to laboratory staff and reduced the risk to the patient. </w:t>
      </w:r>
    </w:p>
    <w:p w14:paraId="696B07C4" w14:textId="77777777" w:rsidR="00B5678E" w:rsidRPr="009435C0" w:rsidRDefault="00B5678E" w:rsidP="009435C0">
      <w:pPr>
        <w:pStyle w:val="DHHSbody"/>
      </w:pPr>
      <w:r w:rsidRPr="009435C0">
        <w:t>At some point, confirmation of the labelling of the sample and request form with the patient ID band and/or stated ID must occur and will reduce errors.</w:t>
      </w:r>
    </w:p>
    <w:p w14:paraId="4A15D546" w14:textId="3879AED6" w:rsidR="00B5678E" w:rsidRPr="009435C0" w:rsidRDefault="00B5678E" w:rsidP="009435C0">
      <w:pPr>
        <w:pStyle w:val="DHHSbody"/>
      </w:pPr>
      <w:r w:rsidRPr="009435C0">
        <w:t xml:space="preserve">In this case, it was the discrepancy in historical blood group that allowed the WBIT to be identified. Had the specimens been processed, clinical staff following up results for the patient would be unable to find them as they would have been attributed to the patient whose identifiers had been used. When assuming the laboratory has </w:t>
      </w:r>
      <w:r w:rsidR="00C1693D">
        <w:t>‘</w:t>
      </w:r>
      <w:r w:rsidRPr="009435C0">
        <w:t>lost</w:t>
      </w:r>
      <w:r w:rsidR="00C1693D">
        <w:t>’</w:t>
      </w:r>
      <w:r w:rsidRPr="009435C0">
        <w:t xml:space="preserve"> the specimens, consider </w:t>
      </w:r>
      <w:r w:rsidR="00C1693D">
        <w:t xml:space="preserve">whether they </w:t>
      </w:r>
      <w:r w:rsidRPr="009435C0">
        <w:t>were labelled correctly in the first instance.</w:t>
      </w:r>
    </w:p>
    <w:p w14:paraId="42A3CDEC" w14:textId="13F56639" w:rsidR="00B5678E" w:rsidRPr="00343635" w:rsidRDefault="00C1693D" w:rsidP="00080269">
      <w:pPr>
        <w:pStyle w:val="Heading3"/>
      </w:pPr>
      <w:bookmarkStart w:id="47" w:name="_Toc24287447"/>
      <w:r>
        <w:t xml:space="preserve">Case study </w:t>
      </w:r>
      <w:r w:rsidR="00B5678E" w:rsidRPr="00343635">
        <w:t>16</w:t>
      </w:r>
      <w:r>
        <w:t>:</w:t>
      </w:r>
      <w:r w:rsidRPr="00343635">
        <w:t xml:space="preserve"> </w:t>
      </w:r>
      <w:r w:rsidR="00B5678E" w:rsidRPr="00343635">
        <w:t xml:space="preserve">WBIT </w:t>
      </w:r>
      <w:r>
        <w:t>–</w:t>
      </w:r>
      <w:r w:rsidRPr="00343635">
        <w:t xml:space="preserve"> </w:t>
      </w:r>
      <w:r>
        <w:t>p</w:t>
      </w:r>
      <w:r w:rsidRPr="00343635">
        <w:t xml:space="preserve">atient </w:t>
      </w:r>
      <w:r w:rsidR="00B5678E" w:rsidRPr="009435C0">
        <w:t>identification</w:t>
      </w:r>
      <w:r w:rsidR="00B5678E" w:rsidRPr="00343635">
        <w:t xml:space="preserve"> incomplete</w:t>
      </w:r>
      <w:bookmarkEnd w:id="47"/>
    </w:p>
    <w:p w14:paraId="211FBB5E" w14:textId="485F5699" w:rsidR="00B5678E" w:rsidRPr="009435C0" w:rsidRDefault="00B5678E" w:rsidP="009435C0">
      <w:pPr>
        <w:pStyle w:val="DHHSbody"/>
      </w:pPr>
      <w:r w:rsidRPr="009435C0">
        <w:t>A patient attended for pre-transfusion testing in preparation for red cell exchange to take place a few days later. The patient was not admitted, therefore did not have an ID band in</w:t>
      </w:r>
      <w:r w:rsidR="00C1693D">
        <w:t xml:space="preserve"> </w:t>
      </w:r>
      <w:r w:rsidRPr="009435C0">
        <w:t>situ.</w:t>
      </w:r>
    </w:p>
    <w:p w14:paraId="5963B673" w14:textId="7CBAFCB3" w:rsidR="00B5678E" w:rsidRPr="009435C0" w:rsidRDefault="00B5678E" w:rsidP="009435C0">
      <w:pPr>
        <w:pStyle w:val="DHHSbody"/>
      </w:pPr>
      <w:r w:rsidRPr="009435C0">
        <w:t xml:space="preserve">The nurse found the patient’s medical record containing a pre-transfusion request form (labelled) and identification labels. The request form and labels were for another patient with the same name and similar age, which was not recognised at the time. The nurse used this form and identification labels to take and label specimens for the patient, however the patient was never asked to state his name, date of birth nor address (three identifiers) as required by the health service. The nurse gave the request form to </w:t>
      </w:r>
      <w:r w:rsidRPr="009435C0">
        <w:lastRenderedPageBreak/>
        <w:t>the patient and asked him to check his details. The patient quickly glanced at the form and said</w:t>
      </w:r>
      <w:r w:rsidR="00C1693D">
        <w:t>,</w:t>
      </w:r>
      <w:r w:rsidRPr="009435C0">
        <w:t xml:space="preserve"> </w:t>
      </w:r>
      <w:r w:rsidR="00C1693D">
        <w:t>‘Y</w:t>
      </w:r>
      <w:r w:rsidR="00C1693D" w:rsidRPr="009435C0">
        <w:t>es</w:t>
      </w:r>
      <w:r w:rsidRPr="009435C0">
        <w:t>, that is me</w:t>
      </w:r>
      <w:r w:rsidR="00C1693D">
        <w:t>’</w:t>
      </w:r>
      <w:r w:rsidR="00C1693D" w:rsidRPr="009435C0">
        <w:t xml:space="preserve">. </w:t>
      </w:r>
      <w:r w:rsidRPr="009435C0">
        <w:t>The sample was sent to pathology where the error was discovered. Both patients are regular attendees with transfusion records at the pathology provider.</w:t>
      </w:r>
    </w:p>
    <w:p w14:paraId="615B478C" w14:textId="2C7D5A5C" w:rsidR="00B5678E" w:rsidRPr="009435C0" w:rsidRDefault="00B5678E" w:rsidP="009435C0">
      <w:pPr>
        <w:pStyle w:val="Heading4"/>
      </w:pPr>
      <w:r w:rsidRPr="00343635">
        <w:t>Comments</w:t>
      </w:r>
    </w:p>
    <w:p w14:paraId="05D4A3AC" w14:textId="77777777" w:rsidR="00B5678E" w:rsidRPr="009435C0" w:rsidRDefault="00B5678E" w:rsidP="009435C0">
      <w:pPr>
        <w:pStyle w:val="DHHSbody"/>
      </w:pPr>
      <w:r w:rsidRPr="009435C0">
        <w:t>While having the patient confirm their identity on the request form may seem efficient, if the patient is unaware of the consequences of getting it wrong and the necessity to check carefully, then this type of error will occur. This final check does not remove the need to ask the patient to state name and date of birth and check these against the request before starting the procedure.</w:t>
      </w:r>
    </w:p>
    <w:p w14:paraId="4997C0D8" w14:textId="6ED3A65A" w:rsidR="00B5678E" w:rsidRPr="009435C0" w:rsidRDefault="00C1693D" w:rsidP="00080269">
      <w:pPr>
        <w:pStyle w:val="Heading3"/>
      </w:pPr>
      <w:bookmarkStart w:id="48" w:name="_Toc24287448"/>
      <w:r>
        <w:t xml:space="preserve">Case study </w:t>
      </w:r>
      <w:r w:rsidR="00B5678E" w:rsidRPr="00343635">
        <w:t>17</w:t>
      </w:r>
      <w:r>
        <w:t>:</w:t>
      </w:r>
      <w:r w:rsidRPr="00343635">
        <w:t xml:space="preserve"> </w:t>
      </w:r>
      <w:r w:rsidR="00B5678E" w:rsidRPr="00343635">
        <w:t xml:space="preserve">WBIT </w:t>
      </w:r>
      <w:r>
        <w:t>–</w:t>
      </w:r>
      <w:r w:rsidRPr="00343635">
        <w:t xml:space="preserve"> </w:t>
      </w:r>
      <w:r>
        <w:t>p</w:t>
      </w:r>
      <w:r w:rsidR="00B5678E" w:rsidRPr="00343635">
        <w:t xml:space="preserve">atient </w:t>
      </w:r>
      <w:r w:rsidR="00B5678E" w:rsidRPr="00C1693D">
        <w:t>identification</w:t>
      </w:r>
      <w:r w:rsidR="00B5678E" w:rsidRPr="00343635">
        <w:t xml:space="preserve"> from medical folder</w:t>
      </w:r>
      <w:bookmarkEnd w:id="48"/>
    </w:p>
    <w:p w14:paraId="5DCE039F" w14:textId="48A1BC49" w:rsidR="00B5678E" w:rsidRPr="009435C0" w:rsidRDefault="00B5678E" w:rsidP="009435C0">
      <w:pPr>
        <w:pStyle w:val="DHHSbody"/>
      </w:pPr>
      <w:r w:rsidRPr="009435C0">
        <w:t>Specimens were received in Blood Bank for a patient in the coronary care unit. Labelling was consistent between specimen and request</w:t>
      </w:r>
      <w:r w:rsidR="00C1693D">
        <w:t>,</w:t>
      </w:r>
      <w:r w:rsidRPr="009435C0">
        <w:t xml:space="preserve"> so testing was undertaken. Testing showed that the blood group of the specimen received was B </w:t>
      </w:r>
      <w:proofErr w:type="spellStart"/>
      <w:r w:rsidRPr="009435C0">
        <w:t>RhD</w:t>
      </w:r>
      <w:proofErr w:type="spellEnd"/>
      <w:r w:rsidRPr="009435C0">
        <w:t xml:space="preserve"> positive, the patient had a historical record of A </w:t>
      </w:r>
      <w:proofErr w:type="spellStart"/>
      <w:r w:rsidRPr="009435C0">
        <w:t>RhD</w:t>
      </w:r>
      <w:proofErr w:type="spellEnd"/>
      <w:r w:rsidRPr="009435C0">
        <w:t xml:space="preserve"> positive. The nurse was notified of the error and found that the folders (labels included) that had been used to label </w:t>
      </w:r>
      <w:r w:rsidR="00C1693D">
        <w:t xml:space="preserve">the </w:t>
      </w:r>
      <w:r w:rsidRPr="009435C0">
        <w:t>request and specimens had been switched over. She had two patients, who both required blood specimen collection</w:t>
      </w:r>
      <w:r w:rsidR="00C1693D">
        <w:t>,</w:t>
      </w:r>
      <w:r w:rsidRPr="009435C0">
        <w:t xml:space="preserve"> and had used the folders for identification. Both patients required second specimen collections.</w:t>
      </w:r>
    </w:p>
    <w:p w14:paraId="436DCCD8" w14:textId="7FC12471" w:rsidR="00B5678E" w:rsidRPr="009435C0" w:rsidRDefault="00B5678E" w:rsidP="009435C0">
      <w:pPr>
        <w:pStyle w:val="Heading4"/>
      </w:pPr>
      <w:r w:rsidRPr="00343635">
        <w:t>Comments</w:t>
      </w:r>
    </w:p>
    <w:p w14:paraId="66584B64" w14:textId="2FA000C8" w:rsidR="00B5678E" w:rsidRPr="009435C0" w:rsidRDefault="00B5678E" w:rsidP="009435C0">
      <w:pPr>
        <w:pStyle w:val="DHHSbody"/>
      </w:pPr>
      <w:r w:rsidRPr="009435C0">
        <w:t>For both of the above incidents</w:t>
      </w:r>
      <w:r w:rsidR="00C1693D">
        <w:t>,</w:t>
      </w:r>
      <w:r w:rsidRPr="009435C0">
        <w:t xml:space="preserve"> the identification of the patient directly and as per health service policy did not take place. The use of the patient to self-identify should be effective, but only if the patient is made aware of the reason for doing this and is carefully checking the information. It should not replace the use of positive verbal identification whenever it can be done. Where the patient cannot participate in the positive identification process, direct confirmation of the identification on request and/or specimens with the patient identification band must occur. The use of other means to identify patients, especially medical records which can be very mobile, is never acceptable.</w:t>
      </w:r>
    </w:p>
    <w:p w14:paraId="64511BC2" w14:textId="77777777" w:rsidR="00B5678E" w:rsidRPr="009435C0" w:rsidRDefault="00B5678E" w:rsidP="009435C0">
      <w:pPr>
        <w:pStyle w:val="DHHSbody"/>
      </w:pPr>
      <w:r w:rsidRPr="009435C0">
        <w:t>The majority of WBIT events reported are a result of poor patient identification at the time of collection, and/or labelling of specimens and request away from the bedside. If there are only two things to remember for specimen collection patient identification and labelling, they are:</w:t>
      </w:r>
    </w:p>
    <w:p w14:paraId="16A2D8EA" w14:textId="607BD34D" w:rsidR="00B5678E" w:rsidRPr="009435C0" w:rsidRDefault="00B5678E" w:rsidP="00080269">
      <w:pPr>
        <w:pStyle w:val="DHHSnumberdigit"/>
        <w:numPr>
          <w:ilvl w:val="0"/>
          <w:numId w:val="31"/>
        </w:numPr>
      </w:pPr>
      <w:r w:rsidRPr="009435C0">
        <w:t>Always have a labelled form at the bedside –</w:t>
      </w:r>
      <w:r w:rsidR="00C1693D">
        <w:t xml:space="preserve"> </w:t>
      </w:r>
      <w:r w:rsidRPr="009435C0">
        <w:t>this will allow you to check you are at the right patient, even in an emergency situation.</w:t>
      </w:r>
    </w:p>
    <w:p w14:paraId="00685105" w14:textId="2F7B90B0" w:rsidR="00B5678E" w:rsidRPr="009435C0" w:rsidRDefault="00B5678E" w:rsidP="009435C0">
      <w:pPr>
        <w:pStyle w:val="DHHSnumberdigit"/>
      </w:pPr>
      <w:r w:rsidRPr="009435C0">
        <w:t>Always label specimens at the patient</w:t>
      </w:r>
      <w:r w:rsidR="00C1693D">
        <w:t>’s</w:t>
      </w:r>
      <w:r w:rsidRPr="009435C0">
        <w:t xml:space="preserve"> side. This allows direct comparison of details on specimens with the patient ID band. </w:t>
      </w:r>
    </w:p>
    <w:p w14:paraId="3CF8CF49" w14:textId="77777777" w:rsidR="00B5678E" w:rsidRPr="00343635" w:rsidRDefault="00B5678E" w:rsidP="009435C0">
      <w:pPr>
        <w:pStyle w:val="DHHSbody"/>
      </w:pPr>
      <w:r w:rsidRPr="00343635">
        <w:t xml:space="preserve">If these two processes are </w:t>
      </w:r>
      <w:r w:rsidRPr="009435C0">
        <w:t>always</w:t>
      </w:r>
      <w:r w:rsidRPr="00343635">
        <w:t xml:space="preserve"> observed then the risk of a WBIT is minimised.</w:t>
      </w:r>
    </w:p>
    <w:p w14:paraId="79592FF7" w14:textId="53F7CB6E" w:rsidR="00B5678E" w:rsidRPr="00343635" w:rsidRDefault="00B5678E" w:rsidP="009435C0">
      <w:pPr>
        <w:pStyle w:val="Heading2"/>
      </w:pPr>
      <w:bookmarkStart w:id="49" w:name="_Toc24287449"/>
      <w:proofErr w:type="spellStart"/>
      <w:r w:rsidRPr="00343635">
        <w:t>RhD</w:t>
      </w:r>
      <w:proofErr w:type="spellEnd"/>
      <w:r w:rsidRPr="00343635">
        <w:t xml:space="preserve"> </w:t>
      </w:r>
      <w:r w:rsidRPr="009435C0">
        <w:t>immunoglobulin</w:t>
      </w:r>
      <w:r w:rsidRPr="00343635">
        <w:t xml:space="preserve"> (</w:t>
      </w:r>
      <w:proofErr w:type="spellStart"/>
      <w:r w:rsidRPr="00343635">
        <w:t>RhD</w:t>
      </w:r>
      <w:proofErr w:type="spellEnd"/>
      <w:r w:rsidRPr="00343635">
        <w:t xml:space="preserve"> Ig)</w:t>
      </w:r>
      <w:bookmarkEnd w:id="49"/>
    </w:p>
    <w:p w14:paraId="6D91FE34" w14:textId="77777777" w:rsidR="00B5678E" w:rsidRPr="00343635" w:rsidRDefault="00B5678E" w:rsidP="009435C0">
      <w:pPr>
        <w:pStyle w:val="DHHSbody"/>
      </w:pPr>
      <w:r w:rsidRPr="00343635">
        <w:t xml:space="preserve">Includes incidents related to anti-D request or administration </w:t>
      </w:r>
      <w:r w:rsidRPr="009435C0">
        <w:t>for</w:t>
      </w:r>
      <w:r w:rsidRPr="00343635">
        <w:t xml:space="preserve"> women of childbearing potential or following transfusion of </w:t>
      </w:r>
      <w:proofErr w:type="spellStart"/>
      <w:r w:rsidRPr="00343635">
        <w:t>RhD</w:t>
      </w:r>
      <w:proofErr w:type="spellEnd"/>
      <w:r w:rsidRPr="00343635">
        <w:t xml:space="preserve"> mismatched red cells or platelets. This includes incidents where: </w:t>
      </w:r>
    </w:p>
    <w:p w14:paraId="14D20B40" w14:textId="23D04348" w:rsidR="00B5678E" w:rsidRPr="00343635" w:rsidRDefault="00B5678E" w:rsidP="009435C0">
      <w:pPr>
        <w:pStyle w:val="DHHSbullet1"/>
      </w:pPr>
      <w:proofErr w:type="spellStart"/>
      <w:r w:rsidRPr="00343635">
        <w:t>RhD</w:t>
      </w:r>
      <w:proofErr w:type="spellEnd"/>
      <w:r w:rsidRPr="00343635">
        <w:t xml:space="preserve"> Ig is omitted or administered late at routine prophylaxis or sensitising events</w:t>
      </w:r>
    </w:p>
    <w:p w14:paraId="5906618D" w14:textId="51C31CA3" w:rsidR="00B5678E" w:rsidRPr="00343635" w:rsidRDefault="00B5678E" w:rsidP="009435C0">
      <w:pPr>
        <w:pStyle w:val="DHHSbullet1"/>
      </w:pPr>
      <w:proofErr w:type="spellStart"/>
      <w:r w:rsidRPr="00343635">
        <w:t>RhD</w:t>
      </w:r>
      <w:proofErr w:type="spellEnd"/>
      <w:r w:rsidRPr="00343635">
        <w:t xml:space="preserve"> Ig is erroneously administered to a Rh D positive woman, a Rh D negative woman with immune anti-D, or the woman of a Rh D negative infant</w:t>
      </w:r>
    </w:p>
    <w:p w14:paraId="64D94D1D" w14:textId="218DB6EF" w:rsidR="00B5678E" w:rsidRPr="00343635" w:rsidRDefault="00B5678E" w:rsidP="009435C0">
      <w:pPr>
        <w:pStyle w:val="DHHSbullet1"/>
      </w:pPr>
      <w:proofErr w:type="spellStart"/>
      <w:r w:rsidRPr="00343635">
        <w:t>RhD</w:t>
      </w:r>
      <w:proofErr w:type="spellEnd"/>
      <w:r w:rsidRPr="00343635">
        <w:t xml:space="preserve"> Ig is administered to the wrong patient </w:t>
      </w:r>
    </w:p>
    <w:p w14:paraId="7F704B24" w14:textId="7295E2C3" w:rsidR="00B5678E" w:rsidRPr="00343635" w:rsidRDefault="00B5678E" w:rsidP="009435C0">
      <w:pPr>
        <w:pStyle w:val="DHHSbullet1"/>
      </w:pPr>
      <w:r w:rsidRPr="00343635">
        <w:t xml:space="preserve">the incorrect dose of </w:t>
      </w:r>
      <w:proofErr w:type="spellStart"/>
      <w:r w:rsidRPr="00343635">
        <w:t>RhD</w:t>
      </w:r>
      <w:proofErr w:type="spellEnd"/>
      <w:r w:rsidRPr="00343635">
        <w:t xml:space="preserve"> Ig is administered </w:t>
      </w:r>
    </w:p>
    <w:p w14:paraId="11FF9CB7" w14:textId="284ACAB4" w:rsidR="00B5678E" w:rsidRPr="00343635" w:rsidRDefault="00B5678E" w:rsidP="009435C0">
      <w:pPr>
        <w:pStyle w:val="DHHSbullet1lastline"/>
      </w:pPr>
      <w:r w:rsidRPr="00343635">
        <w:t>an expired product is administered (</w:t>
      </w:r>
      <w:r w:rsidRPr="00080269">
        <w:rPr>
          <w:i/>
          <w:iCs/>
        </w:rPr>
        <w:t xml:space="preserve">STIR </w:t>
      </w:r>
      <w:r w:rsidR="00C1693D" w:rsidRPr="00080269">
        <w:rPr>
          <w:i/>
          <w:iCs/>
        </w:rPr>
        <w:t xml:space="preserve">reporting guide </w:t>
      </w:r>
      <w:r w:rsidRPr="00080269">
        <w:rPr>
          <w:i/>
          <w:iCs/>
        </w:rPr>
        <w:t>2017</w:t>
      </w:r>
      <w:r w:rsidRPr="00343635">
        <w:t>)</w:t>
      </w:r>
    </w:p>
    <w:p w14:paraId="162BDD0B" w14:textId="6623C301" w:rsidR="00B5678E" w:rsidRPr="00343635" w:rsidRDefault="00B5678E" w:rsidP="009435C0">
      <w:pPr>
        <w:pStyle w:val="DHHSbody"/>
      </w:pPr>
      <w:r w:rsidRPr="00343635">
        <w:lastRenderedPageBreak/>
        <w:t xml:space="preserve">There were 10 </w:t>
      </w:r>
      <w:r w:rsidRPr="009435C0">
        <w:t>reports</w:t>
      </w:r>
      <w:r w:rsidRPr="00343635">
        <w:t xml:space="preserve"> of </w:t>
      </w:r>
      <w:proofErr w:type="spellStart"/>
      <w:r w:rsidRPr="00343635">
        <w:t>RhD</w:t>
      </w:r>
      <w:proofErr w:type="spellEnd"/>
      <w:r w:rsidRPr="00343635">
        <w:t xml:space="preserve"> immunoglobulin administration errors in this year. Fifty per cent of reports related to sensitising events (Table </w:t>
      </w:r>
      <w:r w:rsidR="00C1693D" w:rsidRPr="00343635">
        <w:t>2</w:t>
      </w:r>
      <w:r w:rsidR="00E416B9">
        <w:t>6</w:t>
      </w:r>
      <w:r w:rsidRPr="00343635">
        <w:t xml:space="preserve">). Sixty per cent of reports related to </w:t>
      </w:r>
      <w:proofErr w:type="spellStart"/>
      <w:r w:rsidRPr="00343635">
        <w:t>RhD</w:t>
      </w:r>
      <w:proofErr w:type="spellEnd"/>
      <w:r w:rsidRPr="00343635">
        <w:t xml:space="preserve"> Ig being administered when it was not required (Table </w:t>
      </w:r>
      <w:r w:rsidR="00C1693D" w:rsidRPr="00343635">
        <w:t>2</w:t>
      </w:r>
      <w:r w:rsidR="00E416B9">
        <w:t>7</w:t>
      </w:r>
      <w:r w:rsidRPr="00343635">
        <w:t>).</w:t>
      </w:r>
    </w:p>
    <w:p w14:paraId="2BCBAA31" w14:textId="572A62D2" w:rsidR="00B5678E" w:rsidRPr="00343635" w:rsidRDefault="00B5678E" w:rsidP="009435C0">
      <w:pPr>
        <w:pStyle w:val="DHHStablecaption"/>
      </w:pPr>
      <w:r w:rsidRPr="00343635">
        <w:t xml:space="preserve">Table </w:t>
      </w:r>
      <w:r w:rsidR="00C1693D" w:rsidRPr="00343635">
        <w:t>2</w:t>
      </w:r>
      <w:r w:rsidR="000A6E9B">
        <w:t>6</w:t>
      </w:r>
      <w:r w:rsidR="00C1693D">
        <w:t>:</w:t>
      </w:r>
      <w:r w:rsidRPr="00343635">
        <w:t xml:space="preserve"> </w:t>
      </w:r>
      <w:proofErr w:type="spellStart"/>
      <w:r w:rsidRPr="00343635">
        <w:t>RhD</w:t>
      </w:r>
      <w:proofErr w:type="spellEnd"/>
      <w:r w:rsidRPr="00343635">
        <w:t xml:space="preserve"> Ig errors –</w:t>
      </w:r>
      <w:r w:rsidR="00C1693D">
        <w:t xml:space="preserve"> </w:t>
      </w:r>
      <w:r w:rsidRPr="00343635">
        <w:t xml:space="preserve">intended </w:t>
      </w:r>
      <w:r w:rsidRPr="009435C0">
        <w:t>administration</w:t>
      </w:r>
    </w:p>
    <w:tbl>
      <w:tblPr>
        <w:tblStyle w:val="TableGrid"/>
        <w:tblW w:w="8330" w:type="dxa"/>
        <w:tblLook w:val="04A0" w:firstRow="1" w:lastRow="0" w:firstColumn="1" w:lastColumn="0" w:noHBand="0" w:noVBand="1"/>
      </w:tblPr>
      <w:tblGrid>
        <w:gridCol w:w="6304"/>
        <w:gridCol w:w="2026"/>
      </w:tblGrid>
      <w:tr w:rsidR="00B5678E" w:rsidRPr="00343635" w14:paraId="318534D9" w14:textId="77777777" w:rsidTr="003F366A">
        <w:trPr>
          <w:tblHeader/>
        </w:trPr>
        <w:tc>
          <w:tcPr>
            <w:tcW w:w="6304" w:type="dxa"/>
          </w:tcPr>
          <w:p w14:paraId="3F4CE04F" w14:textId="77777777" w:rsidR="00B5678E" w:rsidRPr="00881FA7" w:rsidRDefault="00B5678E" w:rsidP="009435C0">
            <w:pPr>
              <w:pStyle w:val="DHHStablecolhead"/>
              <w:rPr>
                <w:rFonts w:eastAsia="Calibri"/>
                <w:sz w:val="22"/>
                <w:szCs w:val="22"/>
              </w:rPr>
            </w:pPr>
            <w:r w:rsidRPr="00881FA7">
              <w:rPr>
                <w:rFonts w:eastAsia="Calibri"/>
                <w:sz w:val="22"/>
                <w:szCs w:val="22"/>
              </w:rPr>
              <w:t>Intended administration</w:t>
            </w:r>
          </w:p>
        </w:tc>
        <w:tc>
          <w:tcPr>
            <w:tcW w:w="2026" w:type="dxa"/>
          </w:tcPr>
          <w:p w14:paraId="03460D9F" w14:textId="6B7D7A7B" w:rsidR="00B5678E" w:rsidRPr="00881FA7" w:rsidRDefault="00C1693D" w:rsidP="00C1693D">
            <w:pPr>
              <w:pStyle w:val="DHHStablecolhead"/>
              <w:rPr>
                <w:rFonts w:eastAsia="Calibri"/>
                <w:sz w:val="22"/>
                <w:szCs w:val="22"/>
              </w:rPr>
            </w:pPr>
            <w:r>
              <w:rPr>
                <w:rFonts w:eastAsia="Calibri"/>
                <w:sz w:val="22"/>
                <w:szCs w:val="22"/>
              </w:rPr>
              <w:t>Number</w:t>
            </w:r>
          </w:p>
        </w:tc>
      </w:tr>
      <w:tr w:rsidR="00B5678E" w:rsidRPr="00343635" w14:paraId="4460FE45" w14:textId="77777777" w:rsidTr="003F366A">
        <w:tc>
          <w:tcPr>
            <w:tcW w:w="6304" w:type="dxa"/>
          </w:tcPr>
          <w:p w14:paraId="5E49497E" w14:textId="77777777" w:rsidR="00B5678E" w:rsidRPr="00881FA7" w:rsidRDefault="00B5678E" w:rsidP="009435C0">
            <w:pPr>
              <w:pStyle w:val="DHHStabletext"/>
              <w:rPr>
                <w:rFonts w:eastAsia="Calibri"/>
                <w:sz w:val="22"/>
                <w:szCs w:val="22"/>
              </w:rPr>
            </w:pPr>
            <w:r w:rsidRPr="00881FA7">
              <w:rPr>
                <w:rFonts w:eastAsia="Calibri"/>
                <w:sz w:val="22"/>
                <w:szCs w:val="22"/>
              </w:rPr>
              <w:t>Antenatal prophylaxis</w:t>
            </w:r>
          </w:p>
        </w:tc>
        <w:tc>
          <w:tcPr>
            <w:tcW w:w="2026" w:type="dxa"/>
          </w:tcPr>
          <w:p w14:paraId="3C953D64" w14:textId="77777777" w:rsidR="00B5678E" w:rsidRPr="00881FA7" w:rsidRDefault="00B5678E" w:rsidP="00881FA7">
            <w:pPr>
              <w:pStyle w:val="DHHStabletext"/>
              <w:jc w:val="right"/>
              <w:rPr>
                <w:rFonts w:eastAsia="Calibri"/>
                <w:sz w:val="22"/>
                <w:szCs w:val="22"/>
              </w:rPr>
            </w:pPr>
            <w:r w:rsidRPr="00881FA7">
              <w:rPr>
                <w:rFonts w:eastAsia="Calibri"/>
                <w:sz w:val="22"/>
                <w:szCs w:val="22"/>
              </w:rPr>
              <w:t>1</w:t>
            </w:r>
          </w:p>
        </w:tc>
      </w:tr>
      <w:tr w:rsidR="00B5678E" w:rsidRPr="00343635" w14:paraId="20490D02" w14:textId="77777777" w:rsidTr="003F366A">
        <w:tc>
          <w:tcPr>
            <w:tcW w:w="6304" w:type="dxa"/>
          </w:tcPr>
          <w:p w14:paraId="580767D8" w14:textId="77777777" w:rsidR="00B5678E" w:rsidRPr="00881FA7" w:rsidRDefault="00B5678E" w:rsidP="009435C0">
            <w:pPr>
              <w:pStyle w:val="DHHStabletext"/>
              <w:rPr>
                <w:rFonts w:eastAsia="Calibri"/>
                <w:sz w:val="22"/>
                <w:szCs w:val="22"/>
              </w:rPr>
            </w:pPr>
            <w:r w:rsidRPr="00881FA7">
              <w:rPr>
                <w:rFonts w:eastAsia="Calibri"/>
                <w:sz w:val="22"/>
                <w:szCs w:val="22"/>
              </w:rPr>
              <w:t>Sensitising event</w:t>
            </w:r>
          </w:p>
        </w:tc>
        <w:tc>
          <w:tcPr>
            <w:tcW w:w="2026" w:type="dxa"/>
          </w:tcPr>
          <w:p w14:paraId="2F27ADF3" w14:textId="77777777" w:rsidR="00B5678E" w:rsidRPr="00881FA7" w:rsidRDefault="00B5678E" w:rsidP="00881FA7">
            <w:pPr>
              <w:pStyle w:val="DHHStabletext"/>
              <w:jc w:val="right"/>
              <w:rPr>
                <w:rFonts w:eastAsia="Calibri"/>
                <w:sz w:val="22"/>
                <w:szCs w:val="22"/>
              </w:rPr>
            </w:pPr>
            <w:r w:rsidRPr="00881FA7">
              <w:rPr>
                <w:rFonts w:eastAsia="Calibri"/>
                <w:sz w:val="22"/>
                <w:szCs w:val="22"/>
              </w:rPr>
              <w:t>5</w:t>
            </w:r>
          </w:p>
        </w:tc>
      </w:tr>
      <w:tr w:rsidR="00B5678E" w:rsidRPr="00343635" w14:paraId="38FCE198" w14:textId="77777777" w:rsidTr="003F366A">
        <w:tc>
          <w:tcPr>
            <w:tcW w:w="6304" w:type="dxa"/>
          </w:tcPr>
          <w:p w14:paraId="2D84D560" w14:textId="77777777" w:rsidR="00B5678E" w:rsidRPr="00881FA7" w:rsidRDefault="00B5678E" w:rsidP="009435C0">
            <w:pPr>
              <w:pStyle w:val="DHHStabletext"/>
              <w:rPr>
                <w:rFonts w:eastAsia="Calibri"/>
                <w:sz w:val="22"/>
                <w:szCs w:val="22"/>
              </w:rPr>
            </w:pPr>
            <w:r w:rsidRPr="00881FA7">
              <w:rPr>
                <w:rFonts w:eastAsia="Calibri"/>
                <w:sz w:val="22"/>
                <w:szCs w:val="22"/>
              </w:rPr>
              <w:t>Post-natal</w:t>
            </w:r>
          </w:p>
        </w:tc>
        <w:tc>
          <w:tcPr>
            <w:tcW w:w="2026" w:type="dxa"/>
          </w:tcPr>
          <w:p w14:paraId="5BFAA0EF" w14:textId="77777777" w:rsidR="00B5678E" w:rsidRPr="00881FA7" w:rsidRDefault="00B5678E" w:rsidP="00881FA7">
            <w:pPr>
              <w:pStyle w:val="DHHStabletext"/>
              <w:jc w:val="right"/>
              <w:rPr>
                <w:rFonts w:eastAsia="Calibri"/>
                <w:sz w:val="22"/>
                <w:szCs w:val="22"/>
              </w:rPr>
            </w:pPr>
            <w:r w:rsidRPr="00881FA7">
              <w:rPr>
                <w:rFonts w:eastAsia="Calibri"/>
                <w:sz w:val="22"/>
                <w:szCs w:val="22"/>
              </w:rPr>
              <w:t>3</w:t>
            </w:r>
          </w:p>
        </w:tc>
      </w:tr>
    </w:tbl>
    <w:p w14:paraId="67A0575F" w14:textId="11D2444A" w:rsidR="003F366A" w:rsidRPr="00343635" w:rsidRDefault="003F366A" w:rsidP="003F366A">
      <w:pPr>
        <w:pStyle w:val="DHHStablefigurenote"/>
      </w:pPr>
      <w:r>
        <w:rPr>
          <w:rFonts w:ascii="Helvetica" w:hAnsi="Helvetica" w:cs="Helvetica"/>
          <w:color w:val="000000"/>
          <w:lang w:val="en-US"/>
        </w:rPr>
        <w:t>Note: One dose given in error, wrong immunoglobulin product.</w:t>
      </w:r>
    </w:p>
    <w:p w14:paraId="0CEFC0E6" w14:textId="40AE054A" w:rsidR="00B5678E" w:rsidRPr="00343635" w:rsidRDefault="00B5678E" w:rsidP="009435C0">
      <w:pPr>
        <w:pStyle w:val="DHHStablecaption"/>
      </w:pPr>
      <w:r w:rsidRPr="00343635">
        <w:t xml:space="preserve">Table </w:t>
      </w:r>
      <w:r w:rsidR="00C1693D" w:rsidRPr="00343635">
        <w:t>2</w:t>
      </w:r>
      <w:r w:rsidR="000A6E9B">
        <w:t>7</w:t>
      </w:r>
      <w:r w:rsidR="00C1693D">
        <w:t>:</w:t>
      </w:r>
      <w:r w:rsidRPr="00343635">
        <w:t xml:space="preserve"> Types of </w:t>
      </w:r>
      <w:proofErr w:type="spellStart"/>
      <w:r w:rsidRPr="00343635">
        <w:t>RhD</w:t>
      </w:r>
      <w:proofErr w:type="spellEnd"/>
      <w:r w:rsidRPr="00343635">
        <w:t xml:space="preserve"> Ig </w:t>
      </w:r>
      <w:r w:rsidRPr="009435C0">
        <w:t>incidents</w:t>
      </w:r>
    </w:p>
    <w:tbl>
      <w:tblPr>
        <w:tblStyle w:val="TableGrid"/>
        <w:tblW w:w="8330" w:type="dxa"/>
        <w:tblLook w:val="04A0" w:firstRow="1" w:lastRow="0" w:firstColumn="1" w:lastColumn="0" w:noHBand="0" w:noVBand="1"/>
      </w:tblPr>
      <w:tblGrid>
        <w:gridCol w:w="6387"/>
        <w:gridCol w:w="1943"/>
      </w:tblGrid>
      <w:tr w:rsidR="00B5678E" w:rsidRPr="00343635" w14:paraId="380065C2" w14:textId="77777777" w:rsidTr="00E56E6D">
        <w:trPr>
          <w:tblHeader/>
        </w:trPr>
        <w:tc>
          <w:tcPr>
            <w:tcW w:w="6387" w:type="dxa"/>
          </w:tcPr>
          <w:p w14:paraId="64C7DEF7" w14:textId="77777777" w:rsidR="00B5678E" w:rsidRPr="00080269" w:rsidRDefault="00B5678E" w:rsidP="00FC2CE8">
            <w:pPr>
              <w:pStyle w:val="DHHStablecolhead"/>
              <w:rPr>
                <w:rFonts w:eastAsia="Calibri"/>
              </w:rPr>
            </w:pPr>
            <w:r w:rsidRPr="00080269">
              <w:rPr>
                <w:rFonts w:eastAsia="Calibri"/>
              </w:rPr>
              <w:t>Type of incident</w:t>
            </w:r>
          </w:p>
        </w:tc>
        <w:tc>
          <w:tcPr>
            <w:tcW w:w="1943" w:type="dxa"/>
          </w:tcPr>
          <w:p w14:paraId="62C19866" w14:textId="0B939F16" w:rsidR="00B5678E" w:rsidRPr="00080269" w:rsidRDefault="00C1693D" w:rsidP="00FC2CE8">
            <w:pPr>
              <w:pStyle w:val="DHHStablecolhead"/>
              <w:rPr>
                <w:rFonts w:eastAsia="Calibri"/>
              </w:rPr>
            </w:pPr>
            <w:r w:rsidRPr="00080269">
              <w:rPr>
                <w:rFonts w:eastAsia="Calibri"/>
              </w:rPr>
              <w:t>Number</w:t>
            </w:r>
          </w:p>
        </w:tc>
      </w:tr>
      <w:tr w:rsidR="00B5678E" w:rsidRPr="00343635" w14:paraId="3A2A577A" w14:textId="77777777" w:rsidTr="00E56E6D">
        <w:tc>
          <w:tcPr>
            <w:tcW w:w="6387" w:type="dxa"/>
          </w:tcPr>
          <w:p w14:paraId="024CA21D" w14:textId="77777777" w:rsidR="00B5678E" w:rsidRPr="00080269" w:rsidRDefault="00B5678E" w:rsidP="00FC2CE8">
            <w:pPr>
              <w:pStyle w:val="DHHStabletext"/>
              <w:rPr>
                <w:rFonts w:eastAsia="Calibri"/>
              </w:rPr>
            </w:pPr>
            <w:r w:rsidRPr="00080269">
              <w:rPr>
                <w:rFonts w:eastAsia="Calibri"/>
              </w:rPr>
              <w:t>Administered, not required (Rh negative mother with Rh negative baby)</w:t>
            </w:r>
          </w:p>
        </w:tc>
        <w:tc>
          <w:tcPr>
            <w:tcW w:w="1943" w:type="dxa"/>
          </w:tcPr>
          <w:p w14:paraId="50F3F5D2" w14:textId="77777777" w:rsidR="00B5678E" w:rsidRPr="00080269" w:rsidRDefault="00B5678E" w:rsidP="00FC2CE8">
            <w:pPr>
              <w:pStyle w:val="DHHStabletext"/>
              <w:jc w:val="right"/>
              <w:rPr>
                <w:rFonts w:eastAsia="Calibri"/>
              </w:rPr>
            </w:pPr>
            <w:r w:rsidRPr="00080269">
              <w:rPr>
                <w:rFonts w:eastAsia="Calibri"/>
              </w:rPr>
              <w:t>2</w:t>
            </w:r>
          </w:p>
        </w:tc>
      </w:tr>
      <w:tr w:rsidR="00B5678E" w:rsidRPr="00343635" w14:paraId="17E0CB71" w14:textId="77777777" w:rsidTr="00E56E6D">
        <w:tc>
          <w:tcPr>
            <w:tcW w:w="6387" w:type="dxa"/>
          </w:tcPr>
          <w:p w14:paraId="056ABA2B" w14:textId="77777777" w:rsidR="00B5678E" w:rsidRPr="00080269" w:rsidRDefault="00B5678E" w:rsidP="00FC2CE8">
            <w:pPr>
              <w:pStyle w:val="DHHStabletext"/>
              <w:rPr>
                <w:rFonts w:eastAsia="Calibri"/>
              </w:rPr>
            </w:pPr>
            <w:r w:rsidRPr="00080269">
              <w:rPr>
                <w:rFonts w:eastAsia="Calibri"/>
              </w:rPr>
              <w:t>Administered, not required (Rh positive woman)</w:t>
            </w:r>
          </w:p>
        </w:tc>
        <w:tc>
          <w:tcPr>
            <w:tcW w:w="1943" w:type="dxa"/>
          </w:tcPr>
          <w:p w14:paraId="6A74A4BD" w14:textId="77777777" w:rsidR="00B5678E" w:rsidRPr="00080269" w:rsidRDefault="00B5678E" w:rsidP="00FC2CE8">
            <w:pPr>
              <w:pStyle w:val="DHHStabletext"/>
              <w:jc w:val="right"/>
              <w:rPr>
                <w:rFonts w:eastAsia="Calibri"/>
              </w:rPr>
            </w:pPr>
            <w:r w:rsidRPr="00080269">
              <w:rPr>
                <w:rFonts w:eastAsia="Calibri"/>
              </w:rPr>
              <w:t>4</w:t>
            </w:r>
          </w:p>
        </w:tc>
      </w:tr>
      <w:tr w:rsidR="00B5678E" w:rsidRPr="00343635" w14:paraId="6EFABBB4" w14:textId="77777777" w:rsidTr="00E56E6D">
        <w:tc>
          <w:tcPr>
            <w:tcW w:w="6387" w:type="dxa"/>
          </w:tcPr>
          <w:p w14:paraId="25E96D4B" w14:textId="77777777" w:rsidR="00B5678E" w:rsidRPr="00080269" w:rsidRDefault="00B5678E" w:rsidP="00FC2CE8">
            <w:pPr>
              <w:pStyle w:val="DHHStabletext"/>
              <w:rPr>
                <w:rFonts w:eastAsia="Calibri"/>
              </w:rPr>
            </w:pPr>
            <w:r w:rsidRPr="00080269">
              <w:rPr>
                <w:rFonts w:eastAsia="Calibri"/>
              </w:rPr>
              <w:t>Administered, not required (woman with immune Anti-D)</w:t>
            </w:r>
          </w:p>
        </w:tc>
        <w:tc>
          <w:tcPr>
            <w:tcW w:w="1943" w:type="dxa"/>
          </w:tcPr>
          <w:p w14:paraId="0712956A" w14:textId="77777777" w:rsidR="00B5678E" w:rsidRPr="00080269" w:rsidRDefault="00B5678E" w:rsidP="00FC2CE8">
            <w:pPr>
              <w:pStyle w:val="DHHStabletext"/>
              <w:jc w:val="right"/>
              <w:rPr>
                <w:rFonts w:eastAsia="Calibri"/>
              </w:rPr>
            </w:pPr>
            <w:r w:rsidRPr="00080269">
              <w:rPr>
                <w:rFonts w:eastAsia="Calibri"/>
              </w:rPr>
              <w:t>-</w:t>
            </w:r>
          </w:p>
        </w:tc>
      </w:tr>
      <w:tr w:rsidR="00B5678E" w:rsidRPr="00343635" w14:paraId="51864B2B" w14:textId="77777777" w:rsidTr="00E56E6D">
        <w:tc>
          <w:tcPr>
            <w:tcW w:w="6387" w:type="dxa"/>
          </w:tcPr>
          <w:p w14:paraId="23FFCB13" w14:textId="77777777" w:rsidR="00B5678E" w:rsidRPr="00080269" w:rsidRDefault="00B5678E" w:rsidP="00FC2CE8">
            <w:pPr>
              <w:pStyle w:val="DHHStabletext"/>
              <w:rPr>
                <w:rFonts w:eastAsia="Calibri"/>
              </w:rPr>
            </w:pPr>
            <w:r w:rsidRPr="00080269">
              <w:rPr>
                <w:rFonts w:eastAsia="Calibri"/>
              </w:rPr>
              <w:t xml:space="preserve">Rh D dose omitted </w:t>
            </w:r>
          </w:p>
        </w:tc>
        <w:tc>
          <w:tcPr>
            <w:tcW w:w="1943" w:type="dxa"/>
          </w:tcPr>
          <w:p w14:paraId="271E53EC" w14:textId="77777777" w:rsidR="00B5678E" w:rsidRPr="00080269" w:rsidRDefault="00B5678E" w:rsidP="00FC2CE8">
            <w:pPr>
              <w:pStyle w:val="DHHStabletext"/>
              <w:jc w:val="right"/>
              <w:rPr>
                <w:rFonts w:eastAsia="Calibri"/>
              </w:rPr>
            </w:pPr>
            <w:r w:rsidRPr="00080269">
              <w:rPr>
                <w:rFonts w:eastAsia="Calibri"/>
              </w:rPr>
              <w:t>1</w:t>
            </w:r>
          </w:p>
        </w:tc>
      </w:tr>
      <w:tr w:rsidR="00B5678E" w:rsidRPr="00343635" w14:paraId="68A3C7F4" w14:textId="77777777" w:rsidTr="00E56E6D">
        <w:tc>
          <w:tcPr>
            <w:tcW w:w="6387" w:type="dxa"/>
          </w:tcPr>
          <w:p w14:paraId="27FE8092" w14:textId="359AE442" w:rsidR="00B5678E" w:rsidRPr="00080269" w:rsidRDefault="00B5678E" w:rsidP="00FC2CE8">
            <w:pPr>
              <w:pStyle w:val="DHHStabletext"/>
              <w:rPr>
                <w:rFonts w:eastAsia="Calibri"/>
              </w:rPr>
            </w:pPr>
            <w:r w:rsidRPr="00080269">
              <w:rPr>
                <w:rFonts w:eastAsia="Calibri"/>
              </w:rPr>
              <w:t>Delay in administration (&gt;</w:t>
            </w:r>
            <w:r w:rsidR="00C1693D" w:rsidRPr="00080269">
              <w:rPr>
                <w:rFonts w:eastAsia="Calibri"/>
              </w:rPr>
              <w:t> </w:t>
            </w:r>
            <w:r w:rsidRPr="00080269">
              <w:rPr>
                <w:rFonts w:eastAsia="Calibri"/>
              </w:rPr>
              <w:t>72 h</w:t>
            </w:r>
            <w:r w:rsidR="00C1693D" w:rsidRPr="00080269">
              <w:rPr>
                <w:rFonts w:eastAsia="Calibri"/>
              </w:rPr>
              <w:t>ou</w:t>
            </w:r>
            <w:r w:rsidRPr="00080269">
              <w:rPr>
                <w:rFonts w:eastAsia="Calibri"/>
              </w:rPr>
              <w:t>rs.)</w:t>
            </w:r>
          </w:p>
        </w:tc>
        <w:tc>
          <w:tcPr>
            <w:tcW w:w="1943" w:type="dxa"/>
          </w:tcPr>
          <w:p w14:paraId="6997339C" w14:textId="480298F3" w:rsidR="00B5678E" w:rsidRPr="00080269" w:rsidRDefault="00C1693D" w:rsidP="00FC2CE8">
            <w:pPr>
              <w:pStyle w:val="DHHStabletext"/>
              <w:jc w:val="right"/>
              <w:rPr>
                <w:rFonts w:eastAsia="Calibri"/>
              </w:rPr>
            </w:pPr>
            <w:r w:rsidRPr="00080269">
              <w:rPr>
                <w:rFonts w:eastAsia="Calibri"/>
              </w:rPr>
              <w:t>-</w:t>
            </w:r>
          </w:p>
        </w:tc>
      </w:tr>
      <w:tr w:rsidR="00B5678E" w:rsidRPr="00343635" w14:paraId="0F2A4CAD" w14:textId="77777777" w:rsidTr="00E56E6D">
        <w:tc>
          <w:tcPr>
            <w:tcW w:w="6387" w:type="dxa"/>
          </w:tcPr>
          <w:p w14:paraId="6E3AC523" w14:textId="77777777" w:rsidR="00B5678E" w:rsidRPr="00080269" w:rsidRDefault="00B5678E" w:rsidP="00FC2CE8">
            <w:pPr>
              <w:pStyle w:val="DHHStabletext"/>
              <w:rPr>
                <w:rFonts w:eastAsia="Calibri"/>
              </w:rPr>
            </w:pPr>
            <w:r w:rsidRPr="00080269">
              <w:rPr>
                <w:rFonts w:eastAsia="Calibri"/>
              </w:rPr>
              <w:t>Wrong or inadequate dose</w:t>
            </w:r>
          </w:p>
        </w:tc>
        <w:tc>
          <w:tcPr>
            <w:tcW w:w="1943" w:type="dxa"/>
          </w:tcPr>
          <w:p w14:paraId="5FA9C653" w14:textId="399D22C8" w:rsidR="00B5678E" w:rsidRPr="00080269" w:rsidRDefault="00C1693D" w:rsidP="00FC2CE8">
            <w:pPr>
              <w:pStyle w:val="DHHStabletext"/>
              <w:jc w:val="right"/>
              <w:rPr>
                <w:rFonts w:eastAsia="Calibri"/>
              </w:rPr>
            </w:pPr>
            <w:r w:rsidRPr="00080269">
              <w:rPr>
                <w:rFonts w:eastAsia="Calibri"/>
              </w:rPr>
              <w:t>-</w:t>
            </w:r>
          </w:p>
        </w:tc>
      </w:tr>
      <w:tr w:rsidR="00B5678E" w:rsidRPr="00343635" w14:paraId="3A5F3B86" w14:textId="77777777" w:rsidTr="00E56E6D">
        <w:tc>
          <w:tcPr>
            <w:tcW w:w="6387" w:type="dxa"/>
          </w:tcPr>
          <w:p w14:paraId="64CC3940" w14:textId="77777777" w:rsidR="00B5678E" w:rsidRPr="00080269" w:rsidRDefault="00B5678E" w:rsidP="00FC2CE8">
            <w:pPr>
              <w:pStyle w:val="DHHStabletext"/>
              <w:rPr>
                <w:rFonts w:eastAsia="Calibri"/>
              </w:rPr>
            </w:pPr>
            <w:r w:rsidRPr="00080269">
              <w:rPr>
                <w:rFonts w:eastAsia="Calibri"/>
              </w:rPr>
              <w:t>Other: released or administered to incorrect patient, incorrect immunoglobulin product released</w:t>
            </w:r>
          </w:p>
        </w:tc>
        <w:tc>
          <w:tcPr>
            <w:tcW w:w="1943" w:type="dxa"/>
          </w:tcPr>
          <w:p w14:paraId="09BD3321" w14:textId="77777777" w:rsidR="00B5678E" w:rsidRPr="00080269" w:rsidRDefault="00B5678E" w:rsidP="00FC2CE8">
            <w:pPr>
              <w:pStyle w:val="DHHStabletext"/>
              <w:jc w:val="right"/>
              <w:rPr>
                <w:rFonts w:eastAsia="Calibri"/>
              </w:rPr>
            </w:pPr>
            <w:r w:rsidRPr="00080269">
              <w:rPr>
                <w:rFonts w:eastAsia="Calibri"/>
              </w:rPr>
              <w:t>3</w:t>
            </w:r>
          </w:p>
        </w:tc>
      </w:tr>
    </w:tbl>
    <w:p w14:paraId="03747556" w14:textId="77777777" w:rsidR="00B5678E" w:rsidRPr="00343635" w:rsidRDefault="00B5678E" w:rsidP="009435C0">
      <w:pPr>
        <w:pStyle w:val="DHHSbodyaftertablefigure"/>
      </w:pPr>
      <w:r w:rsidRPr="00343635">
        <w:t xml:space="preserve">The number of reports of </w:t>
      </w:r>
      <w:proofErr w:type="spellStart"/>
      <w:r w:rsidRPr="00343635">
        <w:t>RhD</w:t>
      </w:r>
      <w:proofErr w:type="spellEnd"/>
      <w:r w:rsidRPr="00343635">
        <w:t xml:space="preserve"> Ig events to STIR has remained small. In 2017, SHOT received 426 reports of incidents relating to </w:t>
      </w:r>
      <w:proofErr w:type="spellStart"/>
      <w:r w:rsidRPr="00343635">
        <w:t>RhD</w:t>
      </w:r>
      <w:proofErr w:type="spellEnd"/>
      <w:r w:rsidRPr="00343635">
        <w:t xml:space="preserve"> Ig, 77 per cent of which related to omission or late administration.</w:t>
      </w:r>
    </w:p>
    <w:p w14:paraId="25C60AD5" w14:textId="6F0DB3B5" w:rsidR="00B5678E" w:rsidRPr="009435C0" w:rsidRDefault="00B5678E" w:rsidP="00080269">
      <w:pPr>
        <w:pStyle w:val="Heading3"/>
      </w:pPr>
      <w:bookmarkStart w:id="50" w:name="_Toc24287450"/>
      <w:r w:rsidRPr="009435C0">
        <w:t xml:space="preserve">Blood Matters </w:t>
      </w:r>
      <w:proofErr w:type="spellStart"/>
      <w:r w:rsidRPr="009435C0">
        <w:t>RhD</w:t>
      </w:r>
      <w:proofErr w:type="spellEnd"/>
      <w:r w:rsidRPr="009435C0">
        <w:t xml:space="preserve"> Ig use in obstetrics </w:t>
      </w:r>
      <w:r w:rsidRPr="00C1693D">
        <w:t>audit</w:t>
      </w:r>
      <w:bookmarkEnd w:id="50"/>
    </w:p>
    <w:p w14:paraId="399A55C3" w14:textId="55ECDD7E" w:rsidR="00B5678E" w:rsidRPr="009435C0" w:rsidRDefault="00B5678E" w:rsidP="009435C0">
      <w:pPr>
        <w:pStyle w:val="DHHSbody"/>
      </w:pPr>
      <w:r w:rsidRPr="009435C0">
        <w:t xml:space="preserve">Although the number of </w:t>
      </w:r>
      <w:proofErr w:type="spellStart"/>
      <w:r w:rsidRPr="009435C0">
        <w:t>RhD</w:t>
      </w:r>
      <w:proofErr w:type="spellEnd"/>
      <w:r w:rsidRPr="009435C0">
        <w:t xml:space="preserve"> Ig reportable events has been small, some concerning themes have emerged. As a result, Blood Matters performed an </w:t>
      </w:r>
      <w:proofErr w:type="spellStart"/>
      <w:r w:rsidRPr="009435C0">
        <w:t>RhD</w:t>
      </w:r>
      <w:proofErr w:type="spellEnd"/>
      <w:r w:rsidRPr="009435C0">
        <w:t xml:space="preserve"> Ig use in obstetrics audit that covered the period 1 July 2017 through to 30 June 2018. Data submitted in the practice audit found 294 potentially reportable events over the 18</w:t>
      </w:r>
      <w:r w:rsidR="00C1693D">
        <w:t>-</w:t>
      </w:r>
      <w:r w:rsidRPr="009435C0">
        <w:t>month period of the clinical audit</w:t>
      </w:r>
      <w:r w:rsidR="00C1693D">
        <w:t xml:space="preserve"> from</w:t>
      </w:r>
      <w:r w:rsidRPr="009435C0">
        <w:t xml:space="preserve"> January 2017 – June 2018 (Table </w:t>
      </w:r>
      <w:r w:rsidR="00C1693D" w:rsidRPr="009435C0">
        <w:t>2</w:t>
      </w:r>
      <w:r w:rsidR="000A6E9B">
        <w:t>8</w:t>
      </w:r>
      <w:r w:rsidRPr="009435C0">
        <w:t>).</w:t>
      </w:r>
    </w:p>
    <w:p w14:paraId="2B1B39F6" w14:textId="77777777" w:rsidR="00DC054C" w:rsidRDefault="00DC054C">
      <w:pPr>
        <w:rPr>
          <w:rFonts w:ascii="Arial" w:hAnsi="Arial"/>
          <w:b/>
        </w:rPr>
      </w:pPr>
      <w:r>
        <w:br w:type="page"/>
      </w:r>
    </w:p>
    <w:p w14:paraId="70D8DF25" w14:textId="5E8839B8" w:rsidR="00B5678E" w:rsidRPr="00343635" w:rsidRDefault="00B5678E" w:rsidP="009435C0">
      <w:pPr>
        <w:pStyle w:val="DHHStablecaption"/>
      </w:pPr>
      <w:r w:rsidRPr="00343635">
        <w:lastRenderedPageBreak/>
        <w:t xml:space="preserve">Table </w:t>
      </w:r>
      <w:r w:rsidR="00C1693D" w:rsidRPr="00343635">
        <w:t>2</w:t>
      </w:r>
      <w:r w:rsidR="000A6E9B">
        <w:t>8</w:t>
      </w:r>
      <w:r w:rsidR="00C1693D">
        <w:t>:</w:t>
      </w:r>
      <w:r w:rsidRPr="00343635">
        <w:t xml:space="preserve"> Potential </w:t>
      </w:r>
      <w:proofErr w:type="spellStart"/>
      <w:r w:rsidRPr="00343635">
        <w:t>RhD</w:t>
      </w:r>
      <w:proofErr w:type="spellEnd"/>
      <w:r w:rsidRPr="00343635">
        <w:t xml:space="preserve"> Ig errors found in Blood Matters audit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066"/>
        <w:gridCol w:w="3261"/>
      </w:tblGrid>
      <w:tr w:rsidR="00B5678E" w:rsidRPr="00343635" w14:paraId="1017BEA7" w14:textId="77777777" w:rsidTr="00080269">
        <w:trPr>
          <w:tblHeader/>
        </w:trPr>
        <w:tc>
          <w:tcPr>
            <w:tcW w:w="2689" w:type="dxa"/>
            <w:shd w:val="clear" w:color="auto" w:fill="auto"/>
          </w:tcPr>
          <w:p w14:paraId="4AF58F51" w14:textId="77777777" w:rsidR="00B5678E" w:rsidRPr="009435C0" w:rsidRDefault="00B5678E" w:rsidP="009435C0">
            <w:pPr>
              <w:pStyle w:val="DHHStablecolhead"/>
            </w:pPr>
            <w:r w:rsidRPr="009435C0">
              <w:t>Intended administration</w:t>
            </w:r>
          </w:p>
        </w:tc>
        <w:tc>
          <w:tcPr>
            <w:tcW w:w="3066" w:type="dxa"/>
            <w:shd w:val="clear" w:color="auto" w:fill="auto"/>
          </w:tcPr>
          <w:p w14:paraId="49880073" w14:textId="77777777" w:rsidR="00B5678E" w:rsidRPr="009435C0" w:rsidRDefault="00B5678E" w:rsidP="009435C0">
            <w:pPr>
              <w:pStyle w:val="DHHStablecolhead"/>
            </w:pPr>
            <w:r w:rsidRPr="009435C0">
              <w:t>Potential error</w:t>
            </w:r>
          </w:p>
        </w:tc>
        <w:tc>
          <w:tcPr>
            <w:tcW w:w="3261" w:type="dxa"/>
            <w:shd w:val="clear" w:color="auto" w:fill="auto"/>
          </w:tcPr>
          <w:p w14:paraId="01861672" w14:textId="77777777" w:rsidR="00B5678E" w:rsidRPr="009435C0" w:rsidRDefault="00B5678E" w:rsidP="009435C0">
            <w:pPr>
              <w:pStyle w:val="DHHStablecolhead"/>
            </w:pPr>
            <w:r w:rsidRPr="009435C0">
              <w:t>Number</w:t>
            </w:r>
          </w:p>
        </w:tc>
      </w:tr>
      <w:tr w:rsidR="00B5678E" w:rsidRPr="00343635" w14:paraId="29A03FB2" w14:textId="77777777" w:rsidTr="00881FA7">
        <w:tc>
          <w:tcPr>
            <w:tcW w:w="2689" w:type="dxa"/>
            <w:shd w:val="clear" w:color="auto" w:fill="auto"/>
          </w:tcPr>
          <w:p w14:paraId="79F9B8B9" w14:textId="77777777" w:rsidR="00B5678E" w:rsidRPr="009435C0" w:rsidRDefault="00B5678E" w:rsidP="009435C0">
            <w:pPr>
              <w:pStyle w:val="DHHStabletext"/>
            </w:pPr>
            <w:r w:rsidRPr="009435C0">
              <w:t>Routine prophylaxis</w:t>
            </w:r>
          </w:p>
        </w:tc>
        <w:tc>
          <w:tcPr>
            <w:tcW w:w="3066" w:type="dxa"/>
            <w:shd w:val="clear" w:color="auto" w:fill="auto"/>
          </w:tcPr>
          <w:p w14:paraId="7C30956A" w14:textId="77777777" w:rsidR="00B5678E" w:rsidRPr="009435C0" w:rsidRDefault="00B5678E" w:rsidP="009435C0">
            <w:pPr>
              <w:pStyle w:val="DHHStabletext"/>
            </w:pPr>
            <w:r w:rsidRPr="009435C0">
              <w:t>At least one missing dose</w:t>
            </w:r>
          </w:p>
          <w:p w14:paraId="6EE10402" w14:textId="77777777" w:rsidR="00B5678E" w:rsidRPr="009435C0" w:rsidRDefault="00B5678E" w:rsidP="009435C0">
            <w:pPr>
              <w:pStyle w:val="DHHStabletext"/>
            </w:pPr>
            <w:r w:rsidRPr="009435C0">
              <w:t>Incorrect timing</w:t>
            </w:r>
          </w:p>
          <w:p w14:paraId="4963AE59" w14:textId="77777777" w:rsidR="00B5678E" w:rsidRPr="009435C0" w:rsidRDefault="00B5678E" w:rsidP="009435C0">
            <w:pPr>
              <w:pStyle w:val="DHHStabletext"/>
            </w:pPr>
            <w:r w:rsidRPr="009435C0">
              <w:t>Incorrect dose</w:t>
            </w:r>
          </w:p>
        </w:tc>
        <w:tc>
          <w:tcPr>
            <w:tcW w:w="3261" w:type="dxa"/>
            <w:shd w:val="clear" w:color="auto" w:fill="auto"/>
          </w:tcPr>
          <w:p w14:paraId="10245C49" w14:textId="77777777" w:rsidR="00B5678E" w:rsidRPr="009435C0" w:rsidRDefault="00B5678E" w:rsidP="00881FA7">
            <w:pPr>
              <w:pStyle w:val="DHHStabletext"/>
              <w:jc w:val="right"/>
            </w:pPr>
            <w:r w:rsidRPr="009435C0">
              <w:t>87</w:t>
            </w:r>
          </w:p>
          <w:p w14:paraId="5DF508BA" w14:textId="77777777" w:rsidR="00B5678E" w:rsidRPr="009435C0" w:rsidRDefault="00B5678E" w:rsidP="00881FA7">
            <w:pPr>
              <w:pStyle w:val="DHHStabletext"/>
              <w:jc w:val="right"/>
            </w:pPr>
            <w:r w:rsidRPr="009435C0">
              <w:t>112</w:t>
            </w:r>
          </w:p>
          <w:p w14:paraId="1C5CA7DB" w14:textId="77777777" w:rsidR="00B5678E" w:rsidRPr="009435C0" w:rsidRDefault="00B5678E" w:rsidP="00881FA7">
            <w:pPr>
              <w:pStyle w:val="DHHStabletext"/>
              <w:jc w:val="right"/>
            </w:pPr>
            <w:r w:rsidRPr="009435C0">
              <w:t>40</w:t>
            </w:r>
          </w:p>
        </w:tc>
      </w:tr>
      <w:tr w:rsidR="00B5678E" w:rsidRPr="00343635" w14:paraId="565EF92A" w14:textId="77777777" w:rsidTr="00881FA7">
        <w:tc>
          <w:tcPr>
            <w:tcW w:w="2689" w:type="dxa"/>
            <w:shd w:val="clear" w:color="auto" w:fill="auto"/>
          </w:tcPr>
          <w:p w14:paraId="03B85FEB" w14:textId="77777777" w:rsidR="00B5678E" w:rsidRPr="009435C0" w:rsidRDefault="00B5678E" w:rsidP="009435C0">
            <w:pPr>
              <w:pStyle w:val="DHHStabletext"/>
            </w:pPr>
            <w:r w:rsidRPr="009435C0">
              <w:t xml:space="preserve">Sensitising events </w:t>
            </w:r>
            <w:r w:rsidRPr="009435C0">
              <w:br/>
              <w:t>(1st trimester)</w:t>
            </w:r>
          </w:p>
        </w:tc>
        <w:tc>
          <w:tcPr>
            <w:tcW w:w="3066" w:type="dxa"/>
            <w:shd w:val="clear" w:color="auto" w:fill="auto"/>
          </w:tcPr>
          <w:p w14:paraId="53445C17" w14:textId="77777777" w:rsidR="00B5678E" w:rsidRPr="009435C0" w:rsidRDefault="00B5678E" w:rsidP="009435C0">
            <w:pPr>
              <w:pStyle w:val="DHHStabletext"/>
            </w:pPr>
            <w:r w:rsidRPr="009435C0">
              <w:t xml:space="preserve">Dose unnecessary </w:t>
            </w:r>
          </w:p>
        </w:tc>
        <w:tc>
          <w:tcPr>
            <w:tcW w:w="3261" w:type="dxa"/>
            <w:shd w:val="clear" w:color="auto" w:fill="auto"/>
          </w:tcPr>
          <w:p w14:paraId="008DAE29" w14:textId="77777777" w:rsidR="00B5678E" w:rsidRPr="009435C0" w:rsidRDefault="00B5678E" w:rsidP="00881FA7">
            <w:pPr>
              <w:pStyle w:val="DHHStabletext"/>
              <w:jc w:val="right"/>
            </w:pPr>
            <w:r w:rsidRPr="009435C0">
              <w:t>14</w:t>
            </w:r>
          </w:p>
        </w:tc>
      </w:tr>
      <w:tr w:rsidR="00B5678E" w:rsidRPr="00343635" w14:paraId="6A7EB24E" w14:textId="77777777" w:rsidTr="00881FA7">
        <w:tc>
          <w:tcPr>
            <w:tcW w:w="2689" w:type="dxa"/>
            <w:shd w:val="clear" w:color="auto" w:fill="auto"/>
          </w:tcPr>
          <w:p w14:paraId="1489A8C9" w14:textId="77777777" w:rsidR="00B5678E" w:rsidRPr="009435C0" w:rsidRDefault="00B5678E" w:rsidP="009435C0">
            <w:pPr>
              <w:pStyle w:val="DHHStabletext"/>
            </w:pPr>
            <w:r w:rsidRPr="009435C0">
              <w:t xml:space="preserve">Sensitising events </w:t>
            </w:r>
            <w:r w:rsidRPr="009435C0">
              <w:br/>
              <w:t>(2nd and 3rd trimesters)</w:t>
            </w:r>
          </w:p>
        </w:tc>
        <w:tc>
          <w:tcPr>
            <w:tcW w:w="3066" w:type="dxa"/>
            <w:shd w:val="clear" w:color="auto" w:fill="auto"/>
          </w:tcPr>
          <w:p w14:paraId="001CF4E0" w14:textId="77777777" w:rsidR="00B5678E" w:rsidRPr="009435C0" w:rsidRDefault="00B5678E" w:rsidP="009435C0">
            <w:pPr>
              <w:pStyle w:val="DHHStabletext"/>
            </w:pPr>
            <w:r w:rsidRPr="009435C0">
              <w:t>Dose omitted</w:t>
            </w:r>
          </w:p>
          <w:p w14:paraId="71EADE48" w14:textId="77777777" w:rsidR="00B5678E" w:rsidRPr="009435C0" w:rsidRDefault="00B5678E" w:rsidP="009435C0">
            <w:pPr>
              <w:pStyle w:val="DHHStabletext"/>
            </w:pPr>
          </w:p>
        </w:tc>
        <w:tc>
          <w:tcPr>
            <w:tcW w:w="3261" w:type="dxa"/>
            <w:shd w:val="clear" w:color="auto" w:fill="auto"/>
          </w:tcPr>
          <w:p w14:paraId="5A5E771A" w14:textId="77777777" w:rsidR="00B5678E" w:rsidRPr="009435C0" w:rsidRDefault="00B5678E" w:rsidP="00881FA7">
            <w:pPr>
              <w:pStyle w:val="DHHStabletext"/>
              <w:jc w:val="right"/>
            </w:pPr>
            <w:r w:rsidRPr="009435C0">
              <w:t>17</w:t>
            </w:r>
          </w:p>
          <w:p w14:paraId="750C0DEA" w14:textId="77777777" w:rsidR="00B5678E" w:rsidRPr="009435C0" w:rsidRDefault="00B5678E" w:rsidP="00881FA7">
            <w:pPr>
              <w:pStyle w:val="DHHStabletext"/>
              <w:jc w:val="right"/>
            </w:pPr>
          </w:p>
        </w:tc>
      </w:tr>
      <w:tr w:rsidR="00B5678E" w:rsidRPr="00343635" w14:paraId="4DB3363F" w14:textId="77777777" w:rsidTr="00881FA7">
        <w:tc>
          <w:tcPr>
            <w:tcW w:w="2689" w:type="dxa"/>
            <w:shd w:val="clear" w:color="auto" w:fill="auto"/>
          </w:tcPr>
          <w:p w14:paraId="198B548C" w14:textId="77777777" w:rsidR="00B5678E" w:rsidRPr="009435C0" w:rsidRDefault="00B5678E" w:rsidP="009435C0">
            <w:pPr>
              <w:pStyle w:val="DHHStabletext"/>
            </w:pPr>
            <w:r w:rsidRPr="009435C0">
              <w:t>Post-natal</w:t>
            </w:r>
          </w:p>
        </w:tc>
        <w:tc>
          <w:tcPr>
            <w:tcW w:w="3066" w:type="dxa"/>
            <w:shd w:val="clear" w:color="auto" w:fill="auto"/>
          </w:tcPr>
          <w:p w14:paraId="11373C27" w14:textId="77777777" w:rsidR="00B5678E" w:rsidRPr="009435C0" w:rsidRDefault="00B5678E" w:rsidP="009435C0">
            <w:pPr>
              <w:pStyle w:val="DHHStabletext"/>
            </w:pPr>
            <w:r w:rsidRPr="009435C0">
              <w:t>Dose omitted</w:t>
            </w:r>
          </w:p>
          <w:p w14:paraId="0F0B6DFA" w14:textId="77777777" w:rsidR="00B5678E" w:rsidRPr="009435C0" w:rsidRDefault="00B5678E" w:rsidP="009435C0">
            <w:pPr>
              <w:pStyle w:val="DHHStabletext"/>
            </w:pPr>
            <w:r w:rsidRPr="009435C0">
              <w:t>Dose unnecessary (</w:t>
            </w:r>
            <w:proofErr w:type="spellStart"/>
            <w:r w:rsidRPr="009435C0">
              <w:t>RhD</w:t>
            </w:r>
            <w:proofErr w:type="spellEnd"/>
            <w:r w:rsidRPr="009435C0">
              <w:t xml:space="preserve"> neg woman with </w:t>
            </w:r>
            <w:proofErr w:type="spellStart"/>
            <w:r w:rsidRPr="009435C0">
              <w:t>RhD</w:t>
            </w:r>
            <w:proofErr w:type="spellEnd"/>
            <w:r w:rsidRPr="009435C0">
              <w:t xml:space="preserve"> neg baby</w:t>
            </w:r>
          </w:p>
        </w:tc>
        <w:tc>
          <w:tcPr>
            <w:tcW w:w="3261" w:type="dxa"/>
            <w:shd w:val="clear" w:color="auto" w:fill="auto"/>
          </w:tcPr>
          <w:p w14:paraId="4486C013" w14:textId="77777777" w:rsidR="00B5678E" w:rsidRPr="009435C0" w:rsidRDefault="00B5678E" w:rsidP="00881FA7">
            <w:pPr>
              <w:pStyle w:val="DHHStabletext"/>
              <w:jc w:val="right"/>
            </w:pPr>
            <w:r w:rsidRPr="009435C0">
              <w:t>13</w:t>
            </w:r>
          </w:p>
          <w:p w14:paraId="008371D9" w14:textId="77777777" w:rsidR="00B5678E" w:rsidRPr="009435C0" w:rsidRDefault="00B5678E" w:rsidP="00881FA7">
            <w:pPr>
              <w:pStyle w:val="DHHStabletext"/>
              <w:jc w:val="right"/>
            </w:pPr>
            <w:r w:rsidRPr="009435C0">
              <w:t>11</w:t>
            </w:r>
          </w:p>
        </w:tc>
      </w:tr>
    </w:tbl>
    <w:p w14:paraId="5D693257" w14:textId="360D4331" w:rsidR="00B5678E" w:rsidRPr="00343635" w:rsidRDefault="00B5678E" w:rsidP="009435C0">
      <w:pPr>
        <w:pStyle w:val="DHHSbodyaftertablefigure"/>
      </w:pPr>
      <w:r w:rsidRPr="00343635">
        <w:t xml:space="preserve">The report results and tool are available at the </w:t>
      </w:r>
      <w:hyperlink r:id="rId31" w:history="1">
        <w:r w:rsidRPr="00FC2CE8">
          <w:rPr>
            <w:rStyle w:val="Hyperlink"/>
          </w:rPr>
          <w:t>Blood Matters website</w:t>
        </w:r>
      </w:hyperlink>
      <w:r w:rsidR="00FC2CE8">
        <w:t xml:space="preserve"> &lt;</w:t>
      </w:r>
      <w:r w:rsidR="00FC2CE8" w:rsidRPr="00FC2CE8">
        <w:t>https://www2.health.vic.gov.au/hospitals-and-health-services/patient-care/speciality-diagnostics-therapeutics/blood-matters</w:t>
      </w:r>
      <w:r w:rsidR="00FC2CE8">
        <w:t>&gt;</w:t>
      </w:r>
      <w:r w:rsidRPr="00343635">
        <w:t>.</w:t>
      </w:r>
    </w:p>
    <w:p w14:paraId="2C82F3DD" w14:textId="7DECE949" w:rsidR="00B5678E" w:rsidRPr="00343635" w:rsidRDefault="00FC2CE8" w:rsidP="00080269">
      <w:pPr>
        <w:pStyle w:val="Heading3"/>
      </w:pPr>
      <w:bookmarkStart w:id="51" w:name="_Toc24287451"/>
      <w:r>
        <w:t xml:space="preserve">Case study </w:t>
      </w:r>
      <w:r w:rsidR="00B5678E" w:rsidRPr="00343635">
        <w:t>18</w:t>
      </w:r>
      <w:r>
        <w:t>:</w:t>
      </w:r>
      <w:r w:rsidRPr="00343635">
        <w:t xml:space="preserve"> </w:t>
      </w:r>
      <w:proofErr w:type="spellStart"/>
      <w:r w:rsidR="00B5678E" w:rsidRPr="00343635">
        <w:t>RhD</w:t>
      </w:r>
      <w:proofErr w:type="spellEnd"/>
      <w:r w:rsidR="00B5678E" w:rsidRPr="00343635">
        <w:t xml:space="preserve"> Ig administration – electronic ordering and understanding of blood group and </w:t>
      </w:r>
      <w:r w:rsidR="00B5678E" w:rsidRPr="009435C0">
        <w:t>antibody</w:t>
      </w:r>
      <w:r w:rsidR="00B5678E" w:rsidRPr="00343635">
        <w:t xml:space="preserve"> results</w:t>
      </w:r>
      <w:bookmarkEnd w:id="51"/>
    </w:p>
    <w:p w14:paraId="36D22593" w14:textId="77777777" w:rsidR="00B5678E" w:rsidRPr="009435C0" w:rsidRDefault="00B5678E" w:rsidP="009435C0">
      <w:pPr>
        <w:pStyle w:val="DHHSbody"/>
      </w:pPr>
      <w:r w:rsidRPr="009435C0">
        <w:t xml:space="preserve">An </w:t>
      </w:r>
      <w:proofErr w:type="spellStart"/>
      <w:r w:rsidRPr="009435C0">
        <w:t>RhD</w:t>
      </w:r>
      <w:proofErr w:type="spellEnd"/>
      <w:r w:rsidRPr="009435C0">
        <w:t xml:space="preserve"> positive woman diagnosed with a miscarriage (vaginal bleeding) at an emergency department and was discharged home. However, a medical officer mistakenly interpreted the negative antibody screen to mean the woman was </w:t>
      </w:r>
      <w:proofErr w:type="spellStart"/>
      <w:r w:rsidRPr="009435C0">
        <w:t>RhD</w:t>
      </w:r>
      <w:proofErr w:type="spellEnd"/>
      <w:r w:rsidRPr="009435C0">
        <w:t xml:space="preserve"> negative and requested the patient re-attend for </w:t>
      </w:r>
      <w:proofErr w:type="spellStart"/>
      <w:r w:rsidRPr="009435C0">
        <w:t>RhD</w:t>
      </w:r>
      <w:proofErr w:type="spellEnd"/>
      <w:r w:rsidRPr="009435C0">
        <w:t xml:space="preserve"> Ig. </w:t>
      </w:r>
    </w:p>
    <w:p w14:paraId="36F84C66" w14:textId="1CC24022" w:rsidR="00B5678E" w:rsidRPr="009435C0" w:rsidRDefault="00B5678E" w:rsidP="009435C0">
      <w:pPr>
        <w:pStyle w:val="DHHSbody"/>
      </w:pPr>
      <w:r w:rsidRPr="009435C0">
        <w:t xml:space="preserve">The health service has an electronic system for ordering of blood and blood products. When ordering the </w:t>
      </w:r>
      <w:proofErr w:type="spellStart"/>
      <w:r w:rsidRPr="009435C0">
        <w:t>RhD</w:t>
      </w:r>
      <w:proofErr w:type="spellEnd"/>
      <w:r w:rsidRPr="009435C0">
        <w:t xml:space="preserve"> Ig, the system includes a pop</w:t>
      </w:r>
      <w:r w:rsidR="00FC2CE8">
        <w:t>-</w:t>
      </w:r>
      <w:r w:rsidRPr="009435C0">
        <w:t xml:space="preserve">up advising the medical officer that the patient is </w:t>
      </w:r>
      <w:proofErr w:type="spellStart"/>
      <w:r w:rsidRPr="009435C0">
        <w:t>RhD</w:t>
      </w:r>
      <w:proofErr w:type="spellEnd"/>
      <w:r w:rsidRPr="009435C0">
        <w:t xml:space="preserve"> positive and there is no requirement for </w:t>
      </w:r>
      <w:proofErr w:type="spellStart"/>
      <w:r w:rsidRPr="009435C0">
        <w:t>RhD</w:t>
      </w:r>
      <w:proofErr w:type="spellEnd"/>
      <w:r w:rsidRPr="009435C0">
        <w:t xml:space="preserve"> Ig. This is not a hard stop in the system</w:t>
      </w:r>
      <w:r w:rsidR="00FC2CE8">
        <w:t>,</w:t>
      </w:r>
      <w:r w:rsidRPr="009435C0">
        <w:t xml:space="preserve"> and the medical officer was able to over-ride this and order the product.</w:t>
      </w:r>
    </w:p>
    <w:p w14:paraId="6E97B048" w14:textId="77777777" w:rsidR="00B5678E" w:rsidRPr="009435C0" w:rsidRDefault="00B5678E" w:rsidP="009435C0">
      <w:pPr>
        <w:pStyle w:val="DHHSbody"/>
      </w:pPr>
      <w:r w:rsidRPr="009435C0">
        <w:t xml:space="preserve">The laboratory provided the product; it appears there was no check of the patient blood group prior to dispensing, and no questioning of the clinical staff. There was nothing preventing the scientist dispensing </w:t>
      </w:r>
      <w:proofErr w:type="spellStart"/>
      <w:r w:rsidRPr="009435C0">
        <w:t>RhD</w:t>
      </w:r>
      <w:proofErr w:type="spellEnd"/>
      <w:r w:rsidRPr="009435C0">
        <w:t xml:space="preserve"> Ig to an </w:t>
      </w:r>
      <w:proofErr w:type="spellStart"/>
      <w:r w:rsidRPr="009435C0">
        <w:t>RhD</w:t>
      </w:r>
      <w:proofErr w:type="spellEnd"/>
      <w:r w:rsidRPr="009435C0">
        <w:t xml:space="preserve"> positive individual.</w:t>
      </w:r>
    </w:p>
    <w:p w14:paraId="4C52A215" w14:textId="6323090E" w:rsidR="00B5678E" w:rsidRPr="009435C0" w:rsidRDefault="00B5678E" w:rsidP="009435C0">
      <w:pPr>
        <w:pStyle w:val="DHHSbody"/>
      </w:pPr>
      <w:r w:rsidRPr="009435C0">
        <w:t>At administration there was no check of blood group prior, even when the woman questioned the need, and the dose was administered.</w:t>
      </w:r>
    </w:p>
    <w:p w14:paraId="1920D713" w14:textId="36B94FEB" w:rsidR="00B5678E" w:rsidRPr="009435C0" w:rsidRDefault="00B5678E" w:rsidP="009435C0">
      <w:pPr>
        <w:pStyle w:val="DHHSbody"/>
      </w:pPr>
      <w:r w:rsidRPr="009435C0">
        <w:t xml:space="preserve">The incident was discovered when the woman questioned a nursing friend about the need for </w:t>
      </w:r>
      <w:proofErr w:type="spellStart"/>
      <w:r w:rsidRPr="009435C0">
        <w:t>RhD</w:t>
      </w:r>
      <w:proofErr w:type="spellEnd"/>
      <w:r w:rsidRPr="009435C0">
        <w:t xml:space="preserve"> Ig </w:t>
      </w:r>
      <w:r w:rsidR="00FC2CE8">
        <w:t xml:space="preserve">at </w:t>
      </w:r>
      <w:r w:rsidRPr="009435C0">
        <w:t>this time, when she had not been given it in previous pregnancies, and then contacted the emergency department to report the error.</w:t>
      </w:r>
    </w:p>
    <w:p w14:paraId="1BE7A668" w14:textId="521F3A79" w:rsidR="00B5678E" w:rsidRPr="009435C0" w:rsidRDefault="00B5678E" w:rsidP="009435C0">
      <w:pPr>
        <w:pStyle w:val="Heading4"/>
      </w:pPr>
      <w:r w:rsidRPr="00343635">
        <w:t>Comments</w:t>
      </w:r>
    </w:p>
    <w:p w14:paraId="20E7A798" w14:textId="3A84C310" w:rsidR="00B5678E" w:rsidRPr="00343635" w:rsidRDefault="00B5678E" w:rsidP="009435C0">
      <w:pPr>
        <w:pStyle w:val="DHHSbody"/>
      </w:pPr>
      <w:r w:rsidRPr="00343635">
        <w:t>Despite several opportunities to prevent this event</w:t>
      </w:r>
      <w:r w:rsidR="00FC2CE8">
        <w:t>,</w:t>
      </w:r>
      <w:r w:rsidRPr="00343635">
        <w:t xml:space="preserve"> an inappropriate product was administered. </w:t>
      </w:r>
    </w:p>
    <w:p w14:paraId="72153474" w14:textId="5CCE7F3D" w:rsidR="00B5678E" w:rsidRPr="00343635" w:rsidRDefault="00B5678E" w:rsidP="009435C0">
      <w:pPr>
        <w:pStyle w:val="DHHSbody"/>
      </w:pPr>
      <w:r w:rsidRPr="00343635">
        <w:t xml:space="preserve">There is, unfortunately, a common theme related to the misinterpretation of blood group and antibody screen results that lead to inappropriate </w:t>
      </w:r>
      <w:proofErr w:type="spellStart"/>
      <w:r w:rsidRPr="00343635">
        <w:t>RhD</w:t>
      </w:r>
      <w:proofErr w:type="spellEnd"/>
      <w:r w:rsidRPr="00343635">
        <w:t xml:space="preserve"> Ig administration. One health service has overcome this by working with their pathology provider to change the way the antibody screen is reported to detected/not detected, rather than positive/negative </w:t>
      </w:r>
      <w:r w:rsidR="00FC2CE8">
        <w:t>which</w:t>
      </w:r>
      <w:r w:rsidR="00FC2CE8" w:rsidRPr="00343635">
        <w:t xml:space="preserve"> </w:t>
      </w:r>
      <w:r w:rsidRPr="00343635">
        <w:t>can be confusing to clinicians in a hurry.</w:t>
      </w:r>
    </w:p>
    <w:p w14:paraId="328A35DC" w14:textId="77777777" w:rsidR="00B5678E" w:rsidRPr="00343635" w:rsidRDefault="00B5678E" w:rsidP="009435C0">
      <w:pPr>
        <w:pStyle w:val="DHHSbody"/>
      </w:pPr>
      <w:r w:rsidRPr="00343635">
        <w:t xml:space="preserve">Of note, the patient had questioned the need for the product at the time of administration, but no one investigated to confirm the appropriateness. Not all patients will know their blood group or what they need, but when a patient asks </w:t>
      </w:r>
      <w:proofErr w:type="gramStart"/>
      <w:r w:rsidRPr="00343635">
        <w:t>these type of questions</w:t>
      </w:r>
      <w:proofErr w:type="gramEnd"/>
      <w:r w:rsidRPr="00343635">
        <w:t xml:space="preserve"> it should alert staff to investigate prior to administration.</w:t>
      </w:r>
    </w:p>
    <w:p w14:paraId="097C9FE5" w14:textId="36C82880" w:rsidR="00B5678E" w:rsidRPr="00343635" w:rsidRDefault="00FC2CE8" w:rsidP="00080269">
      <w:pPr>
        <w:pStyle w:val="Heading3"/>
      </w:pPr>
      <w:bookmarkStart w:id="52" w:name="_Toc24287452"/>
      <w:r>
        <w:lastRenderedPageBreak/>
        <w:t xml:space="preserve">Case study </w:t>
      </w:r>
      <w:r w:rsidR="00B5678E" w:rsidRPr="00343635">
        <w:t>19</w:t>
      </w:r>
      <w:r>
        <w:t>:</w:t>
      </w:r>
      <w:r w:rsidRPr="00343635">
        <w:t xml:space="preserve"> </w:t>
      </w:r>
      <w:proofErr w:type="spellStart"/>
      <w:r w:rsidR="00B5678E" w:rsidRPr="00343635">
        <w:t>RhD</w:t>
      </w:r>
      <w:proofErr w:type="spellEnd"/>
      <w:r w:rsidR="00B5678E" w:rsidRPr="00343635">
        <w:t xml:space="preserve"> administration – </w:t>
      </w:r>
      <w:bookmarkEnd w:id="52"/>
      <w:r w:rsidR="00417226">
        <w:rPr>
          <w:rFonts w:ascii="Helvetica" w:hAnsi="Helvetica" w:cs="Helvetica"/>
          <w:color w:val="000000"/>
          <w:lang w:val="en-US"/>
        </w:rPr>
        <w:t xml:space="preserve">transcription error leading to missed </w:t>
      </w:r>
      <w:proofErr w:type="spellStart"/>
      <w:r w:rsidR="00417226">
        <w:rPr>
          <w:rFonts w:ascii="Helvetica" w:hAnsi="Helvetica" w:cs="Helvetica"/>
          <w:color w:val="000000"/>
          <w:lang w:val="en-US"/>
        </w:rPr>
        <w:t>RhD</w:t>
      </w:r>
      <w:proofErr w:type="spellEnd"/>
      <w:r w:rsidR="00417226">
        <w:rPr>
          <w:rFonts w:ascii="Helvetica" w:hAnsi="Helvetica" w:cs="Helvetica"/>
          <w:color w:val="000000"/>
          <w:lang w:val="en-US"/>
        </w:rPr>
        <w:t xml:space="preserve"> administration</w:t>
      </w:r>
    </w:p>
    <w:p w14:paraId="0D0ED8C1" w14:textId="21CA4E8E" w:rsidR="00B5678E" w:rsidRPr="009435C0" w:rsidRDefault="00B5678E" w:rsidP="009435C0">
      <w:pPr>
        <w:pStyle w:val="DHHSbody"/>
      </w:pPr>
      <w:r w:rsidRPr="009435C0">
        <w:t xml:space="preserve">A woman attending a health service for antenatal care had her blood group taken at an outside laboratory; it was incorrectly transcribed into her medical record as B </w:t>
      </w:r>
      <w:proofErr w:type="spellStart"/>
      <w:r w:rsidRPr="009435C0">
        <w:t>RhD</w:t>
      </w:r>
      <w:proofErr w:type="spellEnd"/>
      <w:r w:rsidRPr="009435C0">
        <w:t xml:space="preserve"> positive when she was actually B </w:t>
      </w:r>
      <w:proofErr w:type="spellStart"/>
      <w:r w:rsidRPr="009435C0">
        <w:t>RhD</w:t>
      </w:r>
      <w:proofErr w:type="spellEnd"/>
      <w:r w:rsidRPr="009435C0">
        <w:t xml:space="preserve"> negative. Consequently</w:t>
      </w:r>
      <w:r w:rsidR="00FC2CE8">
        <w:t>,</w:t>
      </w:r>
      <w:r w:rsidRPr="009435C0">
        <w:t xml:space="preserve"> this woman did not receive any </w:t>
      </w:r>
      <w:proofErr w:type="spellStart"/>
      <w:r w:rsidRPr="009435C0">
        <w:t>RhD</w:t>
      </w:r>
      <w:proofErr w:type="spellEnd"/>
      <w:r w:rsidRPr="009435C0">
        <w:t xml:space="preserve"> Ig during her pregnancy. Fortunately, the baby blood group was also B </w:t>
      </w:r>
      <w:proofErr w:type="spellStart"/>
      <w:r w:rsidRPr="009435C0">
        <w:t>RhD</w:t>
      </w:r>
      <w:proofErr w:type="spellEnd"/>
      <w:r w:rsidRPr="009435C0">
        <w:t xml:space="preserve"> negative, so no harm came to either the woman or infant.</w:t>
      </w:r>
    </w:p>
    <w:p w14:paraId="0D9E1F4F" w14:textId="48CDECBB" w:rsidR="00B5678E" w:rsidRPr="009435C0" w:rsidRDefault="00B5678E" w:rsidP="009435C0">
      <w:pPr>
        <w:pStyle w:val="Heading4"/>
      </w:pPr>
      <w:r w:rsidRPr="009435C0">
        <w:t>Comments</w:t>
      </w:r>
    </w:p>
    <w:p w14:paraId="0623E036" w14:textId="1EFFAA50" w:rsidR="00B5678E" w:rsidRPr="009435C0" w:rsidRDefault="00B5678E" w:rsidP="009435C0">
      <w:pPr>
        <w:pStyle w:val="DHHSbody"/>
      </w:pPr>
      <w:r w:rsidRPr="009435C0">
        <w:t>It is recommended when checking the patient blood group that the primary source of information is used at all times. Transcription errors occur frequently, and could lead to serious consequences to the patient. When checking blood groups</w:t>
      </w:r>
      <w:r w:rsidR="00FC2CE8">
        <w:t>,</w:t>
      </w:r>
      <w:r w:rsidRPr="009435C0">
        <w:t xml:space="preserve"> always go to the electronic pathology system, if available, or results documented on the pathology service letter head. Results transcribed into medical records or letters should not be relied upon.</w:t>
      </w:r>
    </w:p>
    <w:p w14:paraId="6AF9F8FB" w14:textId="67CE8B6F" w:rsidR="00B5678E" w:rsidRPr="009435C0" w:rsidRDefault="00B5678E" w:rsidP="009435C0">
      <w:pPr>
        <w:pStyle w:val="Heading2"/>
      </w:pPr>
      <w:bookmarkStart w:id="53" w:name="_Toc24287453"/>
      <w:r w:rsidRPr="00343635">
        <w:t>Cell salvage</w:t>
      </w:r>
      <w:bookmarkEnd w:id="53"/>
    </w:p>
    <w:p w14:paraId="12D19B50" w14:textId="51357383" w:rsidR="00B5678E" w:rsidRPr="009435C0" w:rsidRDefault="00B5678E" w:rsidP="009435C0">
      <w:pPr>
        <w:pStyle w:val="DHHSbody"/>
      </w:pPr>
      <w:r w:rsidRPr="00343635">
        <w:t>Incidents and near misses involving the use of intraoperative and/or postoperative cell salvage where the incident may be due to:</w:t>
      </w:r>
    </w:p>
    <w:p w14:paraId="0E4015B8" w14:textId="0B42A62C" w:rsidR="00B5678E" w:rsidRPr="009435C0" w:rsidRDefault="00B5678E" w:rsidP="009435C0">
      <w:pPr>
        <w:pStyle w:val="DHHSbullet1"/>
      </w:pPr>
      <w:r w:rsidRPr="009435C0">
        <w:t>operator error</w:t>
      </w:r>
    </w:p>
    <w:p w14:paraId="4B8DFC86" w14:textId="31FD2E5F" w:rsidR="00B5678E" w:rsidRPr="009435C0" w:rsidRDefault="00B5678E" w:rsidP="009435C0">
      <w:pPr>
        <w:pStyle w:val="DHHSbullet1"/>
      </w:pPr>
      <w:r w:rsidRPr="009435C0">
        <w:t xml:space="preserve">machine failure </w:t>
      </w:r>
    </w:p>
    <w:p w14:paraId="211D81DD" w14:textId="73BB43F9" w:rsidR="00B5678E" w:rsidRPr="009435C0" w:rsidRDefault="00B5678E" w:rsidP="009435C0">
      <w:pPr>
        <w:pStyle w:val="DHHSbullet1"/>
      </w:pPr>
      <w:r w:rsidRPr="009435C0">
        <w:t xml:space="preserve">administration error </w:t>
      </w:r>
    </w:p>
    <w:p w14:paraId="040BC551" w14:textId="0A9D4821" w:rsidR="00B5678E" w:rsidRPr="009435C0" w:rsidRDefault="00B5678E" w:rsidP="009435C0">
      <w:pPr>
        <w:pStyle w:val="DHHSbullet1lastline"/>
      </w:pPr>
      <w:r w:rsidRPr="009435C0">
        <w:t>adverse reactions to the reinfused product.</w:t>
      </w:r>
    </w:p>
    <w:p w14:paraId="529D7995" w14:textId="77777777" w:rsidR="00B5678E" w:rsidRPr="00343635" w:rsidRDefault="00B5678E" w:rsidP="009435C0">
      <w:pPr>
        <w:pStyle w:val="DHHSbody"/>
      </w:pPr>
      <w:r w:rsidRPr="00343635">
        <w:t>There have been no reports of cell salvage errors since reporting to STIR commenced in January 2015.</w:t>
      </w:r>
    </w:p>
    <w:p w14:paraId="6E2BAB0A" w14:textId="618D1D81" w:rsidR="00B5678E" w:rsidRPr="00343635" w:rsidRDefault="00B5678E" w:rsidP="009435C0">
      <w:pPr>
        <w:pStyle w:val="Heading2"/>
      </w:pPr>
      <w:bookmarkStart w:id="54" w:name="_Toc24287454"/>
      <w:r w:rsidRPr="00343635">
        <w:t>Sentinel events</w:t>
      </w:r>
      <w:bookmarkEnd w:id="54"/>
    </w:p>
    <w:p w14:paraId="1C4D7E3E" w14:textId="4AC6A5AB" w:rsidR="00B5678E" w:rsidRPr="00343635" w:rsidRDefault="00B5678E" w:rsidP="009435C0">
      <w:pPr>
        <w:pStyle w:val="DHHSbody"/>
      </w:pPr>
      <w:r w:rsidRPr="00343635">
        <w:t xml:space="preserve">During this reporting period STIR received two reports that underwent root cause analysis (RCA). One was related to an AB negative patient being given an A positive unit of red cells. The health service decided to perform the RCA in order to review their practices as the patient did develop a </w:t>
      </w:r>
      <w:proofErr w:type="spellStart"/>
      <w:r w:rsidRPr="00343635">
        <w:t>RhD</w:t>
      </w:r>
      <w:proofErr w:type="spellEnd"/>
      <w:r w:rsidRPr="00343635">
        <w:t xml:space="preserve"> antibody and it was considered a serious event (see </w:t>
      </w:r>
      <w:r w:rsidR="00FC2CE8">
        <w:t>‘C</w:t>
      </w:r>
      <w:r w:rsidR="00FC2CE8" w:rsidRPr="00343635">
        <w:t xml:space="preserve">ase </w:t>
      </w:r>
      <w:r w:rsidRPr="00343635">
        <w:t>study</w:t>
      </w:r>
      <w:r w:rsidR="0061235D">
        <w:t xml:space="preserve"> 11:</w:t>
      </w:r>
      <w:r w:rsidR="0061235D" w:rsidRPr="0061235D">
        <w:rPr>
          <w:rFonts w:ascii="Cambria" w:eastAsia="Times New Roman" w:hAnsi="Cambria"/>
        </w:rPr>
        <w:t xml:space="preserve"> </w:t>
      </w:r>
      <w:r w:rsidR="0061235D" w:rsidRPr="0061235D">
        <w:t xml:space="preserve">IBCT – </w:t>
      </w:r>
      <w:proofErr w:type="spellStart"/>
      <w:r w:rsidR="0061235D" w:rsidRPr="0061235D">
        <w:t>RhD</w:t>
      </w:r>
      <w:proofErr w:type="spellEnd"/>
      <w:r w:rsidR="0061235D" w:rsidRPr="0061235D">
        <w:t xml:space="preserve"> incompatible transfusion</w:t>
      </w:r>
      <w:r w:rsidR="0061235D">
        <w:t>’</w:t>
      </w:r>
      <w:r w:rsidRPr="00343635">
        <w:t>).</w:t>
      </w:r>
    </w:p>
    <w:p w14:paraId="63F0E1AB" w14:textId="453778CE" w:rsidR="00B5678E" w:rsidRPr="009435C0" w:rsidRDefault="00B5678E" w:rsidP="009435C0">
      <w:pPr>
        <w:pStyle w:val="DHHSbody"/>
      </w:pPr>
      <w:r w:rsidRPr="009435C0">
        <w:t xml:space="preserve">The other RCA related to a patient who attended the emergency department at the health service and received a unit of red cells that was labelled and intended for a different patient (see </w:t>
      </w:r>
      <w:r w:rsidR="00FC2CE8">
        <w:t>‘C</w:t>
      </w:r>
      <w:r w:rsidRPr="009435C0">
        <w:t>ase study</w:t>
      </w:r>
      <w:r w:rsidR="0061235D" w:rsidRPr="0061235D">
        <w:t>10: IBCT – ABO incompatible transfusion</w:t>
      </w:r>
      <w:r w:rsidR="00FC2CE8">
        <w:t>’</w:t>
      </w:r>
      <w:r w:rsidRPr="009435C0">
        <w:t>).</w:t>
      </w:r>
    </w:p>
    <w:p w14:paraId="2B0E5276" w14:textId="4A774729" w:rsidR="00B5678E" w:rsidRPr="009435C0" w:rsidRDefault="00B5678E" w:rsidP="009435C0">
      <w:pPr>
        <w:pStyle w:val="DHHSbody"/>
      </w:pPr>
      <w:r w:rsidRPr="009435C0">
        <w:t>Both health services have implemented changes in processes to help reduce the risk of recurrence of these events.</w:t>
      </w:r>
    </w:p>
    <w:p w14:paraId="5F7E3D93" w14:textId="5CF1BC8B" w:rsidR="00B5678E" w:rsidRPr="009435C0" w:rsidRDefault="00B5678E" w:rsidP="009435C0">
      <w:pPr>
        <w:pStyle w:val="DHHSbody"/>
      </w:pPr>
      <w:r w:rsidRPr="009435C0">
        <w:t>Safer Care Victoria (SCV) has implemented changes to the RCA process, to help ensure that health services receive timely advice and recommendations from this process. Health services are encouraged to have an external expert on the RCA review panel</w:t>
      </w:r>
      <w:r w:rsidR="00FC2CE8">
        <w:t>,</w:t>
      </w:r>
      <w:r w:rsidRPr="009435C0">
        <w:t xml:space="preserve"> and Blood Matters is able to </w:t>
      </w:r>
      <w:proofErr w:type="gramStart"/>
      <w:r w:rsidRPr="009435C0">
        <w:t>provide assistance</w:t>
      </w:r>
      <w:proofErr w:type="gramEnd"/>
      <w:r w:rsidRPr="009435C0">
        <w:t xml:space="preserve"> with this. </w:t>
      </w:r>
      <w:proofErr w:type="gramStart"/>
      <w:r w:rsidRPr="009435C0">
        <w:t>Additionally</w:t>
      </w:r>
      <w:proofErr w:type="gramEnd"/>
      <w:r w:rsidRPr="009435C0">
        <w:t xml:space="preserve"> consumer involvement in RCAs is encouraged to improve open discussion and appropriate recommendations.</w:t>
      </w:r>
    </w:p>
    <w:p w14:paraId="090D1FE6" w14:textId="40DB19BB" w:rsidR="00B5678E" w:rsidRPr="009435C0" w:rsidRDefault="00B5678E" w:rsidP="009435C0">
      <w:pPr>
        <w:pStyle w:val="DHHSbody"/>
      </w:pPr>
      <w:r w:rsidRPr="009435C0">
        <w:t>A culture of accountability (as distinct from blame) is integral to prevention of mistakes. RCAs of all adverse incidents should be thorough and identify system-related and human factors so that appropriate preventive actions can be instituted (SHOT 2017).</w:t>
      </w:r>
    </w:p>
    <w:p w14:paraId="6960E7F4" w14:textId="7DB1CD21" w:rsidR="00B5678E" w:rsidRPr="00343635" w:rsidRDefault="00B5678E" w:rsidP="009435C0">
      <w:pPr>
        <w:pStyle w:val="Heading1"/>
      </w:pPr>
      <w:bookmarkStart w:id="55" w:name="_Toc24287455"/>
      <w:r w:rsidRPr="009435C0">
        <w:lastRenderedPageBreak/>
        <w:t>Future</w:t>
      </w:r>
      <w:bookmarkEnd w:id="55"/>
    </w:p>
    <w:p w14:paraId="45AF6969" w14:textId="5DFDE895" w:rsidR="00B5678E" w:rsidRPr="00343635" w:rsidRDefault="00FC2CE8" w:rsidP="00080269">
      <w:pPr>
        <w:pStyle w:val="DHHSbody"/>
      </w:pPr>
      <w:r>
        <w:t>Blood Matters will continue to d</w:t>
      </w:r>
      <w:r w:rsidRPr="00343635">
        <w:t xml:space="preserve">evelop </w:t>
      </w:r>
      <w:r>
        <w:t>b</w:t>
      </w:r>
      <w:r w:rsidR="00B5678E" w:rsidRPr="00343635">
        <w:t>ulletins to highlight important information and case studies in a timely way.</w:t>
      </w:r>
    </w:p>
    <w:p w14:paraId="756BBEF4" w14:textId="675C1B05" w:rsidR="00B5678E" w:rsidRPr="00FC2CE8" w:rsidRDefault="00FC2CE8" w:rsidP="00080269">
      <w:pPr>
        <w:pStyle w:val="DHHSbody"/>
      </w:pPr>
      <w:r>
        <w:t xml:space="preserve">We are also investigating integrating </w:t>
      </w:r>
      <w:r w:rsidR="00B5678E" w:rsidRPr="00343635">
        <w:t>STIR notification</w:t>
      </w:r>
      <w:r>
        <w:t>s</w:t>
      </w:r>
      <w:r w:rsidR="00B5678E" w:rsidRPr="00343635">
        <w:t xml:space="preserve"> into</w:t>
      </w:r>
      <w:r>
        <w:t xml:space="preserve"> the Victorian Health Incident Management System (VHIMS)</w:t>
      </w:r>
      <w:r w:rsidR="00B5678E" w:rsidRPr="00343635">
        <w:t xml:space="preserve"> to </w:t>
      </w:r>
      <w:r>
        <w:t xml:space="preserve">streamline reporting </w:t>
      </w:r>
      <w:r w:rsidR="00B5678E" w:rsidRPr="00343635">
        <w:t>and reduce duplication.</w:t>
      </w:r>
    </w:p>
    <w:p w14:paraId="67E03D23" w14:textId="00F3F9F0" w:rsidR="00B5678E" w:rsidRPr="00343635" w:rsidRDefault="00B5678E" w:rsidP="009435C0">
      <w:pPr>
        <w:pStyle w:val="Heading1"/>
      </w:pPr>
      <w:bookmarkStart w:id="56" w:name="_Toc24287456"/>
      <w:r w:rsidRPr="009435C0">
        <w:lastRenderedPageBreak/>
        <w:t>References</w:t>
      </w:r>
      <w:bookmarkEnd w:id="56"/>
    </w:p>
    <w:p w14:paraId="20965AE2" w14:textId="53858248" w:rsidR="00B5678E" w:rsidRPr="009435C0" w:rsidRDefault="00B5678E" w:rsidP="009435C0">
      <w:pPr>
        <w:pStyle w:val="DHHSbody"/>
      </w:pPr>
      <w:r w:rsidRPr="009435C0">
        <w:t>ANZSBT</w:t>
      </w:r>
      <w:r w:rsidR="00FC2CE8">
        <w:t xml:space="preserve"> 2018</w:t>
      </w:r>
      <w:r w:rsidRPr="009435C0">
        <w:t xml:space="preserve">, </w:t>
      </w:r>
      <w:r w:rsidRPr="00080269">
        <w:rPr>
          <w:i/>
          <w:iCs/>
        </w:rPr>
        <w:t>Guidelines for the administration of blood products</w:t>
      </w:r>
      <w:r w:rsidRPr="009435C0">
        <w:t xml:space="preserve">, 3rd edition. </w:t>
      </w:r>
    </w:p>
    <w:p w14:paraId="43294A8C" w14:textId="17413764" w:rsidR="00B5678E" w:rsidRPr="009435C0" w:rsidRDefault="00B5678E" w:rsidP="009435C0">
      <w:pPr>
        <w:pStyle w:val="DHHSbody"/>
      </w:pPr>
      <w:r w:rsidRPr="009435C0">
        <w:t>Blood Matters</w:t>
      </w:r>
      <w:r w:rsidR="00FC2CE8">
        <w:t xml:space="preserve"> 2017</w:t>
      </w:r>
      <w:r w:rsidRPr="009435C0">
        <w:t xml:space="preserve">, </w:t>
      </w:r>
      <w:r w:rsidRPr="00080269">
        <w:rPr>
          <w:i/>
          <w:iCs/>
        </w:rPr>
        <w:t xml:space="preserve">STIR </w:t>
      </w:r>
      <w:r w:rsidR="00FC2CE8" w:rsidRPr="00080269">
        <w:rPr>
          <w:i/>
          <w:iCs/>
        </w:rPr>
        <w:t>reporting guide</w:t>
      </w:r>
      <w:r w:rsidR="00FC2CE8">
        <w:t xml:space="preserve"> </w:t>
      </w:r>
      <w:r w:rsidR="00FC2CE8" w:rsidRPr="00080269">
        <w:rPr>
          <w:i/>
          <w:iCs/>
        </w:rPr>
        <w:t>2017</w:t>
      </w:r>
      <w:r w:rsidR="00FC2CE8">
        <w:t>, State Government of Victoria, Melbourne.</w:t>
      </w:r>
      <w:r w:rsidR="00FC2CE8" w:rsidRPr="009435C0">
        <w:t xml:space="preserve"> </w:t>
      </w:r>
    </w:p>
    <w:p w14:paraId="221DAA6A" w14:textId="621EAA63" w:rsidR="00B5678E" w:rsidRPr="009435C0" w:rsidRDefault="00B5678E" w:rsidP="009435C0">
      <w:pPr>
        <w:pStyle w:val="DHHSbody"/>
      </w:pPr>
      <w:proofErr w:type="spellStart"/>
      <w:r w:rsidRPr="009435C0">
        <w:t>Henneman</w:t>
      </w:r>
      <w:proofErr w:type="spellEnd"/>
      <w:r w:rsidRPr="009435C0">
        <w:t xml:space="preserve"> EA, </w:t>
      </w:r>
      <w:proofErr w:type="spellStart"/>
      <w:r w:rsidRPr="009435C0">
        <w:t>Andrzejewski</w:t>
      </w:r>
      <w:proofErr w:type="spellEnd"/>
      <w:r w:rsidRPr="009435C0">
        <w:t xml:space="preserve"> C, </w:t>
      </w:r>
      <w:proofErr w:type="spellStart"/>
      <w:r w:rsidRPr="009435C0">
        <w:t>Gawlinski</w:t>
      </w:r>
      <w:proofErr w:type="spellEnd"/>
      <w:r w:rsidRPr="009435C0">
        <w:t xml:space="preserve"> A, McAfee K, </w:t>
      </w:r>
      <w:proofErr w:type="spellStart"/>
      <w:r w:rsidRPr="009435C0">
        <w:t>Panaccione</w:t>
      </w:r>
      <w:proofErr w:type="spellEnd"/>
      <w:r w:rsidRPr="009435C0">
        <w:t xml:space="preserve"> T</w:t>
      </w:r>
      <w:r w:rsidR="00FC2CE8">
        <w:t xml:space="preserve"> and</w:t>
      </w:r>
      <w:r w:rsidR="00FC2CE8" w:rsidRPr="009435C0">
        <w:t xml:space="preserve"> </w:t>
      </w:r>
      <w:proofErr w:type="spellStart"/>
      <w:r w:rsidRPr="009435C0">
        <w:t>Dziel</w:t>
      </w:r>
      <w:proofErr w:type="spellEnd"/>
      <w:r w:rsidRPr="009435C0">
        <w:t xml:space="preserve"> K 2017, </w:t>
      </w:r>
      <w:r w:rsidR="00FC2CE8">
        <w:t>‘</w:t>
      </w:r>
      <w:r w:rsidRPr="009435C0">
        <w:t>Transfusion-</w:t>
      </w:r>
      <w:r w:rsidR="00FC2CE8" w:rsidRPr="009435C0">
        <w:t>associated circulatory overload: evidence-based strategies to prevent, identify, and manage a serious adverse event</w:t>
      </w:r>
      <w:r w:rsidR="00FC2CE8">
        <w:t>’</w:t>
      </w:r>
      <w:r w:rsidRPr="009435C0">
        <w:t xml:space="preserve">, </w:t>
      </w:r>
      <w:r w:rsidRPr="00080269">
        <w:rPr>
          <w:i/>
          <w:iCs/>
        </w:rPr>
        <w:t>Critical</w:t>
      </w:r>
      <w:r w:rsidR="00FC2CE8">
        <w:rPr>
          <w:i/>
          <w:iCs/>
        </w:rPr>
        <w:t xml:space="preserve"> </w:t>
      </w:r>
      <w:r w:rsidRPr="00080269">
        <w:rPr>
          <w:i/>
          <w:iCs/>
        </w:rPr>
        <w:t>Care</w:t>
      </w:r>
      <w:r w:rsidR="00FC2CE8">
        <w:rPr>
          <w:i/>
          <w:iCs/>
        </w:rPr>
        <w:t xml:space="preserve"> </w:t>
      </w:r>
      <w:r w:rsidRPr="00080269">
        <w:rPr>
          <w:i/>
          <w:iCs/>
        </w:rPr>
        <w:t>Nurse</w:t>
      </w:r>
      <w:r w:rsidR="00FC2CE8">
        <w:t>,</w:t>
      </w:r>
      <w:r w:rsidRPr="009435C0">
        <w:t xml:space="preserve"> </w:t>
      </w:r>
      <w:proofErr w:type="spellStart"/>
      <w:r w:rsidR="00FC2CE8">
        <w:t>v</w:t>
      </w:r>
      <w:r w:rsidR="00FC2CE8" w:rsidRPr="009435C0">
        <w:t>ol</w:t>
      </w:r>
      <w:proofErr w:type="spellEnd"/>
      <w:r w:rsidR="00FC2CE8">
        <w:t>,</w:t>
      </w:r>
      <w:r w:rsidR="00FC2CE8" w:rsidRPr="009435C0">
        <w:t xml:space="preserve"> </w:t>
      </w:r>
      <w:r w:rsidRPr="009435C0">
        <w:t xml:space="preserve">37, </w:t>
      </w:r>
      <w:r w:rsidR="00FC2CE8">
        <w:t>n</w:t>
      </w:r>
      <w:r w:rsidR="00FC2CE8" w:rsidRPr="009435C0">
        <w:t>o</w:t>
      </w:r>
      <w:r w:rsidRPr="009435C0">
        <w:t>. 5, pp</w:t>
      </w:r>
      <w:r w:rsidR="00FC2CE8">
        <w:t xml:space="preserve">. </w:t>
      </w:r>
      <w:r w:rsidRPr="009435C0">
        <w:t>58</w:t>
      </w:r>
      <w:r w:rsidR="00FC2CE8">
        <w:t>–</w:t>
      </w:r>
      <w:r w:rsidRPr="009435C0">
        <w:t>65.</w:t>
      </w:r>
    </w:p>
    <w:p w14:paraId="671F57E8" w14:textId="3AB1248C" w:rsidR="00B5678E" w:rsidRPr="009435C0" w:rsidRDefault="00B5678E" w:rsidP="009435C0">
      <w:pPr>
        <w:pStyle w:val="DHHSbody"/>
      </w:pPr>
      <w:r w:rsidRPr="009435C0">
        <w:t xml:space="preserve">National Blood Authority (NBA) Australian </w:t>
      </w:r>
      <w:proofErr w:type="spellStart"/>
      <w:r w:rsidRPr="009435C0">
        <w:t>Haemovigilance</w:t>
      </w:r>
      <w:proofErr w:type="spellEnd"/>
      <w:r w:rsidRPr="009435C0">
        <w:t xml:space="preserve"> Minimum Data Set 2015</w:t>
      </w:r>
      <w:r w:rsidR="00FC2CE8">
        <w:t xml:space="preserve">, </w:t>
      </w:r>
      <w:hyperlink r:id="rId32" w:history="1">
        <w:r w:rsidR="007A2A41">
          <w:rPr>
            <w:rStyle w:val="Hyperlink"/>
          </w:rPr>
          <w:t>on the NBA webpage for Haemovigilance Reporting via the link for Australian Haemovigilance Report 2015</w:t>
        </w:r>
      </w:hyperlink>
      <w:r w:rsidR="007A2A41">
        <w:t xml:space="preserve"> </w:t>
      </w:r>
      <w:r w:rsidR="00FC2CE8" w:rsidRPr="007A2A41">
        <w:t>&lt;</w:t>
      </w:r>
      <w:r w:rsidR="007A2A41" w:rsidRPr="007A2A41">
        <w:t>https://www.blood.gov.au/haemovigilance-reporting</w:t>
      </w:r>
      <w:r w:rsidR="00FC2CE8" w:rsidRPr="007A2A41">
        <w:t>&gt;.</w:t>
      </w:r>
    </w:p>
    <w:p w14:paraId="387C5059" w14:textId="02A378AD" w:rsidR="00B5678E" w:rsidRPr="009435C0" w:rsidRDefault="00B5678E" w:rsidP="009435C0">
      <w:pPr>
        <w:pStyle w:val="DHHSbody"/>
      </w:pPr>
      <w:r w:rsidRPr="009435C0">
        <w:t>PHB Bolton-</w:t>
      </w:r>
      <w:proofErr w:type="spellStart"/>
      <w:r w:rsidRPr="009435C0">
        <w:t>Maggs</w:t>
      </w:r>
      <w:proofErr w:type="spellEnd"/>
      <w:r w:rsidRPr="009435C0">
        <w:t xml:space="preserve"> (</w:t>
      </w:r>
      <w:r w:rsidR="00717BFA">
        <w:t>e</w:t>
      </w:r>
      <w:r w:rsidRPr="009435C0">
        <w:t>d</w:t>
      </w:r>
      <w:r w:rsidR="00717BFA">
        <w:t>.</w:t>
      </w:r>
      <w:r w:rsidRPr="009435C0">
        <w:t>)</w:t>
      </w:r>
      <w:r w:rsidR="00717BFA">
        <w:t xml:space="preserve">, </w:t>
      </w:r>
      <w:r w:rsidRPr="009435C0">
        <w:t>D Poles et al. on behalf of the Serious Hazards of Transfusion (SHOT) Steering Group</w:t>
      </w:r>
      <w:r w:rsidR="00717BFA">
        <w:t xml:space="preserve"> 2018, </w:t>
      </w:r>
      <w:r w:rsidRPr="00080269">
        <w:rPr>
          <w:i/>
          <w:iCs/>
        </w:rPr>
        <w:t xml:space="preserve">The 2017 </w:t>
      </w:r>
      <w:r w:rsidR="00717BFA">
        <w:rPr>
          <w:i/>
          <w:iCs/>
        </w:rPr>
        <w:t>a</w:t>
      </w:r>
      <w:r w:rsidRPr="00080269">
        <w:rPr>
          <w:i/>
          <w:iCs/>
        </w:rPr>
        <w:t xml:space="preserve">nnual SHOT </w:t>
      </w:r>
      <w:r w:rsidR="00717BFA">
        <w:rPr>
          <w:i/>
          <w:iCs/>
        </w:rPr>
        <w:t>r</w:t>
      </w:r>
      <w:r w:rsidRPr="00080269">
        <w:rPr>
          <w:i/>
          <w:iCs/>
        </w:rPr>
        <w:t>eport</w:t>
      </w:r>
      <w:r w:rsidR="00717BFA">
        <w:t>, UK Government, London</w:t>
      </w:r>
      <w:r w:rsidRPr="009435C0">
        <w:t>.</w:t>
      </w:r>
    </w:p>
    <w:p w14:paraId="142343D8" w14:textId="003F7DE5" w:rsidR="00B5678E" w:rsidRPr="009435C0" w:rsidRDefault="00B5678E" w:rsidP="009435C0">
      <w:pPr>
        <w:pStyle w:val="DHHSbody"/>
      </w:pPr>
      <w:r w:rsidRPr="009435C0">
        <w:t>SHOT 2017</w:t>
      </w:r>
      <w:r w:rsidR="00717BFA">
        <w:t>,</w:t>
      </w:r>
      <w:r w:rsidRPr="009435C0">
        <w:t xml:space="preserve"> </w:t>
      </w:r>
      <w:r w:rsidRPr="00080269">
        <w:rPr>
          <w:i/>
          <w:iCs/>
        </w:rPr>
        <w:t>Audit of transfusion associated circulatory overload (TACO)</w:t>
      </w:r>
      <w:r w:rsidR="00717BFA">
        <w:t>, UK Government, London.</w:t>
      </w:r>
    </w:p>
    <w:p w14:paraId="27EE8352" w14:textId="77777777" w:rsidR="00B5678E" w:rsidRPr="009435C0" w:rsidRDefault="00B5678E" w:rsidP="00080269">
      <w:pPr>
        <w:pStyle w:val="Heading2"/>
      </w:pPr>
      <w:bookmarkStart w:id="57" w:name="_Toc24287457"/>
      <w:r w:rsidRPr="009435C0">
        <w:t xml:space="preserve">Case study </w:t>
      </w:r>
      <w:r w:rsidRPr="00717BFA">
        <w:t>references</w:t>
      </w:r>
      <w:bookmarkEnd w:id="57"/>
    </w:p>
    <w:p w14:paraId="01F822BC" w14:textId="61B0970D" w:rsidR="00717BFA" w:rsidRPr="009435C0" w:rsidDel="00717BFA" w:rsidRDefault="00717BFA" w:rsidP="00717BFA">
      <w:pPr>
        <w:pStyle w:val="DHHSbody"/>
      </w:pPr>
      <w:r w:rsidRPr="009435C0">
        <w:t>ASFA 2018</w:t>
      </w:r>
      <w:r>
        <w:t>,</w:t>
      </w:r>
      <w:r w:rsidRPr="009435C0">
        <w:t xml:space="preserve"> </w:t>
      </w:r>
      <w:r>
        <w:t>‘</w:t>
      </w:r>
      <w:r w:rsidRPr="009435C0">
        <w:t>Choosing wisely, five things physicians and patients should question</w:t>
      </w:r>
      <w:r>
        <w:t>’,</w:t>
      </w:r>
      <w:r w:rsidRPr="009435C0">
        <w:t xml:space="preserve"> </w:t>
      </w:r>
      <w:r>
        <w:t>&lt;</w:t>
      </w:r>
      <w:r w:rsidRPr="009435C0">
        <w:t>http://www.choosingwisely.org/societies/american-society-for-apheresis/</w:t>
      </w:r>
      <w:r>
        <w:t>&gt;,</w:t>
      </w:r>
      <w:r w:rsidRPr="009435C0">
        <w:t xml:space="preserve"> </w:t>
      </w:r>
      <w:r w:rsidRPr="00717BFA">
        <w:t>accessed</w:t>
      </w:r>
      <w:r w:rsidRPr="009435C0">
        <w:t xml:space="preserve"> </w:t>
      </w:r>
      <w:r>
        <w:t>30 January 2019.</w:t>
      </w:r>
    </w:p>
    <w:p w14:paraId="27592E29" w14:textId="48B66E5E" w:rsidR="00717BFA" w:rsidRPr="009435C0" w:rsidRDefault="00717BFA" w:rsidP="009435C0">
      <w:pPr>
        <w:pStyle w:val="DHHSbody"/>
      </w:pPr>
      <w:r w:rsidRPr="009435C0">
        <w:t>Brown K, Anderson S</w:t>
      </w:r>
      <w:r>
        <w:t xml:space="preserve"> and</w:t>
      </w:r>
      <w:r w:rsidRPr="009435C0">
        <w:t xml:space="preserve"> Young N 1993</w:t>
      </w:r>
      <w:r>
        <w:t>,</w:t>
      </w:r>
      <w:r w:rsidRPr="009435C0">
        <w:t xml:space="preserve"> </w:t>
      </w:r>
      <w:r>
        <w:t>‘</w:t>
      </w:r>
      <w:r w:rsidRPr="009435C0">
        <w:t>Erythrocyte P antigen: cellular receptor for B19 parvovirus</w:t>
      </w:r>
      <w:r>
        <w:t>’,</w:t>
      </w:r>
      <w:r w:rsidRPr="009435C0">
        <w:t xml:space="preserve"> </w:t>
      </w:r>
      <w:r w:rsidRPr="00080269">
        <w:rPr>
          <w:i/>
          <w:iCs/>
        </w:rPr>
        <w:t>Science</w:t>
      </w:r>
      <w:r>
        <w:t>,</w:t>
      </w:r>
      <w:r w:rsidRPr="009435C0">
        <w:t xml:space="preserve"> </w:t>
      </w:r>
      <w:r>
        <w:t xml:space="preserve">vol. </w:t>
      </w:r>
      <w:r w:rsidRPr="009435C0">
        <w:t>262</w:t>
      </w:r>
      <w:r>
        <w:t xml:space="preserve">, pp. </w:t>
      </w:r>
      <w:r w:rsidRPr="009435C0">
        <w:t>114</w:t>
      </w:r>
      <w:r>
        <w:t>–</w:t>
      </w:r>
      <w:r w:rsidRPr="009435C0">
        <w:t>17</w:t>
      </w:r>
    </w:p>
    <w:p w14:paraId="234CA6A7" w14:textId="25FF6212" w:rsidR="00717BFA" w:rsidRPr="009435C0" w:rsidRDefault="00717BFA" w:rsidP="009435C0">
      <w:pPr>
        <w:pStyle w:val="DHHSbody"/>
      </w:pPr>
      <w:r w:rsidRPr="009435C0">
        <w:t>Cohen</w:t>
      </w:r>
      <w:r>
        <w:t xml:space="preserve"> RR</w:t>
      </w:r>
      <w:r w:rsidRPr="009435C0">
        <w:t xml:space="preserve">, </w:t>
      </w:r>
      <w:proofErr w:type="spellStart"/>
      <w:r w:rsidRPr="009435C0">
        <w:t>Escorcia</w:t>
      </w:r>
      <w:proofErr w:type="spellEnd"/>
      <w:r>
        <w:t xml:space="preserve"> A</w:t>
      </w:r>
      <w:r w:rsidRPr="009435C0">
        <w:t>, Tasmin</w:t>
      </w:r>
      <w:r>
        <w:t xml:space="preserve"> F</w:t>
      </w:r>
      <w:r w:rsidRPr="009435C0">
        <w:t>, Lima</w:t>
      </w:r>
      <w:r>
        <w:t xml:space="preserve"> A</w:t>
      </w:r>
      <w:r w:rsidRPr="009435C0">
        <w:t>, Lin</w:t>
      </w:r>
      <w:r>
        <w:t xml:space="preserve"> Y</w:t>
      </w:r>
      <w:r w:rsidRPr="009435C0">
        <w:t>, Lieberman</w:t>
      </w:r>
      <w:r>
        <w:t xml:space="preserve"> L</w:t>
      </w:r>
      <w:r w:rsidRPr="009435C0">
        <w:t xml:space="preserve">, </w:t>
      </w:r>
      <w:proofErr w:type="spellStart"/>
      <w:r w:rsidRPr="009435C0">
        <w:t>Pendergrast</w:t>
      </w:r>
      <w:proofErr w:type="spellEnd"/>
      <w:r>
        <w:t xml:space="preserve"> J</w:t>
      </w:r>
      <w:r w:rsidRPr="009435C0">
        <w:t xml:space="preserve">, </w:t>
      </w:r>
      <w:proofErr w:type="spellStart"/>
      <w:r w:rsidRPr="009435C0">
        <w:t>Callum</w:t>
      </w:r>
      <w:proofErr w:type="spellEnd"/>
      <w:r>
        <w:t xml:space="preserve"> J</w:t>
      </w:r>
      <w:r w:rsidRPr="009435C0">
        <w:t xml:space="preserve">, </w:t>
      </w:r>
      <w:proofErr w:type="spellStart"/>
      <w:r w:rsidRPr="009435C0">
        <w:t>Cserti</w:t>
      </w:r>
      <w:r w:rsidRPr="009435C0">
        <w:rPr>
          <w:rFonts w:ascii="Cambria Math" w:hAnsi="Cambria Math" w:cs="Cambria Math"/>
        </w:rPr>
        <w:t>‐</w:t>
      </w:r>
      <w:r w:rsidRPr="009435C0">
        <w:t>Gazdewich</w:t>
      </w:r>
      <w:proofErr w:type="spellEnd"/>
      <w:r>
        <w:t xml:space="preserve"> C</w:t>
      </w:r>
      <w:r w:rsidRPr="009435C0">
        <w:t xml:space="preserve"> 2017</w:t>
      </w:r>
      <w:r>
        <w:t>,</w:t>
      </w:r>
      <w:r w:rsidRPr="009435C0">
        <w:t xml:space="preserve"> </w:t>
      </w:r>
      <w:r>
        <w:t>‘</w:t>
      </w:r>
      <w:r w:rsidRPr="009435C0">
        <w:t>Feeling the burn: the significant burden of febrile nonhemolytic transfusion reactions</w:t>
      </w:r>
      <w:r>
        <w:t>’,</w:t>
      </w:r>
      <w:r w:rsidRPr="009435C0">
        <w:t xml:space="preserve"> </w:t>
      </w:r>
      <w:r w:rsidRPr="00080269">
        <w:rPr>
          <w:i/>
          <w:iCs/>
        </w:rPr>
        <w:t>Transfusion</w:t>
      </w:r>
      <w:r>
        <w:t>,</w:t>
      </w:r>
      <w:r w:rsidRPr="009435C0">
        <w:t xml:space="preserve"> </w:t>
      </w:r>
      <w:proofErr w:type="spellStart"/>
      <w:r>
        <w:t>v</w:t>
      </w:r>
      <w:r w:rsidRPr="009435C0">
        <w:t>ol</w:t>
      </w:r>
      <w:proofErr w:type="spellEnd"/>
      <w:r w:rsidRPr="009435C0">
        <w:t xml:space="preserve"> 57</w:t>
      </w:r>
      <w:r>
        <w:t>, pp.</w:t>
      </w:r>
      <w:r w:rsidRPr="009435C0">
        <w:t xml:space="preserve"> 1674–83</w:t>
      </w:r>
      <w:r>
        <w:t>.</w:t>
      </w:r>
    </w:p>
    <w:p w14:paraId="4EA21149" w14:textId="2367E738" w:rsidR="00717BFA" w:rsidRPr="009435C0" w:rsidRDefault="00717BFA" w:rsidP="009435C0">
      <w:pPr>
        <w:pStyle w:val="DHHSbody"/>
      </w:pPr>
      <w:proofErr w:type="spellStart"/>
      <w:r w:rsidRPr="009435C0">
        <w:t>Cossart</w:t>
      </w:r>
      <w:proofErr w:type="spellEnd"/>
      <w:r w:rsidRPr="009435C0">
        <w:t xml:space="preserve"> Y, Field A,</w:t>
      </w:r>
      <w:r>
        <w:t xml:space="preserve"> </w:t>
      </w:r>
      <w:proofErr w:type="gramStart"/>
      <w:r w:rsidRPr="009435C0">
        <w:t>Cant</w:t>
      </w:r>
      <w:proofErr w:type="gramEnd"/>
      <w:r w:rsidRPr="009435C0">
        <w:t xml:space="preserve"> B, </w:t>
      </w:r>
      <w:proofErr w:type="spellStart"/>
      <w:r w:rsidRPr="009435C0">
        <w:t>Widdows</w:t>
      </w:r>
      <w:proofErr w:type="spellEnd"/>
      <w:r w:rsidRPr="009435C0">
        <w:t xml:space="preserve"> D 1975</w:t>
      </w:r>
      <w:r>
        <w:t>,</w:t>
      </w:r>
      <w:r w:rsidRPr="009435C0">
        <w:t xml:space="preserve"> </w:t>
      </w:r>
      <w:r>
        <w:t>‘</w:t>
      </w:r>
      <w:r w:rsidRPr="009435C0">
        <w:t>Parvovirus-like particles in human sera</w:t>
      </w:r>
      <w:r>
        <w:t>’</w:t>
      </w:r>
      <w:r w:rsidRPr="009435C0">
        <w:t xml:space="preserve">. </w:t>
      </w:r>
      <w:r w:rsidRPr="00080269">
        <w:rPr>
          <w:i/>
          <w:iCs/>
        </w:rPr>
        <w:t>The Lancet</w:t>
      </w:r>
      <w:r>
        <w:t>, vol.</w:t>
      </w:r>
      <w:r w:rsidRPr="009435C0">
        <w:t xml:space="preserve"> 1</w:t>
      </w:r>
      <w:r>
        <w:t>, pp.</w:t>
      </w:r>
      <w:r w:rsidRPr="009435C0">
        <w:t xml:space="preserve"> 72</w:t>
      </w:r>
      <w:r>
        <w:t>–</w:t>
      </w:r>
      <w:r w:rsidRPr="009435C0">
        <w:t>73</w:t>
      </w:r>
      <w:r>
        <w:t>.</w:t>
      </w:r>
    </w:p>
    <w:p w14:paraId="3A7DF556" w14:textId="61A28E01" w:rsidR="00717BFA" w:rsidRPr="009435C0" w:rsidRDefault="00717BFA" w:rsidP="009435C0">
      <w:pPr>
        <w:pStyle w:val="DHHSbody"/>
      </w:pPr>
      <w:proofErr w:type="spellStart"/>
      <w:r w:rsidRPr="009435C0">
        <w:t>Juhl</w:t>
      </w:r>
      <w:proofErr w:type="spellEnd"/>
      <w:r w:rsidRPr="009435C0">
        <w:t xml:space="preserve"> D, </w:t>
      </w:r>
      <w:proofErr w:type="spellStart"/>
      <w:r w:rsidRPr="009435C0">
        <w:t>Ozdemir</w:t>
      </w:r>
      <w:proofErr w:type="spellEnd"/>
      <w:r w:rsidRPr="009435C0">
        <w:t xml:space="preserve"> M, Dreier J et al. 2015</w:t>
      </w:r>
      <w:r>
        <w:t>,</w:t>
      </w:r>
      <w:r w:rsidRPr="009435C0">
        <w:t xml:space="preserve"> </w:t>
      </w:r>
      <w:r>
        <w:t>‘</w:t>
      </w:r>
      <w:r w:rsidRPr="009435C0">
        <w:t>Look-back study on recipients of parvovirus B19 (B19V) DNA positive blood components</w:t>
      </w:r>
      <w:r>
        <w:t>’,</w:t>
      </w:r>
      <w:r w:rsidRPr="009435C0">
        <w:t xml:space="preserve"> </w:t>
      </w:r>
      <w:r w:rsidRPr="00080269">
        <w:rPr>
          <w:i/>
          <w:iCs/>
        </w:rPr>
        <w:t>Vox Sang</w:t>
      </w:r>
      <w:r w:rsidR="00673691">
        <w:t>, vol.</w:t>
      </w:r>
      <w:r w:rsidRPr="009435C0">
        <w:t xml:space="preserve"> 109</w:t>
      </w:r>
      <w:r w:rsidR="00673691">
        <w:t xml:space="preserve">, no. </w:t>
      </w:r>
      <w:r w:rsidRPr="009435C0">
        <w:t>4</w:t>
      </w:r>
      <w:r w:rsidR="00673691">
        <w:t xml:space="preserve">, pp. </w:t>
      </w:r>
      <w:r w:rsidRPr="009435C0">
        <w:t>305</w:t>
      </w:r>
      <w:r w:rsidR="00673691">
        <w:t>–</w:t>
      </w:r>
      <w:r w:rsidRPr="009435C0">
        <w:t>11</w:t>
      </w:r>
      <w:r w:rsidR="00673691">
        <w:t>.</w:t>
      </w:r>
    </w:p>
    <w:p w14:paraId="0D39B997" w14:textId="248E9E34" w:rsidR="00717BFA" w:rsidRPr="009435C0" w:rsidRDefault="00717BFA" w:rsidP="009435C0">
      <w:pPr>
        <w:pStyle w:val="DHHSbody"/>
      </w:pPr>
      <w:proofErr w:type="spellStart"/>
      <w:r w:rsidRPr="009435C0">
        <w:t>Marano</w:t>
      </w:r>
      <w:proofErr w:type="spellEnd"/>
      <w:r w:rsidRPr="009435C0">
        <w:t xml:space="preserve"> G, </w:t>
      </w:r>
      <w:proofErr w:type="spellStart"/>
      <w:r w:rsidRPr="009435C0">
        <w:t>Vaglio</w:t>
      </w:r>
      <w:proofErr w:type="spellEnd"/>
      <w:r w:rsidRPr="009435C0">
        <w:t xml:space="preserve"> S, </w:t>
      </w:r>
      <w:proofErr w:type="spellStart"/>
      <w:r w:rsidRPr="009435C0">
        <w:t>Pupella</w:t>
      </w:r>
      <w:proofErr w:type="spellEnd"/>
      <w:r w:rsidRPr="009435C0">
        <w:t xml:space="preserve"> S et al. 2015. </w:t>
      </w:r>
      <w:r w:rsidR="00673691">
        <w:t>‘</w:t>
      </w:r>
      <w:r w:rsidRPr="009435C0">
        <w:t>Human parvovirus B19 and blood product safety: a tale of twenty years of improvements</w:t>
      </w:r>
      <w:r w:rsidR="00673691">
        <w:t>’</w:t>
      </w:r>
      <w:r w:rsidR="00DA50CE">
        <w:t>,</w:t>
      </w:r>
      <w:r w:rsidRPr="009435C0">
        <w:t xml:space="preserve"> </w:t>
      </w:r>
      <w:r w:rsidRPr="00080269">
        <w:rPr>
          <w:i/>
          <w:iCs/>
        </w:rPr>
        <w:t>Blood Transfusion</w:t>
      </w:r>
      <w:r w:rsidR="00DA50CE">
        <w:t>,</w:t>
      </w:r>
      <w:r w:rsidRPr="009435C0">
        <w:t xml:space="preserve"> </w:t>
      </w:r>
      <w:r w:rsidR="00DA50CE">
        <w:t xml:space="preserve">vol. </w:t>
      </w:r>
      <w:r w:rsidRPr="009435C0">
        <w:t>13</w:t>
      </w:r>
      <w:r w:rsidR="00DA50CE">
        <w:t xml:space="preserve">, no. </w:t>
      </w:r>
      <w:r w:rsidRPr="009435C0">
        <w:t>2</w:t>
      </w:r>
      <w:r w:rsidR="00DA50CE">
        <w:t>, pp.</w:t>
      </w:r>
      <w:r w:rsidRPr="009435C0">
        <w:t xml:space="preserve"> 184</w:t>
      </w:r>
      <w:r w:rsidR="00DA50CE">
        <w:t>–</w:t>
      </w:r>
      <w:r w:rsidRPr="009435C0">
        <w:t>96</w:t>
      </w:r>
      <w:r w:rsidR="00DA50CE">
        <w:t>.</w:t>
      </w:r>
    </w:p>
    <w:p w14:paraId="7A91850F" w14:textId="67EC73BA" w:rsidR="00717BFA" w:rsidRPr="009435C0" w:rsidRDefault="00717BFA" w:rsidP="009435C0">
      <w:pPr>
        <w:pStyle w:val="DHHSbody"/>
      </w:pPr>
      <w:proofErr w:type="spellStart"/>
      <w:r w:rsidRPr="009435C0">
        <w:t>Norja</w:t>
      </w:r>
      <w:proofErr w:type="spellEnd"/>
      <w:r w:rsidRPr="009435C0">
        <w:t xml:space="preserve"> P, </w:t>
      </w:r>
      <w:proofErr w:type="spellStart"/>
      <w:r w:rsidRPr="009435C0">
        <w:t>Lassila</w:t>
      </w:r>
      <w:proofErr w:type="spellEnd"/>
      <w:r w:rsidRPr="009435C0">
        <w:t xml:space="preserve"> R and Makris M 2012</w:t>
      </w:r>
      <w:r w:rsidR="00DA50CE">
        <w:t>,</w:t>
      </w:r>
      <w:r w:rsidRPr="009435C0">
        <w:t xml:space="preserve"> </w:t>
      </w:r>
      <w:r w:rsidR="00DA50CE">
        <w:t>‘</w:t>
      </w:r>
      <w:r w:rsidRPr="009435C0">
        <w:t>Parvovirus transmission by blood products – a cause for concern?</w:t>
      </w:r>
      <w:r w:rsidR="00DA50CE">
        <w:t>’</w:t>
      </w:r>
      <w:r w:rsidRPr="009435C0">
        <w:t xml:space="preserve"> </w:t>
      </w:r>
      <w:r w:rsidRPr="00080269">
        <w:rPr>
          <w:i/>
          <w:iCs/>
        </w:rPr>
        <w:t>British Journal of Haematology</w:t>
      </w:r>
      <w:r w:rsidR="00DA50CE">
        <w:t>,</w:t>
      </w:r>
      <w:r w:rsidRPr="009435C0">
        <w:t xml:space="preserve"> </w:t>
      </w:r>
      <w:r w:rsidR="00DA50CE">
        <w:t xml:space="preserve">vol. </w:t>
      </w:r>
      <w:r w:rsidRPr="009435C0">
        <w:t>159</w:t>
      </w:r>
      <w:r w:rsidR="00DA50CE">
        <w:t xml:space="preserve">, no. </w:t>
      </w:r>
      <w:r w:rsidRPr="009435C0">
        <w:t>4</w:t>
      </w:r>
      <w:r w:rsidR="00DA50CE">
        <w:t>, pp.</w:t>
      </w:r>
      <w:r w:rsidRPr="009435C0">
        <w:t xml:space="preserve"> 385</w:t>
      </w:r>
      <w:r w:rsidR="00DA50CE">
        <w:t>–</w:t>
      </w:r>
      <w:r w:rsidRPr="009435C0">
        <w:t>93</w:t>
      </w:r>
    </w:p>
    <w:p w14:paraId="79459520" w14:textId="214D87F4" w:rsidR="00717BFA" w:rsidRDefault="00717BFA" w:rsidP="00080269">
      <w:pPr>
        <w:pStyle w:val="DHHSbody"/>
      </w:pPr>
      <w:r w:rsidRPr="009435C0">
        <w:t>Winters JL</w:t>
      </w:r>
      <w:r w:rsidR="00DA50CE">
        <w:t xml:space="preserve"> 2012</w:t>
      </w:r>
      <w:r w:rsidRPr="009435C0">
        <w:t xml:space="preserve">, </w:t>
      </w:r>
      <w:r w:rsidR="00DA50CE">
        <w:t>‘</w:t>
      </w:r>
      <w:r w:rsidRPr="009435C0">
        <w:t>Plasma exchange: concepts, mechanisms, and an overview of the American Society for Apheresis guidelines</w:t>
      </w:r>
      <w:r w:rsidR="00DA50CE">
        <w:t>’,</w:t>
      </w:r>
      <w:r w:rsidRPr="009435C0">
        <w:t xml:space="preserve"> </w:t>
      </w:r>
      <w:proofErr w:type="spellStart"/>
      <w:r w:rsidR="00DA50CE" w:rsidRPr="00080269">
        <w:rPr>
          <w:i/>
          <w:iCs/>
        </w:rPr>
        <w:t>Hematology</w:t>
      </w:r>
      <w:proofErr w:type="spellEnd"/>
      <w:r w:rsidR="00DA50CE">
        <w:t>,</w:t>
      </w:r>
      <w:r w:rsidR="00DA50CE" w:rsidRPr="009435C0">
        <w:t xml:space="preserve"> </w:t>
      </w:r>
      <w:r w:rsidRPr="009435C0">
        <w:t>vol. 2012</w:t>
      </w:r>
      <w:r w:rsidR="00DA50CE">
        <w:t>,</w:t>
      </w:r>
      <w:r w:rsidRPr="009435C0">
        <w:t xml:space="preserve"> no. 1,</w:t>
      </w:r>
      <w:r w:rsidR="00DA50CE">
        <w:t xml:space="preserve"> pp.</w:t>
      </w:r>
      <w:r w:rsidRPr="009435C0">
        <w:t xml:space="preserve"> 7</w:t>
      </w:r>
      <w:r w:rsidR="00DA50CE">
        <w:t>–</w:t>
      </w:r>
      <w:r w:rsidRPr="009435C0">
        <w:t>12</w:t>
      </w:r>
      <w:r w:rsidR="00DA50CE">
        <w:t>.</w:t>
      </w:r>
    </w:p>
    <w:p w14:paraId="251C63C0" w14:textId="3E14444C" w:rsidR="00B5678E" w:rsidRPr="00717BFA" w:rsidRDefault="00B5678E" w:rsidP="00717BFA">
      <w:pPr>
        <w:pStyle w:val="Heading1"/>
      </w:pPr>
      <w:bookmarkStart w:id="58" w:name="_Toc24287458"/>
      <w:r w:rsidRPr="009435C0">
        <w:lastRenderedPageBreak/>
        <w:t>Appendi</w:t>
      </w:r>
      <w:r w:rsidR="009435C0">
        <w:t>x</w:t>
      </w:r>
      <w:r w:rsidR="0063247B">
        <w:t xml:space="preserve"> 1</w:t>
      </w:r>
      <w:r w:rsidR="009435C0">
        <w:t xml:space="preserve">: </w:t>
      </w:r>
      <w:r w:rsidR="00363D8B">
        <w:t xml:space="preserve">STIR </w:t>
      </w:r>
      <w:r w:rsidRPr="00343635">
        <w:t xml:space="preserve">Expert Group members </w:t>
      </w:r>
      <w:r w:rsidR="00E56E6D">
        <w:br/>
      </w:r>
      <w:r w:rsidRPr="00343635">
        <w:t>2017–18</w:t>
      </w:r>
      <w:bookmarkEnd w:id="58"/>
    </w:p>
    <w:p w14:paraId="4D2B79AB" w14:textId="238067B6" w:rsidR="00B5678E" w:rsidRPr="00343635" w:rsidRDefault="00B5678E" w:rsidP="009435C0">
      <w:pPr>
        <w:pStyle w:val="DHHSbody"/>
      </w:pPr>
      <w:r w:rsidRPr="00343635">
        <w:t xml:space="preserve">Giles Kelsey, (Chair) Consultant Haematologist, </w:t>
      </w:r>
      <w:r w:rsidR="00363D8B">
        <w:t xml:space="preserve">The </w:t>
      </w:r>
      <w:r w:rsidRPr="00343635">
        <w:t>Royal Melbourne Hospital, Victoria</w:t>
      </w:r>
    </w:p>
    <w:p w14:paraId="17E76273" w14:textId="77777777" w:rsidR="00B5678E" w:rsidRPr="00343635" w:rsidRDefault="00B5678E" w:rsidP="009435C0">
      <w:pPr>
        <w:pStyle w:val="DHHSbody"/>
      </w:pPr>
      <w:r w:rsidRPr="00343635">
        <w:t>Christine Akers, (secretary) Transfusion Nurse, Blood Matters Program, Victoria</w:t>
      </w:r>
    </w:p>
    <w:p w14:paraId="22B89AA3" w14:textId="366564EC" w:rsidR="00B5678E" w:rsidRPr="00343635" w:rsidRDefault="00B5678E" w:rsidP="009435C0">
      <w:pPr>
        <w:pStyle w:val="DHHSbody"/>
      </w:pPr>
      <w:r w:rsidRPr="00343635">
        <w:t>Gerald Bates, Laboratory Manager, Northern Tasmanian Pathology Service, Launceston General Hospital, Tasmania</w:t>
      </w:r>
    </w:p>
    <w:p w14:paraId="1F113649" w14:textId="77777777" w:rsidR="00B5678E" w:rsidRPr="00343635" w:rsidRDefault="00B5678E" w:rsidP="009435C0">
      <w:pPr>
        <w:pStyle w:val="DHHSbody"/>
      </w:pPr>
      <w:r w:rsidRPr="00343635">
        <w:t xml:space="preserve">Linley </w:t>
      </w:r>
      <w:proofErr w:type="spellStart"/>
      <w:r w:rsidRPr="00343635">
        <w:t>Bielby</w:t>
      </w:r>
      <w:proofErr w:type="spellEnd"/>
      <w:r w:rsidRPr="00343635">
        <w:t>, Program Manager, Blood Matters Program, Victoria</w:t>
      </w:r>
    </w:p>
    <w:p w14:paraId="725C448A" w14:textId="6ADD7DEF" w:rsidR="00B5678E" w:rsidRPr="00343635" w:rsidRDefault="00B5678E" w:rsidP="009435C0">
      <w:pPr>
        <w:pStyle w:val="DHHSbody"/>
      </w:pPr>
      <w:r w:rsidRPr="00343635">
        <w:t xml:space="preserve">Karen Botting, Senior Program Advisor, Blood Pharmaceutical Organ and Tissue Donation Programs, Department of Health </w:t>
      </w:r>
      <w:r w:rsidR="00363D8B">
        <w:t>and</w:t>
      </w:r>
      <w:r w:rsidRPr="00343635">
        <w:t xml:space="preserve"> Human Services</w:t>
      </w:r>
    </w:p>
    <w:p w14:paraId="58BE60E9" w14:textId="77777777" w:rsidR="00B5678E" w:rsidRPr="00343635" w:rsidRDefault="00B5678E" w:rsidP="009435C0">
      <w:pPr>
        <w:pStyle w:val="DHHSbody"/>
      </w:pPr>
      <w:proofErr w:type="spellStart"/>
      <w:r w:rsidRPr="00343635">
        <w:t>Merrole</w:t>
      </w:r>
      <w:proofErr w:type="spellEnd"/>
      <w:r w:rsidRPr="00343635">
        <w:t xml:space="preserve"> Cole-Sinclair, Director of Haematology, St Vincent’s Hospital, Victoria</w:t>
      </w:r>
    </w:p>
    <w:p w14:paraId="1A98B160" w14:textId="78942F83" w:rsidR="00B5678E" w:rsidRPr="00343635" w:rsidRDefault="00B5678E" w:rsidP="009435C0">
      <w:pPr>
        <w:pStyle w:val="DHHSbody"/>
      </w:pPr>
      <w:r w:rsidRPr="00343635">
        <w:t xml:space="preserve">Mary </w:t>
      </w:r>
      <w:proofErr w:type="spellStart"/>
      <w:r w:rsidRPr="00343635">
        <w:t>Comande</w:t>
      </w:r>
      <w:proofErr w:type="spellEnd"/>
      <w:r w:rsidRPr="00343635">
        <w:t xml:space="preserve">, Blood Bank Scientist, </w:t>
      </w:r>
      <w:r w:rsidR="00363D8B">
        <w:t xml:space="preserve">The </w:t>
      </w:r>
      <w:r w:rsidRPr="00343635">
        <w:t>Royal Children’s Hospital</w:t>
      </w:r>
    </w:p>
    <w:p w14:paraId="6ED96479" w14:textId="77777777" w:rsidR="00B5678E" w:rsidRPr="00343635" w:rsidRDefault="00B5678E" w:rsidP="009435C0">
      <w:pPr>
        <w:pStyle w:val="DHHSbody"/>
      </w:pPr>
      <w:r w:rsidRPr="00343635">
        <w:t>Philip Crispin, Consultant Haematologist, Canberra Hospital, Australian Capital Territory</w:t>
      </w:r>
    </w:p>
    <w:p w14:paraId="24F0636E" w14:textId="77777777" w:rsidR="00B5678E" w:rsidRPr="00343635" w:rsidRDefault="00B5678E" w:rsidP="009435C0">
      <w:pPr>
        <w:pStyle w:val="DHHSbody"/>
      </w:pPr>
      <w:r w:rsidRPr="00343635">
        <w:t>James Daly, Medical Director of Pathology Services, Australian Red Cross Blood Service</w:t>
      </w:r>
    </w:p>
    <w:p w14:paraId="352334F9" w14:textId="5DF0DB88" w:rsidR="00B5678E" w:rsidRPr="00343635" w:rsidRDefault="00B5678E" w:rsidP="009435C0">
      <w:pPr>
        <w:pStyle w:val="DHHSbody"/>
      </w:pPr>
      <w:r w:rsidRPr="00343635">
        <w:t xml:space="preserve">Helen Evans, Transfusion Nurse, </w:t>
      </w:r>
      <w:r w:rsidR="00363D8B">
        <w:t xml:space="preserve">The </w:t>
      </w:r>
      <w:r w:rsidRPr="00343635">
        <w:t>Royal Hobart Hospital, Tasmania</w:t>
      </w:r>
    </w:p>
    <w:p w14:paraId="22B40F46" w14:textId="4E352F9C" w:rsidR="00B5678E" w:rsidRPr="00343635" w:rsidRDefault="00B5678E" w:rsidP="009435C0">
      <w:pPr>
        <w:pStyle w:val="DHHSbody"/>
      </w:pPr>
      <w:r w:rsidRPr="00343635">
        <w:t>Cindy Flores, Education Coordinator, Blood Matters Program, Victoria (resigned)</w:t>
      </w:r>
    </w:p>
    <w:p w14:paraId="70BAA999" w14:textId="77777777" w:rsidR="00B5678E" w:rsidRPr="00343635" w:rsidRDefault="00B5678E" w:rsidP="009435C0">
      <w:pPr>
        <w:pStyle w:val="DHHSbody"/>
      </w:pPr>
      <w:r w:rsidRPr="00343635">
        <w:t xml:space="preserve">Bridget </w:t>
      </w:r>
      <w:proofErr w:type="spellStart"/>
      <w:r w:rsidRPr="00343635">
        <w:t>Glazebrook</w:t>
      </w:r>
      <w:proofErr w:type="spellEnd"/>
      <w:r w:rsidRPr="00343635">
        <w:t>, Data Manager, Blood Matters Program, Department of Health, Victoria</w:t>
      </w:r>
    </w:p>
    <w:p w14:paraId="44094320" w14:textId="77777777" w:rsidR="00B5678E" w:rsidRPr="00343635" w:rsidRDefault="00B5678E" w:rsidP="009435C0">
      <w:pPr>
        <w:pStyle w:val="DHHSbody"/>
      </w:pPr>
      <w:r w:rsidRPr="00343635">
        <w:t xml:space="preserve">Clare Hennessy, Transfusion Nurse Consultant, Eastern Health Victoria </w:t>
      </w:r>
    </w:p>
    <w:p w14:paraId="3260F5DF" w14:textId="77777777" w:rsidR="00B5678E" w:rsidRPr="00343635" w:rsidRDefault="00B5678E" w:rsidP="009435C0">
      <w:pPr>
        <w:pStyle w:val="DHHSbody"/>
      </w:pPr>
      <w:r w:rsidRPr="00343635">
        <w:t>Chris Hogan, Director Pathology Services, Austin Health</w:t>
      </w:r>
    </w:p>
    <w:p w14:paraId="4CC53E48" w14:textId="77777777" w:rsidR="00B5678E" w:rsidRPr="00343635" w:rsidRDefault="00B5678E" w:rsidP="009435C0">
      <w:pPr>
        <w:pStyle w:val="DHHSbody"/>
      </w:pPr>
      <w:proofErr w:type="spellStart"/>
      <w:r w:rsidRPr="00343635">
        <w:t>Anastazia</w:t>
      </w:r>
      <w:proofErr w:type="spellEnd"/>
      <w:r w:rsidRPr="00343635">
        <w:t xml:space="preserve"> Keegan, Haematologist, Australian Red Cross Blood Service (resigned)</w:t>
      </w:r>
    </w:p>
    <w:p w14:paraId="45F33AEE" w14:textId="77777777" w:rsidR="00B5678E" w:rsidRPr="00343635" w:rsidRDefault="00B5678E" w:rsidP="009435C0">
      <w:pPr>
        <w:pStyle w:val="DHHSbody"/>
      </w:pPr>
      <w:r w:rsidRPr="00343635">
        <w:t>Ellen Maxwell, Director of Haematology, Melbourne Pathology, Victoria</w:t>
      </w:r>
    </w:p>
    <w:p w14:paraId="1F289015" w14:textId="0262F715" w:rsidR="00B5678E" w:rsidRPr="00343635" w:rsidRDefault="00B5678E" w:rsidP="009435C0">
      <w:pPr>
        <w:pStyle w:val="DHHSbody"/>
      </w:pPr>
      <w:r w:rsidRPr="00343635">
        <w:t xml:space="preserve">Tina </w:t>
      </w:r>
      <w:proofErr w:type="spellStart"/>
      <w:r w:rsidRPr="00343635">
        <w:t>Noutsos</w:t>
      </w:r>
      <w:proofErr w:type="spellEnd"/>
      <w:r w:rsidRPr="00343635">
        <w:t xml:space="preserve">, Haematologist, </w:t>
      </w:r>
      <w:r w:rsidR="00363D8B">
        <w:t xml:space="preserve">The </w:t>
      </w:r>
      <w:r w:rsidRPr="00343635">
        <w:t>Royal Darwin Hospital, Northern Territory</w:t>
      </w:r>
    </w:p>
    <w:p w14:paraId="722C4460" w14:textId="77777777" w:rsidR="00B5678E" w:rsidRPr="00343635" w:rsidRDefault="00B5678E" w:rsidP="009435C0">
      <w:pPr>
        <w:pStyle w:val="DHHSbody"/>
      </w:pPr>
      <w:r w:rsidRPr="00343635">
        <w:t>Richard Rogers, Blood Bank Scientist, Cabrini Health, Victoria (resigned)</w:t>
      </w:r>
    </w:p>
    <w:p w14:paraId="27481368" w14:textId="77777777" w:rsidR="00B5678E" w:rsidRPr="00343635" w:rsidRDefault="00B5678E" w:rsidP="009435C0">
      <w:pPr>
        <w:pStyle w:val="DHHSbody"/>
      </w:pPr>
      <w:r w:rsidRPr="00343635">
        <w:t>Linda Saravanan, Haematologist, Melbourne Pathology</w:t>
      </w:r>
    </w:p>
    <w:p w14:paraId="131D526D" w14:textId="77777777" w:rsidR="00B5678E" w:rsidRPr="00343635" w:rsidRDefault="00B5678E" w:rsidP="009435C0">
      <w:pPr>
        <w:pStyle w:val="DHHSbody"/>
      </w:pPr>
      <w:r w:rsidRPr="00343635">
        <w:t xml:space="preserve">Erica Wood, Associate Professor, School of Public Health and Preventative Medicine, Monash University, Victoria </w:t>
      </w:r>
    </w:p>
    <w:p w14:paraId="66EFEAAC" w14:textId="77777777" w:rsidR="00B5678E" w:rsidRPr="00343635" w:rsidRDefault="00B5678E" w:rsidP="009435C0">
      <w:pPr>
        <w:pStyle w:val="DHHSbody"/>
      </w:pPr>
      <w:r w:rsidRPr="00343635">
        <w:t xml:space="preserve">Adrienne Wynne, Transfusion Quality Officer, St Vincent’s’ Hospital, Victoria </w:t>
      </w:r>
    </w:p>
    <w:p w14:paraId="1D0AC8D7" w14:textId="77777777" w:rsidR="00B5678E" w:rsidRPr="00343635" w:rsidRDefault="00B5678E" w:rsidP="009435C0">
      <w:pPr>
        <w:pStyle w:val="DHHSbody"/>
      </w:pPr>
      <w:r w:rsidRPr="00343635">
        <w:t xml:space="preserve">Anissa </w:t>
      </w:r>
      <w:proofErr w:type="spellStart"/>
      <w:r w:rsidRPr="00343635">
        <w:t>Yttrup</w:t>
      </w:r>
      <w:proofErr w:type="spellEnd"/>
      <w:r w:rsidRPr="00343635">
        <w:t>, Transfusion Nurse, Barwon Health, Victoria</w:t>
      </w:r>
    </w:p>
    <w:p w14:paraId="2DE04DB1" w14:textId="2B8D6341" w:rsidR="00B5678E" w:rsidRPr="00343635" w:rsidRDefault="009435C0" w:rsidP="009435C0">
      <w:pPr>
        <w:pStyle w:val="Heading1"/>
      </w:pPr>
      <w:bookmarkStart w:id="59" w:name="_Toc24287459"/>
      <w:r>
        <w:lastRenderedPageBreak/>
        <w:t xml:space="preserve">Appendix 2: </w:t>
      </w:r>
      <w:r w:rsidR="00B5678E" w:rsidRPr="00343635">
        <w:t>STIR publications and promotions</w:t>
      </w:r>
      <w:bookmarkEnd w:id="59"/>
    </w:p>
    <w:p w14:paraId="111146B6" w14:textId="4FE2498D" w:rsidR="00B5678E" w:rsidRPr="009435C0" w:rsidRDefault="00B5678E" w:rsidP="009435C0">
      <w:pPr>
        <w:pStyle w:val="DHHSbody"/>
      </w:pPr>
      <w:proofErr w:type="spellStart"/>
      <w:r w:rsidRPr="00080269">
        <w:rPr>
          <w:i/>
          <w:iCs/>
        </w:rPr>
        <w:t>RhD</w:t>
      </w:r>
      <w:proofErr w:type="spellEnd"/>
      <w:r w:rsidRPr="00080269">
        <w:rPr>
          <w:i/>
          <w:iCs/>
        </w:rPr>
        <w:t>: What’s the problem?</w:t>
      </w:r>
      <w:r w:rsidR="00363D8B">
        <w:t xml:space="preserve"> poster, </w:t>
      </w:r>
      <w:r w:rsidRPr="009435C0">
        <w:t>HAA conference, Sydney</w:t>
      </w:r>
      <w:r w:rsidR="00363D8B">
        <w:t>,</w:t>
      </w:r>
      <w:r w:rsidRPr="009435C0">
        <w:t xml:space="preserve"> November 2017</w:t>
      </w:r>
      <w:r w:rsidR="00363D8B">
        <w:t>.</w:t>
      </w:r>
    </w:p>
    <w:p w14:paraId="5ED26B90" w14:textId="738A0D75" w:rsidR="00B5678E" w:rsidRPr="009435C0" w:rsidRDefault="00363D8B" w:rsidP="009435C0">
      <w:pPr>
        <w:pStyle w:val="DHHSbody"/>
      </w:pPr>
      <w:r>
        <w:t>‘</w:t>
      </w:r>
      <w:r w:rsidR="00B5678E" w:rsidRPr="009435C0">
        <w:t>Patient ID</w:t>
      </w:r>
      <w:r>
        <w:t>:</w:t>
      </w:r>
      <w:r w:rsidR="00B5678E" w:rsidRPr="009435C0">
        <w:t xml:space="preserve"> the consequences of getting it wrong are serious</w:t>
      </w:r>
      <w:r>
        <w:t>’</w:t>
      </w:r>
      <w:r w:rsidR="00B5678E" w:rsidRPr="009435C0">
        <w:t xml:space="preserve">, </w:t>
      </w:r>
      <w:r>
        <w:t>o</w:t>
      </w:r>
      <w:r w:rsidRPr="009435C0">
        <w:t xml:space="preserve">ral presentation by Linley </w:t>
      </w:r>
      <w:proofErr w:type="spellStart"/>
      <w:r w:rsidRPr="009435C0">
        <w:t>Bielby</w:t>
      </w:r>
      <w:proofErr w:type="spellEnd"/>
      <w:r>
        <w:t>,</w:t>
      </w:r>
      <w:r w:rsidRPr="009435C0">
        <w:t xml:space="preserve"> </w:t>
      </w:r>
      <w:r w:rsidR="00B5678E" w:rsidRPr="009435C0">
        <w:t>International Society of Blood transfusion (ISBT)</w:t>
      </w:r>
      <w:r>
        <w:t>.</w:t>
      </w:r>
    </w:p>
    <w:p w14:paraId="424C9C51" w14:textId="1119D2BF" w:rsidR="00B5678E" w:rsidRPr="00343635" w:rsidRDefault="00363D8B" w:rsidP="00080269">
      <w:pPr>
        <w:pStyle w:val="DHHSbody"/>
      </w:pPr>
      <w:r>
        <w:t>‘</w:t>
      </w:r>
      <w:r w:rsidR="00B5678E" w:rsidRPr="009435C0">
        <w:t xml:space="preserve">Serious </w:t>
      </w:r>
      <w:r w:rsidRPr="009435C0">
        <w:t>transfusion incident reporting</w:t>
      </w:r>
      <w:r w:rsidR="00B5678E" w:rsidRPr="009435C0">
        <w:t>: a key activity of the Australian Blood Matters blood management program</w:t>
      </w:r>
      <w:r>
        <w:t>’</w:t>
      </w:r>
      <w:r w:rsidR="00B5678E" w:rsidRPr="009435C0">
        <w:t xml:space="preserve">, </w:t>
      </w:r>
      <w:r>
        <w:t>o</w:t>
      </w:r>
      <w:r w:rsidRPr="009435C0">
        <w:t>ral presentation by Erica Wood</w:t>
      </w:r>
      <w:r>
        <w:t>,</w:t>
      </w:r>
      <w:r w:rsidRPr="009435C0">
        <w:t xml:space="preserve"> </w:t>
      </w:r>
      <w:r w:rsidR="00B5678E" w:rsidRPr="009435C0">
        <w:t xml:space="preserve">International </w:t>
      </w:r>
      <w:proofErr w:type="spellStart"/>
      <w:r w:rsidR="00B5678E" w:rsidRPr="009435C0">
        <w:t>Haemovigilance</w:t>
      </w:r>
      <w:proofErr w:type="spellEnd"/>
      <w:r w:rsidR="00B5678E" w:rsidRPr="009435C0">
        <w:t xml:space="preserve"> Network Seminar, Manchester, July 2018</w:t>
      </w:r>
      <w:r>
        <w:t>.</w:t>
      </w:r>
    </w:p>
    <w:p w14:paraId="1015A05A" w14:textId="4835966D" w:rsidR="00B5678E" w:rsidRPr="00343635" w:rsidRDefault="009435C0" w:rsidP="009435C0">
      <w:pPr>
        <w:pStyle w:val="Heading1"/>
      </w:pPr>
      <w:bookmarkStart w:id="60" w:name="_Toc24287460"/>
      <w:r>
        <w:lastRenderedPageBreak/>
        <w:t xml:space="preserve">Appendix 3: </w:t>
      </w:r>
      <w:proofErr w:type="spellStart"/>
      <w:r w:rsidR="00B5678E" w:rsidRPr="00343635">
        <w:t>Imputability</w:t>
      </w:r>
      <w:proofErr w:type="spellEnd"/>
      <w:r w:rsidR="00B5678E" w:rsidRPr="00343635">
        <w:t xml:space="preserve"> and severity </w:t>
      </w:r>
      <w:r w:rsidR="00B5678E" w:rsidRPr="009435C0">
        <w:t>scores</w:t>
      </w:r>
      <w:bookmarkEnd w:id="60"/>
    </w:p>
    <w:tbl>
      <w:tblPr>
        <w:tblStyle w:val="TableGrid"/>
        <w:tblW w:w="0" w:type="auto"/>
        <w:tblLook w:val="04A0" w:firstRow="1" w:lastRow="0" w:firstColumn="1" w:lastColumn="0" w:noHBand="0" w:noVBand="1"/>
      </w:tblPr>
      <w:tblGrid>
        <w:gridCol w:w="2802"/>
        <w:gridCol w:w="6440"/>
      </w:tblGrid>
      <w:tr w:rsidR="00B5678E" w:rsidRPr="00343635" w14:paraId="3D6961CD" w14:textId="77777777" w:rsidTr="00E56E6D">
        <w:trPr>
          <w:tblHeader/>
        </w:trPr>
        <w:tc>
          <w:tcPr>
            <w:tcW w:w="2802" w:type="dxa"/>
          </w:tcPr>
          <w:p w14:paraId="28B556C4" w14:textId="77777777" w:rsidR="00B5678E" w:rsidRPr="009435C0" w:rsidRDefault="00B5678E" w:rsidP="009435C0">
            <w:pPr>
              <w:pStyle w:val="DHHStablecolhead"/>
            </w:pPr>
            <w:proofErr w:type="spellStart"/>
            <w:r w:rsidRPr="009435C0">
              <w:t>Imputability</w:t>
            </w:r>
            <w:proofErr w:type="spellEnd"/>
            <w:r w:rsidRPr="009435C0">
              <w:t>/causality</w:t>
            </w:r>
          </w:p>
        </w:tc>
        <w:tc>
          <w:tcPr>
            <w:tcW w:w="6440" w:type="dxa"/>
          </w:tcPr>
          <w:p w14:paraId="4FCE6E46" w14:textId="77777777" w:rsidR="00B5678E" w:rsidRPr="009435C0" w:rsidRDefault="00B5678E" w:rsidP="009435C0">
            <w:pPr>
              <w:pStyle w:val="DHHStablecolhead"/>
            </w:pPr>
            <w:r w:rsidRPr="009435C0">
              <w:t>Definition</w:t>
            </w:r>
          </w:p>
        </w:tc>
      </w:tr>
      <w:tr w:rsidR="00B5678E" w:rsidRPr="00343635" w14:paraId="41267D82" w14:textId="77777777" w:rsidTr="00E56E6D">
        <w:tc>
          <w:tcPr>
            <w:tcW w:w="2802" w:type="dxa"/>
          </w:tcPr>
          <w:p w14:paraId="0ED9BE4E" w14:textId="77777777" w:rsidR="00B5678E" w:rsidRPr="009435C0" w:rsidRDefault="00B5678E" w:rsidP="009435C0">
            <w:pPr>
              <w:pStyle w:val="DHHSbody"/>
            </w:pPr>
            <w:r w:rsidRPr="009435C0">
              <w:t>Not assessable</w:t>
            </w:r>
          </w:p>
        </w:tc>
        <w:tc>
          <w:tcPr>
            <w:tcW w:w="6440" w:type="dxa"/>
          </w:tcPr>
          <w:p w14:paraId="52667F17" w14:textId="77777777" w:rsidR="00B5678E" w:rsidRPr="009435C0" w:rsidRDefault="00B5678E" w:rsidP="009435C0">
            <w:pPr>
              <w:pStyle w:val="DHHSbody"/>
            </w:pPr>
            <w:r w:rsidRPr="009435C0">
              <w:t xml:space="preserve">When there is insufficient evidence for an </w:t>
            </w:r>
            <w:proofErr w:type="spellStart"/>
            <w:r w:rsidRPr="009435C0">
              <w:t>imputability</w:t>
            </w:r>
            <w:proofErr w:type="spellEnd"/>
            <w:r w:rsidRPr="009435C0">
              <w:t xml:space="preserve"> definition.</w:t>
            </w:r>
          </w:p>
        </w:tc>
      </w:tr>
      <w:tr w:rsidR="00B5678E" w:rsidRPr="00343635" w14:paraId="16F24E4F" w14:textId="77777777" w:rsidTr="00E56E6D">
        <w:tc>
          <w:tcPr>
            <w:tcW w:w="2802" w:type="dxa"/>
          </w:tcPr>
          <w:p w14:paraId="7CA9AA22" w14:textId="77777777" w:rsidR="00B5678E" w:rsidRPr="009435C0" w:rsidRDefault="00B5678E" w:rsidP="009435C0">
            <w:pPr>
              <w:pStyle w:val="DHHSbody"/>
            </w:pPr>
            <w:r w:rsidRPr="009435C0">
              <w:t>Excluded</w:t>
            </w:r>
          </w:p>
        </w:tc>
        <w:tc>
          <w:tcPr>
            <w:tcW w:w="6440" w:type="dxa"/>
          </w:tcPr>
          <w:p w14:paraId="13F0C640" w14:textId="77777777" w:rsidR="00B5678E" w:rsidRPr="009435C0" w:rsidRDefault="00B5678E" w:rsidP="009435C0">
            <w:pPr>
              <w:pStyle w:val="DHHSbody"/>
            </w:pPr>
            <w:r w:rsidRPr="009435C0">
              <w:t>When there is conclusive evidence that the cause of the incident is attributable to other causes and not the transfusion.</w:t>
            </w:r>
          </w:p>
        </w:tc>
      </w:tr>
      <w:tr w:rsidR="00B5678E" w:rsidRPr="00343635" w14:paraId="3461E1A1" w14:textId="77777777" w:rsidTr="00E56E6D">
        <w:tc>
          <w:tcPr>
            <w:tcW w:w="2802" w:type="dxa"/>
          </w:tcPr>
          <w:p w14:paraId="68B2E3FF" w14:textId="77777777" w:rsidR="00B5678E" w:rsidRPr="009435C0" w:rsidRDefault="00B5678E" w:rsidP="009435C0">
            <w:pPr>
              <w:pStyle w:val="DHHSbody"/>
            </w:pPr>
            <w:r w:rsidRPr="009435C0">
              <w:t>Possibly</w:t>
            </w:r>
          </w:p>
        </w:tc>
        <w:tc>
          <w:tcPr>
            <w:tcW w:w="6440" w:type="dxa"/>
          </w:tcPr>
          <w:p w14:paraId="31E1896D" w14:textId="77777777" w:rsidR="00B5678E" w:rsidRPr="009435C0" w:rsidRDefault="00B5678E" w:rsidP="009435C0">
            <w:pPr>
              <w:pStyle w:val="DHHSbody"/>
            </w:pPr>
            <w:r w:rsidRPr="009435C0">
              <w:t>When the evidence is indeterminate for attributing the incident to either the transfusion or other causes.</w:t>
            </w:r>
          </w:p>
        </w:tc>
      </w:tr>
      <w:tr w:rsidR="00B5678E" w:rsidRPr="00343635" w14:paraId="5F8BDEE4" w14:textId="77777777" w:rsidTr="00E56E6D">
        <w:tc>
          <w:tcPr>
            <w:tcW w:w="2802" w:type="dxa"/>
          </w:tcPr>
          <w:p w14:paraId="2A19BED2" w14:textId="77777777" w:rsidR="00B5678E" w:rsidRPr="009435C0" w:rsidRDefault="00B5678E" w:rsidP="009435C0">
            <w:pPr>
              <w:pStyle w:val="DHHSbody"/>
            </w:pPr>
            <w:r w:rsidRPr="009435C0">
              <w:t xml:space="preserve">Probably </w:t>
            </w:r>
          </w:p>
        </w:tc>
        <w:tc>
          <w:tcPr>
            <w:tcW w:w="6440" w:type="dxa"/>
          </w:tcPr>
          <w:p w14:paraId="38BA5641" w14:textId="77777777" w:rsidR="00B5678E" w:rsidRPr="009435C0" w:rsidRDefault="00B5678E" w:rsidP="009435C0">
            <w:pPr>
              <w:pStyle w:val="DHHSbody"/>
            </w:pPr>
            <w:r w:rsidRPr="009435C0">
              <w:t>When the evidence is clearly in favour of attributing the incident to the transfusion.</w:t>
            </w:r>
          </w:p>
        </w:tc>
      </w:tr>
      <w:tr w:rsidR="00B5678E" w:rsidRPr="00343635" w14:paraId="70D68069" w14:textId="77777777" w:rsidTr="00E56E6D">
        <w:tc>
          <w:tcPr>
            <w:tcW w:w="2802" w:type="dxa"/>
          </w:tcPr>
          <w:p w14:paraId="13F2C485" w14:textId="77777777" w:rsidR="00B5678E" w:rsidRPr="009435C0" w:rsidRDefault="00B5678E" w:rsidP="009435C0">
            <w:pPr>
              <w:pStyle w:val="DHHSbody"/>
            </w:pPr>
            <w:r w:rsidRPr="009435C0">
              <w:t>Certainly</w:t>
            </w:r>
          </w:p>
        </w:tc>
        <w:tc>
          <w:tcPr>
            <w:tcW w:w="6440" w:type="dxa"/>
          </w:tcPr>
          <w:p w14:paraId="6369E72C" w14:textId="77777777" w:rsidR="00B5678E" w:rsidRPr="009435C0" w:rsidRDefault="00B5678E" w:rsidP="009435C0">
            <w:pPr>
              <w:pStyle w:val="DHHSbody"/>
            </w:pPr>
            <w:r w:rsidRPr="009435C0">
              <w:t>When the evidence is conclusively attributable to the transfusion.</w:t>
            </w:r>
          </w:p>
        </w:tc>
      </w:tr>
    </w:tbl>
    <w:p w14:paraId="70093EE4" w14:textId="77777777" w:rsidR="00B5678E" w:rsidRPr="00343635" w:rsidRDefault="00B5678E" w:rsidP="00B5678E"/>
    <w:tbl>
      <w:tblPr>
        <w:tblStyle w:val="TableGrid"/>
        <w:tblW w:w="0" w:type="auto"/>
        <w:tblLook w:val="04A0" w:firstRow="1" w:lastRow="0" w:firstColumn="1" w:lastColumn="0" w:noHBand="0" w:noVBand="1"/>
      </w:tblPr>
      <w:tblGrid>
        <w:gridCol w:w="2802"/>
        <w:gridCol w:w="6440"/>
      </w:tblGrid>
      <w:tr w:rsidR="00B5678E" w:rsidRPr="00343635" w14:paraId="0547E1FF" w14:textId="77777777" w:rsidTr="00E56E6D">
        <w:trPr>
          <w:tblHeader/>
        </w:trPr>
        <w:tc>
          <w:tcPr>
            <w:tcW w:w="2802" w:type="dxa"/>
          </w:tcPr>
          <w:p w14:paraId="2DBEAFAF" w14:textId="77777777" w:rsidR="00B5678E" w:rsidRPr="009435C0" w:rsidRDefault="00B5678E" w:rsidP="009435C0">
            <w:pPr>
              <w:pStyle w:val="DHHStablecolhead"/>
            </w:pPr>
            <w:r w:rsidRPr="009435C0">
              <w:t>Severity</w:t>
            </w:r>
          </w:p>
        </w:tc>
        <w:tc>
          <w:tcPr>
            <w:tcW w:w="6440" w:type="dxa"/>
          </w:tcPr>
          <w:p w14:paraId="076693FC" w14:textId="77777777" w:rsidR="00B5678E" w:rsidRPr="00363D8B" w:rsidRDefault="00B5678E" w:rsidP="00363D8B">
            <w:pPr>
              <w:pStyle w:val="DHHStablecolhead"/>
            </w:pPr>
            <w:r w:rsidRPr="009435C0">
              <w:t xml:space="preserve">Incident </w:t>
            </w:r>
          </w:p>
        </w:tc>
      </w:tr>
      <w:tr w:rsidR="00B5678E" w:rsidRPr="00343635" w14:paraId="0BC7DC78" w14:textId="77777777" w:rsidTr="00E56E6D">
        <w:tc>
          <w:tcPr>
            <w:tcW w:w="2802" w:type="dxa"/>
          </w:tcPr>
          <w:p w14:paraId="31B5B700" w14:textId="77777777" w:rsidR="00B5678E" w:rsidRPr="009435C0" w:rsidRDefault="00B5678E" w:rsidP="009435C0">
            <w:pPr>
              <w:pStyle w:val="DHHSbody"/>
            </w:pPr>
            <w:r w:rsidRPr="009435C0">
              <w:t>1</w:t>
            </w:r>
          </w:p>
        </w:tc>
        <w:tc>
          <w:tcPr>
            <w:tcW w:w="6440" w:type="dxa"/>
          </w:tcPr>
          <w:p w14:paraId="233A39CB" w14:textId="77777777" w:rsidR="00B5678E" w:rsidRPr="009435C0" w:rsidRDefault="00B5678E" w:rsidP="009435C0">
            <w:pPr>
              <w:pStyle w:val="DHHSbody"/>
            </w:pPr>
            <w:r w:rsidRPr="009435C0">
              <w:t>Relatively infrequent, clear-cut events that occur independently of a patient’s condition; commonly reflect health service system and process deficiencies; result in, or have the realistic potential to result in, an unexpected death or a permanent and disabling injury or psychological harm to a person and includes reportable sentinel events.</w:t>
            </w:r>
          </w:p>
        </w:tc>
      </w:tr>
      <w:tr w:rsidR="00B5678E" w:rsidRPr="00343635" w14:paraId="30A65F05" w14:textId="77777777" w:rsidTr="00E56E6D">
        <w:tc>
          <w:tcPr>
            <w:tcW w:w="2802" w:type="dxa"/>
          </w:tcPr>
          <w:p w14:paraId="0D619228" w14:textId="77777777" w:rsidR="00B5678E" w:rsidRPr="009435C0" w:rsidRDefault="00B5678E" w:rsidP="009435C0">
            <w:pPr>
              <w:pStyle w:val="DHHSbody"/>
            </w:pPr>
            <w:r w:rsidRPr="009435C0">
              <w:t>2</w:t>
            </w:r>
          </w:p>
        </w:tc>
        <w:tc>
          <w:tcPr>
            <w:tcW w:w="6440" w:type="dxa"/>
          </w:tcPr>
          <w:p w14:paraId="7330C299" w14:textId="77777777" w:rsidR="00B5678E" w:rsidRPr="009435C0" w:rsidRDefault="00B5678E" w:rsidP="009435C0">
            <w:pPr>
              <w:pStyle w:val="DHHSbody"/>
            </w:pPr>
            <w:r w:rsidRPr="009435C0">
              <w:t>Events that result in a temporary loss of function (sensory, motor, physiological or intellectual) which is unrelated to the natural course of the patient’s illness and differ from the expected outcome of the patient’s management.</w:t>
            </w:r>
          </w:p>
        </w:tc>
      </w:tr>
      <w:tr w:rsidR="00B5678E" w:rsidRPr="00343635" w14:paraId="1BD976BC" w14:textId="77777777" w:rsidTr="00E56E6D">
        <w:tc>
          <w:tcPr>
            <w:tcW w:w="2802" w:type="dxa"/>
          </w:tcPr>
          <w:p w14:paraId="79980AF8" w14:textId="77777777" w:rsidR="00B5678E" w:rsidRPr="009435C0" w:rsidRDefault="00B5678E" w:rsidP="009435C0">
            <w:pPr>
              <w:pStyle w:val="DHHSbody"/>
            </w:pPr>
            <w:r w:rsidRPr="009435C0">
              <w:t>3</w:t>
            </w:r>
          </w:p>
        </w:tc>
        <w:tc>
          <w:tcPr>
            <w:tcW w:w="6440" w:type="dxa"/>
          </w:tcPr>
          <w:p w14:paraId="58E9C939" w14:textId="77777777" w:rsidR="00B5678E" w:rsidRPr="009435C0" w:rsidRDefault="00B5678E" w:rsidP="009435C0">
            <w:pPr>
              <w:pStyle w:val="DHHSbody"/>
            </w:pPr>
            <w:r w:rsidRPr="009435C0">
              <w:t>Events that result in a person requiring increased treatment, but not hospitalisation or an increased length of stay.</w:t>
            </w:r>
          </w:p>
        </w:tc>
      </w:tr>
      <w:tr w:rsidR="00B5678E" w:rsidRPr="00343635" w14:paraId="0EBCCF07" w14:textId="77777777" w:rsidTr="00E56E6D">
        <w:tc>
          <w:tcPr>
            <w:tcW w:w="2802" w:type="dxa"/>
          </w:tcPr>
          <w:p w14:paraId="00ACDAC6" w14:textId="77777777" w:rsidR="00B5678E" w:rsidRPr="009435C0" w:rsidRDefault="00B5678E" w:rsidP="009435C0">
            <w:pPr>
              <w:pStyle w:val="DHHSbody"/>
            </w:pPr>
            <w:r w:rsidRPr="009435C0">
              <w:t>4</w:t>
            </w:r>
          </w:p>
        </w:tc>
        <w:tc>
          <w:tcPr>
            <w:tcW w:w="6440" w:type="dxa"/>
          </w:tcPr>
          <w:p w14:paraId="0251948E" w14:textId="77777777" w:rsidR="00B5678E" w:rsidRPr="009435C0" w:rsidRDefault="00B5678E" w:rsidP="009435C0">
            <w:pPr>
              <w:pStyle w:val="DHHSbody"/>
            </w:pPr>
            <w:r w:rsidRPr="009435C0">
              <w:t>Events that result in minor injury requiring only first aid treatment or no injury.</w:t>
            </w:r>
          </w:p>
        </w:tc>
      </w:tr>
    </w:tbl>
    <w:p w14:paraId="7C5EEA6F" w14:textId="77777777" w:rsidR="00B5678E" w:rsidRPr="00343635" w:rsidRDefault="00B5678E" w:rsidP="00B5678E"/>
    <w:p w14:paraId="6054A04B" w14:textId="77777777" w:rsidR="00B5678E" w:rsidRPr="00343635" w:rsidRDefault="00B5678E" w:rsidP="00B5678E"/>
    <w:p w14:paraId="29963823" w14:textId="65C2081C" w:rsidR="00B5678E" w:rsidRPr="00343635" w:rsidRDefault="009435C0" w:rsidP="009435C0">
      <w:pPr>
        <w:pStyle w:val="Heading1"/>
      </w:pPr>
      <w:bookmarkStart w:id="61" w:name="_Toc24287461"/>
      <w:r>
        <w:lastRenderedPageBreak/>
        <w:t xml:space="preserve">Appendix 4: </w:t>
      </w:r>
      <w:r w:rsidR="00B5678E" w:rsidRPr="00343635">
        <w:t>Case studies</w:t>
      </w:r>
      <w:bookmarkEnd w:id="61"/>
    </w:p>
    <w:p w14:paraId="02F456DC" w14:textId="26B6B477" w:rsidR="00B5678E" w:rsidRPr="009435C0" w:rsidRDefault="00363D8B" w:rsidP="009435C0">
      <w:pPr>
        <w:pStyle w:val="DHHSbody"/>
      </w:pPr>
      <w:r>
        <w:t xml:space="preserve">Case study </w:t>
      </w:r>
      <w:r w:rsidR="00B5678E" w:rsidRPr="009435C0">
        <w:t>1</w:t>
      </w:r>
      <w:r>
        <w:t>:</w:t>
      </w:r>
      <w:r w:rsidRPr="009435C0">
        <w:t xml:space="preserve"> </w:t>
      </w:r>
      <w:r w:rsidR="00B5678E" w:rsidRPr="009435C0">
        <w:t>ATR</w:t>
      </w:r>
      <w:r>
        <w:t xml:space="preserve"> </w:t>
      </w:r>
      <w:r w:rsidR="00B5678E" w:rsidRPr="009435C0">
        <w:t>–</w:t>
      </w:r>
      <w:r>
        <w:t xml:space="preserve"> </w:t>
      </w:r>
      <w:r w:rsidR="00B5678E" w:rsidRPr="009435C0">
        <w:t>FNHTR in patient with history of reactions</w:t>
      </w:r>
    </w:p>
    <w:p w14:paraId="72B4D59D" w14:textId="7758A3C9" w:rsidR="00B5678E" w:rsidRPr="009435C0" w:rsidRDefault="006B61EC" w:rsidP="009435C0">
      <w:pPr>
        <w:pStyle w:val="DHHSbody"/>
      </w:pPr>
      <w:r>
        <w:t xml:space="preserve">Case study </w:t>
      </w:r>
      <w:r w:rsidR="00B5678E" w:rsidRPr="009435C0">
        <w:t>2</w:t>
      </w:r>
      <w:r>
        <w:t>:</w:t>
      </w:r>
      <w:r w:rsidR="00B5678E" w:rsidRPr="009435C0">
        <w:t xml:space="preserve"> ATR </w:t>
      </w:r>
      <w:r>
        <w:t>–</w:t>
      </w:r>
      <w:r w:rsidR="00B5678E" w:rsidRPr="009435C0">
        <w:t xml:space="preserve"> </w:t>
      </w:r>
      <w:r>
        <w:t>a</w:t>
      </w:r>
      <w:r w:rsidR="00B5678E" w:rsidRPr="009435C0">
        <w:t>llergic reaction in outpatient area</w:t>
      </w:r>
    </w:p>
    <w:p w14:paraId="1E73E1E0" w14:textId="607B1A39" w:rsidR="00B5678E" w:rsidRPr="009435C0" w:rsidRDefault="006B61EC" w:rsidP="009435C0">
      <w:pPr>
        <w:pStyle w:val="DHHSbody"/>
      </w:pPr>
      <w:r>
        <w:t xml:space="preserve">Case study </w:t>
      </w:r>
      <w:r w:rsidR="00B5678E" w:rsidRPr="009435C0">
        <w:t>3</w:t>
      </w:r>
      <w:r>
        <w:t>:</w:t>
      </w:r>
      <w:r w:rsidR="00B5678E" w:rsidRPr="009435C0">
        <w:t xml:space="preserve"> ATR</w:t>
      </w:r>
      <w:r>
        <w:t xml:space="preserve"> – a</w:t>
      </w:r>
      <w:r w:rsidRPr="009435C0">
        <w:t xml:space="preserve">llergic </w:t>
      </w:r>
      <w:r w:rsidR="00B5678E" w:rsidRPr="009435C0">
        <w:t>reaction made worse by continuing the transfusion</w:t>
      </w:r>
    </w:p>
    <w:p w14:paraId="5EACFFE7" w14:textId="27FA4623" w:rsidR="00B5678E" w:rsidRPr="009435C0" w:rsidRDefault="006B61EC" w:rsidP="009435C0">
      <w:pPr>
        <w:pStyle w:val="DHHSbody"/>
      </w:pPr>
      <w:r>
        <w:t xml:space="preserve">Case study </w:t>
      </w:r>
      <w:r w:rsidR="00B5678E" w:rsidRPr="009435C0">
        <w:t>4</w:t>
      </w:r>
      <w:r>
        <w:t>:</w:t>
      </w:r>
      <w:r w:rsidR="00B5678E" w:rsidRPr="009435C0">
        <w:t xml:space="preserve"> ATR – </w:t>
      </w:r>
      <w:r>
        <w:t>a</w:t>
      </w:r>
      <w:r w:rsidRPr="009435C0">
        <w:t xml:space="preserve">llergic </w:t>
      </w:r>
      <w:r w:rsidR="00B5678E" w:rsidRPr="009435C0">
        <w:t>reaction to FFP in plasma exchange</w:t>
      </w:r>
    </w:p>
    <w:p w14:paraId="2DE21D3B" w14:textId="47616D14" w:rsidR="00B5678E" w:rsidRPr="009435C0" w:rsidRDefault="006B61EC" w:rsidP="009435C0">
      <w:pPr>
        <w:pStyle w:val="DHHSbody"/>
      </w:pPr>
      <w:r>
        <w:t xml:space="preserve">Case study </w:t>
      </w:r>
      <w:r w:rsidR="00B5678E" w:rsidRPr="009435C0">
        <w:t>5</w:t>
      </w:r>
      <w:r>
        <w:t>:</w:t>
      </w:r>
      <w:r w:rsidR="00B5678E" w:rsidRPr="009435C0">
        <w:t xml:space="preserve"> Delayed haemolytic – increased length of stay associated with a delayed haemolytic reaction</w:t>
      </w:r>
    </w:p>
    <w:p w14:paraId="568831E1" w14:textId="162B658B" w:rsidR="00B5678E" w:rsidRPr="009435C0" w:rsidRDefault="006B61EC" w:rsidP="009435C0">
      <w:pPr>
        <w:pStyle w:val="DHHSbody"/>
      </w:pPr>
      <w:r>
        <w:t xml:space="preserve">Case study </w:t>
      </w:r>
      <w:r w:rsidR="00B5678E" w:rsidRPr="009435C0">
        <w:t>6</w:t>
      </w:r>
      <w:r>
        <w:t>:</w:t>
      </w:r>
      <w:r w:rsidR="00B5678E" w:rsidRPr="009435C0">
        <w:t xml:space="preserve"> Delayed serologic </w:t>
      </w:r>
      <w:r>
        <w:t>–</w:t>
      </w:r>
      <w:r w:rsidR="00B5678E" w:rsidRPr="009435C0">
        <w:t xml:space="preserve"> development of anti-K without apparent clinical effect</w:t>
      </w:r>
    </w:p>
    <w:p w14:paraId="41EE6F96" w14:textId="19E34783" w:rsidR="00B5678E" w:rsidRPr="009435C0" w:rsidRDefault="006B61EC" w:rsidP="009435C0">
      <w:pPr>
        <w:pStyle w:val="DHHSbody"/>
      </w:pPr>
      <w:r>
        <w:t xml:space="preserve">Case study </w:t>
      </w:r>
      <w:r w:rsidR="00B5678E" w:rsidRPr="009435C0">
        <w:t>7</w:t>
      </w:r>
      <w:r>
        <w:t>:</w:t>
      </w:r>
      <w:r w:rsidR="00B5678E" w:rsidRPr="009435C0">
        <w:t xml:space="preserve"> TACO – timing of transfusion</w:t>
      </w:r>
    </w:p>
    <w:p w14:paraId="733BA814" w14:textId="3F3B210A" w:rsidR="00B5678E" w:rsidRPr="009435C0" w:rsidRDefault="006B61EC" w:rsidP="009435C0">
      <w:pPr>
        <w:pStyle w:val="DHHSbody"/>
      </w:pPr>
      <w:r>
        <w:t xml:space="preserve">Case study </w:t>
      </w:r>
      <w:r w:rsidR="00B5678E" w:rsidRPr="009435C0">
        <w:t>8</w:t>
      </w:r>
      <w:r>
        <w:t>:</w:t>
      </w:r>
      <w:r w:rsidR="00B5678E" w:rsidRPr="009435C0">
        <w:t xml:space="preserve"> Possible TRALI</w:t>
      </w:r>
    </w:p>
    <w:p w14:paraId="52ABF842" w14:textId="5A6F5C2A" w:rsidR="00B5678E" w:rsidRPr="009435C0" w:rsidRDefault="006B61EC" w:rsidP="009435C0">
      <w:pPr>
        <w:pStyle w:val="DHHSbody"/>
      </w:pPr>
      <w:r>
        <w:t xml:space="preserve">Case study </w:t>
      </w:r>
      <w:r w:rsidR="00B5678E" w:rsidRPr="009435C0">
        <w:t>9</w:t>
      </w:r>
      <w:r>
        <w:t>:</w:t>
      </w:r>
      <w:r w:rsidR="00B5678E" w:rsidRPr="009435C0">
        <w:t xml:space="preserve"> TTI – Parvovirus in a susceptible patient</w:t>
      </w:r>
    </w:p>
    <w:p w14:paraId="2A5FD285" w14:textId="7D2FA7CC" w:rsidR="00B5678E" w:rsidRPr="009435C0" w:rsidRDefault="006B61EC" w:rsidP="009435C0">
      <w:pPr>
        <w:pStyle w:val="DHHSbody"/>
      </w:pPr>
      <w:r>
        <w:t xml:space="preserve">Case study </w:t>
      </w:r>
      <w:r w:rsidR="00B5678E" w:rsidRPr="009435C0">
        <w:t>10</w:t>
      </w:r>
      <w:r>
        <w:t>:</w:t>
      </w:r>
      <w:r w:rsidR="00B5678E" w:rsidRPr="009435C0">
        <w:t xml:space="preserve"> IBCT – ABO incompatible transfusion</w:t>
      </w:r>
    </w:p>
    <w:p w14:paraId="391C0A4A" w14:textId="024B4374" w:rsidR="00B5678E" w:rsidRPr="009435C0" w:rsidRDefault="006B61EC" w:rsidP="009435C0">
      <w:pPr>
        <w:pStyle w:val="DHHSbody"/>
      </w:pPr>
      <w:r>
        <w:t xml:space="preserve">Case study </w:t>
      </w:r>
      <w:r w:rsidR="00B5678E" w:rsidRPr="009435C0">
        <w:t>11</w:t>
      </w:r>
      <w:r>
        <w:t>:</w:t>
      </w:r>
      <w:r w:rsidR="00B5678E" w:rsidRPr="009435C0">
        <w:t xml:space="preserve"> IBCT </w:t>
      </w:r>
      <w:r>
        <w:t>–</w:t>
      </w:r>
      <w:r w:rsidR="00B5678E" w:rsidRPr="009435C0">
        <w:t xml:space="preserve"> </w:t>
      </w:r>
      <w:proofErr w:type="spellStart"/>
      <w:r w:rsidR="00B5678E" w:rsidRPr="009435C0">
        <w:t>RhD</w:t>
      </w:r>
      <w:proofErr w:type="spellEnd"/>
      <w:r w:rsidR="00B5678E" w:rsidRPr="009435C0">
        <w:t xml:space="preserve"> incompatible transfusion</w:t>
      </w:r>
    </w:p>
    <w:p w14:paraId="03C387C9" w14:textId="1C676666" w:rsidR="00B5678E" w:rsidRPr="009435C0" w:rsidRDefault="006B61EC" w:rsidP="009435C0">
      <w:pPr>
        <w:pStyle w:val="DHHSbody"/>
      </w:pPr>
      <w:r>
        <w:t xml:space="preserve">Case study </w:t>
      </w:r>
      <w:r w:rsidR="00B5678E" w:rsidRPr="009435C0">
        <w:t>12</w:t>
      </w:r>
      <w:r>
        <w:t>:</w:t>
      </w:r>
      <w:r w:rsidR="00B5678E" w:rsidRPr="009435C0">
        <w:t xml:space="preserve"> IBCT – over transfusion of infant</w:t>
      </w:r>
    </w:p>
    <w:p w14:paraId="7F3CE7C2" w14:textId="5D473D01" w:rsidR="00B5678E" w:rsidRPr="009435C0" w:rsidRDefault="006B61EC" w:rsidP="009435C0">
      <w:pPr>
        <w:pStyle w:val="DHHSbody"/>
      </w:pPr>
      <w:r>
        <w:t xml:space="preserve">Case study </w:t>
      </w:r>
      <w:r w:rsidR="00B5678E" w:rsidRPr="009435C0">
        <w:t>13</w:t>
      </w:r>
      <w:r>
        <w:t>:</w:t>
      </w:r>
      <w:r w:rsidR="00B5678E" w:rsidRPr="009435C0">
        <w:t xml:space="preserve"> IBCT </w:t>
      </w:r>
      <w:r>
        <w:t xml:space="preserve">– </w:t>
      </w:r>
      <w:r w:rsidR="00B5678E" w:rsidRPr="009435C0">
        <w:t>communication issues lead to wrong patient transfused</w:t>
      </w:r>
    </w:p>
    <w:p w14:paraId="5E93F117" w14:textId="10FC4228" w:rsidR="00B5678E" w:rsidRPr="009435C0" w:rsidRDefault="006B61EC" w:rsidP="009435C0">
      <w:pPr>
        <w:pStyle w:val="DHHSbody"/>
      </w:pPr>
      <w:r>
        <w:t xml:space="preserve">Case study </w:t>
      </w:r>
      <w:r w:rsidR="00B5678E" w:rsidRPr="009435C0">
        <w:t>14</w:t>
      </w:r>
      <w:r>
        <w:t>:</w:t>
      </w:r>
      <w:r w:rsidR="00B5678E" w:rsidRPr="009435C0">
        <w:t xml:space="preserve"> Near miss –wrong blood checked and spiked</w:t>
      </w:r>
    </w:p>
    <w:p w14:paraId="6C94E3AF" w14:textId="3882B67F" w:rsidR="00B5678E" w:rsidRPr="009435C0" w:rsidRDefault="006B61EC" w:rsidP="009435C0">
      <w:pPr>
        <w:pStyle w:val="DHHSbody"/>
      </w:pPr>
      <w:r>
        <w:t xml:space="preserve">Case study </w:t>
      </w:r>
      <w:r w:rsidR="00B5678E" w:rsidRPr="009435C0">
        <w:t>15</w:t>
      </w:r>
      <w:r>
        <w:t>:</w:t>
      </w:r>
      <w:r w:rsidR="00B5678E" w:rsidRPr="009435C0">
        <w:t xml:space="preserve"> WBIT – bloods taken in Medical Emergency Team (MET) call</w:t>
      </w:r>
    </w:p>
    <w:p w14:paraId="26EF92BB" w14:textId="5B6AFD23" w:rsidR="00B5678E" w:rsidRPr="009435C0" w:rsidRDefault="006B61EC" w:rsidP="009435C0">
      <w:pPr>
        <w:pStyle w:val="DHHSbody"/>
      </w:pPr>
      <w:r>
        <w:t xml:space="preserve">Case study </w:t>
      </w:r>
      <w:r w:rsidR="00B5678E" w:rsidRPr="009435C0">
        <w:t>16</w:t>
      </w:r>
      <w:r>
        <w:t>:</w:t>
      </w:r>
      <w:r w:rsidR="00B5678E" w:rsidRPr="009435C0">
        <w:t xml:space="preserve"> WBIT </w:t>
      </w:r>
      <w:r>
        <w:t>–</w:t>
      </w:r>
      <w:r w:rsidR="00B5678E" w:rsidRPr="009435C0">
        <w:t xml:space="preserve"> Patient identification incomplete</w:t>
      </w:r>
    </w:p>
    <w:p w14:paraId="4FDCE7F9" w14:textId="276D51FE" w:rsidR="00B5678E" w:rsidRPr="009435C0" w:rsidRDefault="006B61EC" w:rsidP="009435C0">
      <w:pPr>
        <w:pStyle w:val="DHHSbody"/>
      </w:pPr>
      <w:r>
        <w:t xml:space="preserve">Case study </w:t>
      </w:r>
      <w:r w:rsidR="00B5678E" w:rsidRPr="009435C0">
        <w:t>17</w:t>
      </w:r>
      <w:r>
        <w:t>:</w:t>
      </w:r>
      <w:r w:rsidR="00B5678E" w:rsidRPr="009435C0">
        <w:t xml:space="preserve"> WBIT </w:t>
      </w:r>
      <w:r>
        <w:t>–</w:t>
      </w:r>
      <w:r w:rsidR="00B5678E" w:rsidRPr="009435C0">
        <w:t xml:space="preserve"> Patient identification from medical folder</w:t>
      </w:r>
    </w:p>
    <w:p w14:paraId="68BC25B4" w14:textId="27EF41C2" w:rsidR="00B5678E" w:rsidRPr="009435C0" w:rsidRDefault="006B61EC" w:rsidP="009435C0">
      <w:pPr>
        <w:pStyle w:val="DHHSbody"/>
      </w:pPr>
      <w:r>
        <w:t xml:space="preserve">Case study </w:t>
      </w:r>
      <w:r w:rsidR="00B5678E" w:rsidRPr="009435C0">
        <w:t>18</w:t>
      </w:r>
      <w:r>
        <w:t>:</w:t>
      </w:r>
      <w:r w:rsidR="00B5678E" w:rsidRPr="009435C0">
        <w:t xml:space="preserve"> </w:t>
      </w:r>
      <w:proofErr w:type="spellStart"/>
      <w:r w:rsidR="00B5678E" w:rsidRPr="009435C0">
        <w:t>RhD</w:t>
      </w:r>
      <w:proofErr w:type="spellEnd"/>
      <w:r w:rsidR="00B5678E" w:rsidRPr="009435C0">
        <w:t xml:space="preserve"> Ig administration – electronic ordering and understanding of blood group and antibody results</w:t>
      </w:r>
    </w:p>
    <w:p w14:paraId="4269A27E" w14:textId="1249D968" w:rsidR="00B5678E" w:rsidRPr="009435C0" w:rsidRDefault="006B61EC" w:rsidP="009435C0">
      <w:pPr>
        <w:pStyle w:val="DHHSbody"/>
      </w:pPr>
      <w:r>
        <w:t xml:space="preserve">Case study </w:t>
      </w:r>
      <w:r w:rsidR="00B5678E" w:rsidRPr="009435C0">
        <w:t>19</w:t>
      </w:r>
      <w:r>
        <w:t>:</w:t>
      </w:r>
      <w:r w:rsidR="00B5678E" w:rsidRPr="009435C0">
        <w:t xml:space="preserve"> </w:t>
      </w:r>
      <w:proofErr w:type="spellStart"/>
      <w:r w:rsidR="00B5678E" w:rsidRPr="009435C0">
        <w:t>RhD</w:t>
      </w:r>
      <w:proofErr w:type="spellEnd"/>
      <w:r w:rsidR="00B5678E" w:rsidRPr="009435C0">
        <w:t xml:space="preserve"> administration – transcription error leading to </w:t>
      </w:r>
      <w:r w:rsidR="00554EEB">
        <w:t>missed</w:t>
      </w:r>
      <w:bookmarkStart w:id="62" w:name="_GoBack"/>
      <w:bookmarkEnd w:id="62"/>
      <w:r w:rsidR="00B5678E" w:rsidRPr="009435C0">
        <w:t xml:space="preserve"> administration</w:t>
      </w:r>
      <w:bookmarkEnd w:id="1"/>
    </w:p>
    <w:sectPr w:rsidR="00B5678E" w:rsidRPr="009435C0" w:rsidSect="00BA5E47">
      <w:headerReference w:type="even" r:id="rId33"/>
      <w:headerReference w:type="default" r:id="rId34"/>
      <w:footerReference w:type="even" r:id="rId35"/>
      <w:footerReference w:type="default" r:id="rId36"/>
      <w:footerReference w:type="first" r:id="rId37"/>
      <w:pgSz w:w="11906" w:h="16838"/>
      <w:pgMar w:top="1701" w:right="1304" w:bottom="1134" w:left="1304" w:header="454" w:footer="51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Andrew Macrae" w:date="2019-10-07T05:09:00Z" w:initials="AM">
    <w:p w14:paraId="535029C2" w14:textId="4ECB9C96" w:rsidR="00417226" w:rsidRDefault="00417226">
      <w:pPr>
        <w:pStyle w:val="CommentText"/>
      </w:pPr>
      <w:r>
        <w:rPr>
          <w:rStyle w:val="CommentReference"/>
        </w:rPr>
        <w:annotationRef/>
      </w:r>
      <w:r>
        <w:t>May need to create greater contrast between colours for accessibility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5029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5029C2" w16cid:durableId="21454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2287F" w14:textId="77777777" w:rsidR="00CC3986" w:rsidRDefault="00CC3986">
      <w:r>
        <w:separator/>
      </w:r>
    </w:p>
  </w:endnote>
  <w:endnote w:type="continuationSeparator" w:id="0">
    <w:p w14:paraId="62B6CEEA" w14:textId="77777777" w:rsidR="00CC3986" w:rsidRDefault="00CC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00"/>
    <w:family w:val="auto"/>
    <w:pitch w:val="variable"/>
    <w:sig w:usb0="00000003" w:usb1="00000000" w:usb2="00000000" w:usb3="00000000" w:csb0="00000007" w:csb1="00000000"/>
  </w:font>
  <w:font w:name="VIC-Regular">
    <w:altName w:val="Calibri"/>
    <w:panose1 w:val="00000500000000000000"/>
    <w:charset w:val="4D"/>
    <w:family w:val="auto"/>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EAA9" w14:textId="706C2381" w:rsidR="00417226" w:rsidRPr="008114D1" w:rsidRDefault="00417226" w:rsidP="00E969B1">
    <w:pPr>
      <w:pStyle w:val="DHHSfooter"/>
    </w:pPr>
    <w:r>
      <w:t xml:space="preserve">Page </w:t>
    </w:r>
    <w:r w:rsidRPr="005A39EC">
      <w:fldChar w:fldCharType="begin"/>
    </w:r>
    <w:r w:rsidRPr="005A39EC">
      <w:instrText xml:space="preserve"> PAGE </w:instrText>
    </w:r>
    <w:r w:rsidRPr="005A39EC">
      <w:fldChar w:fldCharType="separate"/>
    </w:r>
    <w:r>
      <w:rPr>
        <w:noProof/>
      </w:rPr>
      <w:t>48</w:t>
    </w:r>
    <w:r w:rsidRPr="005A39EC">
      <w:fldChar w:fldCharType="end"/>
    </w:r>
    <w:r>
      <w:tab/>
      <w:t>Serious transfusion incident report 2017–18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07D3" w14:textId="2EF7C151" w:rsidR="00417226" w:rsidRPr="0031753A" w:rsidRDefault="00417226" w:rsidP="00E969B1">
    <w:pPr>
      <w:pStyle w:val="DHHSfooter"/>
    </w:pPr>
    <w:r>
      <w:t>Serious transfusion incident report 2017–18</w:t>
    </w:r>
    <w:r w:rsidRPr="0031753A">
      <w:tab/>
      <w:t xml:space="preserve">Page </w:t>
    </w:r>
    <w:r w:rsidRPr="0031753A">
      <w:fldChar w:fldCharType="begin"/>
    </w:r>
    <w:r w:rsidRPr="0031753A">
      <w:instrText xml:space="preserve"> PAGE </w:instrText>
    </w:r>
    <w:r w:rsidRPr="0031753A">
      <w:fldChar w:fldCharType="separate"/>
    </w:r>
    <w:r>
      <w:rPr>
        <w:noProof/>
      </w:rPr>
      <w:t>47</w:t>
    </w:r>
    <w:r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919D" w14:textId="77777777" w:rsidR="00417226" w:rsidRPr="001A7E04" w:rsidRDefault="00417226"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C5CA3" w14:textId="77777777" w:rsidR="00CC3986" w:rsidRDefault="00CC3986">
      <w:r>
        <w:separator/>
      </w:r>
    </w:p>
  </w:footnote>
  <w:footnote w:type="continuationSeparator" w:id="0">
    <w:p w14:paraId="5F9AB4A8" w14:textId="77777777" w:rsidR="00CC3986" w:rsidRDefault="00CC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2B20" w14:textId="77777777" w:rsidR="00417226" w:rsidRPr="0069374A" w:rsidRDefault="00417226"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1BBC" w14:textId="77777777" w:rsidR="00417226" w:rsidRDefault="00417226"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047"/>
    <w:multiLevelType w:val="hybridMultilevel"/>
    <w:tmpl w:val="60DC2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4284E"/>
    <w:multiLevelType w:val="hybridMultilevel"/>
    <w:tmpl w:val="D4348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7F4C10"/>
    <w:multiLevelType w:val="hybridMultilevel"/>
    <w:tmpl w:val="A0E85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D51B47"/>
    <w:multiLevelType w:val="multilevel"/>
    <w:tmpl w:val="4B4E7622"/>
    <w:numStyleLink w:val="ZZNumbers"/>
  </w:abstractNum>
  <w:abstractNum w:abstractNumId="4" w15:restartNumberingAfterBreak="0">
    <w:nsid w:val="3079586A"/>
    <w:multiLevelType w:val="hybridMultilevel"/>
    <w:tmpl w:val="63D44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974656"/>
    <w:multiLevelType w:val="hybridMultilevel"/>
    <w:tmpl w:val="05B07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9A0216"/>
    <w:multiLevelType w:val="hybridMultilevel"/>
    <w:tmpl w:val="60843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A642A4"/>
    <w:multiLevelType w:val="hybridMultilevel"/>
    <w:tmpl w:val="9626AE70"/>
    <w:lvl w:ilvl="0" w:tplc="0C090001">
      <w:start w:val="1"/>
      <w:numFmt w:val="bullet"/>
      <w:lvlText w:val=""/>
      <w:lvlJc w:val="left"/>
      <w:pPr>
        <w:ind w:left="360" w:hanging="360"/>
      </w:pPr>
      <w:rPr>
        <w:rFonts w:ascii="Symbol" w:hAnsi="Symbol" w:hint="default"/>
      </w:rPr>
    </w:lvl>
    <w:lvl w:ilvl="1" w:tplc="789457B8">
      <w:numFmt w:val="bullet"/>
      <w:lvlText w:val="•"/>
      <w:lvlJc w:val="left"/>
      <w:pPr>
        <w:ind w:left="1080" w:hanging="360"/>
      </w:pPr>
      <w:rPr>
        <w:rFonts w:ascii="Times New Roman" w:eastAsia="Calibri" w:hAnsi="Times New Roman" w:cs="Times New Roman" w:hint="default"/>
        <w:sz w:val="23"/>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F026E3D"/>
    <w:multiLevelType w:val="hybridMultilevel"/>
    <w:tmpl w:val="D7129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58265B"/>
    <w:multiLevelType w:val="hybridMultilevel"/>
    <w:tmpl w:val="441A1B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EBC58A4"/>
    <w:multiLevelType w:val="hybridMultilevel"/>
    <w:tmpl w:val="8CFC1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B226E7D"/>
    <w:multiLevelType w:val="hybridMultilevel"/>
    <w:tmpl w:val="E7E6E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623F9F"/>
    <w:multiLevelType w:val="hybridMultilevel"/>
    <w:tmpl w:val="ED346C1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7525641C"/>
    <w:multiLevelType w:val="hybridMultilevel"/>
    <w:tmpl w:val="B1F22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DB7569"/>
    <w:multiLevelType w:val="hybridMultilevel"/>
    <w:tmpl w:val="00482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A154809"/>
    <w:multiLevelType w:val="hybridMultilevel"/>
    <w:tmpl w:val="6960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3"/>
  </w:num>
  <w:num w:numId="18">
    <w:abstractNumId w:val="0"/>
  </w:num>
  <w:num w:numId="19">
    <w:abstractNumId w:val="1"/>
  </w:num>
  <w:num w:numId="20">
    <w:abstractNumId w:val="11"/>
  </w:num>
  <w:num w:numId="21">
    <w:abstractNumId w:val="17"/>
  </w:num>
  <w:num w:numId="22">
    <w:abstractNumId w:val="9"/>
  </w:num>
  <w:num w:numId="23">
    <w:abstractNumId w:val="2"/>
  </w:num>
  <w:num w:numId="24">
    <w:abstractNumId w:val="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5"/>
  </w:num>
  <w:num w:numId="28">
    <w:abstractNumId w:val="7"/>
  </w:num>
  <w:num w:numId="29">
    <w:abstractNumId w:val="1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Macrae">
    <w15:presenceInfo w15:providerId="Windows Live" w15:userId="74c03d8842a1fa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4B"/>
    <w:rsid w:val="00002990"/>
    <w:rsid w:val="000048AC"/>
    <w:rsid w:val="0000633E"/>
    <w:rsid w:val="00007186"/>
    <w:rsid w:val="000111A3"/>
    <w:rsid w:val="00014FC4"/>
    <w:rsid w:val="00020AAB"/>
    <w:rsid w:val="000223A4"/>
    <w:rsid w:val="00022E60"/>
    <w:rsid w:val="00023E90"/>
    <w:rsid w:val="00026C19"/>
    <w:rsid w:val="00031263"/>
    <w:rsid w:val="00060E93"/>
    <w:rsid w:val="00064936"/>
    <w:rsid w:val="000734F8"/>
    <w:rsid w:val="000736B8"/>
    <w:rsid w:val="00080269"/>
    <w:rsid w:val="000817CB"/>
    <w:rsid w:val="000820A4"/>
    <w:rsid w:val="000873EF"/>
    <w:rsid w:val="00087563"/>
    <w:rsid w:val="000A189C"/>
    <w:rsid w:val="000A3615"/>
    <w:rsid w:val="000A6E9B"/>
    <w:rsid w:val="000B3792"/>
    <w:rsid w:val="000C6242"/>
    <w:rsid w:val="000C68DB"/>
    <w:rsid w:val="000D2C32"/>
    <w:rsid w:val="000E4EF5"/>
    <w:rsid w:val="000E6F72"/>
    <w:rsid w:val="000F0478"/>
    <w:rsid w:val="000F0A50"/>
    <w:rsid w:val="00103D5E"/>
    <w:rsid w:val="001047AC"/>
    <w:rsid w:val="00104EA7"/>
    <w:rsid w:val="00105FAD"/>
    <w:rsid w:val="0011155B"/>
    <w:rsid w:val="00111A6A"/>
    <w:rsid w:val="00121BF1"/>
    <w:rsid w:val="00127A8B"/>
    <w:rsid w:val="00134BE5"/>
    <w:rsid w:val="001412D1"/>
    <w:rsid w:val="001423E3"/>
    <w:rsid w:val="001475EA"/>
    <w:rsid w:val="001504F5"/>
    <w:rsid w:val="001517BD"/>
    <w:rsid w:val="0017248D"/>
    <w:rsid w:val="00172E8C"/>
    <w:rsid w:val="00173626"/>
    <w:rsid w:val="0017614A"/>
    <w:rsid w:val="00176C04"/>
    <w:rsid w:val="001817CD"/>
    <w:rsid w:val="0018235E"/>
    <w:rsid w:val="00184CCB"/>
    <w:rsid w:val="0018768C"/>
    <w:rsid w:val="00192BA0"/>
    <w:rsid w:val="00197303"/>
    <w:rsid w:val="001A17EA"/>
    <w:rsid w:val="001A22AA"/>
    <w:rsid w:val="001A7A18"/>
    <w:rsid w:val="001B1565"/>
    <w:rsid w:val="001B166D"/>
    <w:rsid w:val="001B28B5"/>
    <w:rsid w:val="001B2975"/>
    <w:rsid w:val="001C122D"/>
    <w:rsid w:val="001D2A82"/>
    <w:rsid w:val="001D569B"/>
    <w:rsid w:val="001D5DE3"/>
    <w:rsid w:val="001E0EA3"/>
    <w:rsid w:val="001E4035"/>
    <w:rsid w:val="001E4995"/>
    <w:rsid w:val="001F09DC"/>
    <w:rsid w:val="001F43E6"/>
    <w:rsid w:val="00213772"/>
    <w:rsid w:val="00217A4E"/>
    <w:rsid w:val="00220749"/>
    <w:rsid w:val="00221BBE"/>
    <w:rsid w:val="0022422C"/>
    <w:rsid w:val="0022724E"/>
    <w:rsid w:val="00230666"/>
    <w:rsid w:val="00231153"/>
    <w:rsid w:val="0023252E"/>
    <w:rsid w:val="002408CA"/>
    <w:rsid w:val="00241C31"/>
    <w:rsid w:val="002637DE"/>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E357E"/>
    <w:rsid w:val="002F449B"/>
    <w:rsid w:val="002F4D86"/>
    <w:rsid w:val="002F5D69"/>
    <w:rsid w:val="002F7C77"/>
    <w:rsid w:val="00300CB3"/>
    <w:rsid w:val="0030394B"/>
    <w:rsid w:val="00306691"/>
    <w:rsid w:val="003072C6"/>
    <w:rsid w:val="00310D8E"/>
    <w:rsid w:val="00315BBD"/>
    <w:rsid w:val="0031753A"/>
    <w:rsid w:val="00317A3F"/>
    <w:rsid w:val="00320293"/>
    <w:rsid w:val="00322CC2"/>
    <w:rsid w:val="00334B54"/>
    <w:rsid w:val="0033739E"/>
    <w:rsid w:val="00343733"/>
    <w:rsid w:val="00354C0C"/>
    <w:rsid w:val="00355886"/>
    <w:rsid w:val="00356814"/>
    <w:rsid w:val="00363D8B"/>
    <w:rsid w:val="0038019F"/>
    <w:rsid w:val="00382071"/>
    <w:rsid w:val="00383639"/>
    <w:rsid w:val="003A2F25"/>
    <w:rsid w:val="003B1BE8"/>
    <w:rsid w:val="003B2807"/>
    <w:rsid w:val="003B420F"/>
    <w:rsid w:val="003C68F2"/>
    <w:rsid w:val="003D5CFB"/>
    <w:rsid w:val="003E18E2"/>
    <w:rsid w:val="003E2636"/>
    <w:rsid w:val="003E2E12"/>
    <w:rsid w:val="003F0A1B"/>
    <w:rsid w:val="003F366A"/>
    <w:rsid w:val="003F39CE"/>
    <w:rsid w:val="00400FE4"/>
    <w:rsid w:val="00401108"/>
    <w:rsid w:val="00402927"/>
    <w:rsid w:val="00405F1E"/>
    <w:rsid w:val="00407993"/>
    <w:rsid w:val="00411833"/>
    <w:rsid w:val="00412F64"/>
    <w:rsid w:val="004140C9"/>
    <w:rsid w:val="00417226"/>
    <w:rsid w:val="00417806"/>
    <w:rsid w:val="00417BEB"/>
    <w:rsid w:val="00425C66"/>
    <w:rsid w:val="004262A7"/>
    <w:rsid w:val="00430C0F"/>
    <w:rsid w:val="00431172"/>
    <w:rsid w:val="004324FF"/>
    <w:rsid w:val="00432A55"/>
    <w:rsid w:val="0044260A"/>
    <w:rsid w:val="00444614"/>
    <w:rsid w:val="00444D82"/>
    <w:rsid w:val="0045458A"/>
    <w:rsid w:val="004564C6"/>
    <w:rsid w:val="004610CC"/>
    <w:rsid w:val="00465464"/>
    <w:rsid w:val="00465E87"/>
    <w:rsid w:val="00476F48"/>
    <w:rsid w:val="0047786A"/>
    <w:rsid w:val="00477A65"/>
    <w:rsid w:val="00482DB3"/>
    <w:rsid w:val="004A0236"/>
    <w:rsid w:val="004A369A"/>
    <w:rsid w:val="004A3B3E"/>
    <w:rsid w:val="004A7B40"/>
    <w:rsid w:val="004C5777"/>
    <w:rsid w:val="004D0173"/>
    <w:rsid w:val="004D0E35"/>
    <w:rsid w:val="004D1056"/>
    <w:rsid w:val="004E21E2"/>
    <w:rsid w:val="004E293F"/>
    <w:rsid w:val="004E380D"/>
    <w:rsid w:val="004E7922"/>
    <w:rsid w:val="004F0DFC"/>
    <w:rsid w:val="004F3441"/>
    <w:rsid w:val="004F41B2"/>
    <w:rsid w:val="004F4AFC"/>
    <w:rsid w:val="004F52A5"/>
    <w:rsid w:val="004F6A92"/>
    <w:rsid w:val="005001A1"/>
    <w:rsid w:val="00500C8C"/>
    <w:rsid w:val="00501375"/>
    <w:rsid w:val="00501D3B"/>
    <w:rsid w:val="005022C9"/>
    <w:rsid w:val="0050779D"/>
    <w:rsid w:val="005141F4"/>
    <w:rsid w:val="005178A5"/>
    <w:rsid w:val="00520BBB"/>
    <w:rsid w:val="00525456"/>
    <w:rsid w:val="00532236"/>
    <w:rsid w:val="00541DFE"/>
    <w:rsid w:val="00543E6C"/>
    <w:rsid w:val="00544184"/>
    <w:rsid w:val="00554EEB"/>
    <w:rsid w:val="005552FD"/>
    <w:rsid w:val="005600E5"/>
    <w:rsid w:val="00564E8F"/>
    <w:rsid w:val="0056722C"/>
    <w:rsid w:val="005728A4"/>
    <w:rsid w:val="005763FC"/>
    <w:rsid w:val="00576EB4"/>
    <w:rsid w:val="00582768"/>
    <w:rsid w:val="00583461"/>
    <w:rsid w:val="00583CCE"/>
    <w:rsid w:val="005856A4"/>
    <w:rsid w:val="00590730"/>
    <w:rsid w:val="005A3051"/>
    <w:rsid w:val="005A53FE"/>
    <w:rsid w:val="005B7D22"/>
    <w:rsid w:val="005C029E"/>
    <w:rsid w:val="005E085D"/>
    <w:rsid w:val="005E3FA7"/>
    <w:rsid w:val="005E7963"/>
    <w:rsid w:val="005F218C"/>
    <w:rsid w:val="00601D4D"/>
    <w:rsid w:val="006021B4"/>
    <w:rsid w:val="00605B5B"/>
    <w:rsid w:val="006062D8"/>
    <w:rsid w:val="00606827"/>
    <w:rsid w:val="0061235D"/>
    <w:rsid w:val="00620262"/>
    <w:rsid w:val="00621B4C"/>
    <w:rsid w:val="00627C52"/>
    <w:rsid w:val="00630937"/>
    <w:rsid w:val="0063247B"/>
    <w:rsid w:val="00653B84"/>
    <w:rsid w:val="00653E0D"/>
    <w:rsid w:val="00673691"/>
    <w:rsid w:val="0068012E"/>
    <w:rsid w:val="006865C8"/>
    <w:rsid w:val="00686B48"/>
    <w:rsid w:val="00687038"/>
    <w:rsid w:val="0068714E"/>
    <w:rsid w:val="00687810"/>
    <w:rsid w:val="006929F7"/>
    <w:rsid w:val="0069374A"/>
    <w:rsid w:val="00694AB8"/>
    <w:rsid w:val="00695EF7"/>
    <w:rsid w:val="0069699D"/>
    <w:rsid w:val="006B2C51"/>
    <w:rsid w:val="006B61EC"/>
    <w:rsid w:val="006B6361"/>
    <w:rsid w:val="006C79BD"/>
    <w:rsid w:val="006D360C"/>
    <w:rsid w:val="006D5AC9"/>
    <w:rsid w:val="006D66ED"/>
    <w:rsid w:val="006E786B"/>
    <w:rsid w:val="007002B1"/>
    <w:rsid w:val="00704EB7"/>
    <w:rsid w:val="00705742"/>
    <w:rsid w:val="0070636E"/>
    <w:rsid w:val="007104FE"/>
    <w:rsid w:val="007121A2"/>
    <w:rsid w:val="00713981"/>
    <w:rsid w:val="00714137"/>
    <w:rsid w:val="007176D6"/>
    <w:rsid w:val="00717BFA"/>
    <w:rsid w:val="00727D54"/>
    <w:rsid w:val="00733098"/>
    <w:rsid w:val="007344C5"/>
    <w:rsid w:val="00734959"/>
    <w:rsid w:val="0073520D"/>
    <w:rsid w:val="007373AA"/>
    <w:rsid w:val="00765130"/>
    <w:rsid w:val="0076738D"/>
    <w:rsid w:val="00780226"/>
    <w:rsid w:val="00781AB4"/>
    <w:rsid w:val="00784846"/>
    <w:rsid w:val="007923B7"/>
    <w:rsid w:val="00792616"/>
    <w:rsid w:val="007926BB"/>
    <w:rsid w:val="0079344C"/>
    <w:rsid w:val="007A0283"/>
    <w:rsid w:val="007A12AE"/>
    <w:rsid w:val="007A2A41"/>
    <w:rsid w:val="007A2E65"/>
    <w:rsid w:val="007C02C7"/>
    <w:rsid w:val="007C21EE"/>
    <w:rsid w:val="007D27F5"/>
    <w:rsid w:val="007D3A2E"/>
    <w:rsid w:val="007D6652"/>
    <w:rsid w:val="007E343D"/>
    <w:rsid w:val="007F0D22"/>
    <w:rsid w:val="007F4383"/>
    <w:rsid w:val="00801601"/>
    <w:rsid w:val="00810991"/>
    <w:rsid w:val="00814A9B"/>
    <w:rsid w:val="00814F66"/>
    <w:rsid w:val="00817C9E"/>
    <w:rsid w:val="00817E2C"/>
    <w:rsid w:val="008205AF"/>
    <w:rsid w:val="00821C3C"/>
    <w:rsid w:val="008225E5"/>
    <w:rsid w:val="00831053"/>
    <w:rsid w:val="008314D2"/>
    <w:rsid w:val="0083254D"/>
    <w:rsid w:val="00836249"/>
    <w:rsid w:val="00836F00"/>
    <w:rsid w:val="00846192"/>
    <w:rsid w:val="00850806"/>
    <w:rsid w:val="00856A1B"/>
    <w:rsid w:val="008621C3"/>
    <w:rsid w:val="00862211"/>
    <w:rsid w:val="00865486"/>
    <w:rsid w:val="00876275"/>
    <w:rsid w:val="00881FA7"/>
    <w:rsid w:val="00882B99"/>
    <w:rsid w:val="008A1B3C"/>
    <w:rsid w:val="008A1F60"/>
    <w:rsid w:val="008A295B"/>
    <w:rsid w:val="008A6343"/>
    <w:rsid w:val="008A6604"/>
    <w:rsid w:val="008B5482"/>
    <w:rsid w:val="008C11F4"/>
    <w:rsid w:val="008C2BEC"/>
    <w:rsid w:val="008C412F"/>
    <w:rsid w:val="008C6D0E"/>
    <w:rsid w:val="008D09D2"/>
    <w:rsid w:val="008D39C5"/>
    <w:rsid w:val="008E1D89"/>
    <w:rsid w:val="008E3E3E"/>
    <w:rsid w:val="008F5F87"/>
    <w:rsid w:val="00900A34"/>
    <w:rsid w:val="00900B3D"/>
    <w:rsid w:val="00907073"/>
    <w:rsid w:val="00907495"/>
    <w:rsid w:val="009208F5"/>
    <w:rsid w:val="00927D51"/>
    <w:rsid w:val="00932272"/>
    <w:rsid w:val="00932862"/>
    <w:rsid w:val="00935D60"/>
    <w:rsid w:val="009435C0"/>
    <w:rsid w:val="009447BB"/>
    <w:rsid w:val="00944C48"/>
    <w:rsid w:val="00946335"/>
    <w:rsid w:val="00950AA3"/>
    <w:rsid w:val="009513C4"/>
    <w:rsid w:val="00955E55"/>
    <w:rsid w:val="00962200"/>
    <w:rsid w:val="00966F54"/>
    <w:rsid w:val="00975E61"/>
    <w:rsid w:val="00976E31"/>
    <w:rsid w:val="00977C63"/>
    <w:rsid w:val="00980087"/>
    <w:rsid w:val="00980C0B"/>
    <w:rsid w:val="00987ABE"/>
    <w:rsid w:val="009906C7"/>
    <w:rsid w:val="009963CD"/>
    <w:rsid w:val="00996BCB"/>
    <w:rsid w:val="009B266D"/>
    <w:rsid w:val="009B5CBF"/>
    <w:rsid w:val="009C184A"/>
    <w:rsid w:val="009C2CA5"/>
    <w:rsid w:val="009D1F2F"/>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3660"/>
    <w:rsid w:val="00A952AB"/>
    <w:rsid w:val="00A9783D"/>
    <w:rsid w:val="00AA45E6"/>
    <w:rsid w:val="00AB489C"/>
    <w:rsid w:val="00AB50C1"/>
    <w:rsid w:val="00AB6936"/>
    <w:rsid w:val="00AC0C3B"/>
    <w:rsid w:val="00AC2D63"/>
    <w:rsid w:val="00AD03D8"/>
    <w:rsid w:val="00AD0711"/>
    <w:rsid w:val="00AD704E"/>
    <w:rsid w:val="00AE5FE0"/>
    <w:rsid w:val="00AE60B7"/>
    <w:rsid w:val="00AE7D80"/>
    <w:rsid w:val="00AF2AB7"/>
    <w:rsid w:val="00AF2B1C"/>
    <w:rsid w:val="00AF4D3F"/>
    <w:rsid w:val="00B0300B"/>
    <w:rsid w:val="00B05457"/>
    <w:rsid w:val="00B1107B"/>
    <w:rsid w:val="00B11A9B"/>
    <w:rsid w:val="00B128A0"/>
    <w:rsid w:val="00B20240"/>
    <w:rsid w:val="00B20A87"/>
    <w:rsid w:val="00B23281"/>
    <w:rsid w:val="00B27571"/>
    <w:rsid w:val="00B27C1B"/>
    <w:rsid w:val="00B3471F"/>
    <w:rsid w:val="00B4164B"/>
    <w:rsid w:val="00B5409A"/>
    <w:rsid w:val="00B55574"/>
    <w:rsid w:val="00B5678E"/>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1134"/>
    <w:rsid w:val="00BC5A34"/>
    <w:rsid w:val="00BD17F5"/>
    <w:rsid w:val="00BD6E05"/>
    <w:rsid w:val="00BE54D0"/>
    <w:rsid w:val="00BF3097"/>
    <w:rsid w:val="00BF6B6C"/>
    <w:rsid w:val="00BF7251"/>
    <w:rsid w:val="00BF7F28"/>
    <w:rsid w:val="00C01909"/>
    <w:rsid w:val="00C05787"/>
    <w:rsid w:val="00C13059"/>
    <w:rsid w:val="00C156D4"/>
    <w:rsid w:val="00C167A3"/>
    <w:rsid w:val="00C1693D"/>
    <w:rsid w:val="00C2181C"/>
    <w:rsid w:val="00C22268"/>
    <w:rsid w:val="00C2657D"/>
    <w:rsid w:val="00C416E1"/>
    <w:rsid w:val="00C47BF8"/>
    <w:rsid w:val="00C51B1C"/>
    <w:rsid w:val="00C53DCE"/>
    <w:rsid w:val="00C655F2"/>
    <w:rsid w:val="00C65B61"/>
    <w:rsid w:val="00C70E53"/>
    <w:rsid w:val="00C72979"/>
    <w:rsid w:val="00C80748"/>
    <w:rsid w:val="00C81529"/>
    <w:rsid w:val="00C81A9D"/>
    <w:rsid w:val="00C81BA6"/>
    <w:rsid w:val="00C8377C"/>
    <w:rsid w:val="00C877CD"/>
    <w:rsid w:val="00C902E9"/>
    <w:rsid w:val="00C908B7"/>
    <w:rsid w:val="00C91D81"/>
    <w:rsid w:val="00C92A42"/>
    <w:rsid w:val="00CA11F7"/>
    <w:rsid w:val="00CA18F2"/>
    <w:rsid w:val="00CA2830"/>
    <w:rsid w:val="00CA4871"/>
    <w:rsid w:val="00CA6722"/>
    <w:rsid w:val="00CA6D4E"/>
    <w:rsid w:val="00CA7B4B"/>
    <w:rsid w:val="00CB36A8"/>
    <w:rsid w:val="00CC139A"/>
    <w:rsid w:val="00CC1E7A"/>
    <w:rsid w:val="00CC3986"/>
    <w:rsid w:val="00CC4F64"/>
    <w:rsid w:val="00CD058C"/>
    <w:rsid w:val="00CD3B98"/>
    <w:rsid w:val="00CD4216"/>
    <w:rsid w:val="00CD733F"/>
    <w:rsid w:val="00CE0942"/>
    <w:rsid w:val="00CE7CA5"/>
    <w:rsid w:val="00CF1D81"/>
    <w:rsid w:val="00CF2DC9"/>
    <w:rsid w:val="00CF7CB6"/>
    <w:rsid w:val="00D311AB"/>
    <w:rsid w:val="00D31D30"/>
    <w:rsid w:val="00D325A8"/>
    <w:rsid w:val="00D3346F"/>
    <w:rsid w:val="00D354E2"/>
    <w:rsid w:val="00D442AD"/>
    <w:rsid w:val="00D5618A"/>
    <w:rsid w:val="00D5784B"/>
    <w:rsid w:val="00D63EFB"/>
    <w:rsid w:val="00D658AF"/>
    <w:rsid w:val="00D7413E"/>
    <w:rsid w:val="00D83DE9"/>
    <w:rsid w:val="00D8450D"/>
    <w:rsid w:val="00D91D91"/>
    <w:rsid w:val="00D95AF9"/>
    <w:rsid w:val="00DA09C9"/>
    <w:rsid w:val="00DA1822"/>
    <w:rsid w:val="00DA50CE"/>
    <w:rsid w:val="00DB5E1F"/>
    <w:rsid w:val="00DC054C"/>
    <w:rsid w:val="00DC19D8"/>
    <w:rsid w:val="00DC2613"/>
    <w:rsid w:val="00DC315B"/>
    <w:rsid w:val="00DC4512"/>
    <w:rsid w:val="00DD2D68"/>
    <w:rsid w:val="00DD3691"/>
    <w:rsid w:val="00DD4B55"/>
    <w:rsid w:val="00DE1E90"/>
    <w:rsid w:val="00DE24E6"/>
    <w:rsid w:val="00DE6BDE"/>
    <w:rsid w:val="00DF07AD"/>
    <w:rsid w:val="00DF3364"/>
    <w:rsid w:val="00E01893"/>
    <w:rsid w:val="00E04122"/>
    <w:rsid w:val="00E055BB"/>
    <w:rsid w:val="00E07575"/>
    <w:rsid w:val="00E11988"/>
    <w:rsid w:val="00E15DA9"/>
    <w:rsid w:val="00E2095D"/>
    <w:rsid w:val="00E30414"/>
    <w:rsid w:val="00E37625"/>
    <w:rsid w:val="00E40769"/>
    <w:rsid w:val="00E416B9"/>
    <w:rsid w:val="00E52AF0"/>
    <w:rsid w:val="00E539DD"/>
    <w:rsid w:val="00E56E6D"/>
    <w:rsid w:val="00E60F12"/>
    <w:rsid w:val="00E63B79"/>
    <w:rsid w:val="00E652FB"/>
    <w:rsid w:val="00E6689D"/>
    <w:rsid w:val="00E66C20"/>
    <w:rsid w:val="00E71C46"/>
    <w:rsid w:val="00E75ED2"/>
    <w:rsid w:val="00E8280C"/>
    <w:rsid w:val="00E83E4C"/>
    <w:rsid w:val="00E91933"/>
    <w:rsid w:val="00E92A81"/>
    <w:rsid w:val="00E969B1"/>
    <w:rsid w:val="00EB1B81"/>
    <w:rsid w:val="00EB32E5"/>
    <w:rsid w:val="00EB6552"/>
    <w:rsid w:val="00EC18E6"/>
    <w:rsid w:val="00EC1984"/>
    <w:rsid w:val="00EC234C"/>
    <w:rsid w:val="00ED3529"/>
    <w:rsid w:val="00ED4D17"/>
    <w:rsid w:val="00EE6CD3"/>
    <w:rsid w:val="00EF2052"/>
    <w:rsid w:val="00EF20D7"/>
    <w:rsid w:val="00EF3419"/>
    <w:rsid w:val="00F0119C"/>
    <w:rsid w:val="00F02BDB"/>
    <w:rsid w:val="00F0441B"/>
    <w:rsid w:val="00F074C1"/>
    <w:rsid w:val="00F07623"/>
    <w:rsid w:val="00F3136B"/>
    <w:rsid w:val="00F314F1"/>
    <w:rsid w:val="00F327EA"/>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2D72"/>
    <w:rsid w:val="00F97730"/>
    <w:rsid w:val="00FA107E"/>
    <w:rsid w:val="00FA2ADC"/>
    <w:rsid w:val="00FB32A4"/>
    <w:rsid w:val="00FB594D"/>
    <w:rsid w:val="00FB6D50"/>
    <w:rsid w:val="00FC2B57"/>
    <w:rsid w:val="00FC2BFD"/>
    <w:rsid w:val="00FC2CE8"/>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C01AB2"/>
  <w15:chartTrackingRefBased/>
  <w15:docId w15:val="{56276542-6EFD-A546-B476-874F8B97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rPr>
  </w:style>
  <w:style w:type="paragraph" w:styleId="Heading1">
    <w:name w:val="heading 1"/>
    <w:next w:val="DHHSbody"/>
    <w:link w:val="Heading1Char"/>
    <w:uiPriority w:val="9"/>
    <w:qFormat/>
    <w:rsid w:val="00E01893"/>
    <w:pPr>
      <w:keepNext/>
      <w:keepLines/>
      <w:pageBreakBefore/>
      <w:spacing w:before="520" w:after="440" w:line="440" w:lineRule="atLeast"/>
      <w:outlineLvl w:val="0"/>
    </w:pPr>
    <w:rPr>
      <w:rFonts w:ascii="Arial" w:hAnsi="Arial"/>
      <w:bCs/>
      <w:color w:val="D50032"/>
      <w:sz w:val="44"/>
      <w:szCs w:val="44"/>
    </w:rPr>
  </w:style>
  <w:style w:type="paragraph" w:styleId="Heading2">
    <w:name w:val="heading 2"/>
    <w:next w:val="DHHSbody"/>
    <w:link w:val="Heading2Char"/>
    <w:uiPriority w:val="9"/>
    <w:qFormat/>
    <w:rsid w:val="00AB50C1"/>
    <w:pPr>
      <w:keepNext/>
      <w:keepLines/>
      <w:spacing w:before="240" w:after="90" w:line="320" w:lineRule="atLeast"/>
      <w:outlineLvl w:val="1"/>
    </w:pPr>
    <w:rPr>
      <w:rFonts w:ascii="Arial" w:hAnsi="Arial"/>
      <w:b/>
      <w:color w:val="D50032"/>
      <w:sz w:val="28"/>
      <w:szCs w:val="28"/>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01893"/>
    <w:rPr>
      <w:rFonts w:ascii="Arial" w:hAnsi="Arial"/>
      <w:bCs/>
      <w:color w:val="D50032"/>
      <w:sz w:val="44"/>
      <w:szCs w:val="44"/>
      <w:lang w:eastAsia="en-US"/>
    </w:rPr>
  </w:style>
  <w:style w:type="character" w:customStyle="1" w:styleId="Heading2Char">
    <w:name w:val="Heading 2 Char"/>
    <w:link w:val="Heading2"/>
    <w:uiPriority w:val="9"/>
    <w:rsid w:val="00AB50C1"/>
    <w:rPr>
      <w:rFonts w:ascii="Arial" w:hAnsi="Arial"/>
      <w:b/>
      <w:color w:val="D50032"/>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B11A9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AB50C1"/>
    <w:pPr>
      <w:keepLines/>
      <w:spacing w:after="240" w:line="580" w:lineRule="atLeast"/>
    </w:pPr>
    <w:rPr>
      <w:rFonts w:ascii="Arial" w:hAnsi="Arial"/>
      <w:color w:val="D50032"/>
      <w:sz w:val="50"/>
      <w:szCs w:val="24"/>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pink">
    <w:name w:val="DHHS report main title pink"/>
    <w:uiPriority w:val="4"/>
    <w:rsid w:val="00950AA3"/>
    <w:pPr>
      <w:keepLines/>
      <w:spacing w:after="240" w:line="580" w:lineRule="atLeast"/>
    </w:pPr>
    <w:rPr>
      <w:rFonts w:ascii="Arial" w:hAnsi="Arial"/>
      <w:bCs/>
      <w:color w:val="D50032"/>
      <w:sz w:val="50"/>
      <w:szCs w:val="50"/>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rPr>
  </w:style>
  <w:style w:type="paragraph" w:customStyle="1" w:styleId="Coverinstructions">
    <w:name w:val="Cover instructions"/>
    <w:rsid w:val="001A7E04"/>
    <w:pPr>
      <w:spacing w:after="200" w:line="320" w:lineRule="atLeast"/>
    </w:pPr>
    <w:rPr>
      <w:rFonts w:ascii="Arial" w:hAnsi="Arial"/>
      <w:color w:val="FFFFFF"/>
      <w:sz w:val="24"/>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rPr>
  </w:style>
  <w:style w:type="paragraph" w:customStyle="1" w:styleId="DHHStabletext">
    <w:name w:val="DHHS table text"/>
    <w:uiPriority w:val="3"/>
    <w:qFormat/>
    <w:rsid w:val="00E30414"/>
    <w:pPr>
      <w:spacing w:before="80" w:after="60"/>
    </w:pPr>
    <w:rPr>
      <w:rFonts w:ascii="Arial" w:hAnsi="Arial"/>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rPr>
  </w:style>
  <w:style w:type="paragraph" w:customStyle="1" w:styleId="DHHSfigurecaption">
    <w:name w:val="DHHS figure caption"/>
    <w:next w:val="DHHSbody"/>
    <w:rsid w:val="00E91933"/>
    <w:pPr>
      <w:keepNext/>
      <w:keepLines/>
      <w:spacing w:before="240" w:after="120"/>
    </w:pPr>
    <w:rPr>
      <w:rFonts w:ascii="Arial" w:hAnsi="Arial"/>
      <w:b/>
    </w:rPr>
  </w:style>
  <w:style w:type="paragraph" w:customStyle="1" w:styleId="DHHSfooter">
    <w:name w:val="DHHS footer"/>
    <w:uiPriority w:val="11"/>
    <w:rsid w:val="00E969B1"/>
    <w:pPr>
      <w:tabs>
        <w:tab w:val="right" w:pos="9299"/>
      </w:tabs>
    </w:pPr>
    <w:rPr>
      <w:rFonts w:ascii="Arial" w:hAnsi="Arial" w:cs="Arial"/>
      <w:sz w:val="18"/>
      <w:szCs w:val="18"/>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AB50C1"/>
    <w:pPr>
      <w:spacing w:before="80" w:after="60"/>
    </w:pPr>
    <w:rPr>
      <w:rFonts w:ascii="Arial" w:hAnsi="Arial"/>
      <w:b/>
      <w:color w:val="D50032"/>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AB50C1"/>
    <w:pPr>
      <w:spacing w:before="0"/>
      <w:outlineLvl w:val="9"/>
    </w:pPr>
  </w:style>
  <w:style w:type="character" w:customStyle="1" w:styleId="DHHSTOCheadingreportChar">
    <w:name w:val="DHHS TOC heading report Char"/>
    <w:link w:val="DHHSTOCheadingreport"/>
    <w:uiPriority w:val="5"/>
    <w:rsid w:val="00AB50C1"/>
    <w:rPr>
      <w:rFonts w:ascii="Arial" w:hAnsi="Arial"/>
      <w:bCs/>
      <w:color w:val="D50032"/>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B5678E"/>
    <w:rPr>
      <w:rFonts w:ascii="Times New Roman" w:hAnsi="Times New Roman"/>
      <w:sz w:val="18"/>
      <w:szCs w:val="18"/>
    </w:rPr>
  </w:style>
  <w:style w:type="character" w:customStyle="1" w:styleId="BalloonTextChar">
    <w:name w:val="Balloon Text Char"/>
    <w:link w:val="BalloonText"/>
    <w:uiPriority w:val="99"/>
    <w:semiHidden/>
    <w:rsid w:val="00B5678E"/>
    <w:rPr>
      <w:sz w:val="18"/>
      <w:szCs w:val="18"/>
      <w:lang w:eastAsia="en-US"/>
    </w:rPr>
  </w:style>
  <w:style w:type="table" w:customStyle="1" w:styleId="TableGrid1">
    <w:name w:val="Table Grid1"/>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567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78E"/>
    <w:pPr>
      <w:spacing w:after="160" w:line="259" w:lineRule="auto"/>
      <w:ind w:left="720"/>
      <w:contextualSpacing/>
    </w:pPr>
    <w:rPr>
      <w:rFonts w:ascii="Calibri" w:eastAsia="Calibri" w:hAnsi="Calibri"/>
      <w:sz w:val="22"/>
      <w:szCs w:val="22"/>
    </w:rPr>
  </w:style>
  <w:style w:type="character" w:customStyle="1" w:styleId="HeaderChar">
    <w:name w:val="Header Char"/>
    <w:link w:val="Header"/>
    <w:uiPriority w:val="99"/>
    <w:rsid w:val="00B5678E"/>
    <w:rPr>
      <w:rFonts w:ascii="Arial" w:hAnsi="Arial" w:cs="Arial"/>
      <w:sz w:val="18"/>
      <w:szCs w:val="18"/>
      <w:lang w:eastAsia="en-US"/>
    </w:rPr>
  </w:style>
  <w:style w:type="character" w:customStyle="1" w:styleId="FooterChar">
    <w:name w:val="Footer Char"/>
    <w:link w:val="Footer"/>
    <w:uiPriority w:val="99"/>
    <w:rsid w:val="00B5678E"/>
    <w:rPr>
      <w:rFonts w:ascii="Arial" w:hAnsi="Arial" w:cs="Arial"/>
      <w:sz w:val="18"/>
      <w:szCs w:val="18"/>
      <w:lang w:eastAsia="en-US"/>
    </w:rPr>
  </w:style>
  <w:style w:type="character" w:styleId="CommentReference">
    <w:name w:val="annotation reference"/>
    <w:uiPriority w:val="99"/>
    <w:semiHidden/>
    <w:unhideWhenUsed/>
    <w:rsid w:val="00B5678E"/>
    <w:rPr>
      <w:sz w:val="16"/>
      <w:szCs w:val="16"/>
    </w:rPr>
  </w:style>
  <w:style w:type="paragraph" w:styleId="CommentText">
    <w:name w:val="annotation text"/>
    <w:basedOn w:val="Normal"/>
    <w:link w:val="CommentTextChar"/>
    <w:uiPriority w:val="99"/>
    <w:semiHidden/>
    <w:unhideWhenUsed/>
    <w:rsid w:val="00B5678E"/>
    <w:pPr>
      <w:spacing w:after="160"/>
    </w:pPr>
    <w:rPr>
      <w:rFonts w:ascii="Calibri" w:eastAsia="Calibri" w:hAnsi="Calibri"/>
    </w:rPr>
  </w:style>
  <w:style w:type="character" w:customStyle="1" w:styleId="CommentTextChar">
    <w:name w:val="Comment Text Char"/>
    <w:link w:val="CommentText"/>
    <w:uiPriority w:val="99"/>
    <w:semiHidden/>
    <w:rsid w:val="00B5678E"/>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B5678E"/>
    <w:rPr>
      <w:b/>
      <w:bCs/>
    </w:rPr>
  </w:style>
  <w:style w:type="character" w:customStyle="1" w:styleId="CommentSubjectChar">
    <w:name w:val="Comment Subject Char"/>
    <w:link w:val="CommentSubject"/>
    <w:uiPriority w:val="99"/>
    <w:semiHidden/>
    <w:rsid w:val="00B5678E"/>
    <w:rPr>
      <w:rFonts w:ascii="Calibri" w:eastAsia="Calibri" w:hAnsi="Calibri"/>
      <w:b/>
      <w:bCs/>
      <w:lang w:eastAsia="en-US"/>
    </w:rPr>
  </w:style>
  <w:style w:type="paragraph" w:customStyle="1" w:styleId="Default">
    <w:name w:val="Default"/>
    <w:rsid w:val="00B5678E"/>
    <w:pPr>
      <w:autoSpaceDE w:val="0"/>
      <w:autoSpaceDN w:val="0"/>
      <w:adjustRightInd w:val="0"/>
    </w:pPr>
    <w:rPr>
      <w:rFonts w:eastAsia="Calibri"/>
      <w:color w:val="000000"/>
      <w:sz w:val="24"/>
      <w:szCs w:val="24"/>
    </w:rPr>
  </w:style>
  <w:style w:type="character" w:styleId="Emphasis">
    <w:name w:val="Emphasis"/>
    <w:uiPriority w:val="20"/>
    <w:qFormat/>
    <w:rsid w:val="00B5678E"/>
    <w:rPr>
      <w:b/>
      <w:bCs/>
      <w:i w:val="0"/>
      <w:iCs w:val="0"/>
    </w:rPr>
  </w:style>
  <w:style w:type="paragraph" w:styleId="Revision">
    <w:name w:val="Revision"/>
    <w:hidden/>
    <w:uiPriority w:val="99"/>
    <w:rsid w:val="00B5678E"/>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FC2B57"/>
    <w:rPr>
      <w:color w:val="605E5C"/>
      <w:shd w:val="clear" w:color="auto" w:fill="E1DFDD"/>
    </w:rPr>
  </w:style>
  <w:style w:type="character" w:styleId="UnresolvedMention">
    <w:name w:val="Unresolved Mention"/>
    <w:basedOn w:val="DefaultParagraphFont"/>
    <w:uiPriority w:val="99"/>
    <w:semiHidden/>
    <w:unhideWhenUsed/>
    <w:rsid w:val="007A2A41"/>
    <w:rPr>
      <w:color w:val="605E5C"/>
      <w:shd w:val="clear" w:color="auto" w:fill="E1DFDD"/>
    </w:rPr>
  </w:style>
  <w:style w:type="paragraph" w:customStyle="1" w:styleId="BodyCopyBody">
    <w:name w:val="Body Copy (Body)"/>
    <w:basedOn w:val="Normal"/>
    <w:uiPriority w:val="99"/>
    <w:rsid w:val="00430C0F"/>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Regular" w:hAnsi="VIC-Regular" w:cs="VIC-Regular"/>
      <w:color w:val="000000"/>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comments" Target="comments.xml"/><Relationship Id="rId39" Type="http://schemas.microsoft.com/office/2011/relationships/people" Target="people.xml"/><Relationship Id="rId21" Type="http://schemas.openxmlformats.org/officeDocument/2006/relationships/hyperlink" Target="https://www2.health.vic.gov.au/hospitals-and-health-services/patient-care/speciality-diagnostics-therapeutics/blood-matters/serious-transfusion-incident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anzsbt.org.au/pages/anzsbt-guidelines.html"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2.health.vic.gov.au/about/publications/researchandreports/stir-bulletin-1" TargetMode="External"/><Relationship Id="rId32" Type="http://schemas.openxmlformats.org/officeDocument/2006/relationships/hyperlink" Target="https://www.blood.gov.au/haemovigilance-reporting"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microsoft.com/office/2016/09/relationships/commentsIds" Target="commentsIds.xml"/><Relationship Id="rId36" Type="http://schemas.openxmlformats.org/officeDocument/2006/relationships/footer" Target="footer2.xml"/><Relationship Id="rId10" Type="http://schemas.openxmlformats.org/officeDocument/2006/relationships/hyperlink" Target="https://www2.health.vic.gov.au/hospitals-and-health-services/patient-care/speciality-diagnostics-therapeutics/blood-matters" TargetMode="External"/><Relationship Id="rId19" Type="http://schemas.openxmlformats.org/officeDocument/2006/relationships/image" Target="media/image10.png"/><Relationship Id="rId31" Type="http://schemas.openxmlformats.org/officeDocument/2006/relationships/hyperlink" Target="https://www2.health.vic.gov.au/hospitals-and-health-services/patient-care/speciality-diagnostics-therapeutics/blood-matters" TargetMode="External"/><Relationship Id="rId4" Type="http://schemas.openxmlformats.org/officeDocument/2006/relationships/settings" Target="settings.xml"/><Relationship Id="rId9" Type="http://schemas.openxmlformats.org/officeDocument/2006/relationships/hyperlink" Target="mailto:stir@redcrossblood.org.au" TargetMode="External"/><Relationship Id="rId14" Type="http://schemas.openxmlformats.org/officeDocument/2006/relationships/image" Target="media/image5.png"/><Relationship Id="rId22" Type="http://schemas.openxmlformats.org/officeDocument/2006/relationships/image" Target="media/image11.emf"/><Relationship Id="rId27" Type="http://schemas.microsoft.com/office/2011/relationships/commentsExtended" Target="commentsExtended.xml"/><Relationship Id="rId30" Type="http://schemas.openxmlformats.org/officeDocument/2006/relationships/image" Target="media/image15.pn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E9844-5162-F848-A2A0-0A0AE8BB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52</Pages>
  <Words>14640</Words>
  <Characters>83449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Serious tranfusion incident report 2017-18</vt:lpstr>
    </vt:vector>
  </TitlesOfParts>
  <Manager/>
  <Company>Department of Health and Human Services</Company>
  <LinksUpToDate>false</LinksUpToDate>
  <CharactersWithSpaces>97894</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1507381</vt:i4>
      </vt:variant>
      <vt:variant>
        <vt:i4>44</vt:i4>
      </vt:variant>
      <vt:variant>
        <vt:i4>0</vt:i4>
      </vt:variant>
      <vt:variant>
        <vt:i4>5</vt:i4>
      </vt:variant>
      <vt:variant>
        <vt:lpwstr/>
      </vt:variant>
      <vt:variant>
        <vt:lpwstr>_Toc442704370</vt:lpwstr>
      </vt:variant>
      <vt:variant>
        <vt:i4>1441845</vt:i4>
      </vt:variant>
      <vt:variant>
        <vt:i4>38</vt:i4>
      </vt:variant>
      <vt:variant>
        <vt:i4>0</vt:i4>
      </vt:variant>
      <vt:variant>
        <vt:i4>5</vt:i4>
      </vt:variant>
      <vt:variant>
        <vt:lpwstr/>
      </vt:variant>
      <vt:variant>
        <vt:lpwstr>_Toc442704369</vt:lpwstr>
      </vt:variant>
      <vt:variant>
        <vt:i4>1441845</vt:i4>
      </vt:variant>
      <vt:variant>
        <vt:i4>32</vt:i4>
      </vt:variant>
      <vt:variant>
        <vt:i4>0</vt:i4>
      </vt:variant>
      <vt:variant>
        <vt:i4>5</vt:i4>
      </vt:variant>
      <vt:variant>
        <vt:lpwstr/>
      </vt:variant>
      <vt:variant>
        <vt:lpwstr>_Toc442704368</vt:lpwstr>
      </vt:variant>
      <vt:variant>
        <vt:i4>1441845</vt:i4>
      </vt:variant>
      <vt:variant>
        <vt:i4>26</vt:i4>
      </vt:variant>
      <vt:variant>
        <vt:i4>0</vt:i4>
      </vt:variant>
      <vt:variant>
        <vt:i4>5</vt:i4>
      </vt:variant>
      <vt:variant>
        <vt:lpwstr/>
      </vt:variant>
      <vt:variant>
        <vt:lpwstr>_Toc442704367</vt:lpwstr>
      </vt:variant>
      <vt:variant>
        <vt:i4>1441845</vt:i4>
      </vt:variant>
      <vt:variant>
        <vt:i4>20</vt:i4>
      </vt:variant>
      <vt:variant>
        <vt:i4>0</vt:i4>
      </vt:variant>
      <vt:variant>
        <vt:i4>5</vt:i4>
      </vt:variant>
      <vt:variant>
        <vt:lpwstr/>
      </vt:variant>
      <vt:variant>
        <vt:lpwstr>_Toc442704366</vt:lpwstr>
      </vt:variant>
      <vt:variant>
        <vt:i4>1441845</vt:i4>
      </vt:variant>
      <vt:variant>
        <vt:i4>14</vt:i4>
      </vt:variant>
      <vt:variant>
        <vt:i4>0</vt:i4>
      </vt:variant>
      <vt:variant>
        <vt:i4>5</vt:i4>
      </vt:variant>
      <vt:variant>
        <vt:lpwstr/>
      </vt:variant>
      <vt:variant>
        <vt:lpwstr>_Toc442704365</vt:lpwstr>
      </vt:variant>
      <vt:variant>
        <vt:i4>1441845</vt:i4>
      </vt:variant>
      <vt:variant>
        <vt:i4>8</vt:i4>
      </vt:variant>
      <vt:variant>
        <vt:i4>0</vt:i4>
      </vt:variant>
      <vt:variant>
        <vt:i4>5</vt:i4>
      </vt:variant>
      <vt:variant>
        <vt:lpwstr/>
      </vt:variant>
      <vt:variant>
        <vt:lpwstr>_Toc442704364</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tranfusion incident report 2017-18</dc:title>
  <dc:subject>Blood transfusion incident reporting</dc:subject>
  <dc:creator>Medical Research and International Health Branch, Australian Red Cross Blood Service</dc:creator>
  <cp:keywords>blood, blood products, incident reporting</cp:keywords>
  <dc:description/>
  <cp:lastModifiedBy>Darren Scherger</cp:lastModifiedBy>
  <cp:revision>18</cp:revision>
  <cp:lastPrinted>2015-08-24T03:33:00Z</cp:lastPrinted>
  <dcterms:created xsi:type="dcterms:W3CDTF">2019-11-10T02:59:00Z</dcterms:created>
  <dcterms:modified xsi:type="dcterms:W3CDTF">2019-11-11T00:01:00Z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